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98C85" w14:textId="1704510F" w:rsidR="00396878" w:rsidRDefault="00396878" w:rsidP="00396878">
      <w:pPr>
        <w:pStyle w:val="Heading1"/>
        <w:rPr>
          <w:rFonts w:eastAsiaTheme="majorEastAsia"/>
        </w:rPr>
      </w:pPr>
      <w:r w:rsidRPr="005D1041">
        <w:rPr>
          <w:rFonts w:eastAsiaTheme="majorEastAsia"/>
        </w:rPr>
        <w:t>Life Saving Drugs Program (LSDP)</w:t>
      </w:r>
      <w:r>
        <w:rPr>
          <w:rFonts w:eastAsiaTheme="majorEastAsia"/>
        </w:rPr>
        <w:t xml:space="preserve"> </w:t>
      </w:r>
      <w:r w:rsidRPr="0034344A">
        <w:rPr>
          <w:rFonts w:eastAsiaTheme="majorEastAsia"/>
        </w:rPr>
        <w:t>24</w:t>
      </w:r>
      <w:r w:rsidR="00293C26">
        <w:rPr>
          <w:rFonts w:eastAsiaTheme="majorEastAsia"/>
        </w:rPr>
        <w:t> </w:t>
      </w:r>
      <w:r w:rsidRPr="0034344A">
        <w:rPr>
          <w:rFonts w:eastAsiaTheme="majorEastAsia"/>
        </w:rPr>
        <w:t>month</w:t>
      </w:r>
      <w:r w:rsidR="00AF788B">
        <w:rPr>
          <w:rFonts w:eastAsiaTheme="majorEastAsia"/>
        </w:rPr>
        <w:t>-like</w:t>
      </w:r>
      <w:r w:rsidRPr="0034344A">
        <w:rPr>
          <w:rFonts w:eastAsiaTheme="majorEastAsia"/>
        </w:rPr>
        <w:t xml:space="preserve"> Review Summary</w:t>
      </w:r>
      <w:r>
        <w:rPr>
          <w:rFonts w:eastAsiaTheme="majorEastAsia"/>
        </w:rPr>
        <w:t xml:space="preserve">: </w:t>
      </w:r>
      <w:r w:rsidR="00AF788B">
        <w:rPr>
          <w:rFonts w:eastAsiaTheme="majorEastAsia"/>
        </w:rPr>
        <w:br/>
      </w:r>
      <w:r w:rsidR="00AC540D">
        <w:rPr>
          <w:rFonts w:eastAsiaTheme="majorEastAsia"/>
        </w:rPr>
        <w:t>e</w:t>
      </w:r>
      <w:r w:rsidR="008C706D">
        <w:rPr>
          <w:rFonts w:eastAsiaTheme="majorEastAsia"/>
        </w:rPr>
        <w:t>losulfase alfa</w:t>
      </w:r>
      <w:r w:rsidRPr="00396878">
        <w:rPr>
          <w:rFonts w:eastAsiaTheme="majorEastAsia"/>
        </w:rPr>
        <w:t xml:space="preserve"> (</w:t>
      </w:r>
      <w:r w:rsidR="008C706D">
        <w:rPr>
          <w:rFonts w:eastAsiaTheme="majorEastAsia"/>
        </w:rPr>
        <w:t>Vimizi</w:t>
      </w:r>
      <w:r w:rsidR="00AB1111">
        <w:rPr>
          <w:rFonts w:eastAsiaTheme="majorEastAsia"/>
        </w:rPr>
        <w:t>m</w:t>
      </w:r>
      <w:r w:rsidRPr="00396878">
        <w:rPr>
          <w:rFonts w:eastAsiaTheme="majorEastAsia"/>
          <w:vertAlign w:val="superscript"/>
        </w:rPr>
        <w:t>®</w:t>
      </w:r>
      <w:r w:rsidRPr="00396878">
        <w:rPr>
          <w:rFonts w:eastAsiaTheme="majorEastAsia"/>
        </w:rPr>
        <w:t>)</w:t>
      </w:r>
    </w:p>
    <w:p w14:paraId="67A0C57F" w14:textId="77777777" w:rsidR="00396878" w:rsidRDefault="00396878" w:rsidP="00A8081F">
      <w:pPr>
        <w:pStyle w:val="Heading2"/>
        <w:rPr>
          <w:rFonts w:eastAsiaTheme="majorEastAsia"/>
          <w:caps/>
        </w:rPr>
      </w:pPr>
      <w:r w:rsidRPr="009A18D4">
        <w:rPr>
          <w:rFonts w:eastAsiaTheme="majorEastAsia"/>
        </w:rPr>
        <w:t>Introduction</w:t>
      </w:r>
    </w:p>
    <w:p w14:paraId="513213DF" w14:textId="098466D5" w:rsidR="00396878" w:rsidRPr="00396878" w:rsidRDefault="008C706D" w:rsidP="00396878">
      <w:pPr>
        <w:pStyle w:val="BodyText"/>
        <w:spacing w:line="276" w:lineRule="auto"/>
        <w:rPr>
          <w:rFonts w:ascii="Arial" w:eastAsia="Times New Roman" w:hAnsi="Arial"/>
          <w:noProof/>
          <w:color w:val="000000" w:themeColor="text1"/>
          <w:sz w:val="22"/>
          <w:szCs w:val="24"/>
          <w:lang w:eastAsia="en-AU"/>
        </w:rPr>
      </w:pPr>
      <w:r>
        <w:rPr>
          <w:rFonts w:ascii="Arial" w:eastAsia="Times New Roman" w:hAnsi="Arial"/>
          <w:noProof/>
          <w:color w:val="000000" w:themeColor="text1"/>
          <w:sz w:val="22"/>
          <w:szCs w:val="24"/>
          <w:lang w:eastAsia="en-AU"/>
        </w:rPr>
        <w:t>Elosulfase alfa</w:t>
      </w:r>
      <w:r w:rsidR="00396878" w:rsidRPr="00396878">
        <w:rPr>
          <w:rFonts w:ascii="Arial" w:eastAsia="Times New Roman" w:hAnsi="Arial"/>
          <w:noProof/>
          <w:color w:val="000000" w:themeColor="text1"/>
          <w:sz w:val="22"/>
          <w:szCs w:val="24"/>
          <w:lang w:eastAsia="en-AU"/>
        </w:rPr>
        <w:t xml:space="preserve"> is an </w:t>
      </w:r>
      <w:r>
        <w:rPr>
          <w:rFonts w:ascii="Arial" w:eastAsia="Times New Roman" w:hAnsi="Arial"/>
          <w:noProof/>
          <w:color w:val="000000" w:themeColor="text1"/>
          <w:sz w:val="22"/>
          <w:szCs w:val="24"/>
          <w:lang w:eastAsia="en-AU"/>
        </w:rPr>
        <w:t>enzyme replacement</w:t>
      </w:r>
      <w:r w:rsidR="00396878" w:rsidRPr="00396878">
        <w:rPr>
          <w:rFonts w:ascii="Arial" w:eastAsia="Times New Roman" w:hAnsi="Arial"/>
          <w:noProof/>
          <w:color w:val="000000" w:themeColor="text1"/>
          <w:sz w:val="22"/>
          <w:szCs w:val="24"/>
          <w:lang w:eastAsia="en-AU"/>
        </w:rPr>
        <w:t xml:space="preserve"> therapy for the treatment of </w:t>
      </w:r>
      <w:r w:rsidR="003C6097" w:rsidRPr="003C6097">
        <w:rPr>
          <w:rFonts w:ascii="Arial" w:eastAsia="Times New Roman" w:hAnsi="Arial"/>
          <w:noProof/>
          <w:color w:val="000000" w:themeColor="text1"/>
          <w:sz w:val="22"/>
          <w:szCs w:val="24"/>
          <w:lang w:eastAsia="en-AU"/>
        </w:rPr>
        <w:t xml:space="preserve">Mucopolysaccharidosis Type </w:t>
      </w:r>
      <w:r>
        <w:rPr>
          <w:rFonts w:ascii="Arial" w:eastAsia="Times New Roman" w:hAnsi="Arial"/>
          <w:noProof/>
          <w:color w:val="000000" w:themeColor="text1"/>
          <w:sz w:val="22"/>
          <w:szCs w:val="24"/>
          <w:lang w:eastAsia="en-AU"/>
        </w:rPr>
        <w:t>IVA</w:t>
      </w:r>
      <w:r w:rsidR="003C6097">
        <w:rPr>
          <w:rFonts w:ascii="Arial" w:eastAsia="Times New Roman" w:hAnsi="Arial"/>
          <w:noProof/>
          <w:color w:val="000000" w:themeColor="text1"/>
          <w:sz w:val="22"/>
          <w:szCs w:val="24"/>
          <w:lang w:eastAsia="en-AU"/>
        </w:rPr>
        <w:t xml:space="preserve"> (MPS IVA)</w:t>
      </w:r>
      <w:r w:rsidR="00191231">
        <w:rPr>
          <w:rFonts w:ascii="Arial" w:eastAsia="Times New Roman" w:hAnsi="Arial"/>
          <w:noProof/>
          <w:color w:val="000000" w:themeColor="text1"/>
          <w:sz w:val="22"/>
          <w:szCs w:val="24"/>
          <w:lang w:eastAsia="en-AU"/>
        </w:rPr>
        <w:t xml:space="preserve">, also known as </w:t>
      </w:r>
      <w:proofErr w:type="spellStart"/>
      <w:r w:rsidR="00191231" w:rsidRPr="00191231">
        <w:rPr>
          <w:rFonts w:ascii="Arial" w:hAnsi="Arial" w:cs="Arial"/>
          <w:sz w:val="22"/>
        </w:rPr>
        <w:t>Morquio</w:t>
      </w:r>
      <w:proofErr w:type="spellEnd"/>
      <w:r w:rsidR="00191231" w:rsidRPr="00191231">
        <w:rPr>
          <w:rFonts w:ascii="Arial" w:hAnsi="Arial" w:cs="Arial"/>
          <w:sz w:val="22"/>
        </w:rPr>
        <w:t xml:space="preserve"> A syndrome</w:t>
      </w:r>
      <w:r w:rsidR="00396878" w:rsidRPr="00396878">
        <w:rPr>
          <w:rFonts w:ascii="Arial" w:eastAsia="Times New Roman" w:hAnsi="Arial"/>
          <w:noProof/>
          <w:color w:val="000000" w:themeColor="text1"/>
          <w:sz w:val="22"/>
          <w:szCs w:val="24"/>
          <w:lang w:eastAsia="en-AU"/>
        </w:rPr>
        <w:t xml:space="preserve">. It was listed on the LSDP on </w:t>
      </w:r>
      <w:r w:rsidR="00C97E19">
        <w:rPr>
          <w:rFonts w:ascii="Arial" w:eastAsia="Times New Roman" w:hAnsi="Arial"/>
          <w:noProof/>
          <w:color w:val="000000" w:themeColor="text1"/>
          <w:sz w:val="22"/>
          <w:szCs w:val="24"/>
          <w:lang w:eastAsia="en-AU"/>
        </w:rPr>
        <w:t xml:space="preserve">1 August 2017. The LSDP Expert Panel </w:t>
      </w:r>
      <w:r w:rsidR="00622675">
        <w:rPr>
          <w:rFonts w:ascii="Arial" w:eastAsia="Times New Roman" w:hAnsi="Arial"/>
          <w:noProof/>
          <w:color w:val="000000" w:themeColor="text1"/>
          <w:sz w:val="22"/>
          <w:szCs w:val="24"/>
          <w:lang w:eastAsia="en-AU"/>
        </w:rPr>
        <w:t xml:space="preserve">(Expert Panel) </w:t>
      </w:r>
      <w:r w:rsidR="00C97E19">
        <w:rPr>
          <w:rFonts w:ascii="Arial" w:eastAsia="Times New Roman" w:hAnsi="Arial"/>
          <w:noProof/>
          <w:color w:val="000000" w:themeColor="text1"/>
          <w:sz w:val="22"/>
          <w:szCs w:val="24"/>
          <w:lang w:eastAsia="en-AU"/>
        </w:rPr>
        <w:t xml:space="preserve">agreed at its </w:t>
      </w:r>
      <w:r w:rsidR="00622675">
        <w:rPr>
          <w:rFonts w:ascii="Arial" w:eastAsia="Times New Roman" w:hAnsi="Arial"/>
          <w:noProof/>
          <w:color w:val="000000" w:themeColor="text1"/>
          <w:sz w:val="22"/>
          <w:szCs w:val="24"/>
          <w:lang w:eastAsia="en-AU"/>
        </w:rPr>
        <w:br/>
      </w:r>
      <w:r w:rsidR="00C97E19" w:rsidRPr="00C97E19">
        <w:rPr>
          <w:rFonts w:ascii="Arial" w:eastAsia="Times New Roman" w:hAnsi="Arial"/>
          <w:noProof/>
          <w:color w:val="000000" w:themeColor="text1"/>
          <w:sz w:val="22"/>
          <w:szCs w:val="24"/>
          <w:lang w:eastAsia="en-AU"/>
        </w:rPr>
        <w:t xml:space="preserve">October 2021 meeting that a 24 month-like review should be undertaken </w:t>
      </w:r>
      <w:r w:rsidR="00AB1111">
        <w:rPr>
          <w:rFonts w:ascii="Arial" w:eastAsia="Times New Roman" w:hAnsi="Arial"/>
          <w:noProof/>
          <w:color w:val="000000" w:themeColor="text1"/>
          <w:sz w:val="22"/>
          <w:szCs w:val="24"/>
          <w:lang w:eastAsia="en-AU"/>
        </w:rPr>
        <w:t>when the current funding arrangement expired</w:t>
      </w:r>
      <w:r w:rsidR="00C97E19" w:rsidRPr="00C97E19">
        <w:rPr>
          <w:rFonts w:ascii="Arial" w:eastAsia="Times New Roman" w:hAnsi="Arial"/>
          <w:noProof/>
          <w:color w:val="000000" w:themeColor="text1"/>
          <w:sz w:val="22"/>
          <w:szCs w:val="24"/>
          <w:lang w:eastAsia="en-AU"/>
        </w:rPr>
        <w:t>.</w:t>
      </w:r>
    </w:p>
    <w:p w14:paraId="3E6509A0" w14:textId="77777777" w:rsidR="00396878" w:rsidRDefault="00396878" w:rsidP="0089010D">
      <w:pPr>
        <w:pStyle w:val="Heading2"/>
      </w:pPr>
      <w:r w:rsidRPr="005D1041">
        <w:t xml:space="preserve">Purpose of the </w:t>
      </w:r>
      <w:r w:rsidRPr="0034344A">
        <w:t>24-month review</w:t>
      </w:r>
    </w:p>
    <w:p w14:paraId="747432ED" w14:textId="77777777" w:rsidR="0089010D" w:rsidRDefault="00396878" w:rsidP="00191231">
      <w:pPr>
        <w:rPr>
          <w:noProof/>
          <w:lang w:eastAsia="en-AU"/>
        </w:rPr>
      </w:pPr>
      <w:r w:rsidRPr="004C46A2">
        <w:rPr>
          <w:noProof/>
          <w:lang w:eastAsia="en-AU"/>
        </w:rPr>
        <w:t xml:space="preserve">Following a decision of Government in 2018, all new medicines made available on the LSDP are subject to reviews of usage and financial costs 24 months after listing. </w:t>
      </w:r>
    </w:p>
    <w:p w14:paraId="0CA6CD0C" w14:textId="6F5D96EF" w:rsidR="00BB579F" w:rsidRDefault="00396878" w:rsidP="00191231">
      <w:r w:rsidRPr="00396878">
        <w:rPr>
          <w:noProof/>
          <w:lang w:eastAsia="en-AU"/>
        </w:rPr>
        <w:t>The purpose of these 24-month reviews is to better understand the real-world use of a medicine by comparing the actual performance and use of the medicine to the recommendations and expectations at the time of listing. The reviews assess the clinical benefits achieved through the use of LSDP medicines, ensure the ongoing viability of the program, and ensure testing and access requirements for each medicine remain appropriate. The Expert Panel is responsible for commissioning the reviews and making recommendations to the Chief Medical Officer (CMO).</w:t>
      </w:r>
    </w:p>
    <w:p w14:paraId="7295DCF6" w14:textId="5F4EC9DF" w:rsidR="00396878" w:rsidRPr="00396878" w:rsidRDefault="00396878" w:rsidP="00396878">
      <w:pPr>
        <w:pStyle w:val="ListParagraph"/>
        <w:ind w:left="0"/>
        <w:rPr>
          <w:noProof/>
          <w:lang w:eastAsia="en-AU"/>
        </w:rPr>
      </w:pPr>
      <w:r w:rsidRPr="00396878">
        <w:rPr>
          <w:noProof/>
          <w:lang w:eastAsia="en-AU"/>
        </w:rPr>
        <w:t xml:space="preserve">This review aimed to undertake an </w:t>
      </w:r>
      <w:r w:rsidR="00E82AEB">
        <w:rPr>
          <w:noProof/>
          <w:lang w:eastAsia="en-AU"/>
        </w:rPr>
        <w:t xml:space="preserve">24 month-like review </w:t>
      </w:r>
      <w:r w:rsidRPr="00396878">
        <w:rPr>
          <w:noProof/>
          <w:lang w:eastAsia="en-AU"/>
        </w:rPr>
        <w:t xml:space="preserve">assessment of </w:t>
      </w:r>
      <w:r w:rsidR="00AF788B">
        <w:rPr>
          <w:noProof/>
          <w:lang w:eastAsia="en-AU"/>
        </w:rPr>
        <w:t>elosulfase alfa</w:t>
      </w:r>
      <w:r w:rsidRPr="00396878">
        <w:rPr>
          <w:noProof/>
          <w:lang w:eastAsia="en-AU"/>
        </w:rPr>
        <w:t xml:space="preserve"> for the treatment of </w:t>
      </w:r>
      <w:r w:rsidR="00AF788B">
        <w:rPr>
          <w:noProof/>
          <w:lang w:eastAsia="en-AU"/>
        </w:rPr>
        <w:t>MPS IVA</w:t>
      </w:r>
      <w:r w:rsidRPr="00396878">
        <w:rPr>
          <w:noProof/>
          <w:lang w:eastAsia="en-AU"/>
        </w:rPr>
        <w:t>. This review was considered by the Expert Panel at its October 202</w:t>
      </w:r>
      <w:r w:rsidR="00AF788B">
        <w:rPr>
          <w:noProof/>
          <w:lang w:eastAsia="en-AU"/>
        </w:rPr>
        <w:t>2 and February 2023</w:t>
      </w:r>
      <w:r w:rsidRPr="00396878">
        <w:rPr>
          <w:noProof/>
          <w:lang w:eastAsia="en-AU"/>
        </w:rPr>
        <w:t xml:space="preserve"> meeting</w:t>
      </w:r>
      <w:r w:rsidR="00AF788B">
        <w:rPr>
          <w:noProof/>
          <w:lang w:eastAsia="en-AU"/>
        </w:rPr>
        <w:t>s</w:t>
      </w:r>
      <w:r w:rsidRPr="00396878">
        <w:rPr>
          <w:noProof/>
          <w:lang w:eastAsia="en-AU"/>
        </w:rPr>
        <w:t>.</w:t>
      </w:r>
    </w:p>
    <w:p w14:paraId="63059377" w14:textId="77777777" w:rsidR="00396878" w:rsidRDefault="00396878" w:rsidP="0089010D">
      <w:pPr>
        <w:pStyle w:val="Heading2"/>
        <w:rPr>
          <w:noProof/>
        </w:rPr>
      </w:pPr>
      <w:r>
        <w:rPr>
          <w:noProof/>
        </w:rPr>
        <w:t>Terms of Reference</w:t>
      </w:r>
    </w:p>
    <w:p w14:paraId="67F735B0" w14:textId="77777777" w:rsidR="00396878" w:rsidRDefault="00396878" w:rsidP="00396878">
      <w:pPr>
        <w:rPr>
          <w:lang w:eastAsia="en-AU"/>
        </w:rPr>
      </w:pPr>
      <w:r w:rsidRPr="0034344A">
        <w:rPr>
          <w:lang w:eastAsia="en-AU"/>
        </w:rPr>
        <w:t>Full Terms of Reference (</w:t>
      </w:r>
      <w:proofErr w:type="spellStart"/>
      <w:r w:rsidRPr="0034344A">
        <w:rPr>
          <w:lang w:eastAsia="en-AU"/>
        </w:rPr>
        <w:t>ToR</w:t>
      </w:r>
      <w:proofErr w:type="spellEnd"/>
      <w:r w:rsidRPr="0034344A">
        <w:rPr>
          <w:lang w:eastAsia="en-AU"/>
        </w:rPr>
        <w:t xml:space="preserve">) and protocol questions are at </w:t>
      </w:r>
      <w:r w:rsidRPr="00E82AEB">
        <w:rPr>
          <w:u w:val="single"/>
          <w:lang w:eastAsia="en-AU"/>
        </w:rPr>
        <w:t>Attachment A</w:t>
      </w:r>
      <w:r w:rsidRPr="0034344A">
        <w:rPr>
          <w:lang w:eastAsia="en-AU"/>
        </w:rPr>
        <w:t>.</w:t>
      </w:r>
    </w:p>
    <w:p w14:paraId="11D38BA3" w14:textId="1BA67788" w:rsidR="00396878" w:rsidRPr="0025275A" w:rsidRDefault="00396878" w:rsidP="0089010D">
      <w:pPr>
        <w:pStyle w:val="Heading3"/>
      </w:pPr>
      <w:proofErr w:type="spellStart"/>
      <w:r w:rsidRPr="0025275A">
        <w:t>ToR</w:t>
      </w:r>
      <w:proofErr w:type="spellEnd"/>
      <w:r w:rsidRPr="0025275A">
        <w:t xml:space="preserve"> 1 </w:t>
      </w:r>
      <w:r w:rsidR="003B2A7A">
        <w:t>–</w:t>
      </w:r>
      <w:r w:rsidRPr="0025275A">
        <w:t xml:space="preserve"> Clinical effectiveness and Safety</w:t>
      </w:r>
    </w:p>
    <w:p w14:paraId="30EB23EC" w14:textId="30B0B5AF" w:rsidR="00396878" w:rsidRPr="004C46A2" w:rsidRDefault="00396878" w:rsidP="0089010D">
      <w:pPr>
        <w:rPr>
          <w:rFonts w:cstheme="minorHAnsi"/>
          <w:lang w:eastAsia="en-AU"/>
        </w:rPr>
      </w:pPr>
      <w:r w:rsidRPr="004C46A2">
        <w:rPr>
          <w:rFonts w:cstheme="minorHAnsi"/>
          <w:lang w:eastAsia="en-AU"/>
        </w:rPr>
        <w:t xml:space="preserve">This </w:t>
      </w:r>
      <w:proofErr w:type="spellStart"/>
      <w:r w:rsidRPr="004C46A2">
        <w:rPr>
          <w:rFonts w:cstheme="minorHAnsi"/>
          <w:lang w:eastAsia="en-AU"/>
        </w:rPr>
        <w:t>ToR</w:t>
      </w:r>
      <w:proofErr w:type="spellEnd"/>
      <w:r w:rsidRPr="004C46A2">
        <w:rPr>
          <w:rFonts w:cstheme="minorHAnsi"/>
          <w:lang w:eastAsia="en-AU"/>
        </w:rPr>
        <w:t xml:space="preserve"> aimed to review the available new evidence, including evidence collected through the LSDP and outcomes from studies that were still in progress at, or have been performed since, the time of inclusion of </w:t>
      </w:r>
      <w:r w:rsidR="00191231">
        <w:rPr>
          <w:rFonts w:cstheme="minorHAnsi"/>
          <w:lang w:eastAsia="en-AU"/>
        </w:rPr>
        <w:t>elosulfase alfa</w:t>
      </w:r>
      <w:r w:rsidR="00191231" w:rsidRPr="004C46A2">
        <w:rPr>
          <w:rFonts w:cstheme="minorHAnsi"/>
          <w:lang w:eastAsia="en-AU"/>
        </w:rPr>
        <w:t xml:space="preserve"> </w:t>
      </w:r>
      <w:r w:rsidRPr="004C46A2">
        <w:rPr>
          <w:rFonts w:cstheme="minorHAnsi"/>
          <w:lang w:eastAsia="en-AU"/>
        </w:rPr>
        <w:t xml:space="preserve">on the LSDP, to inform judgements regarding the comparative clinical effectiveness and safety of </w:t>
      </w:r>
      <w:r w:rsidR="00AF788B">
        <w:rPr>
          <w:rFonts w:cstheme="minorHAnsi"/>
          <w:lang w:eastAsia="en-AU"/>
        </w:rPr>
        <w:t>elosulfase alfa</w:t>
      </w:r>
      <w:r w:rsidRPr="004C46A2">
        <w:rPr>
          <w:rFonts w:cstheme="minorHAnsi"/>
          <w:lang w:eastAsia="en-AU"/>
        </w:rPr>
        <w:t>.</w:t>
      </w:r>
      <w:r w:rsidR="0089010D">
        <w:rPr>
          <w:rFonts w:cstheme="minorHAnsi"/>
          <w:lang w:eastAsia="en-AU"/>
        </w:rPr>
        <w:t xml:space="preserve"> </w:t>
      </w:r>
      <w:r w:rsidR="0089010D" w:rsidRPr="0089010D">
        <w:rPr>
          <w:rFonts w:cstheme="minorHAnsi"/>
          <w:lang w:eastAsia="en-AU"/>
        </w:rPr>
        <w:t xml:space="preserve">The new evidence </w:t>
      </w:r>
      <w:r w:rsidR="003B2A7A">
        <w:rPr>
          <w:rFonts w:cstheme="minorHAnsi"/>
          <w:lang w:eastAsia="en-AU"/>
        </w:rPr>
        <w:t>need</w:t>
      </w:r>
      <w:r w:rsidR="00BB1A21">
        <w:rPr>
          <w:rFonts w:cstheme="minorHAnsi"/>
          <w:lang w:eastAsia="en-AU"/>
        </w:rPr>
        <w:t>ed</w:t>
      </w:r>
      <w:r w:rsidR="003B2A7A">
        <w:rPr>
          <w:rFonts w:cstheme="minorHAnsi"/>
          <w:lang w:eastAsia="en-AU"/>
        </w:rPr>
        <w:t xml:space="preserve"> to</w:t>
      </w:r>
      <w:r w:rsidR="003B2A7A" w:rsidRPr="0089010D">
        <w:rPr>
          <w:rFonts w:cstheme="minorHAnsi"/>
          <w:lang w:eastAsia="en-AU"/>
        </w:rPr>
        <w:t xml:space="preserve"> </w:t>
      </w:r>
      <w:r w:rsidR="0089010D" w:rsidRPr="0089010D">
        <w:rPr>
          <w:rFonts w:cstheme="minorHAnsi"/>
          <w:lang w:eastAsia="en-AU"/>
        </w:rPr>
        <w:t xml:space="preserve">be presented in the context of previous evidence considered by the </w:t>
      </w:r>
      <w:r w:rsidR="0089010D">
        <w:rPr>
          <w:rFonts w:cstheme="minorHAnsi"/>
          <w:lang w:eastAsia="en-AU"/>
        </w:rPr>
        <w:t>Pharmaceutical Benefits Advisory Committee (</w:t>
      </w:r>
      <w:r w:rsidR="0089010D" w:rsidRPr="0089010D">
        <w:rPr>
          <w:rFonts w:cstheme="minorHAnsi"/>
          <w:lang w:eastAsia="en-AU"/>
        </w:rPr>
        <w:t>PBAC</w:t>
      </w:r>
      <w:r w:rsidR="0089010D">
        <w:rPr>
          <w:rFonts w:cstheme="minorHAnsi"/>
          <w:lang w:eastAsia="en-AU"/>
        </w:rPr>
        <w:t>)</w:t>
      </w:r>
      <w:r w:rsidR="0089010D" w:rsidRPr="0089010D">
        <w:rPr>
          <w:rFonts w:cstheme="minorHAnsi"/>
          <w:lang w:eastAsia="en-AU"/>
        </w:rPr>
        <w:t xml:space="preserve"> and the </w:t>
      </w:r>
      <w:r w:rsidR="0089010D">
        <w:rPr>
          <w:rFonts w:cstheme="minorHAnsi"/>
          <w:lang w:eastAsia="en-AU"/>
        </w:rPr>
        <w:t>Expert Panel</w:t>
      </w:r>
      <w:r w:rsidR="0089010D" w:rsidRPr="0089010D">
        <w:rPr>
          <w:rFonts w:cstheme="minorHAnsi"/>
          <w:lang w:eastAsia="en-AU"/>
        </w:rPr>
        <w:t xml:space="preserve">. </w:t>
      </w:r>
      <w:r w:rsidRPr="004C46A2">
        <w:rPr>
          <w:rFonts w:cstheme="minorHAnsi"/>
          <w:lang w:eastAsia="en-AU"/>
        </w:rPr>
        <w:t xml:space="preserve"> </w:t>
      </w:r>
    </w:p>
    <w:p w14:paraId="5FE0EF84" w14:textId="1462F5F7" w:rsidR="00396878" w:rsidRPr="00FC1F27" w:rsidRDefault="00396878" w:rsidP="0089010D">
      <w:pPr>
        <w:pStyle w:val="Heading3"/>
      </w:pPr>
      <w:proofErr w:type="spellStart"/>
      <w:r w:rsidRPr="00FC1F27">
        <w:t>ToR</w:t>
      </w:r>
      <w:proofErr w:type="spellEnd"/>
      <w:r w:rsidRPr="00FC1F27">
        <w:t xml:space="preserve"> 2 </w:t>
      </w:r>
      <w:r w:rsidR="003B2A7A">
        <w:t>–</w:t>
      </w:r>
      <w:r w:rsidRPr="00FC1F27">
        <w:t xml:space="preserve"> Test Validity and Utility</w:t>
      </w:r>
    </w:p>
    <w:p w14:paraId="408BA2FE" w14:textId="262E4EC9" w:rsidR="00396878" w:rsidRPr="004C46A2" w:rsidRDefault="00396878" w:rsidP="00396878">
      <w:pPr>
        <w:rPr>
          <w:rFonts w:cstheme="minorHAnsi"/>
          <w:lang w:eastAsia="en-AU"/>
        </w:rPr>
      </w:pPr>
      <w:r w:rsidRPr="004C46A2">
        <w:rPr>
          <w:rFonts w:cstheme="minorHAnsi"/>
          <w:lang w:eastAsia="en-AU"/>
        </w:rPr>
        <w:t xml:space="preserve">This </w:t>
      </w:r>
      <w:proofErr w:type="spellStart"/>
      <w:r w:rsidRPr="004C46A2">
        <w:rPr>
          <w:rFonts w:cstheme="minorHAnsi"/>
          <w:lang w:eastAsia="en-AU"/>
        </w:rPr>
        <w:t>ToR</w:t>
      </w:r>
      <w:proofErr w:type="spellEnd"/>
      <w:r w:rsidRPr="004C46A2">
        <w:rPr>
          <w:rFonts w:cstheme="minorHAnsi"/>
          <w:lang w:eastAsia="en-AU"/>
        </w:rPr>
        <w:t xml:space="preserve"> aimed to review the evidence of the validity and utility of the test to identify patients with </w:t>
      </w:r>
      <w:r w:rsidR="00191231">
        <w:rPr>
          <w:noProof/>
          <w:lang w:eastAsia="en-AU"/>
        </w:rPr>
        <w:t>MPS IVA</w:t>
      </w:r>
      <w:r w:rsidRPr="004C46A2">
        <w:rPr>
          <w:rFonts w:cstheme="minorHAnsi"/>
          <w:lang w:eastAsia="en-AU"/>
        </w:rPr>
        <w:t xml:space="preserve"> disease who are candidates for treatment with </w:t>
      </w:r>
      <w:r w:rsidR="00AF788B">
        <w:rPr>
          <w:rFonts w:cstheme="minorHAnsi"/>
          <w:lang w:eastAsia="en-AU"/>
        </w:rPr>
        <w:t>elosulfase alfa</w:t>
      </w:r>
      <w:r w:rsidRPr="004C46A2">
        <w:rPr>
          <w:rFonts w:cstheme="minorHAnsi"/>
          <w:lang w:eastAsia="en-AU"/>
        </w:rPr>
        <w:t xml:space="preserve">. </w:t>
      </w:r>
    </w:p>
    <w:p w14:paraId="7C24A5ED" w14:textId="5EC97D6D" w:rsidR="00396878" w:rsidRPr="00FC1F27" w:rsidRDefault="00396878" w:rsidP="0089010D">
      <w:pPr>
        <w:pStyle w:val="Heading3"/>
      </w:pPr>
      <w:proofErr w:type="spellStart"/>
      <w:r w:rsidRPr="00FC1F27">
        <w:lastRenderedPageBreak/>
        <w:t>ToR</w:t>
      </w:r>
      <w:proofErr w:type="spellEnd"/>
      <w:r w:rsidRPr="00FC1F27">
        <w:t xml:space="preserve"> 3 </w:t>
      </w:r>
      <w:r w:rsidR="003B2A7A">
        <w:t>–</w:t>
      </w:r>
      <w:r w:rsidRPr="00FC1F27">
        <w:t xml:space="preserve"> Utilisation and Consumer Impact</w:t>
      </w:r>
    </w:p>
    <w:p w14:paraId="437AC700" w14:textId="77777777" w:rsidR="00FC521B" w:rsidRDefault="00396878" w:rsidP="00FC521B">
      <w:pPr>
        <w:rPr>
          <w:rFonts w:cstheme="minorHAnsi"/>
          <w:lang w:eastAsia="en-AU"/>
        </w:rPr>
      </w:pPr>
      <w:r w:rsidRPr="004C46A2">
        <w:rPr>
          <w:rFonts w:cstheme="minorHAnsi"/>
          <w:lang w:eastAsia="en-AU"/>
        </w:rPr>
        <w:t xml:space="preserve">This </w:t>
      </w:r>
      <w:proofErr w:type="spellStart"/>
      <w:r w:rsidRPr="004C46A2">
        <w:rPr>
          <w:rFonts w:cstheme="minorHAnsi"/>
          <w:lang w:eastAsia="en-AU"/>
        </w:rPr>
        <w:t>ToR</w:t>
      </w:r>
      <w:proofErr w:type="spellEnd"/>
      <w:r w:rsidRPr="004C46A2">
        <w:rPr>
          <w:rFonts w:cstheme="minorHAnsi"/>
          <w:lang w:eastAsia="en-AU"/>
        </w:rPr>
        <w:t xml:space="preserve"> aimed to review the utilisation of </w:t>
      </w:r>
      <w:r w:rsidR="00AF788B">
        <w:rPr>
          <w:rFonts w:cstheme="minorHAnsi"/>
          <w:lang w:eastAsia="en-AU"/>
        </w:rPr>
        <w:t>elosulfase alfa</w:t>
      </w:r>
      <w:r w:rsidR="00AF788B" w:rsidRPr="004C46A2">
        <w:rPr>
          <w:rFonts w:cstheme="minorHAnsi"/>
          <w:lang w:eastAsia="en-AU"/>
        </w:rPr>
        <w:t xml:space="preserve"> </w:t>
      </w:r>
      <w:r w:rsidRPr="004C46A2">
        <w:rPr>
          <w:rFonts w:cstheme="minorHAnsi"/>
          <w:lang w:eastAsia="en-AU"/>
        </w:rPr>
        <w:t>on the LSDP and the impact on consumers.</w:t>
      </w:r>
    </w:p>
    <w:p w14:paraId="4E7438E9" w14:textId="162078A2" w:rsidR="00396878" w:rsidRPr="00097816" w:rsidRDefault="00396878" w:rsidP="00FC521B">
      <w:pPr>
        <w:pStyle w:val="Heading3"/>
        <w:rPr>
          <w:noProof/>
          <w:lang w:eastAsia="en-AU"/>
        </w:rPr>
      </w:pPr>
      <w:r w:rsidRPr="00097816">
        <w:rPr>
          <w:noProof/>
          <w:lang w:eastAsia="en-AU"/>
        </w:rPr>
        <w:t xml:space="preserve">ToR 4 </w:t>
      </w:r>
      <w:r w:rsidR="003B2A7A">
        <w:rPr>
          <w:noProof/>
          <w:lang w:eastAsia="en-AU"/>
        </w:rPr>
        <w:t>–</w:t>
      </w:r>
      <w:r w:rsidRPr="00097816">
        <w:rPr>
          <w:noProof/>
          <w:lang w:eastAsia="en-AU"/>
        </w:rPr>
        <w:t xml:space="preserve"> Financial Impact</w:t>
      </w:r>
    </w:p>
    <w:p w14:paraId="5D2CA376" w14:textId="6A3C062A" w:rsidR="00396878" w:rsidRPr="004C46A2" w:rsidRDefault="00396878" w:rsidP="00396878">
      <w:pPr>
        <w:rPr>
          <w:rFonts w:cstheme="minorHAnsi"/>
          <w:lang w:eastAsia="en-AU"/>
        </w:rPr>
      </w:pPr>
      <w:r w:rsidRPr="004C46A2">
        <w:rPr>
          <w:rFonts w:cstheme="minorHAnsi"/>
          <w:lang w:eastAsia="en-AU"/>
        </w:rPr>
        <w:t xml:space="preserve">This </w:t>
      </w:r>
      <w:proofErr w:type="spellStart"/>
      <w:r w:rsidRPr="004C46A2">
        <w:rPr>
          <w:rFonts w:cstheme="minorHAnsi"/>
          <w:lang w:eastAsia="en-AU"/>
        </w:rPr>
        <w:t>ToR</w:t>
      </w:r>
      <w:proofErr w:type="spellEnd"/>
      <w:r w:rsidRPr="004C46A2">
        <w:rPr>
          <w:rFonts w:cstheme="minorHAnsi"/>
          <w:lang w:eastAsia="en-AU"/>
        </w:rPr>
        <w:t xml:space="preserve"> aimed to review the value for money of </w:t>
      </w:r>
      <w:r w:rsidR="00AF788B">
        <w:rPr>
          <w:rFonts w:cstheme="minorHAnsi"/>
          <w:lang w:eastAsia="en-AU"/>
        </w:rPr>
        <w:t>elosulfase alfa</w:t>
      </w:r>
      <w:r w:rsidR="00AF788B" w:rsidRPr="004C46A2">
        <w:rPr>
          <w:rFonts w:cstheme="minorHAnsi"/>
          <w:lang w:eastAsia="en-AU"/>
        </w:rPr>
        <w:t xml:space="preserve"> </w:t>
      </w:r>
      <w:r w:rsidRPr="004C46A2">
        <w:rPr>
          <w:rFonts w:cstheme="minorHAnsi"/>
          <w:lang w:eastAsia="en-AU"/>
        </w:rPr>
        <w:t>under the current funding arrangements</w:t>
      </w:r>
      <w:r w:rsidR="00195DB8">
        <w:rPr>
          <w:rFonts w:cstheme="minorHAnsi"/>
          <w:lang w:eastAsia="en-AU"/>
        </w:rPr>
        <w:t xml:space="preserve"> </w:t>
      </w:r>
      <w:r w:rsidRPr="004C46A2">
        <w:rPr>
          <w:rFonts w:cstheme="minorHAnsi"/>
          <w:lang w:eastAsia="en-AU"/>
        </w:rPr>
        <w:t xml:space="preserve">and future implications of the current listing of </w:t>
      </w:r>
      <w:r w:rsidR="00AF788B">
        <w:rPr>
          <w:rFonts w:cstheme="minorHAnsi"/>
          <w:lang w:eastAsia="en-AU"/>
        </w:rPr>
        <w:t>elosulfase alfa</w:t>
      </w:r>
      <w:r w:rsidR="00AF788B" w:rsidRPr="004C46A2">
        <w:rPr>
          <w:rFonts w:cstheme="minorHAnsi"/>
          <w:lang w:eastAsia="en-AU"/>
        </w:rPr>
        <w:t xml:space="preserve"> </w:t>
      </w:r>
      <w:r w:rsidRPr="004C46A2">
        <w:rPr>
          <w:rFonts w:cstheme="minorHAnsi"/>
          <w:lang w:eastAsia="en-AU"/>
        </w:rPr>
        <w:t>on the LSDP.</w:t>
      </w:r>
    </w:p>
    <w:p w14:paraId="1BB8F753" w14:textId="77777777" w:rsidR="00396878" w:rsidRDefault="00396878" w:rsidP="0089010D">
      <w:pPr>
        <w:pStyle w:val="Heading2"/>
        <w:rPr>
          <w:rFonts w:eastAsiaTheme="majorEastAsia"/>
        </w:rPr>
      </w:pPr>
      <w:r w:rsidRPr="00FC1F27">
        <w:rPr>
          <w:rFonts w:eastAsiaTheme="majorEastAsia"/>
        </w:rPr>
        <w:t>Main issues for consideration</w:t>
      </w:r>
    </w:p>
    <w:p w14:paraId="21F4F70F" w14:textId="78EB53FB" w:rsidR="00396878" w:rsidRDefault="00396878" w:rsidP="0089010D">
      <w:pPr>
        <w:pStyle w:val="Heading3"/>
      </w:pPr>
      <w:proofErr w:type="spellStart"/>
      <w:r w:rsidRPr="00FC1F27">
        <w:t>ToR</w:t>
      </w:r>
      <w:proofErr w:type="spellEnd"/>
      <w:r w:rsidRPr="00FC1F27">
        <w:t xml:space="preserve"> 1 </w:t>
      </w:r>
      <w:r w:rsidR="003B2A7A">
        <w:t>–</w:t>
      </w:r>
      <w:r w:rsidRPr="00FC1F27">
        <w:t xml:space="preserve"> Clinical Effectiveness and Safety</w:t>
      </w:r>
    </w:p>
    <w:p w14:paraId="3871A7E2" w14:textId="1AFD3EB2" w:rsidR="0089010D" w:rsidRPr="00A82939" w:rsidRDefault="0089010D" w:rsidP="0089010D">
      <w:pPr>
        <w:rPr>
          <w:rFonts w:cs="Arial"/>
        </w:rPr>
      </w:pPr>
      <w:r>
        <w:rPr>
          <w:rFonts w:cs="Arial"/>
        </w:rPr>
        <w:t>At the time of the review t</w:t>
      </w:r>
      <w:r w:rsidRPr="00A82939">
        <w:rPr>
          <w:rFonts w:cs="Arial"/>
        </w:rPr>
        <w:t xml:space="preserve">here </w:t>
      </w:r>
      <w:r>
        <w:rPr>
          <w:rFonts w:cs="Arial"/>
        </w:rPr>
        <w:t>were</w:t>
      </w:r>
      <w:r w:rsidRPr="00A82939">
        <w:rPr>
          <w:rFonts w:cs="Arial"/>
        </w:rPr>
        <w:t xml:space="preserve"> </w:t>
      </w:r>
      <w:r w:rsidRPr="0089010D">
        <w:rPr>
          <w:rFonts w:cs="Arial"/>
          <w:highlight w:val="black"/>
        </w:rPr>
        <w:t>XX</w:t>
      </w:r>
      <w:r w:rsidRPr="00A82939">
        <w:rPr>
          <w:rFonts w:cs="Arial"/>
        </w:rPr>
        <w:t xml:space="preserve"> patients registered </w:t>
      </w:r>
      <w:r>
        <w:rPr>
          <w:rFonts w:cs="Arial"/>
        </w:rPr>
        <w:t xml:space="preserve">for treatment with elosulfase alfa </w:t>
      </w:r>
      <w:r w:rsidRPr="00A82939">
        <w:rPr>
          <w:rFonts w:cs="Arial"/>
        </w:rPr>
        <w:t xml:space="preserve">on the LSDP of whom </w:t>
      </w:r>
      <w:r w:rsidR="00EF5BF5" w:rsidRPr="00EF5BF5">
        <w:rPr>
          <w:rFonts w:cs="Arial"/>
          <w:highlight w:val="black"/>
        </w:rPr>
        <w:t>XX</w:t>
      </w:r>
      <w:r w:rsidR="00EF5BF5">
        <w:rPr>
          <w:rFonts w:cs="Arial"/>
        </w:rPr>
        <w:t xml:space="preserve"> </w:t>
      </w:r>
      <w:r>
        <w:rPr>
          <w:rFonts w:cs="Arial"/>
        </w:rPr>
        <w:t>had ever</w:t>
      </w:r>
      <w:r w:rsidRPr="00A82939">
        <w:rPr>
          <w:rFonts w:cs="Arial"/>
        </w:rPr>
        <w:t xml:space="preserve"> received elosulfase alfa, and </w:t>
      </w:r>
      <w:r>
        <w:rPr>
          <w:rFonts w:cs="Arial"/>
        </w:rPr>
        <w:t xml:space="preserve">with </w:t>
      </w:r>
      <w:r w:rsidR="00EF5BF5" w:rsidRPr="00EF5BF5">
        <w:rPr>
          <w:rFonts w:cs="Arial"/>
          <w:highlight w:val="black"/>
        </w:rPr>
        <w:t>XX</w:t>
      </w:r>
      <w:r w:rsidR="00EF5BF5">
        <w:rPr>
          <w:rFonts w:cs="Arial"/>
        </w:rPr>
        <w:t xml:space="preserve"> </w:t>
      </w:r>
      <w:r>
        <w:rPr>
          <w:rFonts w:cs="Arial"/>
        </w:rPr>
        <w:t>actively receiving treatment with</w:t>
      </w:r>
      <w:r w:rsidRPr="00A82939">
        <w:rPr>
          <w:rFonts w:cs="Arial"/>
        </w:rPr>
        <w:t xml:space="preserve"> elosulfase alfa. The median time on treatment </w:t>
      </w:r>
      <w:r>
        <w:rPr>
          <w:rFonts w:cs="Arial"/>
        </w:rPr>
        <w:t>wa</w:t>
      </w:r>
      <w:r w:rsidRPr="00A82939">
        <w:rPr>
          <w:rFonts w:cs="Arial"/>
        </w:rPr>
        <w:t xml:space="preserve">s 4.6 years. Treatment </w:t>
      </w:r>
      <w:r>
        <w:rPr>
          <w:rFonts w:cs="Arial"/>
        </w:rPr>
        <w:t>wa</w:t>
      </w:r>
      <w:r w:rsidRPr="00A82939">
        <w:rPr>
          <w:rFonts w:cs="Arial"/>
        </w:rPr>
        <w:t xml:space="preserve">s not ongoing in </w:t>
      </w:r>
      <w:r w:rsidR="00956A78" w:rsidRPr="00956A78">
        <w:rPr>
          <w:rFonts w:cs="Arial"/>
          <w:highlight w:val="black"/>
        </w:rPr>
        <w:t>XXX</w:t>
      </w:r>
      <w:r w:rsidRPr="00A82939">
        <w:rPr>
          <w:rFonts w:cs="Arial"/>
        </w:rPr>
        <w:t xml:space="preserve"> patient</w:t>
      </w:r>
      <w:r w:rsidR="00956A78">
        <w:rPr>
          <w:rFonts w:cs="Arial"/>
        </w:rPr>
        <w:t>s</w:t>
      </w:r>
      <w:r w:rsidRPr="00A82939">
        <w:rPr>
          <w:rFonts w:cs="Arial"/>
        </w:rPr>
        <w:t xml:space="preserve"> due to death and </w:t>
      </w:r>
      <w:r w:rsidR="00956A78" w:rsidRPr="00956A78">
        <w:rPr>
          <w:rFonts w:cs="Arial"/>
          <w:highlight w:val="black"/>
        </w:rPr>
        <w:t>XX</w:t>
      </w:r>
      <w:r w:rsidRPr="00A82939">
        <w:rPr>
          <w:rFonts w:cs="Arial"/>
        </w:rPr>
        <w:t xml:space="preserve"> patients due to family choice.</w:t>
      </w:r>
      <w:r>
        <w:rPr>
          <w:rFonts w:cs="Arial"/>
        </w:rPr>
        <w:t xml:space="preserve"> </w:t>
      </w:r>
      <w:r w:rsidR="00956A78" w:rsidRPr="00956A78">
        <w:rPr>
          <w:rFonts w:cs="Arial"/>
          <w:highlight w:val="black"/>
        </w:rPr>
        <w:t>XXX</w:t>
      </w:r>
      <w:r>
        <w:rPr>
          <w:rFonts w:cs="Arial"/>
        </w:rPr>
        <w:t xml:space="preserve"> patient</w:t>
      </w:r>
      <w:r w:rsidR="00956A78">
        <w:rPr>
          <w:rFonts w:cs="Arial"/>
        </w:rPr>
        <w:t>s</w:t>
      </w:r>
      <w:r>
        <w:rPr>
          <w:rFonts w:cs="Arial"/>
        </w:rPr>
        <w:t xml:space="preserve"> </w:t>
      </w:r>
      <w:r w:rsidR="003B2A7A">
        <w:rPr>
          <w:rFonts w:cs="Arial"/>
        </w:rPr>
        <w:t xml:space="preserve">applied to the program but </w:t>
      </w:r>
      <w:r>
        <w:rPr>
          <w:rFonts w:cs="Arial"/>
        </w:rPr>
        <w:t xml:space="preserve">never commenced treatment. </w:t>
      </w:r>
    </w:p>
    <w:p w14:paraId="7B425C45" w14:textId="77777777" w:rsidR="0089010D" w:rsidRDefault="0089010D" w:rsidP="0089010D">
      <w:pPr>
        <w:rPr>
          <w:rFonts w:cs="Arial"/>
        </w:rPr>
      </w:pPr>
      <w:r w:rsidRPr="00A82939">
        <w:rPr>
          <w:rFonts w:cs="Arial"/>
        </w:rPr>
        <w:t xml:space="preserve">There were few patients with missing doses, and doses were missed primarily due to family illness or travel. Data on the expected versus actual supply </w:t>
      </w:r>
      <w:r>
        <w:rPr>
          <w:rFonts w:cs="Arial"/>
        </w:rPr>
        <w:t>are</w:t>
      </w:r>
      <w:r w:rsidRPr="00A82939">
        <w:rPr>
          <w:rFonts w:cs="Arial"/>
        </w:rPr>
        <w:t xml:space="preserve"> not available in the LSDP, and as such analysis of the timing of interrupted treatment or its impact </w:t>
      </w:r>
      <w:r>
        <w:rPr>
          <w:rFonts w:cs="Arial"/>
        </w:rPr>
        <w:t>wa</w:t>
      </w:r>
      <w:r w:rsidRPr="00A82939">
        <w:rPr>
          <w:rFonts w:cs="Arial"/>
        </w:rPr>
        <w:t>s not possible.</w:t>
      </w:r>
    </w:p>
    <w:p w14:paraId="3BDAB4BC" w14:textId="77777777" w:rsidR="0089010D" w:rsidRDefault="0089010D" w:rsidP="0089010D">
      <w:pPr>
        <w:rPr>
          <w:rFonts w:cs="Arial"/>
        </w:rPr>
      </w:pPr>
      <w:r w:rsidRPr="00D605F5">
        <w:rPr>
          <w:rFonts w:cs="Arial"/>
        </w:rPr>
        <w:t xml:space="preserve">The clinical effectiveness of elosulfase alfa is assessed using the </w:t>
      </w:r>
      <w:proofErr w:type="gramStart"/>
      <w:r w:rsidRPr="00D605F5">
        <w:rPr>
          <w:rFonts w:cs="Arial"/>
        </w:rPr>
        <w:t>6 minute</w:t>
      </w:r>
      <w:proofErr w:type="gramEnd"/>
      <w:r w:rsidRPr="00D605F5">
        <w:rPr>
          <w:rFonts w:cs="Arial"/>
        </w:rPr>
        <w:t xml:space="preserve"> walk test (6MWT), forced vital capacity (FVC), forced expiratory volume in 1 second (FEV1), urinary keratan </w:t>
      </w:r>
      <w:proofErr w:type="spellStart"/>
      <w:r w:rsidRPr="00D605F5">
        <w:rPr>
          <w:rFonts w:cs="Arial"/>
        </w:rPr>
        <w:t>sulfate</w:t>
      </w:r>
      <w:proofErr w:type="spellEnd"/>
      <w:r w:rsidRPr="00D605F5">
        <w:rPr>
          <w:rFonts w:cs="Arial"/>
        </w:rPr>
        <w:t xml:space="preserve"> (</w:t>
      </w:r>
      <w:proofErr w:type="spellStart"/>
      <w:r w:rsidRPr="00D605F5">
        <w:rPr>
          <w:rFonts w:cs="Arial"/>
        </w:rPr>
        <w:t>uKS</w:t>
      </w:r>
      <w:proofErr w:type="spellEnd"/>
      <w:r w:rsidRPr="00D605F5">
        <w:rPr>
          <w:rFonts w:cs="Arial"/>
        </w:rPr>
        <w:t xml:space="preserve">) and left ventricular ejection fraction (LVEF). While the use of these parameters </w:t>
      </w:r>
      <w:r>
        <w:rPr>
          <w:rFonts w:cs="Arial"/>
        </w:rPr>
        <w:t>wa</w:t>
      </w:r>
      <w:r w:rsidRPr="00D605F5">
        <w:rPr>
          <w:rFonts w:cs="Arial"/>
        </w:rPr>
        <w:t xml:space="preserve">s supported by the literature, clinician and consumer consultation suggested that these methods, while objective, may not be the best methods for determining efficacy as they do not take a holistic approach to </w:t>
      </w:r>
      <w:r>
        <w:rPr>
          <w:rFonts w:cs="Arial"/>
        </w:rPr>
        <w:t xml:space="preserve">assessing </w:t>
      </w:r>
      <w:r w:rsidRPr="00D605F5">
        <w:rPr>
          <w:rFonts w:cs="Arial"/>
        </w:rPr>
        <w:t>effectiveness.</w:t>
      </w:r>
      <w:r>
        <w:rPr>
          <w:rFonts w:cs="Arial"/>
        </w:rPr>
        <w:t xml:space="preserve"> </w:t>
      </w:r>
    </w:p>
    <w:p w14:paraId="505458E7" w14:textId="73DC1800" w:rsidR="0089010D" w:rsidRDefault="0089010D" w:rsidP="0089010D">
      <w:r>
        <w:rPr>
          <w:rFonts w:cstheme="minorHAnsi"/>
        </w:rPr>
        <w:t>In the studies considered in the literature review, in general, improvements in the 6MWT were modest, and were significant in some but not all patients. Only minimal changes in FVC and FEV</w:t>
      </w:r>
      <w:r>
        <w:rPr>
          <w:rFonts w:cstheme="minorHAnsi"/>
          <w:vertAlign w:val="subscript"/>
        </w:rPr>
        <w:t>1</w:t>
      </w:r>
      <w:r>
        <w:rPr>
          <w:rFonts w:cstheme="minorHAnsi"/>
        </w:rPr>
        <w:t xml:space="preserve"> were observed. There were significant reductions in </w:t>
      </w:r>
      <w:proofErr w:type="spellStart"/>
      <w:r>
        <w:rPr>
          <w:rFonts w:cstheme="minorHAnsi"/>
        </w:rPr>
        <w:t>uKS</w:t>
      </w:r>
      <w:proofErr w:type="spellEnd"/>
      <w:r>
        <w:rPr>
          <w:rFonts w:cstheme="minorHAnsi"/>
        </w:rPr>
        <w:t xml:space="preserve"> following </w:t>
      </w:r>
      <w:proofErr w:type="spellStart"/>
      <w:r>
        <w:rPr>
          <w:rFonts w:cstheme="minorHAnsi"/>
        </w:rPr>
        <w:t>elosulfase</w:t>
      </w:r>
      <w:proofErr w:type="spellEnd"/>
      <w:r>
        <w:rPr>
          <w:rFonts w:cstheme="minorHAnsi"/>
        </w:rPr>
        <w:t xml:space="preserve"> alfa commencement, and LVEF appear</w:t>
      </w:r>
      <w:r w:rsidR="003B2A7A">
        <w:rPr>
          <w:rFonts w:cstheme="minorHAnsi"/>
        </w:rPr>
        <w:t>ed</w:t>
      </w:r>
      <w:r>
        <w:rPr>
          <w:rFonts w:cstheme="minorHAnsi"/>
        </w:rPr>
        <w:t xml:space="preserve"> to be maintained. Quality of life appeared to improve following elosulfase alfa commencement, particularly in the mobility and self-care domains.</w:t>
      </w:r>
    </w:p>
    <w:p w14:paraId="4EE37022" w14:textId="3DE35ED6" w:rsidR="0089010D" w:rsidRDefault="0089010D" w:rsidP="0089010D">
      <w:pPr>
        <w:rPr>
          <w:rFonts w:cstheme="minorHAnsi"/>
        </w:rPr>
      </w:pPr>
      <w:r>
        <w:rPr>
          <w:rFonts w:cstheme="minorHAnsi"/>
        </w:rPr>
        <w:t xml:space="preserve">For LSDP patients, there was significant heterogeneity in 6MWT results. Of the </w:t>
      </w:r>
      <w:r w:rsidR="00956A78" w:rsidRPr="00956A78">
        <w:rPr>
          <w:rFonts w:cstheme="minorHAnsi"/>
          <w:highlight w:val="black"/>
        </w:rPr>
        <w:t>XX</w:t>
      </w:r>
      <w:r>
        <w:rPr>
          <w:rFonts w:cstheme="minorHAnsi"/>
        </w:rPr>
        <w:t xml:space="preserve"> patients with available data, </w:t>
      </w:r>
      <w:r w:rsidR="00956A78" w:rsidRPr="00956A78">
        <w:rPr>
          <w:rFonts w:cstheme="minorHAnsi"/>
          <w:highlight w:val="black"/>
        </w:rPr>
        <w:t>XX</w:t>
      </w:r>
      <w:r>
        <w:rPr>
          <w:rFonts w:cstheme="minorHAnsi"/>
        </w:rPr>
        <w:t xml:space="preserve"> had improvements in their 6MWT distance. The majority had stabilisation or improvements in FVC and FEV</w:t>
      </w:r>
      <w:r>
        <w:rPr>
          <w:rFonts w:cstheme="minorHAnsi"/>
          <w:vertAlign w:val="subscript"/>
        </w:rPr>
        <w:t>1</w:t>
      </w:r>
      <w:r>
        <w:rPr>
          <w:rFonts w:cstheme="minorHAnsi"/>
        </w:rPr>
        <w:t xml:space="preserve">. Of the </w:t>
      </w:r>
      <w:r w:rsidR="00956A78" w:rsidRPr="00956A78">
        <w:rPr>
          <w:rFonts w:cstheme="minorHAnsi"/>
          <w:highlight w:val="black"/>
        </w:rPr>
        <w:t>XX</w:t>
      </w:r>
      <w:r>
        <w:rPr>
          <w:rFonts w:cstheme="minorHAnsi"/>
        </w:rPr>
        <w:t xml:space="preserve"> patients with </w:t>
      </w:r>
      <w:proofErr w:type="spellStart"/>
      <w:r>
        <w:rPr>
          <w:rFonts w:cstheme="minorHAnsi"/>
        </w:rPr>
        <w:t>uKS</w:t>
      </w:r>
      <w:proofErr w:type="spellEnd"/>
      <w:r>
        <w:rPr>
          <w:rFonts w:cstheme="minorHAnsi"/>
        </w:rPr>
        <w:t xml:space="preserve"> data, </w:t>
      </w:r>
      <w:r w:rsidR="00956A78" w:rsidRPr="00956A78">
        <w:rPr>
          <w:rFonts w:cstheme="minorHAnsi"/>
          <w:highlight w:val="black"/>
        </w:rPr>
        <w:t>XXX</w:t>
      </w:r>
      <w:r>
        <w:rPr>
          <w:rFonts w:cstheme="minorHAnsi"/>
        </w:rPr>
        <w:t xml:space="preserve"> had either a stabilisation or a marked improvement in </w:t>
      </w:r>
      <w:proofErr w:type="spellStart"/>
      <w:r>
        <w:rPr>
          <w:rFonts w:cstheme="minorHAnsi"/>
        </w:rPr>
        <w:t>uKS</w:t>
      </w:r>
      <w:proofErr w:type="spellEnd"/>
      <w:r>
        <w:rPr>
          <w:rFonts w:cstheme="minorHAnsi"/>
        </w:rPr>
        <w:t xml:space="preserve">. </w:t>
      </w:r>
      <w:r w:rsidRPr="00FD446D">
        <w:rPr>
          <w:rFonts w:cstheme="minorHAnsi"/>
        </w:rPr>
        <w:t>There were improvements in LVEF in half of the patients enrolled on the LSDP. Those with reductions tended to have &lt;10% change in LVEF</w:t>
      </w:r>
      <w:r>
        <w:rPr>
          <w:rFonts w:cstheme="minorHAnsi"/>
        </w:rPr>
        <w:t>.</w:t>
      </w:r>
      <w:r w:rsidRPr="00FD446D">
        <w:rPr>
          <w:rFonts w:cstheme="minorHAnsi"/>
        </w:rPr>
        <w:t xml:space="preserve"> </w:t>
      </w:r>
    </w:p>
    <w:p w14:paraId="06519681" w14:textId="420A7265" w:rsidR="0089010D" w:rsidRDefault="0089010D" w:rsidP="0089010D">
      <w:pPr>
        <w:rPr>
          <w:rFonts w:cstheme="minorHAnsi"/>
        </w:rPr>
      </w:pPr>
      <w:r>
        <w:rPr>
          <w:rFonts w:cstheme="minorHAnsi"/>
        </w:rPr>
        <w:t xml:space="preserve">In terms of survival and quality of life, </w:t>
      </w:r>
      <w:r w:rsidR="00956A78" w:rsidRPr="00956A78">
        <w:rPr>
          <w:rFonts w:cstheme="minorHAnsi"/>
          <w:highlight w:val="black"/>
        </w:rPr>
        <w:t>XX</w:t>
      </w:r>
      <w:r>
        <w:rPr>
          <w:rFonts w:cstheme="minorHAnsi"/>
        </w:rPr>
        <w:t xml:space="preserve"> LSDP patient</w:t>
      </w:r>
      <w:r w:rsidR="00956A78">
        <w:rPr>
          <w:rFonts w:cstheme="minorHAnsi"/>
        </w:rPr>
        <w:t>s</w:t>
      </w:r>
      <w:r>
        <w:rPr>
          <w:rFonts w:cstheme="minorHAnsi"/>
        </w:rPr>
        <w:t xml:space="preserve"> </w:t>
      </w:r>
      <w:r w:rsidR="00956A78">
        <w:rPr>
          <w:rFonts w:cstheme="minorHAnsi"/>
        </w:rPr>
        <w:t>have</w:t>
      </w:r>
      <w:r>
        <w:rPr>
          <w:rFonts w:cstheme="minorHAnsi"/>
        </w:rPr>
        <w:t xml:space="preserve"> died. Significant improvements in mobility and MPS-HAQ were reported in the non-randomised MOR-005 study. No </w:t>
      </w:r>
      <w:proofErr w:type="gramStart"/>
      <w:r>
        <w:rPr>
          <w:rFonts w:cstheme="minorHAnsi"/>
        </w:rPr>
        <w:t>quality of life</w:t>
      </w:r>
      <w:proofErr w:type="gramEnd"/>
      <w:r>
        <w:rPr>
          <w:rFonts w:cstheme="minorHAnsi"/>
        </w:rPr>
        <w:t xml:space="preserve"> data are collected from patients enrolled in the LSDP.</w:t>
      </w:r>
    </w:p>
    <w:p w14:paraId="030797A7" w14:textId="5D91A565" w:rsidR="0089010D" w:rsidRDefault="0089010D" w:rsidP="0089010D">
      <w:pPr>
        <w:rPr>
          <w:rFonts w:cstheme="minorHAnsi"/>
        </w:rPr>
      </w:pPr>
      <w:proofErr w:type="gramStart"/>
      <w:r>
        <w:rPr>
          <w:rFonts w:cstheme="minorHAnsi"/>
        </w:rPr>
        <w:t>The majority of</w:t>
      </w:r>
      <w:proofErr w:type="gramEnd"/>
      <w:r>
        <w:rPr>
          <w:rFonts w:cstheme="minorHAnsi"/>
        </w:rPr>
        <w:t xml:space="preserve"> patients experienced one or more adverse events, and hypersensitivity and infusion related reactions are common. </w:t>
      </w:r>
      <w:r w:rsidR="003B2A7A">
        <w:rPr>
          <w:rFonts w:cstheme="minorHAnsi"/>
        </w:rPr>
        <w:t>C</w:t>
      </w:r>
      <w:r>
        <w:rPr>
          <w:rFonts w:cstheme="minorHAnsi"/>
        </w:rPr>
        <w:t>linicians and patients reported that</w:t>
      </w:r>
      <w:r w:rsidR="003B2A7A">
        <w:rPr>
          <w:rFonts w:cstheme="minorHAnsi"/>
        </w:rPr>
        <w:t>, although frequent,</w:t>
      </w:r>
      <w:r>
        <w:rPr>
          <w:rFonts w:cstheme="minorHAnsi"/>
        </w:rPr>
        <w:t xml:space="preserve"> these were usually easy to manage.  </w:t>
      </w:r>
    </w:p>
    <w:p w14:paraId="5D69F082" w14:textId="596A6A49" w:rsidR="00396878" w:rsidRPr="00FC1F27" w:rsidRDefault="00396878" w:rsidP="001143E5">
      <w:pPr>
        <w:pStyle w:val="Heading3"/>
      </w:pPr>
      <w:proofErr w:type="spellStart"/>
      <w:r w:rsidRPr="00FC1F27">
        <w:lastRenderedPageBreak/>
        <w:t>ToR</w:t>
      </w:r>
      <w:proofErr w:type="spellEnd"/>
      <w:r w:rsidRPr="00FC1F27">
        <w:t xml:space="preserve"> 2</w:t>
      </w:r>
      <w:r w:rsidR="00912693">
        <w:t xml:space="preserve"> – Test Validity and Utility</w:t>
      </w:r>
    </w:p>
    <w:p w14:paraId="3D6BE94C" w14:textId="6E87C487" w:rsidR="001143E5" w:rsidRPr="00D605F5" w:rsidRDefault="001143E5" w:rsidP="001143E5">
      <w:pPr>
        <w:keepNext/>
        <w:rPr>
          <w:rFonts w:cs="Arial"/>
        </w:rPr>
      </w:pPr>
      <w:r w:rsidRPr="00D605F5">
        <w:rPr>
          <w:rFonts w:cs="Arial"/>
        </w:rPr>
        <w:t xml:space="preserve">A diagnosis of MPS IVA disease is based on elevated </w:t>
      </w:r>
      <w:proofErr w:type="spellStart"/>
      <w:r w:rsidRPr="00D605F5">
        <w:rPr>
          <w:rFonts w:cs="Arial"/>
        </w:rPr>
        <w:t>uKS</w:t>
      </w:r>
      <w:proofErr w:type="spellEnd"/>
      <w:r w:rsidRPr="00D605F5">
        <w:rPr>
          <w:rFonts w:cs="Arial"/>
        </w:rPr>
        <w:t>, a deficiency in N</w:t>
      </w:r>
      <w:r w:rsidR="003B2A7A">
        <w:rPr>
          <w:rFonts w:cs="Arial"/>
        </w:rPr>
        <w:noBreakHyphen/>
      </w:r>
      <w:r w:rsidRPr="00D605F5">
        <w:rPr>
          <w:rFonts w:cs="Arial"/>
        </w:rPr>
        <w:t xml:space="preserve">acetylgalactosamine-6-sulfatase (GALNS) in white blood cells or skin fibroblasts and/or identification of </w:t>
      </w:r>
      <w:r>
        <w:rPr>
          <w:rFonts w:cs="Arial"/>
        </w:rPr>
        <w:t>2</w:t>
      </w:r>
      <w:r w:rsidRPr="00D605F5">
        <w:rPr>
          <w:rFonts w:cs="Arial"/>
        </w:rPr>
        <w:t xml:space="preserve"> pathogenic mutations in the </w:t>
      </w:r>
      <w:r w:rsidRPr="00D605F5">
        <w:rPr>
          <w:rFonts w:cs="Arial"/>
          <w:i/>
          <w:iCs/>
        </w:rPr>
        <w:t>GALNS</w:t>
      </w:r>
      <w:r w:rsidRPr="00D605F5">
        <w:rPr>
          <w:rFonts w:cs="Arial"/>
        </w:rPr>
        <w:t xml:space="preserve"> gene.</w:t>
      </w:r>
    </w:p>
    <w:p w14:paraId="6FE1EFEF" w14:textId="77777777" w:rsidR="001143E5" w:rsidRDefault="001143E5" w:rsidP="001143E5">
      <w:pPr>
        <w:rPr>
          <w:rFonts w:cstheme="minorHAnsi"/>
        </w:rPr>
      </w:pPr>
      <w:r>
        <w:rPr>
          <w:rFonts w:cstheme="minorHAnsi"/>
        </w:rPr>
        <w:t xml:space="preserve">Initial treatment with elosulfase alfa may commence based on elevated </w:t>
      </w:r>
      <w:proofErr w:type="spellStart"/>
      <w:r>
        <w:rPr>
          <w:rFonts w:cstheme="minorHAnsi"/>
        </w:rPr>
        <w:t>uKS</w:t>
      </w:r>
      <w:proofErr w:type="spellEnd"/>
      <w:r>
        <w:rPr>
          <w:rFonts w:cstheme="minorHAnsi"/>
        </w:rPr>
        <w:t xml:space="preserve"> and deficiency of GALNS, however, g</w:t>
      </w:r>
      <w:r w:rsidRPr="001F4623">
        <w:rPr>
          <w:rFonts w:cstheme="minorHAnsi"/>
        </w:rPr>
        <w:t xml:space="preserve">enetic testing for mutations in the </w:t>
      </w:r>
      <w:r w:rsidRPr="00D7329B">
        <w:rPr>
          <w:rFonts w:cstheme="minorHAnsi"/>
          <w:i/>
          <w:iCs/>
        </w:rPr>
        <w:t>GALNS</w:t>
      </w:r>
      <w:r w:rsidRPr="001F4623">
        <w:rPr>
          <w:rFonts w:cstheme="minorHAnsi"/>
        </w:rPr>
        <w:t xml:space="preserve"> gene is to be performed in a NATA</w:t>
      </w:r>
      <w:r>
        <w:rPr>
          <w:rFonts w:cstheme="minorHAnsi"/>
        </w:rPr>
        <w:noBreakHyphen/>
      </w:r>
      <w:r w:rsidRPr="001F4623">
        <w:rPr>
          <w:rFonts w:cstheme="minorHAnsi"/>
        </w:rPr>
        <w:t>accredited laboratory for confirmation of diagnosis of MPS IVA within 6 months of commencement of acceptance into the program, with the results reported to the LSDP.</w:t>
      </w:r>
    </w:p>
    <w:p w14:paraId="49BE902C" w14:textId="77777777" w:rsidR="001143E5" w:rsidRDefault="001143E5" w:rsidP="001143E5">
      <w:pPr>
        <w:rPr>
          <w:rFonts w:cstheme="minorHAnsi"/>
        </w:rPr>
      </w:pPr>
      <w:r>
        <w:rPr>
          <w:rFonts w:cstheme="minorHAnsi"/>
        </w:rPr>
        <w:t xml:space="preserve">Diagnosis of MPS IVA can be challenging, and diagnostic delay and misdiagnosis is common. Not all patients have 2 identifiable pathogenic variants, and novel mutations are common. </w:t>
      </w:r>
    </w:p>
    <w:p w14:paraId="2EADB4A3" w14:textId="3679C6B1" w:rsidR="001143E5" w:rsidRDefault="001143E5" w:rsidP="001143E5">
      <w:pPr>
        <w:rPr>
          <w:rFonts w:cstheme="minorHAnsi"/>
        </w:rPr>
      </w:pPr>
      <w:r>
        <w:rPr>
          <w:rFonts w:cstheme="minorHAnsi"/>
        </w:rPr>
        <w:t>Some alternative methods of diagnosis have been proposed.</w:t>
      </w:r>
      <w:r w:rsidDel="007D1744">
        <w:rPr>
          <w:rFonts w:cstheme="minorHAnsi"/>
        </w:rPr>
        <w:t xml:space="preserve"> </w:t>
      </w:r>
      <w:r>
        <w:rPr>
          <w:rFonts w:cstheme="minorHAnsi"/>
        </w:rPr>
        <w:t>The first is s</w:t>
      </w:r>
      <w:r w:rsidRPr="007D1744">
        <w:rPr>
          <w:rFonts w:cstheme="minorHAnsi"/>
        </w:rPr>
        <w:t xml:space="preserve">pot urine tests that quantify a chondroitin </w:t>
      </w:r>
      <w:proofErr w:type="spellStart"/>
      <w:r w:rsidRPr="007D1744">
        <w:rPr>
          <w:rFonts w:cstheme="minorHAnsi"/>
        </w:rPr>
        <w:t>sulfate</w:t>
      </w:r>
      <w:proofErr w:type="spellEnd"/>
      <w:r w:rsidRPr="007D1744">
        <w:rPr>
          <w:rFonts w:cstheme="minorHAnsi"/>
        </w:rPr>
        <w:t xml:space="preserve"> (CS)-disaccharide (</w:t>
      </w:r>
      <w:proofErr w:type="spellStart"/>
      <w:r w:rsidRPr="007D1744">
        <w:rPr>
          <w:rFonts w:cstheme="minorHAnsi"/>
        </w:rPr>
        <w:t>HNAc</w:t>
      </w:r>
      <w:proofErr w:type="spellEnd"/>
      <w:r w:rsidRPr="007D1744">
        <w:rPr>
          <w:rFonts w:cstheme="minorHAnsi"/>
        </w:rPr>
        <w:t>-UA)</w:t>
      </w:r>
      <w:r>
        <w:rPr>
          <w:rFonts w:cstheme="minorHAnsi"/>
        </w:rPr>
        <w:t xml:space="preserve">. </w:t>
      </w:r>
      <w:r w:rsidRPr="007D1744">
        <w:rPr>
          <w:rFonts w:cstheme="minorHAnsi"/>
        </w:rPr>
        <w:t xml:space="preserve">This assay may be useful for detecting response to </w:t>
      </w:r>
      <w:r>
        <w:rPr>
          <w:rFonts w:cstheme="minorHAnsi"/>
        </w:rPr>
        <w:t>enzyme replacement therapy (</w:t>
      </w:r>
      <w:r w:rsidRPr="003F5318">
        <w:rPr>
          <w:rFonts w:cstheme="minorHAnsi"/>
        </w:rPr>
        <w:t>ERT</w:t>
      </w:r>
      <w:r>
        <w:rPr>
          <w:rFonts w:cstheme="minorHAnsi"/>
        </w:rPr>
        <w:t>).</w:t>
      </w:r>
      <w:r w:rsidRPr="007D1744">
        <w:rPr>
          <w:rFonts w:cstheme="minorHAnsi"/>
        </w:rPr>
        <w:t xml:space="preserve"> </w:t>
      </w:r>
      <w:r>
        <w:rPr>
          <w:rFonts w:cstheme="minorHAnsi"/>
        </w:rPr>
        <w:t xml:space="preserve">The second is </w:t>
      </w:r>
      <w:r w:rsidRPr="007D1744">
        <w:rPr>
          <w:rFonts w:cstheme="minorHAnsi"/>
        </w:rPr>
        <w:t xml:space="preserve">quantifying the chondroitin </w:t>
      </w:r>
      <w:proofErr w:type="spellStart"/>
      <w:r w:rsidRPr="007D1744">
        <w:rPr>
          <w:rFonts w:cstheme="minorHAnsi"/>
        </w:rPr>
        <w:t>sulfate</w:t>
      </w:r>
      <w:proofErr w:type="spellEnd"/>
      <w:r w:rsidRPr="007D1744">
        <w:rPr>
          <w:rFonts w:cstheme="minorHAnsi"/>
        </w:rPr>
        <w:t xml:space="preserve"> non reducing end (CS NRE) using glycan isotope labelling liquid chromatography mass spectroscopy (GRIL-LC/MS) method.</w:t>
      </w:r>
      <w:r>
        <w:rPr>
          <w:rFonts w:cstheme="minorHAnsi"/>
        </w:rPr>
        <w:t xml:space="preserve"> </w:t>
      </w:r>
      <w:r w:rsidRPr="007D1744">
        <w:rPr>
          <w:rFonts w:cstheme="minorHAnsi"/>
        </w:rPr>
        <w:t xml:space="preserve">The </w:t>
      </w:r>
      <w:r>
        <w:rPr>
          <w:rFonts w:cstheme="minorHAnsi"/>
        </w:rPr>
        <w:t>authors of the assay study</w:t>
      </w:r>
      <w:r w:rsidRPr="007D1744">
        <w:rPr>
          <w:rFonts w:cstheme="minorHAnsi"/>
        </w:rPr>
        <w:t xml:space="preserve"> recommended that the CS NRE assay could complement the </w:t>
      </w:r>
      <w:proofErr w:type="spellStart"/>
      <w:r w:rsidRPr="007D1744">
        <w:rPr>
          <w:rFonts w:cstheme="minorHAnsi"/>
        </w:rPr>
        <w:t>uCS</w:t>
      </w:r>
      <w:proofErr w:type="spellEnd"/>
      <w:r w:rsidRPr="007D1744">
        <w:rPr>
          <w:rFonts w:cstheme="minorHAnsi"/>
        </w:rPr>
        <w:t xml:space="preserve"> NRE assay</w:t>
      </w:r>
      <w:r>
        <w:rPr>
          <w:rFonts w:cstheme="minorHAnsi"/>
        </w:rPr>
        <w:t xml:space="preserve"> (</w:t>
      </w:r>
      <w:proofErr w:type="gramStart"/>
      <w:r>
        <w:rPr>
          <w:rFonts w:cstheme="minorHAnsi"/>
        </w:rPr>
        <w:t>i.e.</w:t>
      </w:r>
      <w:proofErr w:type="gramEnd"/>
      <w:r>
        <w:rPr>
          <w:rFonts w:cstheme="minorHAnsi"/>
        </w:rPr>
        <w:t xml:space="preserve"> the spot urine test).</w:t>
      </w:r>
    </w:p>
    <w:p w14:paraId="58F7A416" w14:textId="6D2A3A87" w:rsidR="001143E5" w:rsidRPr="00A82939" w:rsidRDefault="001143E5" w:rsidP="001143E5">
      <w:pPr>
        <w:rPr>
          <w:rFonts w:cstheme="minorHAnsi"/>
        </w:rPr>
      </w:pPr>
      <w:r>
        <w:rPr>
          <w:rFonts w:cstheme="minorHAnsi"/>
        </w:rPr>
        <w:t xml:space="preserve">Urine </w:t>
      </w:r>
      <w:r w:rsidRPr="001143E5">
        <w:rPr>
          <w:rFonts w:cstheme="minorHAnsi"/>
        </w:rPr>
        <w:t>mucopolysaccharidosis</w:t>
      </w:r>
      <w:r>
        <w:rPr>
          <w:rFonts w:cstheme="minorHAnsi"/>
        </w:rPr>
        <w:t xml:space="preserve"> substrate (</w:t>
      </w:r>
      <w:proofErr w:type="spellStart"/>
      <w:r>
        <w:rPr>
          <w:rFonts w:cstheme="minorHAnsi"/>
        </w:rPr>
        <w:t>uMPSs</w:t>
      </w:r>
      <w:proofErr w:type="spellEnd"/>
      <w:r>
        <w:rPr>
          <w:rFonts w:cstheme="minorHAnsi"/>
        </w:rPr>
        <w:t xml:space="preserve">) </w:t>
      </w:r>
      <w:r w:rsidRPr="006B5A60">
        <w:rPr>
          <w:rFonts w:cstheme="minorHAnsi"/>
        </w:rPr>
        <w:t xml:space="preserve">analysis via </w:t>
      </w:r>
      <w:r>
        <w:rPr>
          <w:rFonts w:cstheme="minorHAnsi"/>
        </w:rPr>
        <w:t>m</w:t>
      </w:r>
      <w:r w:rsidRPr="00A82939">
        <w:rPr>
          <w:rFonts w:cstheme="minorHAnsi"/>
        </w:rPr>
        <w:t xml:space="preserve">ass spectroscopy has been proposed as a substitute for the </w:t>
      </w:r>
      <w:proofErr w:type="spellStart"/>
      <w:r w:rsidRPr="00A82939">
        <w:rPr>
          <w:rFonts w:cstheme="minorHAnsi"/>
        </w:rPr>
        <w:t>uKS</w:t>
      </w:r>
      <w:proofErr w:type="spellEnd"/>
      <w:r w:rsidRPr="00A82939">
        <w:rPr>
          <w:rFonts w:cstheme="minorHAnsi"/>
        </w:rPr>
        <w:t xml:space="preserve"> test for the</w:t>
      </w:r>
      <w:r w:rsidR="003B2A7A">
        <w:rPr>
          <w:rFonts w:cstheme="minorHAnsi"/>
        </w:rPr>
        <w:t xml:space="preserve"> LSDP</w:t>
      </w:r>
      <w:r w:rsidRPr="00A82939">
        <w:rPr>
          <w:rFonts w:cstheme="minorHAnsi"/>
        </w:rPr>
        <w:t xml:space="preserve"> reapplication process and for response assessment. </w:t>
      </w:r>
      <w:r w:rsidRPr="003F5318">
        <w:rPr>
          <w:rFonts w:cstheme="minorHAnsi"/>
        </w:rPr>
        <w:t>Methods for such mass spectrometric approaches have been successful with 100% sensitivity and 100% specificity for identifying patients with MPS IVA. The method also has been used for longitudinal monitoring of patients with MPS, although to date reports have been specific to MPS I and VI. The questions around whether the requirement for continued eligibility by a 20% change from baseline using the mass spectroscopy test could not be answered based on available literature</w:t>
      </w:r>
      <w:r w:rsidR="00912693">
        <w:rPr>
          <w:rFonts w:cstheme="minorHAnsi"/>
        </w:rPr>
        <w:t>.</w:t>
      </w:r>
      <w:r w:rsidRPr="003F5318">
        <w:rPr>
          <w:rFonts w:cstheme="minorHAnsi"/>
        </w:rPr>
        <w:t xml:space="preserve"> </w:t>
      </w:r>
      <w:r w:rsidR="00912693">
        <w:rPr>
          <w:rFonts w:cstheme="minorHAnsi"/>
        </w:rPr>
        <w:t>I</w:t>
      </w:r>
      <w:r w:rsidRPr="003F5318">
        <w:rPr>
          <w:rFonts w:cstheme="minorHAnsi"/>
        </w:rPr>
        <w:t xml:space="preserve">t </w:t>
      </w:r>
      <w:r>
        <w:rPr>
          <w:rFonts w:cstheme="minorHAnsi"/>
        </w:rPr>
        <w:t>wa</w:t>
      </w:r>
      <w:r w:rsidRPr="003F5318">
        <w:rPr>
          <w:rFonts w:cstheme="minorHAnsi"/>
        </w:rPr>
        <w:t>s postulated that given the potential for significant reductions in</w:t>
      </w:r>
      <w:r>
        <w:rPr>
          <w:rFonts w:cstheme="minorHAnsi"/>
        </w:rPr>
        <w:t xml:space="preserve"> u</w:t>
      </w:r>
      <w:r w:rsidRPr="001143E5">
        <w:rPr>
          <w:rFonts w:cstheme="minorHAnsi"/>
        </w:rPr>
        <w:t>rinary glycosaminoglycans</w:t>
      </w:r>
      <w:r w:rsidRPr="003F5318">
        <w:rPr>
          <w:rFonts w:cstheme="minorHAnsi"/>
        </w:rPr>
        <w:t xml:space="preserve"> </w:t>
      </w:r>
      <w:r>
        <w:rPr>
          <w:rFonts w:cstheme="minorHAnsi"/>
        </w:rPr>
        <w:t>(</w:t>
      </w:r>
      <w:proofErr w:type="spellStart"/>
      <w:r w:rsidRPr="003F5318">
        <w:rPr>
          <w:rFonts w:cstheme="minorHAnsi"/>
        </w:rPr>
        <w:t>uGAGs</w:t>
      </w:r>
      <w:proofErr w:type="spellEnd"/>
      <w:r>
        <w:rPr>
          <w:rFonts w:cstheme="minorHAnsi"/>
        </w:rPr>
        <w:t>)</w:t>
      </w:r>
      <w:r w:rsidRPr="003F5318">
        <w:rPr>
          <w:rFonts w:cstheme="minorHAnsi"/>
        </w:rPr>
        <w:t xml:space="preserve"> seen in MPS I and MPS VI, it might be feasible also in this setting</w:t>
      </w:r>
      <w:r w:rsidR="00912693">
        <w:rPr>
          <w:rFonts w:cstheme="minorHAnsi"/>
        </w:rPr>
        <w:t>.</w:t>
      </w:r>
      <w:r w:rsidR="00912693" w:rsidRPr="003F5318">
        <w:rPr>
          <w:rFonts w:cstheme="minorHAnsi"/>
        </w:rPr>
        <w:t xml:space="preserve"> </w:t>
      </w:r>
      <w:r w:rsidR="00912693">
        <w:rPr>
          <w:rFonts w:cstheme="minorHAnsi"/>
        </w:rPr>
        <w:t>T</w:t>
      </w:r>
      <w:r w:rsidRPr="003F5318">
        <w:rPr>
          <w:rFonts w:cstheme="minorHAnsi"/>
        </w:rPr>
        <w:t xml:space="preserve">here </w:t>
      </w:r>
      <w:r>
        <w:rPr>
          <w:rFonts w:cstheme="minorHAnsi"/>
        </w:rPr>
        <w:t>wa</w:t>
      </w:r>
      <w:r w:rsidRPr="003F5318">
        <w:rPr>
          <w:rFonts w:cstheme="minorHAnsi"/>
        </w:rPr>
        <w:t xml:space="preserve">s some evidence that </w:t>
      </w:r>
      <w:proofErr w:type="spellStart"/>
      <w:r w:rsidRPr="003F5318">
        <w:rPr>
          <w:rFonts w:cstheme="minorHAnsi"/>
        </w:rPr>
        <w:t>uKS</w:t>
      </w:r>
      <w:proofErr w:type="spellEnd"/>
      <w:r w:rsidRPr="003F5318">
        <w:rPr>
          <w:rFonts w:cstheme="minorHAnsi"/>
        </w:rPr>
        <w:t xml:space="preserve"> does not completely normalise even with </w:t>
      </w:r>
      <w:r>
        <w:rPr>
          <w:rFonts w:cstheme="minorHAnsi"/>
        </w:rPr>
        <w:t>ERT</w:t>
      </w:r>
      <w:r w:rsidRPr="003F5318">
        <w:rPr>
          <w:rFonts w:cstheme="minorHAnsi"/>
        </w:rPr>
        <w:t xml:space="preserve"> in people with MPS IVA. In terms of how response can be assessed using mass spectroscopy for patients who have a baseline </w:t>
      </w:r>
      <w:proofErr w:type="spellStart"/>
      <w:r w:rsidRPr="003F5318">
        <w:rPr>
          <w:rFonts w:cstheme="minorHAnsi"/>
        </w:rPr>
        <w:t>uKS</w:t>
      </w:r>
      <w:proofErr w:type="spellEnd"/>
      <w:r w:rsidRPr="003F5318">
        <w:rPr>
          <w:rFonts w:cstheme="minorHAnsi"/>
        </w:rPr>
        <w:t xml:space="preserve"> result, there </w:t>
      </w:r>
      <w:r>
        <w:rPr>
          <w:rFonts w:cstheme="minorHAnsi"/>
        </w:rPr>
        <w:t>wa</w:t>
      </w:r>
      <w:r w:rsidRPr="003F5318">
        <w:rPr>
          <w:rFonts w:cstheme="minorHAnsi"/>
        </w:rPr>
        <w:t xml:space="preserve">s a moderate correlation between </w:t>
      </w:r>
      <w:proofErr w:type="spellStart"/>
      <w:r w:rsidRPr="003F5318">
        <w:rPr>
          <w:rFonts w:cstheme="minorHAnsi"/>
        </w:rPr>
        <w:t>uKS</w:t>
      </w:r>
      <w:proofErr w:type="spellEnd"/>
      <w:r w:rsidRPr="003F5318">
        <w:rPr>
          <w:rFonts w:cstheme="minorHAnsi"/>
        </w:rPr>
        <w:t xml:space="preserve"> measurements with LC/MS/MS methods (r=0.666, p&lt;0.001).</w:t>
      </w:r>
    </w:p>
    <w:p w14:paraId="2F5EB5C9" w14:textId="221ADCB9" w:rsidR="001143E5" w:rsidRPr="00A82939" w:rsidRDefault="001143E5" w:rsidP="001143E5">
      <w:pPr>
        <w:rPr>
          <w:rFonts w:cstheme="minorHAnsi"/>
        </w:rPr>
      </w:pPr>
      <w:r w:rsidRPr="00A82939">
        <w:rPr>
          <w:rFonts w:cstheme="minorHAnsi"/>
        </w:rPr>
        <w:t>The prevalence estimates reported in the literature searches for MPS IVA appear</w:t>
      </w:r>
      <w:r>
        <w:rPr>
          <w:rFonts w:cstheme="minorHAnsi"/>
        </w:rPr>
        <w:t>ed</w:t>
      </w:r>
      <w:r w:rsidRPr="00A82939">
        <w:rPr>
          <w:rFonts w:cstheme="minorHAnsi"/>
        </w:rPr>
        <w:t xml:space="preserve"> </w:t>
      </w:r>
      <w:proofErr w:type="gramStart"/>
      <w:r w:rsidRPr="00A82939">
        <w:rPr>
          <w:rFonts w:cstheme="minorHAnsi"/>
        </w:rPr>
        <w:t>similar to</w:t>
      </w:r>
      <w:proofErr w:type="gramEnd"/>
      <w:r w:rsidRPr="00A82939">
        <w:rPr>
          <w:rFonts w:cstheme="minorHAnsi"/>
        </w:rPr>
        <w:t xml:space="preserve"> those reported in the original PB</w:t>
      </w:r>
      <w:r>
        <w:rPr>
          <w:rFonts w:cstheme="minorHAnsi"/>
        </w:rPr>
        <w:t>AC</w:t>
      </w:r>
      <w:r w:rsidRPr="00A82939">
        <w:rPr>
          <w:rFonts w:cstheme="minorHAnsi"/>
        </w:rPr>
        <w:t xml:space="preserve"> submission. Aside from an initial peak in uptake of elosulfase alfa on the LSDP at the commencement of the program, there </w:t>
      </w:r>
      <w:r>
        <w:rPr>
          <w:rFonts w:cstheme="minorHAnsi"/>
        </w:rPr>
        <w:t>did</w:t>
      </w:r>
      <w:r w:rsidRPr="00A82939">
        <w:rPr>
          <w:rFonts w:cstheme="minorHAnsi"/>
        </w:rPr>
        <w:t xml:space="preserve"> not appear to have been any increase in rate of diagnosis of MPS IVA.</w:t>
      </w:r>
    </w:p>
    <w:p w14:paraId="5F70B908" w14:textId="256C4107" w:rsidR="001143E5" w:rsidRDefault="001143E5" w:rsidP="001143E5">
      <w:r w:rsidRPr="00A82939">
        <w:rPr>
          <w:rFonts w:cstheme="minorHAnsi"/>
        </w:rPr>
        <w:t xml:space="preserve">Approximately </w:t>
      </w:r>
      <w:r w:rsidR="00AC540D" w:rsidRPr="00AC540D">
        <w:rPr>
          <w:rFonts w:cstheme="minorHAnsi"/>
          <w:highlight w:val="black"/>
        </w:rPr>
        <w:t>XXXX</w:t>
      </w:r>
      <w:r w:rsidRPr="00A82939">
        <w:rPr>
          <w:rFonts w:cstheme="minorHAnsi"/>
        </w:rPr>
        <w:t xml:space="preserve"> of </w:t>
      </w:r>
      <w:r>
        <w:rPr>
          <w:rFonts w:cstheme="minorHAnsi"/>
        </w:rPr>
        <w:t xml:space="preserve">MPS IVA </w:t>
      </w:r>
      <w:r w:rsidRPr="00A82939">
        <w:rPr>
          <w:rFonts w:cstheme="minorHAnsi"/>
        </w:rPr>
        <w:t>patients in the LSDP commence</w:t>
      </w:r>
      <w:r>
        <w:rPr>
          <w:rFonts w:cstheme="minorHAnsi"/>
        </w:rPr>
        <w:t>d</w:t>
      </w:r>
      <w:r w:rsidRPr="00A82939">
        <w:rPr>
          <w:rFonts w:cstheme="minorHAnsi"/>
        </w:rPr>
        <w:t xml:space="preserve"> treatment under the age of 5 years, and therefore </w:t>
      </w:r>
      <w:r>
        <w:rPr>
          <w:rFonts w:cstheme="minorHAnsi"/>
        </w:rPr>
        <w:t>we</w:t>
      </w:r>
      <w:r w:rsidRPr="00A82939">
        <w:rPr>
          <w:rFonts w:cstheme="minorHAnsi"/>
        </w:rPr>
        <w:t>re not required to have 6MWT or FVC tests. Therefore, these tests may not have appropriate utility for the LSDP.</w:t>
      </w:r>
      <w:r>
        <w:rPr>
          <w:rFonts w:cstheme="minorHAnsi"/>
        </w:rPr>
        <w:t xml:space="preserve"> </w:t>
      </w:r>
      <w:r w:rsidRPr="00A82939">
        <w:rPr>
          <w:rFonts w:cstheme="minorHAnsi"/>
        </w:rPr>
        <w:t>Despite this concern, there is no readily available alternative, other than a clinician or patient global assessment, which is subjective and prone to bias.</w:t>
      </w:r>
      <w:r w:rsidRPr="00A82939" w:rsidDel="00A82939">
        <w:rPr>
          <w:rFonts w:cstheme="minorHAnsi"/>
        </w:rPr>
        <w:t xml:space="preserve"> </w:t>
      </w:r>
    </w:p>
    <w:p w14:paraId="02776005" w14:textId="77777777" w:rsidR="001143E5" w:rsidRDefault="001143E5" w:rsidP="001143E5">
      <w:r>
        <w:t>No new treatments for MPS IVA have become available since 2017.</w:t>
      </w:r>
    </w:p>
    <w:p w14:paraId="35AD3EE9" w14:textId="53D6510E" w:rsidR="00396878" w:rsidRPr="00FC1F27" w:rsidRDefault="00396878" w:rsidP="00FF71E5">
      <w:pPr>
        <w:pStyle w:val="Heading3"/>
      </w:pPr>
      <w:proofErr w:type="spellStart"/>
      <w:r w:rsidRPr="00FC1F27">
        <w:lastRenderedPageBreak/>
        <w:t>ToR</w:t>
      </w:r>
      <w:proofErr w:type="spellEnd"/>
      <w:r w:rsidRPr="00FC1F27">
        <w:t xml:space="preserve"> 3</w:t>
      </w:r>
      <w:r w:rsidR="00912693">
        <w:t xml:space="preserve"> – Utilisation </w:t>
      </w:r>
      <w:r w:rsidR="00912693" w:rsidRPr="00FC1F27">
        <w:t>and Consumer Impact</w:t>
      </w:r>
    </w:p>
    <w:p w14:paraId="335F3348" w14:textId="2B507A12" w:rsidR="00FF71E5" w:rsidRPr="00FF71E5" w:rsidRDefault="00FF71E5" w:rsidP="00FF71E5">
      <w:pPr>
        <w:rPr>
          <w:rFonts w:cstheme="minorHAnsi"/>
        </w:rPr>
      </w:pPr>
      <w:r w:rsidRPr="00FF71E5">
        <w:rPr>
          <w:rFonts w:cstheme="minorHAnsi"/>
        </w:rPr>
        <w:t xml:space="preserve">It was </w:t>
      </w:r>
      <w:r w:rsidR="004A0AA2">
        <w:rPr>
          <w:rFonts w:cstheme="minorHAnsi"/>
        </w:rPr>
        <w:t xml:space="preserve">anticipated </w:t>
      </w:r>
      <w:r w:rsidRPr="00FF71E5">
        <w:rPr>
          <w:rFonts w:cstheme="minorHAnsi"/>
        </w:rPr>
        <w:t xml:space="preserve">that the appropriate population is being treated with elosulfase alfa, although clinical records do not always show compliance with eligibility criteria. </w:t>
      </w:r>
    </w:p>
    <w:p w14:paraId="663F145D" w14:textId="625691A1" w:rsidR="00FF71E5" w:rsidRPr="00FF71E5" w:rsidRDefault="00FF71E5" w:rsidP="00FF71E5">
      <w:pPr>
        <w:rPr>
          <w:rFonts w:cstheme="minorHAnsi"/>
        </w:rPr>
      </w:pPr>
      <w:r w:rsidRPr="00FF71E5">
        <w:rPr>
          <w:rFonts w:cstheme="minorHAnsi"/>
        </w:rPr>
        <w:t xml:space="preserve">96% of patients </w:t>
      </w:r>
      <w:r w:rsidR="00831FBF">
        <w:rPr>
          <w:rFonts w:cstheme="minorHAnsi"/>
        </w:rPr>
        <w:t>who</w:t>
      </w:r>
      <w:r w:rsidR="00831FBF" w:rsidRPr="00FF71E5">
        <w:rPr>
          <w:rFonts w:cstheme="minorHAnsi"/>
        </w:rPr>
        <w:t xml:space="preserve"> </w:t>
      </w:r>
      <w:r w:rsidRPr="00FF71E5">
        <w:rPr>
          <w:rFonts w:cstheme="minorHAnsi"/>
        </w:rPr>
        <w:t xml:space="preserve">applied to the LSPD for </w:t>
      </w:r>
      <w:r w:rsidR="00831FBF">
        <w:rPr>
          <w:rFonts w:cstheme="minorHAnsi"/>
        </w:rPr>
        <w:t xml:space="preserve">treatment with </w:t>
      </w:r>
      <w:r w:rsidRPr="00FF71E5">
        <w:rPr>
          <w:rFonts w:cstheme="minorHAnsi"/>
        </w:rPr>
        <w:t xml:space="preserve">elosulfase alfa have documentation of a diagnosis of MPS IVA, by the criteria stipulated by the LSDP (with the caveat that in a small minority of patients, reporting to the LSDP of mutational status was delayed). The remaining patient did not commence treatment. </w:t>
      </w:r>
      <w:r w:rsidRPr="00FF71E5">
        <w:rPr>
          <w:rFonts w:cstheme="minorHAnsi"/>
          <w:highlight w:val="black"/>
        </w:rPr>
        <w:t>XX</w:t>
      </w:r>
      <w:r w:rsidRPr="00FF71E5">
        <w:rPr>
          <w:rFonts w:cstheme="minorHAnsi"/>
        </w:rPr>
        <w:t>% of patients with recorded outcomes over time on treatment satisfied the requisite improvement in 3 out of 4 clinical parameters.</w:t>
      </w:r>
    </w:p>
    <w:p w14:paraId="1CFD315E" w14:textId="14A3E9EF" w:rsidR="00FF71E5" w:rsidRPr="00FF71E5" w:rsidRDefault="00FF71E5" w:rsidP="00FF71E5">
      <w:pPr>
        <w:rPr>
          <w:rFonts w:cstheme="minorHAnsi"/>
        </w:rPr>
      </w:pPr>
      <w:r w:rsidRPr="00FF71E5">
        <w:rPr>
          <w:rFonts w:cstheme="minorHAnsi"/>
        </w:rPr>
        <w:t>The number of patients receiving elosulfase alfa on the LSDP at the time of the review was below but broadly in line with expectations at the time of listing (</w:t>
      </w:r>
      <w:r w:rsidRPr="00FF71E5">
        <w:rPr>
          <w:rFonts w:cstheme="minorHAnsi"/>
          <w:highlight w:val="black"/>
        </w:rPr>
        <w:t>XX</w:t>
      </w:r>
      <w:r w:rsidRPr="00FF71E5">
        <w:rPr>
          <w:rFonts w:cstheme="minorHAnsi"/>
        </w:rPr>
        <w:t xml:space="preserve"> currently on treatment compared to an estimated </w:t>
      </w:r>
      <w:r w:rsidRPr="00FF71E5">
        <w:rPr>
          <w:rFonts w:cstheme="minorHAnsi"/>
          <w:highlight w:val="black"/>
        </w:rPr>
        <w:t>XX</w:t>
      </w:r>
      <w:r w:rsidRPr="00FF71E5">
        <w:rPr>
          <w:rFonts w:cstheme="minorHAnsi"/>
        </w:rPr>
        <w:t>).</w:t>
      </w:r>
    </w:p>
    <w:p w14:paraId="385BA71C" w14:textId="2AEBA04D" w:rsidR="00FF71E5" w:rsidRPr="00FF71E5" w:rsidRDefault="00FF71E5" w:rsidP="00FF71E5">
      <w:pPr>
        <w:rPr>
          <w:rFonts w:cstheme="minorHAnsi"/>
        </w:rPr>
      </w:pPr>
      <w:r w:rsidRPr="00FF71E5">
        <w:rPr>
          <w:rFonts w:cstheme="minorHAnsi"/>
        </w:rPr>
        <w:t xml:space="preserve">Elosulfase alfa was first listed on the LSDP on 1 August 2017. Most patients diagnosed with MPS IVA receiving treatment with elosulfase alfa on the LSDP at the time of the review were pre-school or school aged children. The median age of diagnosis was </w:t>
      </w:r>
      <w:r w:rsidR="00914508" w:rsidRPr="00914508">
        <w:rPr>
          <w:rFonts w:cstheme="minorHAnsi"/>
          <w:highlight w:val="black"/>
        </w:rPr>
        <w:t>XXXX</w:t>
      </w:r>
      <w:r w:rsidRPr="00FF71E5">
        <w:rPr>
          <w:rFonts w:cstheme="minorHAnsi"/>
        </w:rPr>
        <w:t xml:space="preserve"> years, the median age of joining the LSDP was </w:t>
      </w:r>
      <w:r w:rsidR="00914508" w:rsidRPr="00914508">
        <w:rPr>
          <w:rFonts w:cstheme="minorHAnsi"/>
          <w:highlight w:val="black"/>
        </w:rPr>
        <w:t>XXXX</w:t>
      </w:r>
      <w:r w:rsidRPr="00FF71E5">
        <w:rPr>
          <w:rFonts w:cstheme="minorHAnsi"/>
        </w:rPr>
        <w:t xml:space="preserve"> years, and the current median age of patients was </w:t>
      </w:r>
      <w:r w:rsidR="00914508" w:rsidRPr="00914508">
        <w:rPr>
          <w:rFonts w:cstheme="minorHAnsi"/>
          <w:highlight w:val="black"/>
        </w:rPr>
        <w:t>XXXX</w:t>
      </w:r>
      <w:r w:rsidR="00914508" w:rsidRPr="00FF71E5">
        <w:rPr>
          <w:rFonts w:cstheme="minorHAnsi"/>
        </w:rPr>
        <w:t xml:space="preserve"> </w:t>
      </w:r>
      <w:r w:rsidRPr="00FF71E5">
        <w:rPr>
          <w:rFonts w:cstheme="minorHAnsi"/>
        </w:rPr>
        <w:t>years.</w:t>
      </w:r>
    </w:p>
    <w:p w14:paraId="2F26AD59" w14:textId="1725FAD1" w:rsidR="00FF71E5" w:rsidRPr="00FF71E5" w:rsidRDefault="00FF71E5" w:rsidP="00FF71E5">
      <w:pPr>
        <w:rPr>
          <w:rFonts w:cstheme="minorHAnsi"/>
        </w:rPr>
      </w:pPr>
      <w:r w:rsidRPr="00FF71E5">
        <w:rPr>
          <w:rFonts w:cstheme="minorHAnsi"/>
        </w:rPr>
        <w:t xml:space="preserve">The LSDP was estimated to have increased the number of MPS IVA patients receiving treatment by </w:t>
      </w:r>
      <w:r w:rsidRPr="00FF71E5">
        <w:rPr>
          <w:rFonts w:cstheme="minorHAnsi"/>
          <w:highlight w:val="black"/>
        </w:rPr>
        <w:t>XX</w:t>
      </w:r>
      <w:r w:rsidRPr="00FF71E5">
        <w:rPr>
          <w:rFonts w:cstheme="minorHAnsi"/>
        </w:rPr>
        <w:t xml:space="preserve"> patients.</w:t>
      </w:r>
    </w:p>
    <w:p w14:paraId="79D4F071" w14:textId="202F5A4C" w:rsidR="00FF71E5" w:rsidRPr="00FF71E5" w:rsidRDefault="00FF71E5" w:rsidP="00FF71E5">
      <w:pPr>
        <w:rPr>
          <w:rFonts w:cstheme="minorHAnsi"/>
        </w:rPr>
      </w:pPr>
      <w:r w:rsidRPr="00FF71E5">
        <w:rPr>
          <w:rFonts w:cstheme="minorHAnsi"/>
        </w:rPr>
        <w:t xml:space="preserve">Families with a member receiving elosulfase alfa on the LSDP make substantial financial and lifestyle sacrifices to access treatment. However, overall patients reported a positive experience in receiving their weekly treatment, and families believed sacrifices were outweighed by the benefits that patients received. Quality of life related impacts mattered most to families, rather than the parameters monitored by clinicians and reported </w:t>
      </w:r>
      <w:r w:rsidR="00831FBF">
        <w:rPr>
          <w:rFonts w:cstheme="minorHAnsi"/>
        </w:rPr>
        <w:t>to</w:t>
      </w:r>
      <w:r w:rsidR="00831FBF" w:rsidRPr="00FF71E5">
        <w:rPr>
          <w:rFonts w:cstheme="minorHAnsi"/>
        </w:rPr>
        <w:t xml:space="preserve"> </w:t>
      </w:r>
      <w:r w:rsidRPr="00FF71E5">
        <w:rPr>
          <w:rFonts w:cstheme="minorHAnsi"/>
        </w:rPr>
        <w:t xml:space="preserve">the LSDP. Families would like improved access to home infusions to minimise negative impacts of treatment on family life. The Product Information for elosulfase alfa does permit home infusion, but the sponsor does not have a home infusion program. A small number of patients access home infusion through hospital services. </w:t>
      </w:r>
    </w:p>
    <w:p w14:paraId="732512F3" w14:textId="76775A5D" w:rsidR="00396878" w:rsidRPr="004C46A2" w:rsidRDefault="00FF71E5" w:rsidP="00FF71E5">
      <w:pPr>
        <w:rPr>
          <w:rFonts w:cstheme="minorHAnsi"/>
        </w:rPr>
      </w:pPr>
      <w:r w:rsidRPr="00FF71E5">
        <w:rPr>
          <w:rFonts w:cstheme="minorHAnsi"/>
        </w:rPr>
        <w:t xml:space="preserve">The exclusion criterion for patients who miss more than 3 infusions in a 14-month period (excluding medical reasons) appeared poorly supported. Exclusion from treatment may be better predicated on predictors of poor patient responsiveness. The only </w:t>
      </w:r>
      <w:r w:rsidRPr="00FF71E5">
        <w:rPr>
          <w:rFonts w:cstheme="minorHAnsi"/>
          <w:highlight w:val="black"/>
        </w:rPr>
        <w:t>XX</w:t>
      </w:r>
      <w:r w:rsidRPr="00FF71E5">
        <w:rPr>
          <w:rFonts w:cstheme="minorHAnsi"/>
        </w:rPr>
        <w:t xml:space="preserve"> patients that missed the threshold number of infusions without a medical reason each responded positively to 3 of the 4 clinical parameters over the course of their treatment. The secretariat noted that the rationale for this criterion appears to be based on the initial clinical </w:t>
      </w:r>
      <w:proofErr w:type="gramStart"/>
      <w:r w:rsidRPr="00FF71E5">
        <w:rPr>
          <w:rFonts w:cstheme="minorHAnsi"/>
        </w:rPr>
        <w:t>trials, and</w:t>
      </w:r>
      <w:proofErr w:type="gramEnd"/>
      <w:r w:rsidRPr="00FF71E5">
        <w:rPr>
          <w:rFonts w:cstheme="minorHAnsi"/>
        </w:rPr>
        <w:t xml:space="preserve"> was also a requirement in the NICE Managed Access Arrangement.</w:t>
      </w:r>
    </w:p>
    <w:p w14:paraId="0C400D1F" w14:textId="5E0E8817" w:rsidR="00396878" w:rsidRPr="00FC1F27" w:rsidRDefault="00396878" w:rsidP="00FF71E5">
      <w:pPr>
        <w:pStyle w:val="Heading3"/>
        <w:rPr>
          <w:caps/>
        </w:rPr>
      </w:pPr>
      <w:proofErr w:type="spellStart"/>
      <w:r w:rsidRPr="00FC1F27">
        <w:t>ToR</w:t>
      </w:r>
      <w:proofErr w:type="spellEnd"/>
      <w:r w:rsidRPr="00FC1F27">
        <w:t xml:space="preserve"> 4</w:t>
      </w:r>
      <w:r w:rsidR="00912693">
        <w:t xml:space="preserve"> – Financial Impact</w:t>
      </w:r>
    </w:p>
    <w:p w14:paraId="7BC24886" w14:textId="336E9B20" w:rsidR="00BB1A21" w:rsidRDefault="00BB1A21" w:rsidP="00FF71E5">
      <w:r>
        <w:t>The Expert Panel considered matters relating to the pricing of elosulfase alfa. These matters are</w:t>
      </w:r>
      <w:r w:rsidR="00A116C8" w:rsidRPr="00A116C8">
        <w:t xml:space="preserve"> subject to commercial in confidence arrangements.</w:t>
      </w:r>
      <w:r w:rsidR="004A0AA2">
        <w:rPr>
          <w:i/>
          <w:iCs/>
        </w:rPr>
        <w:t xml:space="preserve"> </w:t>
      </w:r>
    </w:p>
    <w:p w14:paraId="2A1A8420" w14:textId="640EB4B6" w:rsidR="00A83B74" w:rsidRDefault="00FF71E5" w:rsidP="00FF71E5">
      <w:r>
        <w:t xml:space="preserve">Given dosage is patient age/weight/condition-specific, there is medicine supplied to patients over the prescribed dose due to the limitation of elosulfase alfa to 5mL vial sizes when the required dose does not round to 5mLs. The report estimated, in 2021, </w:t>
      </w:r>
      <w:r w:rsidRPr="00FF71E5">
        <w:rPr>
          <w:highlight w:val="black"/>
        </w:rPr>
        <w:t>XXXX</w:t>
      </w:r>
      <w:r>
        <w:t xml:space="preserve"> mL were supplied in excess of the </w:t>
      </w:r>
      <w:r w:rsidR="003B2524">
        <w:t xml:space="preserve">millilitres </w:t>
      </w:r>
      <w:r>
        <w:t xml:space="preserve">prescribed. Single </w:t>
      </w:r>
      <w:r w:rsidR="003B2524">
        <w:t xml:space="preserve">millilitre </w:t>
      </w:r>
      <w:r>
        <w:t xml:space="preserve">packaging is not </w:t>
      </w:r>
      <w:proofErr w:type="gramStart"/>
      <w:r>
        <w:t>available, and</w:t>
      </w:r>
      <w:proofErr w:type="gramEnd"/>
      <w:r>
        <w:t xml:space="preserve"> </w:t>
      </w:r>
      <w:r>
        <w:lastRenderedPageBreak/>
        <w:t xml:space="preserve">would likely be less cost effective to produce and supply. If wasted millilitres from all vials were combined, it would be equivalent to </w:t>
      </w:r>
      <w:r w:rsidR="003B2524" w:rsidRPr="003B2524">
        <w:rPr>
          <w:highlight w:val="black"/>
        </w:rPr>
        <w:t>XXX</w:t>
      </w:r>
      <w:r>
        <w:t xml:space="preserve"> 5mL vials, valued at </w:t>
      </w:r>
      <w:r w:rsidR="003B2524">
        <w:t>$</w:t>
      </w:r>
      <w:r w:rsidR="003B2524" w:rsidRPr="00FF71E5">
        <w:rPr>
          <w:highlight w:val="black"/>
        </w:rPr>
        <w:t>XXXXXX</w:t>
      </w:r>
      <w:r>
        <w:t xml:space="preserve">. The total expenditure in 2020-2021 was estimated to be </w:t>
      </w:r>
      <w:r w:rsidR="003B2524">
        <w:t>$</w:t>
      </w:r>
      <w:r w:rsidR="003B2524" w:rsidRPr="00FF71E5">
        <w:rPr>
          <w:highlight w:val="black"/>
        </w:rPr>
        <w:t>XXXXXX</w:t>
      </w:r>
      <w:r w:rsidR="003B2524">
        <w:t xml:space="preserve"> </w:t>
      </w:r>
      <w:r>
        <w:t xml:space="preserve">thus </w:t>
      </w:r>
      <w:r w:rsidR="00BB1A21">
        <w:t>supply of elosulfase alfa over the prescribed dose</w:t>
      </w:r>
      <w:r>
        <w:t xml:space="preserve"> equates to approximately 2.5%</w:t>
      </w:r>
      <w:r w:rsidR="00BB1A21">
        <w:t xml:space="preserve"> of medicine supplied</w:t>
      </w:r>
      <w:r>
        <w:t>.</w:t>
      </w:r>
    </w:p>
    <w:p w14:paraId="7EFEB1F4" w14:textId="77777777" w:rsidR="00396878" w:rsidRPr="00FC1F27" w:rsidRDefault="00396878" w:rsidP="003B2524">
      <w:pPr>
        <w:pStyle w:val="Heading2"/>
        <w:rPr>
          <w:rFonts w:eastAsiaTheme="majorEastAsia"/>
          <w:caps/>
        </w:rPr>
      </w:pPr>
      <w:bookmarkStart w:id="0" w:name="_Hlk99368789"/>
      <w:r w:rsidRPr="00FC1F27">
        <w:rPr>
          <w:rFonts w:eastAsiaTheme="majorEastAsia"/>
        </w:rPr>
        <w:t>Expert Panel Recommendations</w:t>
      </w:r>
    </w:p>
    <w:p w14:paraId="2EC9AC58" w14:textId="0C78168E" w:rsidR="00396878" w:rsidRPr="004C46A2" w:rsidRDefault="00396878" w:rsidP="00396878">
      <w:pPr>
        <w:rPr>
          <w:rFonts w:cstheme="minorHAnsi"/>
          <w:lang w:eastAsia="en-AU"/>
        </w:rPr>
      </w:pPr>
      <w:r w:rsidRPr="004C46A2">
        <w:rPr>
          <w:rFonts w:cstheme="minorHAnsi"/>
          <w:lang w:eastAsia="en-AU"/>
        </w:rPr>
        <w:t xml:space="preserve">The Expert Panel made the following recommendations in relation to </w:t>
      </w:r>
      <w:r w:rsidR="00AF788B">
        <w:rPr>
          <w:rFonts w:cstheme="minorHAnsi"/>
          <w:lang w:eastAsia="en-AU"/>
        </w:rPr>
        <w:t>elosulfase alfa</w:t>
      </w:r>
      <w:r w:rsidRPr="004C46A2">
        <w:rPr>
          <w:rFonts w:cstheme="minorHAnsi"/>
          <w:lang w:eastAsia="en-AU"/>
        </w:rPr>
        <w:t xml:space="preserve">: </w:t>
      </w:r>
    </w:p>
    <w:p w14:paraId="254B73DC" w14:textId="0CBAFF67" w:rsidR="003B2524" w:rsidRPr="003B2524" w:rsidRDefault="003B2524" w:rsidP="00B140BA">
      <w:pPr>
        <w:pStyle w:val="ListParagraph"/>
        <w:numPr>
          <w:ilvl w:val="0"/>
          <w:numId w:val="17"/>
        </w:numPr>
        <w:spacing w:before="0" w:after="160"/>
        <w:ind w:left="357" w:hanging="357"/>
        <w:contextualSpacing w:val="0"/>
        <w:rPr>
          <w:rFonts w:cstheme="minorHAnsi"/>
          <w:lang w:eastAsia="en-AU"/>
        </w:rPr>
      </w:pPr>
      <w:r w:rsidRPr="003B2524">
        <w:rPr>
          <w:rFonts w:cstheme="minorHAnsi"/>
          <w:lang w:eastAsia="en-AU"/>
        </w:rPr>
        <w:t xml:space="preserve">That the report provided by </w:t>
      </w:r>
      <w:r>
        <w:rPr>
          <w:rFonts w:cstheme="minorHAnsi"/>
          <w:lang w:eastAsia="en-AU"/>
        </w:rPr>
        <w:t>the reviewer</w:t>
      </w:r>
      <w:r w:rsidRPr="003B2524">
        <w:rPr>
          <w:rFonts w:cstheme="minorHAnsi"/>
          <w:lang w:eastAsia="en-AU"/>
        </w:rPr>
        <w:t xml:space="preserve"> and updated by the LSDP secretariat be accepted and considered final, noting that the data gaps in the report did not limit the Expert Panel’s ability to form recommendations. </w:t>
      </w:r>
    </w:p>
    <w:p w14:paraId="5AA888F3" w14:textId="77777777" w:rsidR="003B2524" w:rsidRPr="003B2524" w:rsidRDefault="003B2524" w:rsidP="003B2524">
      <w:pPr>
        <w:pStyle w:val="ListParagraph"/>
        <w:numPr>
          <w:ilvl w:val="0"/>
          <w:numId w:val="17"/>
        </w:numPr>
        <w:spacing w:before="0" w:after="160"/>
        <w:rPr>
          <w:rFonts w:cstheme="minorHAnsi"/>
          <w:lang w:eastAsia="en-AU"/>
        </w:rPr>
      </w:pPr>
      <w:r w:rsidRPr="003B2524">
        <w:rPr>
          <w:rFonts w:cstheme="minorHAnsi"/>
          <w:lang w:eastAsia="en-AU"/>
        </w:rPr>
        <w:t xml:space="preserve">That the initial eligibility criteria and mandatory ongoing assessments for MPS IVA be updated: </w:t>
      </w:r>
    </w:p>
    <w:p w14:paraId="0E9ABDCE" w14:textId="77777777" w:rsidR="003B2524" w:rsidRPr="003B2524" w:rsidRDefault="003B2524" w:rsidP="003B2524">
      <w:pPr>
        <w:pStyle w:val="ListParagraph"/>
        <w:numPr>
          <w:ilvl w:val="1"/>
          <w:numId w:val="17"/>
        </w:numPr>
        <w:spacing w:before="0" w:after="160"/>
        <w:rPr>
          <w:rFonts w:cstheme="minorHAnsi"/>
          <w:lang w:eastAsia="en-AU"/>
        </w:rPr>
      </w:pPr>
      <w:r w:rsidRPr="003B2524">
        <w:rPr>
          <w:rFonts w:cstheme="minorHAnsi"/>
          <w:lang w:eastAsia="en-AU"/>
        </w:rPr>
        <w:t>the requirement for assessment of 6MWT, FVC/FEV1 and cardiac function (ECHO result) for eligibility is to be removed. In line with this, the requirement for the assessment of 6MWT, FVC/FEV1 and cardiac function (ECHO results) during treatment is to be removed.</w:t>
      </w:r>
    </w:p>
    <w:p w14:paraId="61702E0C" w14:textId="77777777" w:rsidR="003B2524" w:rsidRPr="003B2524" w:rsidRDefault="003B2524" w:rsidP="003B2524">
      <w:pPr>
        <w:pStyle w:val="ListParagraph"/>
        <w:numPr>
          <w:ilvl w:val="1"/>
          <w:numId w:val="17"/>
        </w:numPr>
        <w:spacing w:before="0" w:after="160"/>
        <w:rPr>
          <w:rFonts w:cstheme="minorHAnsi"/>
          <w:lang w:eastAsia="en-AU"/>
        </w:rPr>
      </w:pPr>
      <w:r w:rsidRPr="003B2524">
        <w:rPr>
          <w:rFonts w:cstheme="minorHAnsi"/>
          <w:lang w:eastAsia="en-AU"/>
        </w:rPr>
        <w:t>the biochemical test (</w:t>
      </w:r>
      <w:proofErr w:type="gramStart"/>
      <w:r w:rsidRPr="003B2524">
        <w:rPr>
          <w:rFonts w:cstheme="minorHAnsi"/>
          <w:lang w:eastAsia="en-AU"/>
        </w:rPr>
        <w:t>i.e.</w:t>
      </w:r>
      <w:proofErr w:type="gramEnd"/>
      <w:r w:rsidRPr="003B2524">
        <w:rPr>
          <w:rFonts w:cstheme="minorHAnsi"/>
          <w:lang w:eastAsia="en-AU"/>
        </w:rPr>
        <w:t xml:space="preserve"> </w:t>
      </w:r>
      <w:proofErr w:type="spellStart"/>
      <w:r w:rsidRPr="003B2524">
        <w:rPr>
          <w:rFonts w:cstheme="minorHAnsi"/>
          <w:lang w:eastAsia="en-AU"/>
        </w:rPr>
        <w:t>uKS</w:t>
      </w:r>
      <w:proofErr w:type="spellEnd"/>
      <w:r w:rsidRPr="003B2524">
        <w:rPr>
          <w:rFonts w:cstheme="minorHAnsi"/>
          <w:lang w:eastAsia="en-AU"/>
        </w:rPr>
        <w:t xml:space="preserve"> test or </w:t>
      </w:r>
      <w:proofErr w:type="spellStart"/>
      <w:r w:rsidRPr="003B2524">
        <w:rPr>
          <w:rFonts w:cstheme="minorHAnsi"/>
          <w:lang w:eastAsia="en-AU"/>
        </w:rPr>
        <w:t>uMPSs</w:t>
      </w:r>
      <w:proofErr w:type="spellEnd"/>
      <w:r w:rsidRPr="003B2524">
        <w:rPr>
          <w:rFonts w:cstheme="minorHAnsi"/>
          <w:lang w:eastAsia="en-AU"/>
        </w:rPr>
        <w:t>) will be required at the following timepoints:</w:t>
      </w:r>
    </w:p>
    <w:p w14:paraId="27A374A0" w14:textId="3CCA50BA" w:rsidR="003B2524" w:rsidRPr="003B2524" w:rsidRDefault="00AC540D" w:rsidP="003B2524">
      <w:pPr>
        <w:pStyle w:val="ListParagraph"/>
        <w:numPr>
          <w:ilvl w:val="2"/>
          <w:numId w:val="17"/>
        </w:numPr>
        <w:spacing w:before="0" w:after="160"/>
        <w:rPr>
          <w:rFonts w:cstheme="minorHAnsi"/>
          <w:lang w:eastAsia="en-AU"/>
        </w:rPr>
      </w:pPr>
      <w:r>
        <w:rPr>
          <w:rFonts w:cstheme="minorHAnsi"/>
          <w:lang w:eastAsia="en-AU"/>
        </w:rPr>
        <w:t xml:space="preserve">at </w:t>
      </w:r>
      <w:r w:rsidR="003B2524" w:rsidRPr="003B2524">
        <w:rPr>
          <w:rFonts w:cstheme="minorHAnsi"/>
          <w:lang w:eastAsia="en-AU"/>
        </w:rPr>
        <w:t>diagnosis (to establish a baseline)</w:t>
      </w:r>
    </w:p>
    <w:p w14:paraId="44BDF80A" w14:textId="780B5612" w:rsidR="003B2524" w:rsidRPr="003B2524" w:rsidRDefault="003B2524" w:rsidP="003B2524">
      <w:pPr>
        <w:pStyle w:val="ListParagraph"/>
        <w:numPr>
          <w:ilvl w:val="2"/>
          <w:numId w:val="17"/>
        </w:numPr>
        <w:spacing w:before="0" w:after="160"/>
        <w:rPr>
          <w:rFonts w:cstheme="minorHAnsi"/>
          <w:lang w:eastAsia="en-AU"/>
        </w:rPr>
      </w:pPr>
      <w:r w:rsidRPr="003B2524">
        <w:rPr>
          <w:rFonts w:cstheme="minorHAnsi"/>
          <w:lang w:eastAsia="en-AU"/>
        </w:rPr>
        <w:t>1 to 3 months post initiation</w:t>
      </w:r>
    </w:p>
    <w:p w14:paraId="46E17046" w14:textId="5778C0B7" w:rsidR="003B2524" w:rsidRPr="003B2524" w:rsidRDefault="003B2524" w:rsidP="00B140BA">
      <w:pPr>
        <w:pStyle w:val="ListParagraph"/>
        <w:numPr>
          <w:ilvl w:val="2"/>
          <w:numId w:val="17"/>
        </w:numPr>
        <w:spacing w:before="0" w:after="160"/>
        <w:ind w:left="1803" w:hanging="181"/>
        <w:contextualSpacing w:val="0"/>
        <w:rPr>
          <w:rFonts w:cstheme="minorHAnsi"/>
          <w:lang w:eastAsia="en-AU"/>
        </w:rPr>
      </w:pPr>
      <w:r w:rsidRPr="003B2524">
        <w:rPr>
          <w:rFonts w:cstheme="minorHAnsi"/>
          <w:lang w:eastAsia="en-AU"/>
        </w:rPr>
        <w:t xml:space="preserve">if a 20% reduction is not shown at (ii) – 6 months post initiation.   </w:t>
      </w:r>
    </w:p>
    <w:p w14:paraId="519D02B3" w14:textId="77777777" w:rsidR="003B2524" w:rsidRPr="003B2524" w:rsidRDefault="003B2524" w:rsidP="003B2524">
      <w:pPr>
        <w:pStyle w:val="ListParagraph"/>
        <w:numPr>
          <w:ilvl w:val="0"/>
          <w:numId w:val="17"/>
        </w:numPr>
        <w:spacing w:before="0" w:after="160"/>
        <w:rPr>
          <w:rFonts w:cstheme="minorHAnsi"/>
          <w:lang w:eastAsia="en-AU"/>
        </w:rPr>
      </w:pPr>
      <w:r w:rsidRPr="003B2524">
        <w:rPr>
          <w:rFonts w:cstheme="minorHAnsi"/>
          <w:lang w:eastAsia="en-AU"/>
        </w:rPr>
        <w:t>That the ongoing eligibility criteria be updated:</w:t>
      </w:r>
    </w:p>
    <w:p w14:paraId="0F7D5BA1" w14:textId="77777777" w:rsidR="003B2524" w:rsidRPr="003B2524" w:rsidRDefault="003B2524" w:rsidP="003B2524">
      <w:pPr>
        <w:pStyle w:val="ListParagraph"/>
        <w:numPr>
          <w:ilvl w:val="1"/>
          <w:numId w:val="17"/>
        </w:numPr>
        <w:spacing w:before="0" w:after="160"/>
        <w:rPr>
          <w:rFonts w:cstheme="minorHAnsi"/>
          <w:lang w:eastAsia="en-AU"/>
        </w:rPr>
      </w:pPr>
      <w:r w:rsidRPr="003B2524">
        <w:rPr>
          <w:rFonts w:cstheme="minorHAnsi"/>
          <w:lang w:eastAsia="en-AU"/>
        </w:rPr>
        <w:t xml:space="preserve">the requirement for the assessment of </w:t>
      </w:r>
      <w:proofErr w:type="spellStart"/>
      <w:r w:rsidRPr="003B2524">
        <w:rPr>
          <w:rFonts w:cstheme="minorHAnsi"/>
          <w:lang w:eastAsia="en-AU"/>
        </w:rPr>
        <w:t>uKS</w:t>
      </w:r>
      <w:proofErr w:type="spellEnd"/>
      <w:r w:rsidRPr="003B2524">
        <w:rPr>
          <w:rFonts w:cstheme="minorHAnsi"/>
          <w:lang w:eastAsia="en-AU"/>
        </w:rPr>
        <w:t xml:space="preserve"> (beyond that required in 2b), 6MWT, FVC/FEV1 and cardiac function (ECHO results) is to be removed. Only a clinic letter will be required, but this should include the results of any of these tests if performed as part of standard care. All standard continuation and exclusion criteria for an LSDP medicine will remain. </w:t>
      </w:r>
    </w:p>
    <w:p w14:paraId="5730F7B8" w14:textId="77777777" w:rsidR="003B2524" w:rsidRPr="003B2524" w:rsidRDefault="003B2524" w:rsidP="003B2524">
      <w:pPr>
        <w:pStyle w:val="ListParagraph"/>
        <w:numPr>
          <w:ilvl w:val="1"/>
          <w:numId w:val="17"/>
        </w:numPr>
        <w:spacing w:before="0" w:after="160"/>
        <w:rPr>
          <w:rFonts w:cstheme="minorHAnsi"/>
          <w:lang w:eastAsia="en-AU"/>
        </w:rPr>
      </w:pPr>
      <w:r w:rsidRPr="003B2524">
        <w:rPr>
          <w:rFonts w:cstheme="minorHAnsi"/>
          <w:lang w:eastAsia="en-AU"/>
        </w:rPr>
        <w:t xml:space="preserve">the exclusion criterion for missed infusions be removed. </w:t>
      </w:r>
    </w:p>
    <w:p w14:paraId="23491104" w14:textId="5B8C8D50" w:rsidR="00D43DCF" w:rsidRPr="003B2524" w:rsidRDefault="003B2524" w:rsidP="00B140BA">
      <w:pPr>
        <w:pStyle w:val="ListParagraph"/>
        <w:numPr>
          <w:ilvl w:val="1"/>
          <w:numId w:val="17"/>
        </w:numPr>
        <w:spacing w:before="0" w:after="160"/>
        <w:ind w:left="1077" w:hanging="357"/>
        <w:contextualSpacing w:val="0"/>
        <w:rPr>
          <w:rFonts w:cstheme="minorHAnsi"/>
          <w:lang w:eastAsia="en-AU"/>
        </w:rPr>
      </w:pPr>
      <w:r w:rsidRPr="003B2524">
        <w:rPr>
          <w:rFonts w:cstheme="minorHAnsi"/>
          <w:lang w:eastAsia="en-AU"/>
        </w:rPr>
        <w:t>for patients who do not have at least a 20% reduction from baseline by the 6 months post-treatment initiation timepoint, the treating physician will be required to submit a clinic letter describing how the patient is responding to therapy and</w:t>
      </w:r>
      <w:r w:rsidR="00D43DCF">
        <w:rPr>
          <w:rFonts w:cstheme="minorHAnsi"/>
          <w:lang w:eastAsia="en-AU"/>
        </w:rPr>
        <w:t xml:space="preserve"> </w:t>
      </w:r>
      <w:r w:rsidRPr="003B2524">
        <w:rPr>
          <w:rFonts w:cstheme="minorHAnsi"/>
          <w:lang w:eastAsia="en-AU"/>
        </w:rPr>
        <w:t>include any available supportive documentation for the department’s assessment.</w:t>
      </w:r>
    </w:p>
    <w:p w14:paraId="19744F0D" w14:textId="345AD3AA" w:rsidR="00D43DCF" w:rsidRPr="00D43DCF" w:rsidRDefault="003B2524" w:rsidP="00D43DCF">
      <w:pPr>
        <w:pStyle w:val="ListParagraph"/>
        <w:numPr>
          <w:ilvl w:val="0"/>
          <w:numId w:val="17"/>
        </w:numPr>
        <w:spacing w:before="0" w:after="160"/>
        <w:rPr>
          <w:rFonts w:cstheme="minorHAnsi"/>
          <w:lang w:eastAsia="en-AU"/>
        </w:rPr>
      </w:pPr>
      <w:r w:rsidRPr="00D43DCF">
        <w:rPr>
          <w:rFonts w:cstheme="minorHAnsi"/>
          <w:lang w:eastAsia="en-AU"/>
        </w:rPr>
        <w:t>That the Department renegotiate the Deed of</w:t>
      </w:r>
      <w:r w:rsidR="00D43DCF" w:rsidRPr="00D43DCF">
        <w:rPr>
          <w:rFonts w:cstheme="minorHAnsi"/>
          <w:lang w:eastAsia="en-AU"/>
        </w:rPr>
        <w:t xml:space="preserve"> </w:t>
      </w:r>
      <w:r w:rsidRPr="00D43DCF">
        <w:rPr>
          <w:rFonts w:cstheme="minorHAnsi"/>
          <w:lang w:eastAsia="en-AU"/>
        </w:rPr>
        <w:t>Agreement with the sponsor to achieve a more</w:t>
      </w:r>
      <w:r w:rsidR="00D43DCF" w:rsidRPr="00D43DCF">
        <w:rPr>
          <w:rFonts w:cstheme="minorHAnsi"/>
          <w:lang w:eastAsia="en-AU"/>
        </w:rPr>
        <w:t xml:space="preserve"> </w:t>
      </w:r>
      <w:r w:rsidRPr="00D43DCF">
        <w:rPr>
          <w:rFonts w:cstheme="minorHAnsi"/>
          <w:lang w:eastAsia="en-AU"/>
        </w:rPr>
        <w:t xml:space="preserve">favourable cost to Government for elosulfase alfa </w:t>
      </w:r>
      <w:r w:rsidR="004A0AA2" w:rsidRPr="00B140BA">
        <w:rPr>
          <w:rFonts w:cstheme="minorHAnsi"/>
          <w:highlight w:val="black"/>
          <w:lang w:eastAsia="en-AU"/>
        </w:rPr>
        <w:t>XXXXXXXXXXXXXXXXXXXXXX</w:t>
      </w:r>
      <w:r w:rsidR="00D43DCF" w:rsidRPr="00B140BA">
        <w:rPr>
          <w:rFonts w:cstheme="minorHAnsi"/>
          <w:highlight w:val="black"/>
          <w:lang w:eastAsia="en-AU"/>
        </w:rPr>
        <w:t xml:space="preserve"> </w:t>
      </w:r>
      <w:r w:rsidR="004A0AA2" w:rsidRPr="00B140BA">
        <w:rPr>
          <w:rFonts w:cstheme="minorHAnsi"/>
          <w:highlight w:val="black"/>
          <w:lang w:eastAsia="en-AU"/>
        </w:rPr>
        <w:t>XXXXXXXXXXXXXXXXXXXXXXXXXXXXX</w:t>
      </w:r>
      <w:r w:rsidRPr="00D531DF">
        <w:rPr>
          <w:rFonts w:cstheme="minorHAnsi"/>
          <w:highlight w:val="black"/>
          <w:lang w:eastAsia="en-AU"/>
        </w:rPr>
        <w:t xml:space="preserve">. </w:t>
      </w:r>
      <w:r w:rsidR="00D531DF" w:rsidRPr="00D531DF">
        <w:rPr>
          <w:rFonts w:cstheme="minorHAnsi"/>
          <w:highlight w:val="black"/>
          <w:lang w:eastAsia="en-AU"/>
        </w:rPr>
        <w:t>XXXXXXXXXXXXXXXXXXXXXXXXXXXXX XXXXXXXXXXXXXXXXXXXXXXXXXXXXXXXXXXXXXXXXXXXXXXXXXXXXXXXXXXX XXXXXXXXXXXXXXXXXXXXX.</w:t>
      </w:r>
    </w:p>
    <w:p w14:paraId="00D4FF72" w14:textId="3A091B36" w:rsidR="00396878" w:rsidRPr="008904D9" w:rsidRDefault="00396878" w:rsidP="008904D9">
      <w:pPr>
        <w:pStyle w:val="Heading2"/>
        <w:rPr>
          <w:rFonts w:eastAsiaTheme="majorEastAsia"/>
          <w:caps/>
        </w:rPr>
      </w:pPr>
      <w:r w:rsidRPr="008904D9">
        <w:rPr>
          <w:rFonts w:eastAsiaTheme="majorEastAsia"/>
        </w:rPr>
        <w:t>Next Steps</w:t>
      </w:r>
    </w:p>
    <w:p w14:paraId="6C914B50" w14:textId="67E85B8D" w:rsidR="00E82AEB" w:rsidRPr="008904D9" w:rsidRDefault="007E6A91" w:rsidP="008904D9">
      <w:pPr>
        <w:pStyle w:val="BodyText"/>
        <w:spacing w:line="276" w:lineRule="auto"/>
        <w:rPr>
          <w:rFonts w:ascii="Arial" w:eastAsia="Times New Roman" w:hAnsi="Arial" w:cstheme="minorHAnsi"/>
          <w:color w:val="000000" w:themeColor="text1"/>
          <w:sz w:val="22"/>
          <w:szCs w:val="24"/>
        </w:rPr>
      </w:pPr>
      <w:r w:rsidRPr="007E6A91">
        <w:rPr>
          <w:rFonts w:ascii="Arial" w:eastAsia="Times New Roman" w:hAnsi="Arial" w:cstheme="minorHAnsi"/>
          <w:color w:val="000000" w:themeColor="text1"/>
          <w:sz w:val="22"/>
          <w:szCs w:val="24"/>
        </w:rPr>
        <w:t>The CMO has agreed to these recommendations. The implementation of these recommendation</w:t>
      </w:r>
      <w:r w:rsidR="001F5F45">
        <w:rPr>
          <w:rFonts w:ascii="Arial" w:eastAsia="Times New Roman" w:hAnsi="Arial" w:cstheme="minorHAnsi"/>
          <w:color w:val="000000" w:themeColor="text1"/>
          <w:sz w:val="22"/>
          <w:szCs w:val="24"/>
        </w:rPr>
        <w:t>s</w:t>
      </w:r>
      <w:r w:rsidRPr="007E6A91">
        <w:rPr>
          <w:rFonts w:ascii="Arial" w:eastAsia="Times New Roman" w:hAnsi="Arial" w:cstheme="minorHAnsi"/>
          <w:color w:val="000000" w:themeColor="text1"/>
          <w:sz w:val="22"/>
          <w:szCs w:val="24"/>
        </w:rPr>
        <w:t xml:space="preserve"> is currently being considered and progressed by the Department of Health</w:t>
      </w:r>
      <w:r w:rsidR="00AF788B">
        <w:rPr>
          <w:rFonts w:ascii="Arial" w:eastAsia="Times New Roman" w:hAnsi="Arial" w:cstheme="minorHAnsi"/>
          <w:color w:val="000000" w:themeColor="text1"/>
          <w:sz w:val="22"/>
          <w:szCs w:val="24"/>
        </w:rPr>
        <w:t xml:space="preserve"> and Aged </w:t>
      </w:r>
      <w:r w:rsidR="002B307B">
        <w:rPr>
          <w:rFonts w:ascii="Arial" w:eastAsia="Times New Roman" w:hAnsi="Arial" w:cstheme="minorHAnsi"/>
          <w:color w:val="000000" w:themeColor="text1"/>
          <w:sz w:val="22"/>
          <w:szCs w:val="24"/>
        </w:rPr>
        <w:t>C</w:t>
      </w:r>
      <w:r w:rsidR="00AF788B">
        <w:rPr>
          <w:rFonts w:ascii="Arial" w:eastAsia="Times New Roman" w:hAnsi="Arial" w:cstheme="minorHAnsi"/>
          <w:color w:val="000000" w:themeColor="text1"/>
          <w:sz w:val="22"/>
          <w:szCs w:val="24"/>
        </w:rPr>
        <w:t>are</w:t>
      </w:r>
      <w:r w:rsidRPr="007E6A91">
        <w:rPr>
          <w:rFonts w:ascii="Arial" w:eastAsia="Times New Roman" w:hAnsi="Arial" w:cstheme="minorHAnsi"/>
          <w:color w:val="000000" w:themeColor="text1"/>
          <w:sz w:val="22"/>
          <w:szCs w:val="24"/>
        </w:rPr>
        <w:t xml:space="preserve"> in consultation with </w:t>
      </w:r>
      <w:r w:rsidR="008904D9">
        <w:rPr>
          <w:rFonts w:ascii="Arial" w:eastAsia="Times New Roman" w:hAnsi="Arial" w:cstheme="minorHAnsi"/>
          <w:color w:val="000000" w:themeColor="text1"/>
          <w:sz w:val="22"/>
          <w:szCs w:val="24"/>
        </w:rPr>
        <w:t xml:space="preserve">the </w:t>
      </w:r>
      <w:r w:rsidRPr="007E6A91">
        <w:rPr>
          <w:rFonts w:ascii="Arial" w:eastAsia="Times New Roman" w:hAnsi="Arial" w:cstheme="minorHAnsi"/>
          <w:color w:val="000000" w:themeColor="text1"/>
          <w:sz w:val="22"/>
          <w:szCs w:val="24"/>
        </w:rPr>
        <w:t>sponsor, treating physicians and patient advocacy groups.</w:t>
      </w:r>
      <w:bookmarkEnd w:id="0"/>
    </w:p>
    <w:sectPr w:rsidR="00E82AEB" w:rsidRPr="008904D9" w:rsidSect="0034344A">
      <w:headerReference w:type="default" r:id="rId7"/>
      <w:footerReference w:type="default" r:id="rId8"/>
      <w:headerReference w:type="first" r:id="rId9"/>
      <w:footerReference w:type="first" r:id="rId10"/>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4615A" w14:textId="77777777" w:rsidR="00021CA0" w:rsidRDefault="00021CA0" w:rsidP="00396878">
      <w:pPr>
        <w:spacing w:before="0" w:after="0" w:line="240" w:lineRule="auto"/>
      </w:pPr>
      <w:r>
        <w:separator/>
      </w:r>
    </w:p>
  </w:endnote>
  <w:endnote w:type="continuationSeparator" w:id="0">
    <w:p w14:paraId="12AF77BE" w14:textId="77777777" w:rsidR="00021CA0" w:rsidRDefault="00021CA0" w:rsidP="003968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A5EA" w14:textId="663A1FD4" w:rsidR="00B53987" w:rsidRDefault="007E6A91" w:rsidP="00666A0B">
    <w:pPr>
      <w:pStyle w:val="Footer"/>
      <w:jc w:val="left"/>
    </w:pPr>
    <w:r>
      <w:t xml:space="preserve">Department of Health and Aged Care – LSDP </w:t>
    </w:r>
    <w:r w:rsidRPr="0034344A">
      <w:t>24</w:t>
    </w:r>
    <w:r w:rsidR="00AC540D">
      <w:t xml:space="preserve"> </w:t>
    </w:r>
    <w:r w:rsidRPr="0034344A">
      <w:t>month</w:t>
    </w:r>
    <w:r w:rsidR="00AC540D">
      <w:t>-</w:t>
    </w:r>
    <w:r w:rsidR="001A1529">
      <w:t xml:space="preserve">like </w:t>
    </w:r>
    <w:r w:rsidRPr="0034344A">
      <w:t xml:space="preserve">Review Summary: </w:t>
    </w:r>
    <w:r w:rsidR="00AF788B">
      <w:rPr>
        <w:rFonts w:cstheme="minorHAnsi"/>
        <w:lang w:eastAsia="en-AU"/>
      </w:rPr>
      <w:t>elosulfase alfa</w:t>
    </w:r>
    <w:r w:rsidR="00AF788B" w:rsidRPr="0034344A">
      <w:t xml:space="preserve"> (</w:t>
    </w:r>
    <w:r w:rsidR="00AF788B">
      <w:t>Vimizi</w:t>
    </w:r>
    <w:r w:rsidR="00195DB8">
      <w:t>m</w:t>
    </w:r>
    <w:r w:rsidR="00AF788B" w:rsidRPr="0034344A">
      <w:rPr>
        <w:vertAlign w:val="superscript"/>
      </w:rPr>
      <w:t>®</w:t>
    </w:r>
    <w:r w:rsidR="00AF788B" w:rsidRPr="0034344A">
      <w:t>)</w:t>
    </w:r>
    <w:r w:rsidRPr="0034344A">
      <w:t xml:space="preserve"> </w:t>
    </w:r>
    <w:r w:rsidRPr="00666A0B">
      <w:t xml:space="preserve"> </w:t>
    </w:r>
    <w:sdt>
      <w:sdtPr>
        <w:id w:val="-18390345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0474" w14:textId="5511E946" w:rsidR="00B53987" w:rsidRDefault="007E6A91" w:rsidP="00666A0B">
    <w:pPr>
      <w:pStyle w:val="Footer"/>
      <w:jc w:val="left"/>
    </w:pPr>
    <w:r>
      <w:t>Department of Health and Aged Care –</w:t>
    </w:r>
    <w:r w:rsidRPr="00666A0B">
      <w:t xml:space="preserve"> </w:t>
    </w:r>
    <w:r>
      <w:t xml:space="preserve">LSDP </w:t>
    </w:r>
    <w:r w:rsidRPr="0034344A">
      <w:t>24</w:t>
    </w:r>
    <w:r w:rsidR="00AC540D">
      <w:t xml:space="preserve"> </w:t>
    </w:r>
    <w:r w:rsidRPr="0034344A">
      <w:t>month</w:t>
    </w:r>
    <w:r w:rsidR="00AC540D">
      <w:t>-</w:t>
    </w:r>
    <w:r w:rsidR="0054117C">
      <w:t>like</w:t>
    </w:r>
    <w:r w:rsidRPr="0034344A">
      <w:t xml:space="preserve"> Review Summary: </w:t>
    </w:r>
    <w:r w:rsidR="00AF788B">
      <w:rPr>
        <w:rFonts w:cstheme="minorHAnsi"/>
        <w:lang w:eastAsia="en-AU"/>
      </w:rPr>
      <w:t>elosulfase alfa</w:t>
    </w:r>
    <w:r w:rsidR="00AF788B" w:rsidRPr="0034344A">
      <w:t xml:space="preserve"> </w:t>
    </w:r>
    <w:r w:rsidRPr="0034344A">
      <w:t>(</w:t>
    </w:r>
    <w:r w:rsidR="00AF788B">
      <w:t>Vimizi</w:t>
    </w:r>
    <w:r w:rsidR="00195DB8">
      <w:t>m</w:t>
    </w:r>
    <w:r w:rsidRPr="0034344A">
      <w:rPr>
        <w:vertAlign w:val="superscript"/>
      </w:rPr>
      <w:t>®</w:t>
    </w:r>
    <w:r w:rsidRPr="0034344A">
      <w:t xml:space="preserve">) </w:t>
    </w:r>
    <w:r w:rsidRPr="00666A0B">
      <w:t xml:space="preserve"> </w:t>
    </w:r>
    <w:sdt>
      <w:sdtPr>
        <w:id w:val="-178737789"/>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3C43" w14:textId="77777777" w:rsidR="00021CA0" w:rsidRDefault="00021CA0" w:rsidP="00396878">
      <w:pPr>
        <w:spacing w:before="0" w:after="0" w:line="240" w:lineRule="auto"/>
      </w:pPr>
      <w:r>
        <w:separator/>
      </w:r>
    </w:p>
  </w:footnote>
  <w:footnote w:type="continuationSeparator" w:id="0">
    <w:p w14:paraId="3C688D7F" w14:textId="77777777" w:rsidR="00021CA0" w:rsidRDefault="00021CA0" w:rsidP="0039687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6066" w14:textId="77777777" w:rsidR="008E0C77" w:rsidRDefault="00176FDE"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43F4" w14:textId="77777777" w:rsidR="00B53987" w:rsidRDefault="007E6A91">
    <w:pPr>
      <w:pStyle w:val="Header"/>
    </w:pPr>
    <w:r>
      <w:rPr>
        <w:noProof/>
        <w:lang w:eastAsia="en-AU"/>
      </w:rPr>
      <w:drawing>
        <wp:inline distT="0" distB="0" distL="0" distR="0" wp14:anchorId="3CADA060" wp14:editId="6BEE69C0">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B14"/>
    <w:multiLevelType w:val="hybridMultilevel"/>
    <w:tmpl w:val="55980F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D04CFD"/>
    <w:multiLevelType w:val="hybridMultilevel"/>
    <w:tmpl w:val="BB02D5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8C5E91"/>
    <w:multiLevelType w:val="hybridMultilevel"/>
    <w:tmpl w:val="AB46152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5A1E01"/>
    <w:multiLevelType w:val="hybridMultilevel"/>
    <w:tmpl w:val="67EAF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945DFE"/>
    <w:multiLevelType w:val="hybridMultilevel"/>
    <w:tmpl w:val="3D2E5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5E31C4"/>
    <w:multiLevelType w:val="hybridMultilevel"/>
    <w:tmpl w:val="E4009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3070D6"/>
    <w:multiLevelType w:val="hybridMultilevel"/>
    <w:tmpl w:val="015C8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70248"/>
    <w:multiLevelType w:val="hybridMultilevel"/>
    <w:tmpl w:val="1D68637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9504BAB"/>
    <w:multiLevelType w:val="hybridMultilevel"/>
    <w:tmpl w:val="5148A5A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35C33CE"/>
    <w:multiLevelType w:val="hybridMultilevel"/>
    <w:tmpl w:val="26E468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8B38C1"/>
    <w:multiLevelType w:val="hybridMultilevel"/>
    <w:tmpl w:val="05EEB8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43029B"/>
    <w:multiLevelType w:val="hybridMultilevel"/>
    <w:tmpl w:val="617C3C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7F7E65"/>
    <w:multiLevelType w:val="hybridMultilevel"/>
    <w:tmpl w:val="99D40154"/>
    <w:lvl w:ilvl="0" w:tplc="3D821EC6">
      <w:start w:val="1"/>
      <w:numFmt w:val="decimal"/>
      <w:lvlText w:val="%1."/>
      <w:lvlJc w:val="left"/>
      <w:pPr>
        <w:ind w:left="360" w:hanging="360"/>
      </w:pPr>
      <w:rPr>
        <w:i w:val="0"/>
        <w:i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9473982"/>
    <w:multiLevelType w:val="hybridMultilevel"/>
    <w:tmpl w:val="00A4EAA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AB4BEE"/>
    <w:multiLevelType w:val="hybridMultilevel"/>
    <w:tmpl w:val="728E2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D2199B"/>
    <w:multiLevelType w:val="hybridMultilevel"/>
    <w:tmpl w:val="17E05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775315"/>
    <w:multiLevelType w:val="hybridMultilevel"/>
    <w:tmpl w:val="2CC4C4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D7F0244"/>
    <w:multiLevelType w:val="hybridMultilevel"/>
    <w:tmpl w:val="59207D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C81E16"/>
    <w:multiLevelType w:val="hybridMultilevel"/>
    <w:tmpl w:val="4D784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320C76"/>
    <w:multiLevelType w:val="hybridMultilevel"/>
    <w:tmpl w:val="B11AC384"/>
    <w:lvl w:ilvl="0" w:tplc="0C090017">
      <w:start w:val="1"/>
      <w:numFmt w:val="lowerLetter"/>
      <w:lvlText w:val="%1)"/>
      <w:lvlJc w:val="left"/>
      <w:pPr>
        <w:ind w:left="720" w:hanging="360"/>
      </w:pPr>
    </w:lvl>
    <w:lvl w:ilvl="1" w:tplc="18ACEC60">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91732294">
    <w:abstractNumId w:val="18"/>
  </w:num>
  <w:num w:numId="2" w16cid:durableId="1807772128">
    <w:abstractNumId w:val="3"/>
  </w:num>
  <w:num w:numId="3" w16cid:durableId="229537523">
    <w:abstractNumId w:val="1"/>
  </w:num>
  <w:num w:numId="4" w16cid:durableId="585765352">
    <w:abstractNumId w:val="10"/>
  </w:num>
  <w:num w:numId="5" w16cid:durableId="687175465">
    <w:abstractNumId w:val="9"/>
  </w:num>
  <w:num w:numId="6" w16cid:durableId="1581331224">
    <w:abstractNumId w:val="15"/>
  </w:num>
  <w:num w:numId="7" w16cid:durableId="1089694035">
    <w:abstractNumId w:val="12"/>
  </w:num>
  <w:num w:numId="8" w16cid:durableId="1184634325">
    <w:abstractNumId w:val="4"/>
  </w:num>
  <w:num w:numId="9" w16cid:durableId="108748159">
    <w:abstractNumId w:val="11"/>
  </w:num>
  <w:num w:numId="10" w16cid:durableId="1941252467">
    <w:abstractNumId w:val="14"/>
  </w:num>
  <w:num w:numId="11" w16cid:durableId="1802074258">
    <w:abstractNumId w:val="17"/>
  </w:num>
  <w:num w:numId="12" w16cid:durableId="467364058">
    <w:abstractNumId w:val="0"/>
  </w:num>
  <w:num w:numId="13" w16cid:durableId="2098862075">
    <w:abstractNumId w:val="5"/>
  </w:num>
  <w:num w:numId="14" w16cid:durableId="1660578938">
    <w:abstractNumId w:val="2"/>
  </w:num>
  <w:num w:numId="15" w16cid:durableId="904142208">
    <w:abstractNumId w:val="6"/>
  </w:num>
  <w:num w:numId="16" w16cid:durableId="45760595">
    <w:abstractNumId w:val="16"/>
  </w:num>
  <w:num w:numId="17" w16cid:durableId="776606932">
    <w:abstractNumId w:val="7"/>
  </w:num>
  <w:num w:numId="18" w16cid:durableId="296028554">
    <w:abstractNumId w:val="8"/>
  </w:num>
  <w:num w:numId="19" w16cid:durableId="539364580">
    <w:abstractNumId w:val="19"/>
  </w:num>
  <w:num w:numId="20" w16cid:durableId="6871730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78"/>
    <w:rsid w:val="00021CA0"/>
    <w:rsid w:val="000519FC"/>
    <w:rsid w:val="00097816"/>
    <w:rsid w:val="000C7C7D"/>
    <w:rsid w:val="000F6EAD"/>
    <w:rsid w:val="001143E5"/>
    <w:rsid w:val="00141CA9"/>
    <w:rsid w:val="00145FE3"/>
    <w:rsid w:val="00155A2A"/>
    <w:rsid w:val="00164A45"/>
    <w:rsid w:val="00176FDE"/>
    <w:rsid w:val="00183BB8"/>
    <w:rsid w:val="00191231"/>
    <w:rsid w:val="00195DB8"/>
    <w:rsid w:val="0019729C"/>
    <w:rsid w:val="001A1529"/>
    <w:rsid w:val="001F5F45"/>
    <w:rsid w:val="00214350"/>
    <w:rsid w:val="00253C65"/>
    <w:rsid w:val="00293C26"/>
    <w:rsid w:val="002A5DE3"/>
    <w:rsid w:val="002B307B"/>
    <w:rsid w:val="002B6031"/>
    <w:rsid w:val="002D788E"/>
    <w:rsid w:val="002E1355"/>
    <w:rsid w:val="002F4256"/>
    <w:rsid w:val="0032236D"/>
    <w:rsid w:val="003255D0"/>
    <w:rsid w:val="00396878"/>
    <w:rsid w:val="003B2524"/>
    <w:rsid w:val="003B2A7A"/>
    <w:rsid w:val="003B378E"/>
    <w:rsid w:val="003C2597"/>
    <w:rsid w:val="003C2E14"/>
    <w:rsid w:val="003C6097"/>
    <w:rsid w:val="003C74B9"/>
    <w:rsid w:val="003E0A50"/>
    <w:rsid w:val="003E5868"/>
    <w:rsid w:val="003E5A13"/>
    <w:rsid w:val="0042362E"/>
    <w:rsid w:val="004A0AA2"/>
    <w:rsid w:val="004C76D9"/>
    <w:rsid w:val="005204F9"/>
    <w:rsid w:val="00532A98"/>
    <w:rsid w:val="0054117C"/>
    <w:rsid w:val="00567ED8"/>
    <w:rsid w:val="00582E2F"/>
    <w:rsid w:val="005D764E"/>
    <w:rsid w:val="006177CF"/>
    <w:rsid w:val="00622675"/>
    <w:rsid w:val="00646D6C"/>
    <w:rsid w:val="00646DAD"/>
    <w:rsid w:val="006478F2"/>
    <w:rsid w:val="006628A0"/>
    <w:rsid w:val="00685C7F"/>
    <w:rsid w:val="006C7D77"/>
    <w:rsid w:val="006E3416"/>
    <w:rsid w:val="006E34D4"/>
    <w:rsid w:val="006E3E4B"/>
    <w:rsid w:val="006E479D"/>
    <w:rsid w:val="007172C9"/>
    <w:rsid w:val="00760750"/>
    <w:rsid w:val="00766E5C"/>
    <w:rsid w:val="00792150"/>
    <w:rsid w:val="007E1514"/>
    <w:rsid w:val="007E6A91"/>
    <w:rsid w:val="00807BA6"/>
    <w:rsid w:val="00831FBF"/>
    <w:rsid w:val="0085438E"/>
    <w:rsid w:val="0085467B"/>
    <w:rsid w:val="008649CF"/>
    <w:rsid w:val="00866DBA"/>
    <w:rsid w:val="0089010D"/>
    <w:rsid w:val="008904D9"/>
    <w:rsid w:val="008C706D"/>
    <w:rsid w:val="008F236F"/>
    <w:rsid w:val="00912693"/>
    <w:rsid w:val="00914508"/>
    <w:rsid w:val="009253F5"/>
    <w:rsid w:val="00956A78"/>
    <w:rsid w:val="00972414"/>
    <w:rsid w:val="009C06F8"/>
    <w:rsid w:val="009F3721"/>
    <w:rsid w:val="00A116C8"/>
    <w:rsid w:val="00A23F21"/>
    <w:rsid w:val="00A8081F"/>
    <w:rsid w:val="00A83B74"/>
    <w:rsid w:val="00AB1111"/>
    <w:rsid w:val="00AC540D"/>
    <w:rsid w:val="00AE330E"/>
    <w:rsid w:val="00AF788B"/>
    <w:rsid w:val="00B140BA"/>
    <w:rsid w:val="00B470F7"/>
    <w:rsid w:val="00B62E59"/>
    <w:rsid w:val="00BA69AD"/>
    <w:rsid w:val="00BB0AEE"/>
    <w:rsid w:val="00BB1A21"/>
    <w:rsid w:val="00BB579F"/>
    <w:rsid w:val="00BC7F63"/>
    <w:rsid w:val="00C11C87"/>
    <w:rsid w:val="00C46D43"/>
    <w:rsid w:val="00C545C5"/>
    <w:rsid w:val="00C900BA"/>
    <w:rsid w:val="00C97E19"/>
    <w:rsid w:val="00CE462E"/>
    <w:rsid w:val="00CF2EFC"/>
    <w:rsid w:val="00CF595C"/>
    <w:rsid w:val="00D1109C"/>
    <w:rsid w:val="00D2249D"/>
    <w:rsid w:val="00D25FAB"/>
    <w:rsid w:val="00D372D3"/>
    <w:rsid w:val="00D407DC"/>
    <w:rsid w:val="00D439B3"/>
    <w:rsid w:val="00D43DCF"/>
    <w:rsid w:val="00D531DF"/>
    <w:rsid w:val="00D97171"/>
    <w:rsid w:val="00DD56C9"/>
    <w:rsid w:val="00E04A86"/>
    <w:rsid w:val="00E122E7"/>
    <w:rsid w:val="00E20616"/>
    <w:rsid w:val="00E26C66"/>
    <w:rsid w:val="00E33D8E"/>
    <w:rsid w:val="00E64B92"/>
    <w:rsid w:val="00E713EF"/>
    <w:rsid w:val="00E82AEB"/>
    <w:rsid w:val="00EF3FF8"/>
    <w:rsid w:val="00EF5BF5"/>
    <w:rsid w:val="00F404FD"/>
    <w:rsid w:val="00F5645F"/>
    <w:rsid w:val="00FB4949"/>
    <w:rsid w:val="00FB5B53"/>
    <w:rsid w:val="00FC521B"/>
    <w:rsid w:val="00FE385B"/>
    <w:rsid w:val="00FF207D"/>
    <w:rsid w:val="00FF71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55C1A"/>
  <w15:chartTrackingRefBased/>
  <w15:docId w15:val="{435C2CED-FC60-40A6-A49E-8C18468F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6878"/>
    <w:pPr>
      <w:spacing w:before="120" w:after="120" w:line="276" w:lineRule="auto"/>
    </w:pPr>
    <w:rPr>
      <w:rFonts w:ascii="Arial" w:eastAsia="Times New Roman" w:hAnsi="Arial" w:cs="Times New Roman"/>
      <w:color w:val="000000" w:themeColor="text1"/>
      <w:szCs w:val="24"/>
    </w:rPr>
  </w:style>
  <w:style w:type="paragraph" w:styleId="Heading1">
    <w:name w:val="heading 1"/>
    <w:next w:val="Normal"/>
    <w:link w:val="Heading1Char"/>
    <w:qFormat/>
    <w:rsid w:val="00396878"/>
    <w:pPr>
      <w:keepNext/>
      <w:spacing w:before="240" w:after="60" w:line="240" w:lineRule="auto"/>
      <w:outlineLvl w:val="0"/>
    </w:pPr>
    <w:rPr>
      <w:rFonts w:ascii="Arial" w:eastAsia="Times New Roman" w:hAnsi="Arial" w:cs="Arial"/>
      <w:b/>
      <w:bCs/>
      <w:color w:val="3F4A75"/>
      <w:kern w:val="28"/>
      <w:sz w:val="44"/>
      <w:szCs w:val="36"/>
    </w:rPr>
  </w:style>
  <w:style w:type="paragraph" w:styleId="Heading2">
    <w:name w:val="heading 2"/>
    <w:next w:val="Normal"/>
    <w:link w:val="Heading2Char"/>
    <w:qFormat/>
    <w:rsid w:val="00396878"/>
    <w:pPr>
      <w:keepNext/>
      <w:spacing w:before="240" w:after="60" w:line="240" w:lineRule="auto"/>
      <w:outlineLvl w:val="1"/>
    </w:pPr>
    <w:rPr>
      <w:rFonts w:ascii="Arial" w:eastAsia="Times New Roman" w:hAnsi="Arial" w:cs="Arial"/>
      <w:b/>
      <w:bCs/>
      <w:iCs/>
      <w:color w:val="358189"/>
      <w:sz w:val="36"/>
      <w:szCs w:val="28"/>
    </w:rPr>
  </w:style>
  <w:style w:type="paragraph" w:styleId="Heading3">
    <w:name w:val="heading 3"/>
    <w:next w:val="Normal"/>
    <w:link w:val="Heading3Char"/>
    <w:qFormat/>
    <w:rsid w:val="00396878"/>
    <w:pPr>
      <w:keepNext/>
      <w:spacing w:before="180" w:after="60" w:line="240" w:lineRule="auto"/>
      <w:outlineLvl w:val="2"/>
    </w:pPr>
    <w:rPr>
      <w:rFonts w:ascii="Arial" w:eastAsia="Times New Roman" w:hAnsi="Arial" w:cs="Arial"/>
      <w:b/>
      <w:bCs/>
      <w:color w:val="358189"/>
      <w:sz w:val="32"/>
      <w:szCs w:val="26"/>
    </w:rPr>
  </w:style>
  <w:style w:type="paragraph" w:styleId="Heading4">
    <w:name w:val="heading 4"/>
    <w:basedOn w:val="Heading3"/>
    <w:next w:val="Normal"/>
    <w:link w:val="Heading4Char"/>
    <w:qFormat/>
    <w:rsid w:val="00396878"/>
    <w:pPr>
      <w:outlineLvl w:val="3"/>
    </w:pPr>
    <w:rPr>
      <w:i/>
      <w:iCs/>
      <w:noProof/>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6878"/>
    <w:rPr>
      <w:rFonts w:ascii="Arial" w:eastAsia="Times New Roman" w:hAnsi="Arial" w:cs="Arial"/>
      <w:b/>
      <w:bCs/>
      <w:color w:val="3F4A75"/>
      <w:kern w:val="28"/>
      <w:sz w:val="44"/>
      <w:szCs w:val="36"/>
    </w:rPr>
  </w:style>
  <w:style w:type="character" w:customStyle="1" w:styleId="Heading2Char">
    <w:name w:val="Heading 2 Char"/>
    <w:basedOn w:val="DefaultParagraphFont"/>
    <w:link w:val="Heading2"/>
    <w:rsid w:val="00396878"/>
    <w:rPr>
      <w:rFonts w:ascii="Arial" w:eastAsia="Times New Roman" w:hAnsi="Arial" w:cs="Arial"/>
      <w:b/>
      <w:bCs/>
      <w:iCs/>
      <w:color w:val="358189"/>
      <w:sz w:val="36"/>
      <w:szCs w:val="28"/>
    </w:rPr>
  </w:style>
  <w:style w:type="character" w:customStyle="1" w:styleId="Heading3Char">
    <w:name w:val="Heading 3 Char"/>
    <w:basedOn w:val="DefaultParagraphFont"/>
    <w:link w:val="Heading3"/>
    <w:rsid w:val="00396878"/>
    <w:rPr>
      <w:rFonts w:ascii="Arial" w:eastAsia="Times New Roman" w:hAnsi="Arial" w:cs="Arial"/>
      <w:b/>
      <w:bCs/>
      <w:color w:val="358189"/>
      <w:sz w:val="32"/>
      <w:szCs w:val="26"/>
    </w:rPr>
  </w:style>
  <w:style w:type="character" w:customStyle="1" w:styleId="Heading4Char">
    <w:name w:val="Heading 4 Char"/>
    <w:basedOn w:val="DefaultParagraphFont"/>
    <w:link w:val="Heading4"/>
    <w:rsid w:val="00396878"/>
    <w:rPr>
      <w:rFonts w:ascii="Arial" w:eastAsia="Times New Roman" w:hAnsi="Arial" w:cs="Arial"/>
      <w:b/>
      <w:bCs/>
      <w:i/>
      <w:iCs/>
      <w:noProof/>
      <w:color w:val="358189"/>
      <w:sz w:val="28"/>
      <w:szCs w:val="28"/>
      <w:lang w:eastAsia="en-AU"/>
    </w:rPr>
  </w:style>
  <w:style w:type="paragraph" w:styleId="ListParagraph">
    <w:name w:val="List Paragraph"/>
    <w:aliases w:val="Footnote,BulletPoints"/>
    <w:basedOn w:val="Normal"/>
    <w:link w:val="ListParagraphChar"/>
    <w:uiPriority w:val="34"/>
    <w:qFormat/>
    <w:rsid w:val="00396878"/>
    <w:pPr>
      <w:ind w:left="720"/>
      <w:contextualSpacing/>
    </w:pPr>
  </w:style>
  <w:style w:type="paragraph" w:styleId="Header">
    <w:name w:val="header"/>
    <w:link w:val="HeaderChar"/>
    <w:uiPriority w:val="99"/>
    <w:qFormat/>
    <w:rsid w:val="00396878"/>
    <w:pPr>
      <w:tabs>
        <w:tab w:val="center" w:pos="4513"/>
        <w:tab w:val="right" w:pos="9026"/>
      </w:tabs>
      <w:spacing w:after="0" w:line="240" w:lineRule="auto"/>
    </w:pPr>
    <w:rPr>
      <w:rFonts w:ascii="Arial" w:eastAsia="Times New Roman" w:hAnsi="Arial" w:cs="Times New Roman"/>
      <w:szCs w:val="24"/>
    </w:rPr>
  </w:style>
  <w:style w:type="character" w:customStyle="1" w:styleId="HeaderChar">
    <w:name w:val="Header Char"/>
    <w:basedOn w:val="DefaultParagraphFont"/>
    <w:link w:val="Header"/>
    <w:uiPriority w:val="99"/>
    <w:rsid w:val="00396878"/>
    <w:rPr>
      <w:rFonts w:ascii="Arial" w:eastAsia="Times New Roman" w:hAnsi="Arial" w:cs="Times New Roman"/>
      <w:szCs w:val="24"/>
    </w:rPr>
  </w:style>
  <w:style w:type="paragraph" w:styleId="Footer">
    <w:name w:val="footer"/>
    <w:link w:val="FooterChar"/>
    <w:uiPriority w:val="99"/>
    <w:qFormat/>
    <w:rsid w:val="00396878"/>
    <w:pPr>
      <w:tabs>
        <w:tab w:val="center" w:pos="0"/>
        <w:tab w:val="right" w:pos="9026"/>
      </w:tabs>
      <w:spacing w:after="0" w:line="240" w:lineRule="auto"/>
      <w:jc w:val="right"/>
    </w:pPr>
    <w:rPr>
      <w:rFonts w:ascii="Arial" w:eastAsia="Times New Roman" w:hAnsi="Arial" w:cs="Times New Roman"/>
      <w:sz w:val="20"/>
      <w:szCs w:val="24"/>
    </w:rPr>
  </w:style>
  <w:style w:type="character" w:customStyle="1" w:styleId="FooterChar">
    <w:name w:val="Footer Char"/>
    <w:basedOn w:val="DefaultParagraphFont"/>
    <w:link w:val="Footer"/>
    <w:uiPriority w:val="99"/>
    <w:rsid w:val="00396878"/>
    <w:rPr>
      <w:rFonts w:ascii="Arial" w:eastAsia="Times New Roman" w:hAnsi="Arial" w:cs="Times New Roman"/>
      <w:sz w:val="20"/>
      <w:szCs w:val="24"/>
    </w:rPr>
  </w:style>
  <w:style w:type="paragraph" w:customStyle="1" w:styleId="Headertext">
    <w:name w:val="Header text"/>
    <w:rsid w:val="00396878"/>
    <w:pPr>
      <w:spacing w:after="0" w:line="240" w:lineRule="auto"/>
      <w:jc w:val="right"/>
    </w:pPr>
    <w:rPr>
      <w:rFonts w:ascii="Arial" w:eastAsia="Times New Roman" w:hAnsi="Arial" w:cs="Times New Roman"/>
      <w:sz w:val="20"/>
      <w:szCs w:val="24"/>
    </w:rPr>
  </w:style>
  <w:style w:type="paragraph" w:customStyle="1" w:styleId="Tabletextleft">
    <w:name w:val="Table text left"/>
    <w:autoRedefine/>
    <w:qFormat/>
    <w:rsid w:val="00396878"/>
    <w:pPr>
      <w:spacing w:before="60" w:after="60" w:line="240" w:lineRule="auto"/>
    </w:pPr>
    <w:rPr>
      <w:rFonts w:ascii="Arial" w:eastAsia="Times New Roman" w:hAnsi="Arial" w:cs="Times New Roman"/>
      <w:color w:val="000000" w:themeColor="text1"/>
      <w:sz w:val="21"/>
      <w:szCs w:val="24"/>
    </w:rPr>
  </w:style>
  <w:style w:type="character" w:customStyle="1" w:styleId="ListParagraphChar">
    <w:name w:val="List Paragraph Char"/>
    <w:aliases w:val="Footnote Char,BulletPoints Char"/>
    <w:basedOn w:val="DefaultParagraphFont"/>
    <w:link w:val="ListParagraph"/>
    <w:uiPriority w:val="34"/>
    <w:rsid w:val="00396878"/>
    <w:rPr>
      <w:rFonts w:ascii="Arial" w:eastAsia="Times New Roman" w:hAnsi="Arial" w:cs="Times New Roman"/>
      <w:color w:val="000000" w:themeColor="text1"/>
      <w:szCs w:val="24"/>
    </w:rPr>
  </w:style>
  <w:style w:type="paragraph" w:styleId="BodyText">
    <w:name w:val="Body Text"/>
    <w:link w:val="BodyTextChar"/>
    <w:uiPriority w:val="99"/>
    <w:unhideWhenUsed/>
    <w:rsid w:val="00396878"/>
    <w:pPr>
      <w:spacing w:before="120" w:after="240" w:line="240" w:lineRule="auto"/>
    </w:pPr>
    <w:rPr>
      <w:rFonts w:ascii="Arial Narrow" w:eastAsia="Calibri" w:hAnsi="Arial Narrow" w:cs="Times New Roman"/>
      <w:sz w:val="24"/>
    </w:rPr>
  </w:style>
  <w:style w:type="character" w:customStyle="1" w:styleId="BodyTextChar">
    <w:name w:val="Body Text Char"/>
    <w:basedOn w:val="DefaultParagraphFont"/>
    <w:link w:val="BodyText"/>
    <w:uiPriority w:val="99"/>
    <w:rsid w:val="00396878"/>
    <w:rPr>
      <w:rFonts w:ascii="Arial Narrow" w:eastAsia="Calibri" w:hAnsi="Arial Narrow" w:cs="Times New Roman"/>
      <w:sz w:val="24"/>
    </w:rPr>
  </w:style>
  <w:style w:type="character" w:styleId="CommentReference">
    <w:name w:val="annotation reference"/>
    <w:basedOn w:val="DefaultParagraphFont"/>
    <w:uiPriority w:val="99"/>
    <w:semiHidden/>
    <w:unhideWhenUsed/>
    <w:rsid w:val="00396878"/>
    <w:rPr>
      <w:sz w:val="16"/>
      <w:szCs w:val="16"/>
    </w:rPr>
  </w:style>
  <w:style w:type="paragraph" w:styleId="CommentText">
    <w:name w:val="annotation text"/>
    <w:basedOn w:val="Normal"/>
    <w:link w:val="CommentTextChar"/>
    <w:uiPriority w:val="99"/>
    <w:unhideWhenUsed/>
    <w:rsid w:val="00396878"/>
    <w:pPr>
      <w:widowControl w:val="0"/>
      <w:spacing w:before="0" w:after="0" w:line="240" w:lineRule="auto"/>
    </w:pPr>
    <w:rPr>
      <w:rFonts w:ascii="Times New Roman" w:hAnsi="Times New Roman"/>
      <w:snapToGrid w:val="0"/>
      <w:color w:val="auto"/>
      <w:sz w:val="20"/>
      <w:szCs w:val="20"/>
      <w:lang w:val="en-US"/>
    </w:rPr>
  </w:style>
  <w:style w:type="character" w:customStyle="1" w:styleId="CommentTextChar">
    <w:name w:val="Comment Text Char"/>
    <w:basedOn w:val="DefaultParagraphFont"/>
    <w:link w:val="CommentText"/>
    <w:uiPriority w:val="99"/>
    <w:rsid w:val="00396878"/>
    <w:rPr>
      <w:rFonts w:ascii="Times New Roman" w:eastAsia="Times New Roman" w:hAnsi="Times New Roman" w:cs="Times New Roman"/>
      <w:snapToGrid w:val="0"/>
      <w:sz w:val="20"/>
      <w:szCs w:val="20"/>
      <w:lang w:val="en-US"/>
    </w:rPr>
  </w:style>
  <w:style w:type="table" w:styleId="TableGrid">
    <w:name w:val="Table Grid"/>
    <w:aliases w:val="Summary box,ASD Table,Table Gridbeth"/>
    <w:basedOn w:val="TableNormal"/>
    <w:uiPriority w:val="39"/>
    <w:rsid w:val="0039687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F788B"/>
    <w:pPr>
      <w:widowControl/>
      <w:spacing w:before="120" w:after="120"/>
    </w:pPr>
    <w:rPr>
      <w:rFonts w:ascii="Arial" w:hAnsi="Arial"/>
      <w:b/>
      <w:bCs/>
      <w:snapToGrid/>
      <w:color w:val="000000" w:themeColor="text1"/>
      <w:lang w:val="en-AU"/>
    </w:rPr>
  </w:style>
  <w:style w:type="character" w:customStyle="1" w:styleId="CommentSubjectChar">
    <w:name w:val="Comment Subject Char"/>
    <w:basedOn w:val="CommentTextChar"/>
    <w:link w:val="CommentSubject"/>
    <w:uiPriority w:val="99"/>
    <w:semiHidden/>
    <w:rsid w:val="00AF788B"/>
    <w:rPr>
      <w:rFonts w:ascii="Arial" w:eastAsia="Times New Roman" w:hAnsi="Arial" w:cs="Times New Roman"/>
      <w:b/>
      <w:bCs/>
      <w:snapToGrid/>
      <w:color w:val="000000" w:themeColor="text1"/>
      <w:sz w:val="20"/>
      <w:szCs w:val="20"/>
      <w:lang w:val="en-US"/>
    </w:rPr>
  </w:style>
  <w:style w:type="paragraph" w:styleId="Revision">
    <w:name w:val="Revision"/>
    <w:hidden/>
    <w:uiPriority w:val="99"/>
    <w:semiHidden/>
    <w:rsid w:val="00A8081F"/>
    <w:pPr>
      <w:spacing w:after="0" w:line="240" w:lineRule="auto"/>
    </w:pPr>
    <w:rPr>
      <w:rFonts w:ascii="Arial" w:eastAsia="Times New Roman" w:hAnsi="Arial" w:cs="Times New Roman"/>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569562">
      <w:bodyDiv w:val="1"/>
      <w:marLeft w:val="0"/>
      <w:marRight w:val="0"/>
      <w:marTop w:val="0"/>
      <w:marBottom w:val="0"/>
      <w:divBdr>
        <w:top w:val="none" w:sz="0" w:space="0" w:color="auto"/>
        <w:left w:val="none" w:sz="0" w:space="0" w:color="auto"/>
        <w:bottom w:val="none" w:sz="0" w:space="0" w:color="auto"/>
        <w:right w:val="none" w:sz="0" w:space="0" w:color="auto"/>
      </w:divBdr>
    </w:div>
    <w:div w:id="391196378">
      <w:bodyDiv w:val="1"/>
      <w:marLeft w:val="0"/>
      <w:marRight w:val="0"/>
      <w:marTop w:val="0"/>
      <w:marBottom w:val="0"/>
      <w:divBdr>
        <w:top w:val="none" w:sz="0" w:space="0" w:color="auto"/>
        <w:left w:val="none" w:sz="0" w:space="0" w:color="auto"/>
        <w:bottom w:val="none" w:sz="0" w:space="0" w:color="auto"/>
        <w:right w:val="none" w:sz="0" w:space="0" w:color="auto"/>
      </w:divBdr>
    </w:div>
    <w:div w:id="473255020">
      <w:bodyDiv w:val="1"/>
      <w:marLeft w:val="0"/>
      <w:marRight w:val="0"/>
      <w:marTop w:val="0"/>
      <w:marBottom w:val="0"/>
      <w:divBdr>
        <w:top w:val="none" w:sz="0" w:space="0" w:color="auto"/>
        <w:left w:val="none" w:sz="0" w:space="0" w:color="auto"/>
        <w:bottom w:val="none" w:sz="0" w:space="0" w:color="auto"/>
        <w:right w:val="none" w:sz="0" w:space="0" w:color="auto"/>
      </w:divBdr>
    </w:div>
    <w:div w:id="848447189">
      <w:bodyDiv w:val="1"/>
      <w:marLeft w:val="0"/>
      <w:marRight w:val="0"/>
      <w:marTop w:val="0"/>
      <w:marBottom w:val="0"/>
      <w:divBdr>
        <w:top w:val="none" w:sz="0" w:space="0" w:color="auto"/>
        <w:left w:val="none" w:sz="0" w:space="0" w:color="auto"/>
        <w:bottom w:val="none" w:sz="0" w:space="0" w:color="auto"/>
        <w:right w:val="none" w:sz="0" w:space="0" w:color="auto"/>
      </w:divBdr>
    </w:div>
    <w:div w:id="893076964">
      <w:bodyDiv w:val="1"/>
      <w:marLeft w:val="0"/>
      <w:marRight w:val="0"/>
      <w:marTop w:val="0"/>
      <w:marBottom w:val="0"/>
      <w:divBdr>
        <w:top w:val="none" w:sz="0" w:space="0" w:color="auto"/>
        <w:left w:val="none" w:sz="0" w:space="0" w:color="auto"/>
        <w:bottom w:val="none" w:sz="0" w:space="0" w:color="auto"/>
        <w:right w:val="none" w:sz="0" w:space="0" w:color="auto"/>
      </w:divBdr>
    </w:div>
    <w:div w:id="1428117514">
      <w:bodyDiv w:val="1"/>
      <w:marLeft w:val="0"/>
      <w:marRight w:val="0"/>
      <w:marTop w:val="0"/>
      <w:marBottom w:val="0"/>
      <w:divBdr>
        <w:top w:val="none" w:sz="0" w:space="0" w:color="auto"/>
        <w:left w:val="none" w:sz="0" w:space="0" w:color="auto"/>
        <w:bottom w:val="none" w:sz="0" w:space="0" w:color="auto"/>
        <w:right w:val="none" w:sz="0" w:space="0" w:color="auto"/>
      </w:divBdr>
    </w:div>
    <w:div w:id="1480347758">
      <w:bodyDiv w:val="1"/>
      <w:marLeft w:val="0"/>
      <w:marRight w:val="0"/>
      <w:marTop w:val="0"/>
      <w:marBottom w:val="0"/>
      <w:divBdr>
        <w:top w:val="none" w:sz="0" w:space="0" w:color="auto"/>
        <w:left w:val="none" w:sz="0" w:space="0" w:color="auto"/>
        <w:bottom w:val="none" w:sz="0" w:space="0" w:color="auto"/>
        <w:right w:val="none" w:sz="0" w:space="0" w:color="auto"/>
      </w:divBdr>
    </w:div>
    <w:div w:id="1557620010">
      <w:bodyDiv w:val="1"/>
      <w:marLeft w:val="0"/>
      <w:marRight w:val="0"/>
      <w:marTop w:val="0"/>
      <w:marBottom w:val="0"/>
      <w:divBdr>
        <w:top w:val="none" w:sz="0" w:space="0" w:color="auto"/>
        <w:left w:val="none" w:sz="0" w:space="0" w:color="auto"/>
        <w:bottom w:val="none" w:sz="0" w:space="0" w:color="auto"/>
        <w:right w:val="none" w:sz="0" w:space="0" w:color="auto"/>
      </w:divBdr>
    </w:div>
    <w:div w:id="1820996272">
      <w:bodyDiv w:val="1"/>
      <w:marLeft w:val="0"/>
      <w:marRight w:val="0"/>
      <w:marTop w:val="0"/>
      <w:marBottom w:val="0"/>
      <w:divBdr>
        <w:top w:val="none" w:sz="0" w:space="0" w:color="auto"/>
        <w:left w:val="none" w:sz="0" w:space="0" w:color="auto"/>
        <w:bottom w:val="none" w:sz="0" w:space="0" w:color="auto"/>
        <w:right w:val="none" w:sz="0" w:space="0" w:color="auto"/>
      </w:divBdr>
    </w:div>
    <w:div w:id="1972512552">
      <w:bodyDiv w:val="1"/>
      <w:marLeft w:val="0"/>
      <w:marRight w:val="0"/>
      <w:marTop w:val="0"/>
      <w:marBottom w:val="0"/>
      <w:divBdr>
        <w:top w:val="none" w:sz="0" w:space="0" w:color="auto"/>
        <w:left w:val="none" w:sz="0" w:space="0" w:color="auto"/>
        <w:bottom w:val="none" w:sz="0" w:space="0" w:color="auto"/>
        <w:right w:val="none" w:sz="0" w:space="0" w:color="auto"/>
      </w:divBdr>
    </w:div>
    <w:div w:id="211039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738</TotalTime>
  <Pages>5</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month-like Review Summary: Elosulfase alfa</dc:title>
  <dc:subject/>
  <dc:creator>Australian Government Department of Health and Aged Care</dc:creator>
  <cp:keywords>Medicines</cp:keywords>
  <dc:description/>
  <cp:lastModifiedBy>ROBERTSON, Jen</cp:lastModifiedBy>
  <cp:revision>60</cp:revision>
  <dcterms:created xsi:type="dcterms:W3CDTF">2023-03-22T02:00:00Z</dcterms:created>
  <dcterms:modified xsi:type="dcterms:W3CDTF">2023-11-30T07:17:00Z</dcterms:modified>
</cp:coreProperties>
</file>