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7E70" w14:textId="0C4840D1" w:rsidR="00751A23" w:rsidRDefault="009C252F" w:rsidP="000852CF">
      <w:pPr>
        <w:pStyle w:val="Title"/>
        <w:sectPr w:rsidR="00751A23" w:rsidSect="00D45D94">
          <w:type w:val="continuous"/>
          <w:pgSz w:w="11906" w:h="16838"/>
          <w:pgMar w:top="1701" w:right="1418" w:bottom="1418" w:left="1418" w:header="850" w:footer="709" w:gutter="0"/>
          <w:cols w:space="708"/>
          <w:titlePg/>
          <w:docGrid w:linePitch="360"/>
        </w:sectPr>
      </w:pPr>
      <w:r>
        <w:rPr>
          <w:noProof/>
          <w:lang w:eastAsia="en-AU"/>
        </w:rPr>
        <w:drawing>
          <wp:anchor distT="0" distB="0" distL="114300" distR="114300" simplePos="0" relativeHeight="251659264" behindDoc="1" locked="0" layoutInCell="1" allowOverlap="1" wp14:anchorId="4AEB4028" wp14:editId="736E635D">
            <wp:simplePos x="0" y="0"/>
            <wp:positionH relativeFrom="page">
              <wp:align>left</wp:align>
            </wp:positionH>
            <wp:positionV relativeFrom="page">
              <wp:align>bottom</wp:align>
            </wp:positionV>
            <wp:extent cx="7564153" cy="1069099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4153" cy="10690995"/>
                    </a:xfrm>
                    <a:prstGeom prst="rect">
                      <a:avLst/>
                    </a:prstGeom>
                  </pic:spPr>
                </pic:pic>
              </a:graphicData>
            </a:graphic>
            <wp14:sizeRelH relativeFrom="page">
              <wp14:pctWidth>0</wp14:pctWidth>
            </wp14:sizeRelH>
            <wp14:sizeRelV relativeFrom="page">
              <wp14:pctHeight>0</wp14:pctHeight>
            </wp14:sizeRelV>
          </wp:anchor>
        </w:drawing>
      </w:r>
    </w:p>
    <w:p w14:paraId="13BD89F3" w14:textId="77777777" w:rsidR="00072F00" w:rsidRPr="008865D7" w:rsidRDefault="00072F00" w:rsidP="00072F00">
      <w:pPr>
        <w:pStyle w:val="Heading1"/>
        <w:rPr>
          <w:rFonts w:asciiTheme="minorHAnsi" w:hAnsiTheme="minorHAnsi"/>
          <w:color w:val="37818A"/>
        </w:rPr>
      </w:pPr>
      <w:bookmarkStart w:id="0" w:name="_Toc46902719"/>
      <w:bookmarkStart w:id="1" w:name="_Toc61361405"/>
      <w:bookmarkStart w:id="2" w:name="_Toc63758381"/>
      <w:bookmarkStart w:id="3" w:name="_Toc140233976"/>
      <w:r w:rsidRPr="008865D7">
        <w:rPr>
          <w:rFonts w:asciiTheme="minorHAnsi" w:hAnsiTheme="minorHAnsi"/>
          <w:color w:val="37818A"/>
        </w:rPr>
        <w:lastRenderedPageBreak/>
        <w:t>Contents</w:t>
      </w:r>
      <w:bookmarkEnd w:id="0"/>
      <w:bookmarkEnd w:id="1"/>
      <w:bookmarkEnd w:id="2"/>
      <w:bookmarkEnd w:id="3"/>
    </w:p>
    <w:sdt>
      <w:sdtPr>
        <w:rPr>
          <w:rFonts w:cs="Times New Roman"/>
          <w:b/>
          <w:bCs/>
          <w:noProof w:val="0"/>
          <w:color w:val="auto"/>
          <w:sz w:val="22"/>
        </w:rPr>
        <w:id w:val="-1047529977"/>
        <w:docPartObj>
          <w:docPartGallery w:val="Table of Contents"/>
          <w:docPartUnique/>
        </w:docPartObj>
      </w:sdtPr>
      <w:sdtEndPr>
        <w:rPr>
          <w:b w:val="0"/>
          <w:bCs w:val="0"/>
          <w:szCs w:val="22"/>
        </w:rPr>
      </w:sdtEndPr>
      <w:sdtContent>
        <w:p w14:paraId="15C73965" w14:textId="0D20F135" w:rsidR="00351A7B" w:rsidRDefault="00072F00">
          <w:pPr>
            <w:pStyle w:val="TOC1"/>
            <w:rPr>
              <w:rFonts w:asciiTheme="minorHAnsi" w:eastAsiaTheme="minorEastAsia" w:hAnsiTheme="minorHAnsi" w:cstheme="minorBidi"/>
              <w:color w:val="auto"/>
              <w:sz w:val="22"/>
              <w:szCs w:val="22"/>
              <w:lang w:eastAsia="en-AU"/>
            </w:rPr>
          </w:pPr>
          <w:r w:rsidRPr="00417402">
            <w:rPr>
              <w:b/>
              <w:bCs/>
              <w:sz w:val="21"/>
              <w:szCs w:val="21"/>
            </w:rPr>
            <w:fldChar w:fldCharType="begin"/>
          </w:r>
          <w:r w:rsidRPr="00417402">
            <w:rPr>
              <w:sz w:val="21"/>
              <w:szCs w:val="21"/>
            </w:rPr>
            <w:instrText xml:space="preserve"> TOC \o "1-3" \h \z \u </w:instrText>
          </w:r>
          <w:r w:rsidRPr="00417402">
            <w:rPr>
              <w:b/>
              <w:bCs/>
              <w:sz w:val="21"/>
              <w:szCs w:val="21"/>
            </w:rPr>
            <w:fldChar w:fldCharType="separate"/>
          </w:r>
          <w:hyperlink w:anchor="_Toc140233977" w:history="1">
            <w:r w:rsidR="00351A7B" w:rsidRPr="008476E1">
              <w:rPr>
                <w:rStyle w:val="Hyperlink"/>
              </w:rPr>
              <w:t>Acknowledgement of Country</w:t>
            </w:r>
            <w:r w:rsidR="00351A7B">
              <w:rPr>
                <w:webHidden/>
              </w:rPr>
              <w:tab/>
            </w:r>
            <w:r w:rsidR="00351A7B">
              <w:rPr>
                <w:webHidden/>
              </w:rPr>
              <w:fldChar w:fldCharType="begin"/>
            </w:r>
            <w:r w:rsidR="00351A7B">
              <w:rPr>
                <w:webHidden/>
              </w:rPr>
              <w:instrText xml:space="preserve"> PAGEREF _Toc140233977 \h </w:instrText>
            </w:r>
            <w:r w:rsidR="00351A7B">
              <w:rPr>
                <w:webHidden/>
              </w:rPr>
            </w:r>
            <w:r w:rsidR="00351A7B">
              <w:rPr>
                <w:webHidden/>
              </w:rPr>
              <w:fldChar w:fldCharType="separate"/>
            </w:r>
            <w:r w:rsidR="00351A7B">
              <w:rPr>
                <w:webHidden/>
              </w:rPr>
              <w:t>1</w:t>
            </w:r>
            <w:r w:rsidR="00351A7B">
              <w:rPr>
                <w:webHidden/>
              </w:rPr>
              <w:fldChar w:fldCharType="end"/>
            </w:r>
          </w:hyperlink>
        </w:p>
        <w:p w14:paraId="16F18FAA" w14:textId="6138A3D8" w:rsidR="00351A7B" w:rsidRDefault="00000000">
          <w:pPr>
            <w:pStyle w:val="TOC1"/>
            <w:rPr>
              <w:rFonts w:asciiTheme="minorHAnsi" w:eastAsiaTheme="minorEastAsia" w:hAnsiTheme="minorHAnsi" w:cstheme="minorBidi"/>
              <w:color w:val="auto"/>
              <w:sz w:val="22"/>
              <w:szCs w:val="22"/>
              <w:lang w:eastAsia="en-AU"/>
            </w:rPr>
          </w:pPr>
          <w:hyperlink w:anchor="_Toc140233978" w:history="1">
            <w:r w:rsidR="00351A7B" w:rsidRPr="008476E1">
              <w:rPr>
                <w:rStyle w:val="Hyperlink"/>
              </w:rPr>
              <w:t>Message from the Secretary</w:t>
            </w:r>
            <w:r w:rsidR="00351A7B">
              <w:rPr>
                <w:webHidden/>
              </w:rPr>
              <w:tab/>
            </w:r>
            <w:r w:rsidR="00351A7B">
              <w:rPr>
                <w:webHidden/>
              </w:rPr>
              <w:fldChar w:fldCharType="begin"/>
            </w:r>
            <w:r w:rsidR="00351A7B">
              <w:rPr>
                <w:webHidden/>
              </w:rPr>
              <w:instrText xml:space="preserve"> PAGEREF _Toc140233978 \h </w:instrText>
            </w:r>
            <w:r w:rsidR="00351A7B">
              <w:rPr>
                <w:webHidden/>
              </w:rPr>
            </w:r>
            <w:r w:rsidR="00351A7B">
              <w:rPr>
                <w:webHidden/>
              </w:rPr>
              <w:fldChar w:fldCharType="separate"/>
            </w:r>
            <w:r w:rsidR="00351A7B">
              <w:rPr>
                <w:webHidden/>
              </w:rPr>
              <w:t>2</w:t>
            </w:r>
            <w:r w:rsidR="00351A7B">
              <w:rPr>
                <w:webHidden/>
              </w:rPr>
              <w:fldChar w:fldCharType="end"/>
            </w:r>
          </w:hyperlink>
        </w:p>
        <w:p w14:paraId="4C213A88" w14:textId="6DECB726" w:rsidR="00351A7B" w:rsidRDefault="00000000">
          <w:pPr>
            <w:pStyle w:val="TOC1"/>
            <w:rPr>
              <w:rFonts w:asciiTheme="minorHAnsi" w:eastAsiaTheme="minorEastAsia" w:hAnsiTheme="minorHAnsi" w:cstheme="minorBidi"/>
              <w:color w:val="auto"/>
              <w:sz w:val="22"/>
              <w:szCs w:val="22"/>
              <w:lang w:eastAsia="en-AU"/>
            </w:rPr>
          </w:pPr>
          <w:hyperlink w:anchor="_Toc140233979" w:history="1">
            <w:r w:rsidR="00351A7B" w:rsidRPr="008476E1">
              <w:rPr>
                <w:rStyle w:val="Hyperlink"/>
              </w:rPr>
              <w:t>Foreword</w:t>
            </w:r>
            <w:r w:rsidR="00351A7B">
              <w:rPr>
                <w:webHidden/>
              </w:rPr>
              <w:tab/>
            </w:r>
            <w:r w:rsidR="00351A7B">
              <w:rPr>
                <w:webHidden/>
              </w:rPr>
              <w:fldChar w:fldCharType="begin"/>
            </w:r>
            <w:r w:rsidR="00351A7B">
              <w:rPr>
                <w:webHidden/>
              </w:rPr>
              <w:instrText xml:space="preserve"> PAGEREF _Toc140233979 \h </w:instrText>
            </w:r>
            <w:r w:rsidR="00351A7B">
              <w:rPr>
                <w:webHidden/>
              </w:rPr>
            </w:r>
            <w:r w:rsidR="00351A7B">
              <w:rPr>
                <w:webHidden/>
              </w:rPr>
              <w:fldChar w:fldCharType="separate"/>
            </w:r>
            <w:r w:rsidR="00351A7B">
              <w:rPr>
                <w:webHidden/>
              </w:rPr>
              <w:t>3</w:t>
            </w:r>
            <w:r w:rsidR="00351A7B">
              <w:rPr>
                <w:webHidden/>
              </w:rPr>
              <w:fldChar w:fldCharType="end"/>
            </w:r>
          </w:hyperlink>
        </w:p>
        <w:p w14:paraId="31CF6214" w14:textId="3E1D0EDF" w:rsidR="00351A7B" w:rsidRDefault="00000000">
          <w:pPr>
            <w:pStyle w:val="TOC1"/>
            <w:rPr>
              <w:rFonts w:asciiTheme="minorHAnsi" w:eastAsiaTheme="minorEastAsia" w:hAnsiTheme="minorHAnsi" w:cstheme="minorBidi"/>
              <w:color w:val="auto"/>
              <w:sz w:val="22"/>
              <w:szCs w:val="22"/>
              <w:lang w:eastAsia="en-AU"/>
            </w:rPr>
          </w:pPr>
          <w:hyperlink w:anchor="_Toc140233980" w:history="1">
            <w:r w:rsidR="00351A7B" w:rsidRPr="008476E1">
              <w:rPr>
                <w:rStyle w:val="Hyperlink"/>
              </w:rPr>
              <w:t>Introduction</w:t>
            </w:r>
            <w:r w:rsidR="00351A7B">
              <w:rPr>
                <w:webHidden/>
              </w:rPr>
              <w:tab/>
            </w:r>
            <w:r w:rsidR="00351A7B">
              <w:rPr>
                <w:webHidden/>
              </w:rPr>
              <w:fldChar w:fldCharType="begin"/>
            </w:r>
            <w:r w:rsidR="00351A7B">
              <w:rPr>
                <w:webHidden/>
              </w:rPr>
              <w:instrText xml:space="preserve"> PAGEREF _Toc140233980 \h </w:instrText>
            </w:r>
            <w:r w:rsidR="00351A7B">
              <w:rPr>
                <w:webHidden/>
              </w:rPr>
            </w:r>
            <w:r w:rsidR="00351A7B">
              <w:rPr>
                <w:webHidden/>
              </w:rPr>
              <w:fldChar w:fldCharType="separate"/>
            </w:r>
            <w:r w:rsidR="00351A7B">
              <w:rPr>
                <w:webHidden/>
              </w:rPr>
              <w:t>4</w:t>
            </w:r>
            <w:r w:rsidR="00351A7B">
              <w:rPr>
                <w:webHidden/>
              </w:rPr>
              <w:fldChar w:fldCharType="end"/>
            </w:r>
          </w:hyperlink>
        </w:p>
        <w:p w14:paraId="7BF2579A" w14:textId="2627891D" w:rsidR="00351A7B" w:rsidRDefault="00000000">
          <w:pPr>
            <w:pStyle w:val="TOC1"/>
            <w:rPr>
              <w:rFonts w:asciiTheme="minorHAnsi" w:eastAsiaTheme="minorEastAsia" w:hAnsiTheme="minorHAnsi" w:cstheme="minorBidi"/>
              <w:color w:val="auto"/>
              <w:sz w:val="22"/>
              <w:szCs w:val="22"/>
              <w:lang w:eastAsia="en-AU"/>
            </w:rPr>
          </w:pPr>
          <w:hyperlink w:anchor="_Toc140233981" w:history="1">
            <w:r w:rsidR="00351A7B" w:rsidRPr="008476E1">
              <w:rPr>
                <w:rStyle w:val="Hyperlink"/>
              </w:rPr>
              <w:t>What is evaluation and why is it important?</w:t>
            </w:r>
            <w:r w:rsidR="00351A7B">
              <w:rPr>
                <w:webHidden/>
              </w:rPr>
              <w:tab/>
            </w:r>
            <w:r w:rsidR="00351A7B">
              <w:rPr>
                <w:webHidden/>
              </w:rPr>
              <w:fldChar w:fldCharType="begin"/>
            </w:r>
            <w:r w:rsidR="00351A7B">
              <w:rPr>
                <w:webHidden/>
              </w:rPr>
              <w:instrText xml:space="preserve"> PAGEREF _Toc140233981 \h </w:instrText>
            </w:r>
            <w:r w:rsidR="00351A7B">
              <w:rPr>
                <w:webHidden/>
              </w:rPr>
            </w:r>
            <w:r w:rsidR="00351A7B">
              <w:rPr>
                <w:webHidden/>
              </w:rPr>
              <w:fldChar w:fldCharType="separate"/>
            </w:r>
            <w:r w:rsidR="00351A7B">
              <w:rPr>
                <w:webHidden/>
              </w:rPr>
              <w:t>6</w:t>
            </w:r>
            <w:r w:rsidR="00351A7B">
              <w:rPr>
                <w:webHidden/>
              </w:rPr>
              <w:fldChar w:fldCharType="end"/>
            </w:r>
          </w:hyperlink>
        </w:p>
        <w:p w14:paraId="1B17B3F2" w14:textId="3F6472C6" w:rsidR="00351A7B" w:rsidRDefault="00000000">
          <w:pPr>
            <w:pStyle w:val="TOC1"/>
            <w:rPr>
              <w:rFonts w:asciiTheme="minorHAnsi" w:eastAsiaTheme="minorEastAsia" w:hAnsiTheme="minorHAnsi" w:cstheme="minorBidi"/>
              <w:color w:val="auto"/>
              <w:sz w:val="22"/>
              <w:szCs w:val="22"/>
              <w:lang w:eastAsia="en-AU"/>
            </w:rPr>
          </w:pPr>
          <w:hyperlink w:anchor="_Toc140233982" w:history="1">
            <w:r w:rsidR="00351A7B" w:rsidRPr="008476E1">
              <w:rPr>
                <w:rStyle w:val="Hyperlink"/>
              </w:rPr>
              <w:t>Evaluation principles</w:t>
            </w:r>
            <w:r w:rsidR="00351A7B">
              <w:rPr>
                <w:webHidden/>
              </w:rPr>
              <w:tab/>
            </w:r>
            <w:r w:rsidR="00351A7B">
              <w:rPr>
                <w:webHidden/>
              </w:rPr>
              <w:fldChar w:fldCharType="begin"/>
            </w:r>
            <w:r w:rsidR="00351A7B">
              <w:rPr>
                <w:webHidden/>
              </w:rPr>
              <w:instrText xml:space="preserve"> PAGEREF _Toc140233982 \h </w:instrText>
            </w:r>
            <w:r w:rsidR="00351A7B">
              <w:rPr>
                <w:webHidden/>
              </w:rPr>
            </w:r>
            <w:r w:rsidR="00351A7B">
              <w:rPr>
                <w:webHidden/>
              </w:rPr>
              <w:fldChar w:fldCharType="separate"/>
            </w:r>
            <w:r w:rsidR="00351A7B">
              <w:rPr>
                <w:webHidden/>
              </w:rPr>
              <w:t>9</w:t>
            </w:r>
            <w:r w:rsidR="00351A7B">
              <w:rPr>
                <w:webHidden/>
              </w:rPr>
              <w:fldChar w:fldCharType="end"/>
            </w:r>
          </w:hyperlink>
        </w:p>
        <w:p w14:paraId="775F0E46" w14:textId="36CAFFC6" w:rsidR="00351A7B" w:rsidRDefault="00000000">
          <w:pPr>
            <w:pStyle w:val="TOC1"/>
            <w:rPr>
              <w:rFonts w:asciiTheme="minorHAnsi" w:eastAsiaTheme="minorEastAsia" w:hAnsiTheme="minorHAnsi" w:cstheme="minorBidi"/>
              <w:color w:val="auto"/>
              <w:sz w:val="22"/>
              <w:szCs w:val="22"/>
              <w:lang w:eastAsia="en-AU"/>
            </w:rPr>
          </w:pPr>
          <w:hyperlink w:anchor="_Toc140233983" w:history="1">
            <w:r w:rsidR="00351A7B" w:rsidRPr="008476E1">
              <w:rPr>
                <w:rStyle w:val="Hyperlink"/>
              </w:rPr>
              <w:t>Prioritising evaluation efforts</w:t>
            </w:r>
            <w:r w:rsidR="00351A7B">
              <w:rPr>
                <w:webHidden/>
              </w:rPr>
              <w:tab/>
            </w:r>
            <w:r w:rsidR="00351A7B">
              <w:rPr>
                <w:webHidden/>
              </w:rPr>
              <w:fldChar w:fldCharType="begin"/>
            </w:r>
            <w:r w:rsidR="00351A7B">
              <w:rPr>
                <w:webHidden/>
              </w:rPr>
              <w:instrText xml:space="preserve"> PAGEREF _Toc140233983 \h </w:instrText>
            </w:r>
            <w:r w:rsidR="00351A7B">
              <w:rPr>
                <w:webHidden/>
              </w:rPr>
            </w:r>
            <w:r w:rsidR="00351A7B">
              <w:rPr>
                <w:webHidden/>
              </w:rPr>
              <w:fldChar w:fldCharType="separate"/>
            </w:r>
            <w:r w:rsidR="00351A7B">
              <w:rPr>
                <w:webHidden/>
              </w:rPr>
              <w:t>10</w:t>
            </w:r>
            <w:r w:rsidR="00351A7B">
              <w:rPr>
                <w:webHidden/>
              </w:rPr>
              <w:fldChar w:fldCharType="end"/>
            </w:r>
          </w:hyperlink>
        </w:p>
        <w:p w14:paraId="14B37896" w14:textId="4B7754EA" w:rsidR="00351A7B" w:rsidRDefault="00000000">
          <w:pPr>
            <w:pStyle w:val="TOC1"/>
            <w:rPr>
              <w:rFonts w:asciiTheme="minorHAnsi" w:eastAsiaTheme="minorEastAsia" w:hAnsiTheme="minorHAnsi" w:cstheme="minorBidi"/>
              <w:color w:val="auto"/>
              <w:sz w:val="22"/>
              <w:szCs w:val="22"/>
              <w:lang w:eastAsia="en-AU"/>
            </w:rPr>
          </w:pPr>
          <w:hyperlink w:anchor="_Toc140233984" w:history="1">
            <w:r w:rsidR="00351A7B" w:rsidRPr="008476E1">
              <w:rPr>
                <w:rStyle w:val="Hyperlink"/>
              </w:rPr>
              <w:t>Strategic priority areas</w:t>
            </w:r>
            <w:r w:rsidR="00351A7B">
              <w:rPr>
                <w:webHidden/>
              </w:rPr>
              <w:tab/>
            </w:r>
            <w:r w:rsidR="00351A7B">
              <w:rPr>
                <w:webHidden/>
              </w:rPr>
              <w:fldChar w:fldCharType="begin"/>
            </w:r>
            <w:r w:rsidR="00351A7B">
              <w:rPr>
                <w:webHidden/>
              </w:rPr>
              <w:instrText xml:space="preserve"> PAGEREF _Toc140233984 \h </w:instrText>
            </w:r>
            <w:r w:rsidR="00351A7B">
              <w:rPr>
                <w:webHidden/>
              </w:rPr>
            </w:r>
            <w:r w:rsidR="00351A7B">
              <w:rPr>
                <w:webHidden/>
              </w:rPr>
              <w:fldChar w:fldCharType="separate"/>
            </w:r>
            <w:r w:rsidR="00351A7B">
              <w:rPr>
                <w:webHidden/>
              </w:rPr>
              <w:t>12</w:t>
            </w:r>
            <w:r w:rsidR="00351A7B">
              <w:rPr>
                <w:webHidden/>
              </w:rPr>
              <w:fldChar w:fldCharType="end"/>
            </w:r>
          </w:hyperlink>
        </w:p>
        <w:p w14:paraId="4425CE5C" w14:textId="7AB22214" w:rsidR="00351A7B" w:rsidRDefault="00000000">
          <w:pPr>
            <w:pStyle w:val="TOC1"/>
            <w:rPr>
              <w:rFonts w:asciiTheme="minorHAnsi" w:eastAsiaTheme="minorEastAsia" w:hAnsiTheme="minorHAnsi" w:cstheme="minorBidi"/>
              <w:color w:val="auto"/>
              <w:sz w:val="22"/>
              <w:szCs w:val="22"/>
              <w:lang w:eastAsia="en-AU"/>
            </w:rPr>
          </w:pPr>
          <w:hyperlink w:anchor="_Toc140233985" w:history="1">
            <w:r w:rsidR="00351A7B" w:rsidRPr="008476E1">
              <w:rPr>
                <w:rStyle w:val="Hyperlink"/>
              </w:rPr>
              <w:t>Governance of evaluations</w:t>
            </w:r>
            <w:r w:rsidR="00351A7B">
              <w:rPr>
                <w:webHidden/>
              </w:rPr>
              <w:tab/>
            </w:r>
            <w:r w:rsidR="00351A7B">
              <w:rPr>
                <w:webHidden/>
              </w:rPr>
              <w:fldChar w:fldCharType="begin"/>
            </w:r>
            <w:r w:rsidR="00351A7B">
              <w:rPr>
                <w:webHidden/>
              </w:rPr>
              <w:instrText xml:space="preserve"> PAGEREF _Toc140233985 \h </w:instrText>
            </w:r>
            <w:r w:rsidR="00351A7B">
              <w:rPr>
                <w:webHidden/>
              </w:rPr>
            </w:r>
            <w:r w:rsidR="00351A7B">
              <w:rPr>
                <w:webHidden/>
              </w:rPr>
              <w:fldChar w:fldCharType="separate"/>
            </w:r>
            <w:r w:rsidR="00351A7B">
              <w:rPr>
                <w:webHidden/>
              </w:rPr>
              <w:t>14</w:t>
            </w:r>
            <w:r w:rsidR="00351A7B">
              <w:rPr>
                <w:webHidden/>
              </w:rPr>
              <w:fldChar w:fldCharType="end"/>
            </w:r>
          </w:hyperlink>
        </w:p>
        <w:p w14:paraId="796A7E47" w14:textId="0BC6E0EE" w:rsidR="00351A7B" w:rsidRDefault="00000000">
          <w:pPr>
            <w:pStyle w:val="TOC1"/>
            <w:rPr>
              <w:rFonts w:asciiTheme="minorHAnsi" w:eastAsiaTheme="minorEastAsia" w:hAnsiTheme="minorHAnsi" w:cstheme="minorBidi"/>
              <w:color w:val="auto"/>
              <w:sz w:val="22"/>
              <w:szCs w:val="22"/>
              <w:lang w:eastAsia="en-AU"/>
            </w:rPr>
          </w:pPr>
          <w:hyperlink w:anchor="_Toc140233986" w:history="1">
            <w:r w:rsidR="00351A7B" w:rsidRPr="008476E1">
              <w:rPr>
                <w:rStyle w:val="Hyperlink"/>
              </w:rPr>
              <w:t>Monitoring and reviewing the Strategy</w:t>
            </w:r>
            <w:r w:rsidR="00351A7B">
              <w:rPr>
                <w:webHidden/>
              </w:rPr>
              <w:tab/>
            </w:r>
            <w:r w:rsidR="00351A7B">
              <w:rPr>
                <w:webHidden/>
              </w:rPr>
              <w:fldChar w:fldCharType="begin"/>
            </w:r>
            <w:r w:rsidR="00351A7B">
              <w:rPr>
                <w:webHidden/>
              </w:rPr>
              <w:instrText xml:space="preserve"> PAGEREF _Toc140233986 \h </w:instrText>
            </w:r>
            <w:r w:rsidR="00351A7B">
              <w:rPr>
                <w:webHidden/>
              </w:rPr>
            </w:r>
            <w:r w:rsidR="00351A7B">
              <w:rPr>
                <w:webHidden/>
              </w:rPr>
              <w:fldChar w:fldCharType="separate"/>
            </w:r>
            <w:r w:rsidR="00351A7B">
              <w:rPr>
                <w:webHidden/>
              </w:rPr>
              <w:t>15</w:t>
            </w:r>
            <w:r w:rsidR="00351A7B">
              <w:rPr>
                <w:webHidden/>
              </w:rPr>
              <w:fldChar w:fldCharType="end"/>
            </w:r>
          </w:hyperlink>
        </w:p>
        <w:p w14:paraId="057B685A" w14:textId="3B5B9665" w:rsidR="00351A7B" w:rsidRDefault="00000000">
          <w:pPr>
            <w:pStyle w:val="TOC1"/>
            <w:rPr>
              <w:rFonts w:asciiTheme="minorHAnsi" w:eastAsiaTheme="minorEastAsia" w:hAnsiTheme="minorHAnsi" w:cstheme="minorBidi"/>
              <w:color w:val="auto"/>
              <w:sz w:val="22"/>
              <w:szCs w:val="22"/>
              <w:lang w:eastAsia="en-AU"/>
            </w:rPr>
          </w:pPr>
          <w:hyperlink w:anchor="_Toc140233987" w:history="1">
            <w:r w:rsidR="00351A7B" w:rsidRPr="008476E1">
              <w:rPr>
                <w:rStyle w:val="Hyperlink"/>
              </w:rPr>
              <w:t xml:space="preserve">Implementation plan   </w:t>
            </w:r>
            <w:r w:rsidR="00351A7B">
              <w:rPr>
                <w:webHidden/>
              </w:rPr>
              <w:tab/>
            </w:r>
            <w:r w:rsidR="00351A7B">
              <w:rPr>
                <w:webHidden/>
              </w:rPr>
              <w:fldChar w:fldCharType="begin"/>
            </w:r>
            <w:r w:rsidR="00351A7B">
              <w:rPr>
                <w:webHidden/>
              </w:rPr>
              <w:instrText xml:space="preserve"> PAGEREF _Toc140233987 \h </w:instrText>
            </w:r>
            <w:r w:rsidR="00351A7B">
              <w:rPr>
                <w:webHidden/>
              </w:rPr>
            </w:r>
            <w:r w:rsidR="00351A7B">
              <w:rPr>
                <w:webHidden/>
              </w:rPr>
              <w:fldChar w:fldCharType="separate"/>
            </w:r>
            <w:r w:rsidR="00351A7B">
              <w:rPr>
                <w:webHidden/>
              </w:rPr>
              <w:t>17</w:t>
            </w:r>
            <w:r w:rsidR="00351A7B">
              <w:rPr>
                <w:webHidden/>
              </w:rPr>
              <w:fldChar w:fldCharType="end"/>
            </w:r>
          </w:hyperlink>
        </w:p>
        <w:p w14:paraId="6A5EF03A" w14:textId="55FD5D3F" w:rsidR="00351A7B" w:rsidRDefault="00000000">
          <w:pPr>
            <w:pStyle w:val="TOC1"/>
            <w:rPr>
              <w:rFonts w:asciiTheme="minorHAnsi" w:eastAsiaTheme="minorEastAsia" w:hAnsiTheme="minorHAnsi" w:cstheme="minorBidi"/>
              <w:color w:val="auto"/>
              <w:sz w:val="22"/>
              <w:szCs w:val="22"/>
              <w:lang w:eastAsia="en-AU"/>
            </w:rPr>
          </w:pPr>
          <w:hyperlink w:anchor="_Toc140233988" w:history="1">
            <w:r w:rsidR="00351A7B" w:rsidRPr="008476E1">
              <w:rPr>
                <w:rStyle w:val="Hyperlink"/>
              </w:rPr>
              <w:t>Glossary of useful evaluation terms</w:t>
            </w:r>
            <w:r w:rsidR="00351A7B">
              <w:rPr>
                <w:webHidden/>
              </w:rPr>
              <w:tab/>
            </w:r>
            <w:r w:rsidR="00351A7B">
              <w:rPr>
                <w:webHidden/>
              </w:rPr>
              <w:fldChar w:fldCharType="begin"/>
            </w:r>
            <w:r w:rsidR="00351A7B">
              <w:rPr>
                <w:webHidden/>
              </w:rPr>
              <w:instrText xml:space="preserve"> PAGEREF _Toc140233988 \h </w:instrText>
            </w:r>
            <w:r w:rsidR="00351A7B">
              <w:rPr>
                <w:webHidden/>
              </w:rPr>
            </w:r>
            <w:r w:rsidR="00351A7B">
              <w:rPr>
                <w:webHidden/>
              </w:rPr>
              <w:fldChar w:fldCharType="separate"/>
            </w:r>
            <w:r w:rsidR="00351A7B">
              <w:rPr>
                <w:webHidden/>
              </w:rPr>
              <w:t>19</w:t>
            </w:r>
            <w:r w:rsidR="00351A7B">
              <w:rPr>
                <w:webHidden/>
              </w:rPr>
              <w:fldChar w:fldCharType="end"/>
            </w:r>
          </w:hyperlink>
        </w:p>
        <w:p w14:paraId="5732CF5D" w14:textId="037CEE2B" w:rsidR="00351A7B" w:rsidRDefault="00000000">
          <w:pPr>
            <w:pStyle w:val="TOC1"/>
            <w:rPr>
              <w:rFonts w:asciiTheme="minorHAnsi" w:eastAsiaTheme="minorEastAsia" w:hAnsiTheme="minorHAnsi" w:cstheme="minorBidi"/>
              <w:color w:val="auto"/>
              <w:sz w:val="22"/>
              <w:szCs w:val="22"/>
              <w:lang w:eastAsia="en-AU"/>
            </w:rPr>
          </w:pPr>
          <w:hyperlink w:anchor="_Toc140233989" w:history="1">
            <w:r w:rsidR="00351A7B" w:rsidRPr="008476E1">
              <w:rPr>
                <w:rStyle w:val="Hyperlink"/>
              </w:rPr>
              <w:t xml:space="preserve">Strategy on a Page </w:t>
            </w:r>
            <w:r w:rsidR="00351A7B">
              <w:rPr>
                <w:webHidden/>
              </w:rPr>
              <w:tab/>
            </w:r>
            <w:r w:rsidR="00351A7B">
              <w:rPr>
                <w:webHidden/>
              </w:rPr>
              <w:fldChar w:fldCharType="begin"/>
            </w:r>
            <w:r w:rsidR="00351A7B">
              <w:rPr>
                <w:webHidden/>
              </w:rPr>
              <w:instrText xml:space="preserve"> PAGEREF _Toc140233989 \h </w:instrText>
            </w:r>
            <w:r w:rsidR="00351A7B">
              <w:rPr>
                <w:webHidden/>
              </w:rPr>
            </w:r>
            <w:r w:rsidR="00351A7B">
              <w:rPr>
                <w:webHidden/>
              </w:rPr>
              <w:fldChar w:fldCharType="separate"/>
            </w:r>
            <w:r w:rsidR="00351A7B">
              <w:rPr>
                <w:webHidden/>
              </w:rPr>
              <w:t>21</w:t>
            </w:r>
            <w:r w:rsidR="00351A7B">
              <w:rPr>
                <w:webHidden/>
              </w:rPr>
              <w:fldChar w:fldCharType="end"/>
            </w:r>
          </w:hyperlink>
        </w:p>
        <w:p w14:paraId="25F38AEE" w14:textId="7470401B" w:rsidR="00072F00" w:rsidRPr="00417402" w:rsidRDefault="00072F00" w:rsidP="00072F00">
          <w:pPr>
            <w:rPr>
              <w:rFonts w:cs="Arial"/>
              <w:noProof/>
              <w:sz w:val="2"/>
              <w:szCs w:val="22"/>
            </w:rPr>
          </w:pPr>
          <w:r w:rsidRPr="00417402">
            <w:rPr>
              <w:rFonts w:cs="Arial"/>
              <w:b/>
              <w:bCs/>
              <w:noProof/>
              <w:sz w:val="21"/>
              <w:szCs w:val="21"/>
            </w:rPr>
            <w:fldChar w:fldCharType="end"/>
          </w:r>
        </w:p>
      </w:sdtContent>
    </w:sdt>
    <w:p w14:paraId="0B25A15C" w14:textId="77777777" w:rsidR="00072F00" w:rsidRPr="00417402" w:rsidRDefault="00072F00" w:rsidP="00072F00">
      <w:pPr>
        <w:pStyle w:val="Paragraphtext"/>
        <w:rPr>
          <w:rFonts w:cs="Arial"/>
        </w:rPr>
        <w:sectPr w:rsidR="00072F00" w:rsidRPr="00417402" w:rsidSect="00C05CC9">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418" w:left="1418" w:header="709" w:footer="709" w:gutter="0"/>
          <w:pgNumType w:fmt="lowerRoman"/>
          <w:cols w:space="708"/>
          <w:docGrid w:linePitch="360"/>
        </w:sectPr>
      </w:pPr>
    </w:p>
    <w:p w14:paraId="56771882" w14:textId="5195F01E" w:rsidR="00254862" w:rsidRDefault="00254862" w:rsidP="00254862">
      <w:pPr>
        <w:pStyle w:val="Heading1"/>
        <w:rPr>
          <w:rFonts w:asciiTheme="minorHAnsi" w:hAnsiTheme="minorHAnsi"/>
          <w:color w:val="37818A"/>
        </w:rPr>
      </w:pPr>
      <w:bookmarkStart w:id="4" w:name="_Toc140233977"/>
      <w:r w:rsidRPr="00254862">
        <w:rPr>
          <w:rFonts w:asciiTheme="minorHAnsi" w:hAnsiTheme="minorHAnsi"/>
          <w:color w:val="37818A"/>
        </w:rPr>
        <w:lastRenderedPageBreak/>
        <w:t>Acknowledgement of Country</w:t>
      </w:r>
      <w:bookmarkEnd w:id="4"/>
    </w:p>
    <w:p w14:paraId="2DFB14C6" w14:textId="4780B0DD" w:rsidR="00254862" w:rsidRPr="004E61AA" w:rsidRDefault="00254862" w:rsidP="004E61AA">
      <w:pPr>
        <w:spacing w:before="120" w:after="120"/>
        <w:rPr>
          <w:rFonts w:asciiTheme="minorHAnsi" w:eastAsiaTheme="minorHAnsi" w:hAnsiTheme="minorHAnsi" w:cstheme="minorBidi"/>
          <w:szCs w:val="22"/>
        </w:rPr>
      </w:pPr>
      <w:r w:rsidRPr="004E61AA">
        <w:rPr>
          <w:rFonts w:asciiTheme="minorHAnsi" w:eastAsiaTheme="minorHAnsi" w:hAnsiTheme="minorHAnsi" w:cstheme="minorBidi"/>
          <w:szCs w:val="22"/>
        </w:rPr>
        <w:t xml:space="preserve">We, the Department of </w:t>
      </w:r>
      <w:proofErr w:type="gramStart"/>
      <w:r w:rsidRPr="004E61AA">
        <w:rPr>
          <w:rFonts w:asciiTheme="minorHAnsi" w:eastAsiaTheme="minorHAnsi" w:hAnsiTheme="minorHAnsi" w:cstheme="minorBidi"/>
          <w:szCs w:val="22"/>
        </w:rPr>
        <w:t>Health</w:t>
      </w:r>
      <w:proofErr w:type="gramEnd"/>
      <w:r w:rsidRPr="004E61AA">
        <w:rPr>
          <w:rFonts w:asciiTheme="minorHAnsi" w:eastAsiaTheme="minorHAnsi" w:hAnsiTheme="minorHAnsi" w:cstheme="minorBidi"/>
          <w:szCs w:val="22"/>
        </w:rPr>
        <w:t xml:space="preserve"> and Aged Care, acknowledge the Traditional Owners and Custodians of</w:t>
      </w:r>
      <w:r>
        <w:rPr>
          <w:rFonts w:asciiTheme="minorHAnsi" w:eastAsiaTheme="minorHAnsi" w:hAnsiTheme="minorHAnsi" w:cstheme="minorBidi"/>
          <w:szCs w:val="22"/>
        </w:rPr>
        <w:t xml:space="preserve"> </w:t>
      </w:r>
      <w:r w:rsidRPr="004E61AA">
        <w:rPr>
          <w:rFonts w:asciiTheme="minorHAnsi" w:eastAsiaTheme="minorHAnsi" w:hAnsiTheme="minorHAnsi" w:cstheme="minorBidi"/>
          <w:szCs w:val="22"/>
        </w:rPr>
        <w:t>Country throughout Australia. We recognise the strength and resilience of Aboriginal and Torres Strait Islander</w:t>
      </w:r>
      <w:r>
        <w:rPr>
          <w:rFonts w:asciiTheme="minorHAnsi" w:eastAsiaTheme="minorHAnsi" w:hAnsiTheme="minorHAnsi" w:cstheme="minorBidi"/>
          <w:szCs w:val="22"/>
        </w:rPr>
        <w:t xml:space="preserve"> </w:t>
      </w:r>
      <w:proofErr w:type="gramStart"/>
      <w:r w:rsidRPr="004E61AA">
        <w:rPr>
          <w:rFonts w:asciiTheme="minorHAnsi" w:eastAsiaTheme="minorHAnsi" w:hAnsiTheme="minorHAnsi" w:cstheme="minorBidi"/>
          <w:szCs w:val="22"/>
        </w:rPr>
        <w:t>people, and</w:t>
      </w:r>
      <w:proofErr w:type="gramEnd"/>
      <w:r w:rsidRPr="004E61AA">
        <w:rPr>
          <w:rFonts w:asciiTheme="minorHAnsi" w:eastAsiaTheme="minorHAnsi" w:hAnsiTheme="minorHAnsi" w:cstheme="minorBidi"/>
          <w:szCs w:val="22"/>
        </w:rPr>
        <w:t xml:space="preserve"> acknowledge and respect their continuing connections and relationships to country, rivers, land</w:t>
      </w:r>
      <w:r>
        <w:rPr>
          <w:rFonts w:asciiTheme="minorHAnsi" w:eastAsiaTheme="minorHAnsi" w:hAnsiTheme="minorHAnsi" w:cstheme="minorBidi"/>
          <w:szCs w:val="22"/>
        </w:rPr>
        <w:t xml:space="preserve"> </w:t>
      </w:r>
      <w:r w:rsidRPr="004E61AA">
        <w:rPr>
          <w:rFonts w:asciiTheme="minorHAnsi" w:eastAsiaTheme="minorHAnsi" w:hAnsiTheme="minorHAnsi" w:cstheme="minorBidi"/>
          <w:szCs w:val="22"/>
        </w:rPr>
        <w:t>and sea.</w:t>
      </w:r>
    </w:p>
    <w:p w14:paraId="1C093D55" w14:textId="03B535A1" w:rsidR="00254862" w:rsidRPr="004E61AA" w:rsidRDefault="00254862" w:rsidP="004E61AA">
      <w:pPr>
        <w:spacing w:before="120" w:after="120"/>
        <w:rPr>
          <w:rFonts w:asciiTheme="minorHAnsi" w:eastAsiaTheme="minorHAnsi" w:hAnsiTheme="minorHAnsi" w:cstheme="minorBidi"/>
          <w:szCs w:val="22"/>
        </w:rPr>
      </w:pPr>
      <w:r w:rsidRPr="004E61AA">
        <w:rPr>
          <w:rFonts w:asciiTheme="minorHAnsi" w:eastAsiaTheme="minorHAnsi" w:hAnsiTheme="minorHAnsi" w:cstheme="minorBidi"/>
          <w:szCs w:val="22"/>
        </w:rPr>
        <w:t>We acknowledge the ongoing contribution Aboriginal and Torres Strait Islander people make across the health</w:t>
      </w:r>
      <w:r>
        <w:rPr>
          <w:rFonts w:asciiTheme="minorHAnsi" w:eastAsiaTheme="minorHAnsi" w:hAnsiTheme="minorHAnsi" w:cstheme="minorBidi"/>
          <w:szCs w:val="22"/>
        </w:rPr>
        <w:t xml:space="preserve"> </w:t>
      </w:r>
      <w:r w:rsidRPr="004E61AA">
        <w:rPr>
          <w:rFonts w:asciiTheme="minorHAnsi" w:eastAsiaTheme="minorHAnsi" w:hAnsiTheme="minorHAnsi" w:cstheme="minorBidi"/>
          <w:szCs w:val="22"/>
        </w:rPr>
        <w:t>and aged care systems and wider community. We also pay our respects to Elders past, present and future</w:t>
      </w:r>
      <w:r>
        <w:rPr>
          <w:rFonts w:asciiTheme="minorHAnsi" w:eastAsiaTheme="minorHAnsi" w:hAnsiTheme="minorHAnsi" w:cstheme="minorBidi"/>
          <w:szCs w:val="22"/>
        </w:rPr>
        <w:t xml:space="preserve"> </w:t>
      </w:r>
      <w:r w:rsidRPr="004E61AA">
        <w:rPr>
          <w:rFonts w:asciiTheme="minorHAnsi" w:eastAsiaTheme="minorHAnsi" w:hAnsiTheme="minorHAnsi" w:cstheme="minorBidi"/>
          <w:szCs w:val="22"/>
        </w:rPr>
        <w:t>and extend that respect to all Traditional Custodians of this land.</w:t>
      </w:r>
    </w:p>
    <w:p w14:paraId="0BB2691C" w14:textId="0B92A841" w:rsidR="00254862" w:rsidRDefault="00254862" w:rsidP="00254862">
      <w:pPr>
        <w:spacing w:before="120" w:after="120"/>
        <w:rPr>
          <w:rFonts w:asciiTheme="minorHAnsi" w:eastAsiaTheme="minorHAnsi" w:hAnsiTheme="minorHAnsi" w:cstheme="minorBidi"/>
          <w:szCs w:val="22"/>
        </w:rPr>
      </w:pPr>
      <w:r w:rsidRPr="004E61AA">
        <w:rPr>
          <w:rFonts w:asciiTheme="minorHAnsi" w:eastAsiaTheme="minorHAnsi" w:hAnsiTheme="minorHAnsi" w:cstheme="minorBidi"/>
          <w:szCs w:val="22"/>
        </w:rPr>
        <w:t>We acknowledge and respect the Traditional Custodians whose ancestral lands are where our Health and</w:t>
      </w:r>
      <w:r>
        <w:rPr>
          <w:rFonts w:asciiTheme="minorHAnsi" w:eastAsiaTheme="minorHAnsi" w:hAnsiTheme="minorHAnsi" w:cstheme="minorBidi"/>
          <w:szCs w:val="22"/>
        </w:rPr>
        <w:t xml:space="preserve"> </w:t>
      </w:r>
      <w:r w:rsidRPr="004E61AA">
        <w:rPr>
          <w:rFonts w:asciiTheme="minorHAnsi" w:eastAsiaTheme="minorHAnsi" w:hAnsiTheme="minorHAnsi" w:cstheme="minorBidi"/>
          <w:szCs w:val="22"/>
        </w:rPr>
        <w:t>Aged Care offices are located.</w:t>
      </w:r>
    </w:p>
    <w:p w14:paraId="0A6FB792" w14:textId="77777777" w:rsidR="0078218B" w:rsidRDefault="0078218B">
      <w:pPr>
        <w:rPr>
          <w:rFonts w:asciiTheme="minorHAnsi" w:hAnsiTheme="minorHAnsi" w:cs="Arial"/>
          <w:bCs/>
          <w:color w:val="37818A"/>
          <w:kern w:val="28"/>
          <w:sz w:val="36"/>
          <w:szCs w:val="36"/>
        </w:rPr>
      </w:pPr>
      <w:bookmarkStart w:id="5" w:name="_Toc140233978"/>
      <w:bookmarkStart w:id="6" w:name="_Hlk117003462"/>
      <w:r>
        <w:rPr>
          <w:rFonts w:asciiTheme="minorHAnsi" w:hAnsiTheme="minorHAnsi"/>
          <w:color w:val="37818A"/>
        </w:rPr>
        <w:br w:type="page"/>
      </w:r>
    </w:p>
    <w:p w14:paraId="3B3A41AB" w14:textId="6E9CA4EB" w:rsidR="00AA50E6" w:rsidRDefault="00AA50E6" w:rsidP="00AA50E6">
      <w:pPr>
        <w:pStyle w:val="Heading1"/>
        <w:rPr>
          <w:rFonts w:asciiTheme="minorHAnsi" w:hAnsiTheme="minorHAnsi"/>
          <w:color w:val="37818A"/>
        </w:rPr>
      </w:pPr>
      <w:r>
        <w:rPr>
          <w:rFonts w:asciiTheme="minorHAnsi" w:hAnsiTheme="minorHAnsi"/>
          <w:color w:val="37818A"/>
        </w:rPr>
        <w:lastRenderedPageBreak/>
        <w:t>Message from the Secretary</w:t>
      </w:r>
      <w:bookmarkEnd w:id="5"/>
    </w:p>
    <w:p w14:paraId="3A9E60B9" w14:textId="435B2054" w:rsidR="00541585" w:rsidRDefault="00AA50E6" w:rsidP="00AA50E6">
      <w:pPr>
        <w:spacing w:before="120" w:after="120"/>
        <w:rPr>
          <w:rFonts w:asciiTheme="minorHAnsi" w:eastAsiaTheme="minorHAnsi" w:hAnsiTheme="minorHAnsi" w:cstheme="minorBidi"/>
          <w:szCs w:val="22"/>
        </w:rPr>
      </w:pPr>
      <w:r w:rsidRPr="008865D7">
        <w:rPr>
          <w:rFonts w:asciiTheme="minorHAnsi" w:eastAsiaTheme="minorHAnsi" w:hAnsiTheme="minorHAnsi" w:cstheme="minorBidi"/>
          <w:szCs w:val="22"/>
        </w:rPr>
        <w:t xml:space="preserve">I am pleased to </w:t>
      </w:r>
      <w:r w:rsidR="00541585">
        <w:rPr>
          <w:rFonts w:asciiTheme="minorHAnsi" w:eastAsiaTheme="minorHAnsi" w:hAnsiTheme="minorHAnsi" w:cstheme="minorBidi"/>
          <w:szCs w:val="22"/>
        </w:rPr>
        <w:t xml:space="preserve">present </w:t>
      </w:r>
      <w:r w:rsidRPr="008865D7">
        <w:rPr>
          <w:rFonts w:asciiTheme="minorHAnsi" w:eastAsiaTheme="minorHAnsi" w:hAnsiTheme="minorHAnsi" w:cstheme="minorBidi"/>
          <w:szCs w:val="22"/>
        </w:rPr>
        <w:t>the Department of Health</w:t>
      </w:r>
      <w:r>
        <w:rPr>
          <w:rFonts w:asciiTheme="minorHAnsi" w:eastAsiaTheme="minorHAnsi" w:hAnsiTheme="minorHAnsi" w:cstheme="minorBidi"/>
          <w:szCs w:val="22"/>
        </w:rPr>
        <w:t xml:space="preserve"> and Aged Care</w:t>
      </w:r>
      <w:r w:rsidRPr="008865D7">
        <w:rPr>
          <w:rFonts w:asciiTheme="minorHAnsi" w:eastAsiaTheme="minorHAnsi" w:hAnsiTheme="minorHAnsi" w:cstheme="minorBidi"/>
          <w:szCs w:val="22"/>
        </w:rPr>
        <w:t xml:space="preserve">’s </w:t>
      </w:r>
      <w:r w:rsidRPr="00514F13">
        <w:rPr>
          <w:rFonts w:asciiTheme="minorHAnsi" w:eastAsiaTheme="minorHAnsi" w:hAnsiTheme="minorHAnsi" w:cstheme="minorBidi"/>
          <w:i/>
          <w:iCs/>
          <w:szCs w:val="22"/>
        </w:rPr>
        <w:t>Evaluation Strategy 2023-26</w:t>
      </w:r>
      <w:r w:rsidR="004E697D">
        <w:rPr>
          <w:rFonts w:asciiTheme="minorHAnsi" w:eastAsiaTheme="minorHAnsi" w:hAnsiTheme="minorHAnsi" w:cstheme="minorBidi"/>
          <w:i/>
          <w:iCs/>
          <w:szCs w:val="22"/>
        </w:rPr>
        <w:t>.</w:t>
      </w:r>
      <w:r w:rsidR="00541585">
        <w:rPr>
          <w:rFonts w:asciiTheme="minorHAnsi" w:eastAsiaTheme="minorHAnsi" w:hAnsiTheme="minorHAnsi" w:cstheme="minorBidi"/>
          <w:szCs w:val="22"/>
        </w:rPr>
        <w:t xml:space="preserve"> </w:t>
      </w:r>
    </w:p>
    <w:p w14:paraId="71ADEC7F" w14:textId="79162F53" w:rsidR="00C66C92" w:rsidRDefault="00C66C92" w:rsidP="00C66C92">
      <w:pPr>
        <w:spacing w:before="120" w:after="120"/>
        <w:rPr>
          <w:rFonts w:asciiTheme="minorHAnsi" w:eastAsiaTheme="minorHAnsi" w:hAnsiTheme="minorHAnsi" w:cstheme="minorBidi"/>
          <w:szCs w:val="22"/>
        </w:rPr>
      </w:pPr>
      <w:r w:rsidRPr="008865D7">
        <w:rPr>
          <w:rFonts w:asciiTheme="minorHAnsi" w:eastAsiaTheme="minorHAnsi" w:hAnsiTheme="minorHAnsi" w:cstheme="minorBidi"/>
          <w:szCs w:val="22"/>
        </w:rPr>
        <w:t xml:space="preserve">Providing </w:t>
      </w:r>
      <w:r>
        <w:rPr>
          <w:rFonts w:asciiTheme="minorHAnsi" w:eastAsiaTheme="minorHAnsi" w:hAnsiTheme="minorHAnsi" w:cstheme="minorBidi"/>
          <w:szCs w:val="22"/>
        </w:rPr>
        <w:t>b</w:t>
      </w:r>
      <w:r w:rsidRPr="00F63234">
        <w:rPr>
          <w:rFonts w:asciiTheme="minorHAnsi" w:eastAsiaTheme="minorHAnsi" w:hAnsiTheme="minorHAnsi" w:cstheme="minorBidi"/>
          <w:szCs w:val="22"/>
        </w:rPr>
        <w:t>etter health and wellbeing for all Australians, now and for future generations</w:t>
      </w:r>
      <w:r w:rsidR="0083618B">
        <w:rPr>
          <w:rFonts w:asciiTheme="minorHAnsi" w:eastAsiaTheme="minorHAnsi" w:hAnsiTheme="minorHAnsi" w:cstheme="minorBidi"/>
          <w:szCs w:val="22"/>
        </w:rPr>
        <w:t>,</w:t>
      </w:r>
      <w:r>
        <w:rPr>
          <w:rFonts w:asciiTheme="minorHAnsi" w:eastAsiaTheme="minorHAnsi" w:hAnsiTheme="minorHAnsi" w:cstheme="minorBidi"/>
          <w:szCs w:val="22"/>
        </w:rPr>
        <w:t xml:space="preserve"> </w:t>
      </w:r>
      <w:r w:rsidRPr="008865D7">
        <w:rPr>
          <w:rFonts w:asciiTheme="minorHAnsi" w:eastAsiaTheme="minorHAnsi" w:hAnsiTheme="minorHAnsi" w:cstheme="minorBidi"/>
          <w:szCs w:val="22"/>
        </w:rPr>
        <w:t xml:space="preserve">lies at the heart of the department’s </w:t>
      </w:r>
      <w:r w:rsidR="001A10B6">
        <w:rPr>
          <w:rFonts w:asciiTheme="minorHAnsi" w:eastAsiaTheme="minorHAnsi" w:hAnsiTheme="minorHAnsi" w:cstheme="minorBidi"/>
          <w:szCs w:val="22"/>
        </w:rPr>
        <w:t>mission</w:t>
      </w:r>
      <w:r w:rsidRPr="008865D7">
        <w:rPr>
          <w:rFonts w:asciiTheme="minorHAnsi" w:eastAsiaTheme="minorHAnsi" w:hAnsiTheme="minorHAnsi" w:cstheme="minorBidi"/>
          <w:szCs w:val="22"/>
        </w:rPr>
        <w:t xml:space="preserve">. </w:t>
      </w:r>
      <w:r w:rsidR="001A10B6">
        <w:rPr>
          <w:rFonts w:asciiTheme="minorHAnsi" w:eastAsiaTheme="minorHAnsi" w:hAnsiTheme="minorHAnsi" w:cstheme="minorBidi"/>
          <w:szCs w:val="22"/>
        </w:rPr>
        <w:t>W</w:t>
      </w:r>
      <w:r w:rsidRPr="008865D7">
        <w:rPr>
          <w:rFonts w:asciiTheme="minorHAnsi" w:eastAsiaTheme="minorHAnsi" w:hAnsiTheme="minorHAnsi" w:cstheme="minorBidi"/>
          <w:szCs w:val="22"/>
        </w:rPr>
        <w:t xml:space="preserve">e </w:t>
      </w:r>
      <w:r w:rsidR="001A10B6">
        <w:rPr>
          <w:rFonts w:asciiTheme="minorHAnsi" w:eastAsiaTheme="minorHAnsi" w:hAnsiTheme="minorHAnsi" w:cstheme="minorBidi"/>
          <w:szCs w:val="22"/>
        </w:rPr>
        <w:t xml:space="preserve">need </w:t>
      </w:r>
      <w:r w:rsidRPr="008865D7">
        <w:rPr>
          <w:rFonts w:asciiTheme="minorHAnsi" w:eastAsiaTheme="minorHAnsi" w:hAnsiTheme="minorHAnsi" w:cstheme="minorBidi"/>
          <w:szCs w:val="22"/>
        </w:rPr>
        <w:t xml:space="preserve">policies and programs </w:t>
      </w:r>
      <w:r w:rsidR="001A10B6">
        <w:rPr>
          <w:rFonts w:asciiTheme="minorHAnsi" w:eastAsiaTheme="minorHAnsi" w:hAnsiTheme="minorHAnsi" w:cstheme="minorBidi"/>
          <w:szCs w:val="22"/>
        </w:rPr>
        <w:t xml:space="preserve">to </w:t>
      </w:r>
      <w:r w:rsidRPr="008865D7">
        <w:rPr>
          <w:rFonts w:asciiTheme="minorHAnsi" w:eastAsiaTheme="minorHAnsi" w:hAnsiTheme="minorHAnsi" w:cstheme="minorBidi"/>
          <w:szCs w:val="22"/>
        </w:rPr>
        <w:t xml:space="preserve">deliver outcomes as intended, </w:t>
      </w:r>
      <w:r w:rsidR="001A10B6">
        <w:rPr>
          <w:rFonts w:asciiTheme="minorHAnsi" w:eastAsiaTheme="minorHAnsi" w:hAnsiTheme="minorHAnsi" w:cstheme="minorBidi"/>
          <w:szCs w:val="22"/>
        </w:rPr>
        <w:t xml:space="preserve">with </w:t>
      </w:r>
      <w:r w:rsidRPr="008865D7">
        <w:rPr>
          <w:rFonts w:asciiTheme="minorHAnsi" w:eastAsiaTheme="minorHAnsi" w:hAnsiTheme="minorHAnsi" w:cstheme="minorBidi"/>
          <w:szCs w:val="22"/>
        </w:rPr>
        <w:t xml:space="preserve">performance tracked, and resources </w:t>
      </w:r>
      <w:r w:rsidR="001A10B6">
        <w:rPr>
          <w:rFonts w:asciiTheme="minorHAnsi" w:eastAsiaTheme="minorHAnsi" w:hAnsiTheme="minorHAnsi" w:cstheme="minorBidi"/>
          <w:szCs w:val="22"/>
        </w:rPr>
        <w:t xml:space="preserve">used </w:t>
      </w:r>
      <w:r w:rsidRPr="008865D7">
        <w:rPr>
          <w:rFonts w:asciiTheme="minorHAnsi" w:eastAsiaTheme="minorHAnsi" w:hAnsiTheme="minorHAnsi" w:cstheme="minorBidi"/>
          <w:szCs w:val="22"/>
        </w:rPr>
        <w:t xml:space="preserve">appropriately, </w:t>
      </w:r>
      <w:proofErr w:type="gramStart"/>
      <w:r w:rsidRPr="008865D7">
        <w:rPr>
          <w:rFonts w:asciiTheme="minorHAnsi" w:eastAsiaTheme="minorHAnsi" w:hAnsiTheme="minorHAnsi" w:cstheme="minorBidi"/>
          <w:szCs w:val="22"/>
        </w:rPr>
        <w:t>effectively</w:t>
      </w:r>
      <w:proofErr w:type="gramEnd"/>
      <w:r w:rsidRPr="008865D7">
        <w:rPr>
          <w:rFonts w:asciiTheme="minorHAnsi" w:eastAsiaTheme="minorHAnsi" w:hAnsiTheme="minorHAnsi" w:cstheme="minorBidi"/>
          <w:szCs w:val="22"/>
        </w:rPr>
        <w:t xml:space="preserve"> and efficiently. </w:t>
      </w:r>
      <w:r w:rsidR="001A10B6">
        <w:rPr>
          <w:rFonts w:asciiTheme="minorHAnsi" w:eastAsiaTheme="minorHAnsi" w:hAnsiTheme="minorHAnsi" w:cstheme="minorBidi"/>
          <w:szCs w:val="22"/>
        </w:rPr>
        <w:t xml:space="preserve">Success </w:t>
      </w:r>
      <w:r w:rsidRPr="008865D7">
        <w:rPr>
          <w:rFonts w:asciiTheme="minorHAnsi" w:eastAsiaTheme="minorHAnsi" w:hAnsiTheme="minorHAnsi" w:cstheme="minorBidi"/>
          <w:szCs w:val="22"/>
        </w:rPr>
        <w:t>requires</w:t>
      </w:r>
      <w:r>
        <w:rPr>
          <w:rFonts w:asciiTheme="minorHAnsi" w:eastAsiaTheme="minorHAnsi" w:hAnsiTheme="minorHAnsi" w:cstheme="minorBidi"/>
          <w:szCs w:val="22"/>
        </w:rPr>
        <w:t xml:space="preserve"> our </w:t>
      </w:r>
      <w:r w:rsidRPr="008865D7">
        <w:rPr>
          <w:rFonts w:asciiTheme="minorHAnsi" w:eastAsiaTheme="minorHAnsi" w:hAnsiTheme="minorHAnsi" w:cstheme="minorBidi"/>
          <w:szCs w:val="22"/>
        </w:rPr>
        <w:t xml:space="preserve">policies and programs </w:t>
      </w:r>
      <w:r w:rsidR="000919DC">
        <w:rPr>
          <w:rFonts w:asciiTheme="minorHAnsi" w:eastAsiaTheme="minorHAnsi" w:hAnsiTheme="minorHAnsi" w:cstheme="minorBidi"/>
          <w:szCs w:val="22"/>
        </w:rPr>
        <w:t>to be</w:t>
      </w:r>
      <w:r w:rsidR="000919DC" w:rsidRPr="008865D7">
        <w:rPr>
          <w:rFonts w:asciiTheme="minorHAnsi" w:eastAsiaTheme="minorHAnsi" w:hAnsiTheme="minorHAnsi" w:cstheme="minorBidi"/>
          <w:szCs w:val="22"/>
        </w:rPr>
        <w:t xml:space="preserve"> </w:t>
      </w:r>
      <w:r w:rsidRPr="008865D7">
        <w:rPr>
          <w:rFonts w:asciiTheme="minorHAnsi" w:eastAsiaTheme="minorHAnsi" w:hAnsiTheme="minorHAnsi" w:cstheme="minorBidi"/>
          <w:szCs w:val="22"/>
        </w:rPr>
        <w:t>based on the best available evidence.</w:t>
      </w:r>
    </w:p>
    <w:p w14:paraId="1619C138" w14:textId="12F7D544" w:rsidR="00AA50E6" w:rsidRPr="008865D7" w:rsidRDefault="00AA50E6" w:rsidP="00AA50E6">
      <w:pPr>
        <w:spacing w:before="120" w:after="120"/>
        <w:rPr>
          <w:rFonts w:asciiTheme="minorHAnsi" w:eastAsiaTheme="minorHAnsi" w:hAnsiTheme="minorHAnsi" w:cstheme="minorBidi"/>
          <w:szCs w:val="22"/>
        </w:rPr>
      </w:pPr>
      <w:r w:rsidRPr="008865D7">
        <w:rPr>
          <w:rFonts w:asciiTheme="minorHAnsi" w:eastAsiaTheme="minorHAnsi" w:hAnsiTheme="minorHAnsi" w:cstheme="minorBidi"/>
          <w:szCs w:val="22"/>
        </w:rPr>
        <w:t>Th</w:t>
      </w:r>
      <w:r w:rsidR="00B24796">
        <w:rPr>
          <w:rFonts w:asciiTheme="minorHAnsi" w:eastAsiaTheme="minorHAnsi" w:hAnsiTheme="minorHAnsi" w:cstheme="minorBidi"/>
          <w:szCs w:val="22"/>
        </w:rPr>
        <w:t xml:space="preserve">is </w:t>
      </w:r>
      <w:r w:rsidRPr="008865D7">
        <w:rPr>
          <w:rFonts w:asciiTheme="minorHAnsi" w:eastAsiaTheme="minorHAnsi" w:hAnsiTheme="minorHAnsi" w:cstheme="minorBidi"/>
          <w:szCs w:val="22"/>
        </w:rPr>
        <w:t xml:space="preserve">Strategy provides a whole-of-department approach to guide the consistent, </w:t>
      </w:r>
      <w:proofErr w:type="gramStart"/>
      <w:r w:rsidRPr="008865D7">
        <w:rPr>
          <w:rFonts w:asciiTheme="minorHAnsi" w:eastAsiaTheme="minorHAnsi" w:hAnsiTheme="minorHAnsi" w:cstheme="minorBidi"/>
          <w:szCs w:val="22"/>
        </w:rPr>
        <w:t>robust</w:t>
      </w:r>
      <w:proofErr w:type="gramEnd"/>
      <w:r w:rsidRPr="008865D7">
        <w:rPr>
          <w:rFonts w:asciiTheme="minorHAnsi" w:eastAsiaTheme="minorHAnsi" w:hAnsiTheme="minorHAnsi" w:cstheme="minorBidi"/>
          <w:szCs w:val="22"/>
        </w:rPr>
        <w:t xml:space="preserve"> and transparent evaluation </w:t>
      </w:r>
      <w:r w:rsidR="00541585">
        <w:rPr>
          <w:rFonts w:asciiTheme="minorHAnsi" w:eastAsiaTheme="minorHAnsi" w:hAnsiTheme="minorHAnsi" w:cstheme="minorBidi"/>
          <w:szCs w:val="22"/>
        </w:rPr>
        <w:t>of programs and policies</w:t>
      </w:r>
      <w:r w:rsidR="00F53A47">
        <w:rPr>
          <w:rFonts w:asciiTheme="minorHAnsi" w:eastAsiaTheme="minorHAnsi" w:hAnsiTheme="minorHAnsi" w:cstheme="minorBidi"/>
          <w:szCs w:val="22"/>
        </w:rPr>
        <w:t>.</w:t>
      </w:r>
      <w:r w:rsidR="00541585">
        <w:rPr>
          <w:rFonts w:asciiTheme="minorHAnsi" w:eastAsiaTheme="minorHAnsi" w:hAnsiTheme="minorHAnsi" w:cstheme="minorBidi"/>
          <w:szCs w:val="22"/>
        </w:rPr>
        <w:t xml:space="preserve"> </w:t>
      </w:r>
      <w:r w:rsidR="00F53A47">
        <w:rPr>
          <w:rFonts w:asciiTheme="minorHAnsi" w:eastAsiaTheme="minorHAnsi" w:hAnsiTheme="minorHAnsi" w:cstheme="minorBidi"/>
          <w:szCs w:val="22"/>
        </w:rPr>
        <w:t>It commits us to answer the</w:t>
      </w:r>
      <w:r w:rsidR="0083618B">
        <w:rPr>
          <w:rFonts w:asciiTheme="minorHAnsi" w:eastAsiaTheme="minorHAnsi" w:hAnsiTheme="minorHAnsi" w:cstheme="minorBidi"/>
          <w:szCs w:val="22"/>
        </w:rPr>
        <w:t xml:space="preserve"> question</w:t>
      </w:r>
      <w:r w:rsidR="000919DC">
        <w:rPr>
          <w:rFonts w:asciiTheme="minorHAnsi" w:eastAsiaTheme="minorHAnsi" w:hAnsiTheme="minorHAnsi" w:cstheme="minorBidi"/>
          <w:szCs w:val="22"/>
        </w:rPr>
        <w:t>:</w:t>
      </w:r>
      <w:r w:rsidR="00F53A47">
        <w:rPr>
          <w:rFonts w:asciiTheme="minorHAnsi" w:eastAsiaTheme="minorHAnsi" w:hAnsiTheme="minorHAnsi" w:cstheme="minorBidi"/>
          <w:szCs w:val="22"/>
        </w:rPr>
        <w:t xml:space="preserve"> “so what difference do our polic</w:t>
      </w:r>
      <w:r w:rsidR="0083618B">
        <w:rPr>
          <w:rFonts w:asciiTheme="minorHAnsi" w:eastAsiaTheme="minorHAnsi" w:hAnsiTheme="minorHAnsi" w:cstheme="minorBidi"/>
          <w:szCs w:val="22"/>
        </w:rPr>
        <w:t>ies</w:t>
      </w:r>
      <w:r w:rsidR="00F53A47">
        <w:rPr>
          <w:rFonts w:asciiTheme="minorHAnsi" w:eastAsiaTheme="minorHAnsi" w:hAnsiTheme="minorHAnsi" w:cstheme="minorBidi"/>
          <w:szCs w:val="22"/>
        </w:rPr>
        <w:t xml:space="preserve"> and program</w:t>
      </w:r>
      <w:r w:rsidR="0083618B">
        <w:rPr>
          <w:rFonts w:asciiTheme="minorHAnsi" w:eastAsiaTheme="minorHAnsi" w:hAnsiTheme="minorHAnsi" w:cstheme="minorBidi"/>
          <w:szCs w:val="22"/>
        </w:rPr>
        <w:t>s</w:t>
      </w:r>
      <w:r w:rsidR="00F53A47">
        <w:rPr>
          <w:rFonts w:asciiTheme="minorHAnsi" w:eastAsiaTheme="minorHAnsi" w:hAnsiTheme="minorHAnsi" w:cstheme="minorBidi"/>
          <w:szCs w:val="22"/>
        </w:rPr>
        <w:t xml:space="preserve"> make?”, </w:t>
      </w:r>
      <w:r w:rsidR="0083618B">
        <w:rPr>
          <w:rFonts w:asciiTheme="minorHAnsi" w:eastAsiaTheme="minorHAnsi" w:hAnsiTheme="minorHAnsi" w:cstheme="minorBidi"/>
          <w:szCs w:val="22"/>
        </w:rPr>
        <w:t xml:space="preserve">to ensure our </w:t>
      </w:r>
      <w:r w:rsidR="00F53A47">
        <w:rPr>
          <w:rFonts w:asciiTheme="minorHAnsi" w:eastAsiaTheme="minorHAnsi" w:hAnsiTheme="minorHAnsi" w:cstheme="minorBidi"/>
          <w:szCs w:val="22"/>
        </w:rPr>
        <w:t>focus</w:t>
      </w:r>
      <w:r w:rsidR="0083618B">
        <w:rPr>
          <w:rFonts w:asciiTheme="minorHAnsi" w:eastAsiaTheme="minorHAnsi" w:hAnsiTheme="minorHAnsi" w:cstheme="minorBidi"/>
          <w:szCs w:val="22"/>
        </w:rPr>
        <w:t xml:space="preserve"> remains</w:t>
      </w:r>
      <w:r w:rsidR="00F53A47">
        <w:rPr>
          <w:rFonts w:asciiTheme="minorHAnsi" w:eastAsiaTheme="minorHAnsi" w:hAnsiTheme="minorHAnsi" w:cstheme="minorBidi"/>
          <w:szCs w:val="22"/>
        </w:rPr>
        <w:t xml:space="preserve"> on support</w:t>
      </w:r>
      <w:r w:rsidR="0083618B">
        <w:rPr>
          <w:rFonts w:asciiTheme="minorHAnsi" w:eastAsiaTheme="minorHAnsi" w:hAnsiTheme="minorHAnsi" w:cstheme="minorBidi"/>
          <w:szCs w:val="22"/>
        </w:rPr>
        <w:t xml:space="preserve">ing </w:t>
      </w:r>
      <w:r w:rsidR="00F53A47">
        <w:rPr>
          <w:rFonts w:asciiTheme="minorHAnsi" w:eastAsiaTheme="minorHAnsi" w:hAnsiTheme="minorHAnsi" w:cstheme="minorBidi"/>
          <w:szCs w:val="22"/>
        </w:rPr>
        <w:t xml:space="preserve">Australians to live long, </w:t>
      </w:r>
      <w:proofErr w:type="gramStart"/>
      <w:r w:rsidR="00F53A47">
        <w:rPr>
          <w:rFonts w:asciiTheme="minorHAnsi" w:eastAsiaTheme="minorHAnsi" w:hAnsiTheme="minorHAnsi" w:cstheme="minorBidi"/>
          <w:szCs w:val="22"/>
        </w:rPr>
        <w:t>happy</w:t>
      </w:r>
      <w:proofErr w:type="gramEnd"/>
      <w:r w:rsidR="00F53A47">
        <w:rPr>
          <w:rFonts w:asciiTheme="minorHAnsi" w:eastAsiaTheme="minorHAnsi" w:hAnsiTheme="minorHAnsi" w:cstheme="minorBidi"/>
          <w:szCs w:val="22"/>
        </w:rPr>
        <w:t xml:space="preserve"> and healthy lives across all stages of their life journey. </w:t>
      </w:r>
    </w:p>
    <w:p w14:paraId="0EF89A5B" w14:textId="2B2E1A8B" w:rsidR="004D0BF0" w:rsidRDefault="004D0BF0" w:rsidP="00AA50E6">
      <w:pPr>
        <w:spacing w:before="120" w:after="120"/>
        <w:rPr>
          <w:rFonts w:asciiTheme="minorHAnsi" w:eastAsiaTheme="minorHAnsi" w:hAnsiTheme="minorHAnsi" w:cstheme="minorBidi"/>
          <w:szCs w:val="22"/>
        </w:rPr>
      </w:pPr>
      <w:r>
        <w:rPr>
          <w:rFonts w:asciiTheme="minorHAnsi" w:eastAsiaTheme="minorHAnsi" w:hAnsiTheme="minorHAnsi" w:cstheme="minorBidi"/>
          <w:szCs w:val="22"/>
        </w:rPr>
        <w:t>At its core, this Strategy is about cultural change. It encourages us to make a much</w:t>
      </w:r>
      <w:r w:rsidR="00440F56">
        <w:rPr>
          <w:rFonts w:asciiTheme="minorHAnsi" w:eastAsiaTheme="minorHAnsi" w:hAnsiTheme="minorHAnsi" w:cstheme="minorBidi"/>
          <w:szCs w:val="22"/>
        </w:rPr>
        <w:t>-</w:t>
      </w:r>
      <w:r>
        <w:rPr>
          <w:rFonts w:asciiTheme="minorHAnsi" w:eastAsiaTheme="minorHAnsi" w:hAnsiTheme="minorHAnsi" w:cstheme="minorBidi"/>
          <w:szCs w:val="22"/>
        </w:rPr>
        <w:t xml:space="preserve">needed shift away from a culture </w:t>
      </w:r>
      <w:r w:rsidR="00647D4C">
        <w:rPr>
          <w:rFonts w:asciiTheme="minorHAnsi" w:eastAsiaTheme="minorHAnsi" w:hAnsiTheme="minorHAnsi" w:cstheme="minorBidi"/>
          <w:szCs w:val="22"/>
        </w:rPr>
        <w:t xml:space="preserve">where </w:t>
      </w:r>
      <w:r>
        <w:rPr>
          <w:rFonts w:asciiTheme="minorHAnsi" w:eastAsiaTheme="minorHAnsi" w:hAnsiTheme="minorHAnsi" w:cstheme="minorBidi"/>
          <w:szCs w:val="22"/>
        </w:rPr>
        <w:t xml:space="preserve">evaluation is </w:t>
      </w:r>
      <w:r w:rsidR="00345A0B">
        <w:rPr>
          <w:rFonts w:asciiTheme="minorHAnsi" w:eastAsiaTheme="minorHAnsi" w:hAnsiTheme="minorHAnsi" w:cstheme="minorBidi"/>
          <w:szCs w:val="22"/>
        </w:rPr>
        <w:t>conducted as an afterthought</w:t>
      </w:r>
      <w:r>
        <w:rPr>
          <w:rFonts w:asciiTheme="minorHAnsi" w:eastAsiaTheme="minorHAnsi" w:hAnsiTheme="minorHAnsi" w:cstheme="minorBidi"/>
          <w:szCs w:val="22"/>
        </w:rPr>
        <w:t>, towards on</w:t>
      </w:r>
      <w:r w:rsidR="00440F56">
        <w:rPr>
          <w:rFonts w:asciiTheme="minorHAnsi" w:eastAsiaTheme="minorHAnsi" w:hAnsiTheme="minorHAnsi" w:cstheme="minorBidi"/>
          <w:szCs w:val="22"/>
        </w:rPr>
        <w:t>e</w:t>
      </w:r>
      <w:r>
        <w:rPr>
          <w:rFonts w:asciiTheme="minorHAnsi" w:eastAsiaTheme="minorHAnsi" w:hAnsiTheme="minorHAnsi" w:cstheme="minorBidi"/>
          <w:szCs w:val="22"/>
        </w:rPr>
        <w:t xml:space="preserve"> </w:t>
      </w:r>
      <w:r w:rsidR="00647D4C">
        <w:rPr>
          <w:rFonts w:asciiTheme="minorHAnsi" w:eastAsiaTheme="minorHAnsi" w:hAnsiTheme="minorHAnsi" w:cstheme="minorBidi"/>
          <w:szCs w:val="22"/>
        </w:rPr>
        <w:t>where</w:t>
      </w:r>
      <w:r>
        <w:rPr>
          <w:rFonts w:asciiTheme="minorHAnsi" w:eastAsiaTheme="minorHAnsi" w:hAnsiTheme="minorHAnsi" w:cstheme="minorBidi"/>
          <w:szCs w:val="22"/>
        </w:rPr>
        <w:t xml:space="preserve"> </w:t>
      </w:r>
      <w:r w:rsidR="00440F56">
        <w:rPr>
          <w:rFonts w:asciiTheme="minorHAnsi" w:eastAsiaTheme="minorHAnsi" w:hAnsiTheme="minorHAnsi" w:cstheme="minorBidi"/>
          <w:szCs w:val="22"/>
        </w:rPr>
        <w:t>e</w:t>
      </w:r>
      <w:r w:rsidR="00345A0B" w:rsidRPr="00345A0B">
        <w:rPr>
          <w:rFonts w:asciiTheme="minorHAnsi" w:eastAsiaTheme="minorHAnsi" w:hAnsiTheme="minorHAnsi" w:cstheme="minorBidi"/>
          <w:szCs w:val="22"/>
        </w:rPr>
        <w:t xml:space="preserve">valuation </w:t>
      </w:r>
      <w:r w:rsidR="00345A0B">
        <w:rPr>
          <w:rFonts w:asciiTheme="minorHAnsi" w:eastAsiaTheme="minorHAnsi" w:hAnsiTheme="minorHAnsi" w:cstheme="minorBidi"/>
          <w:szCs w:val="22"/>
        </w:rPr>
        <w:t xml:space="preserve">is </w:t>
      </w:r>
      <w:r w:rsidR="00345A0B" w:rsidRPr="00345A0B">
        <w:rPr>
          <w:rFonts w:asciiTheme="minorHAnsi" w:eastAsiaTheme="minorHAnsi" w:hAnsiTheme="minorHAnsi" w:cstheme="minorBidi"/>
          <w:szCs w:val="22"/>
        </w:rPr>
        <w:t>an integral component of sound performance management</w:t>
      </w:r>
      <w:r w:rsidR="00345A0B">
        <w:rPr>
          <w:rFonts w:asciiTheme="minorHAnsi" w:eastAsiaTheme="minorHAnsi" w:hAnsiTheme="minorHAnsi" w:cstheme="minorBidi"/>
          <w:szCs w:val="22"/>
        </w:rPr>
        <w:t>.</w:t>
      </w:r>
    </w:p>
    <w:p w14:paraId="2D782F30" w14:textId="4BAD9CFE" w:rsidR="00E135F8" w:rsidRDefault="00B7401F" w:rsidP="00AA50E6">
      <w:pPr>
        <w:spacing w:before="120" w:after="120"/>
        <w:rPr>
          <w:rFonts w:asciiTheme="minorHAnsi" w:eastAsiaTheme="minorHAnsi" w:hAnsiTheme="minorHAnsi" w:cstheme="minorBidi"/>
          <w:szCs w:val="22"/>
        </w:rPr>
      </w:pPr>
      <w:r>
        <w:rPr>
          <w:rFonts w:asciiTheme="minorHAnsi" w:eastAsiaTheme="minorHAnsi" w:hAnsiTheme="minorHAnsi" w:cstheme="minorBidi"/>
          <w:szCs w:val="22"/>
        </w:rPr>
        <w:t>The good news is we are not starting from scr</w:t>
      </w:r>
      <w:r w:rsidR="002D18C0">
        <w:rPr>
          <w:rFonts w:asciiTheme="minorHAnsi" w:eastAsiaTheme="minorHAnsi" w:hAnsiTheme="minorHAnsi" w:cstheme="minorBidi"/>
          <w:szCs w:val="22"/>
        </w:rPr>
        <w:t xml:space="preserve">atch – this Strategy builds on good work that is happening across </w:t>
      </w:r>
      <w:r w:rsidR="00E135F8">
        <w:rPr>
          <w:rFonts w:asciiTheme="minorHAnsi" w:eastAsiaTheme="minorHAnsi" w:hAnsiTheme="minorHAnsi" w:cstheme="minorBidi"/>
          <w:szCs w:val="22"/>
        </w:rPr>
        <w:t>many areas of the</w:t>
      </w:r>
      <w:r w:rsidR="002D18C0">
        <w:rPr>
          <w:rFonts w:asciiTheme="minorHAnsi" w:eastAsiaTheme="minorHAnsi" w:hAnsiTheme="minorHAnsi" w:cstheme="minorBidi"/>
          <w:szCs w:val="22"/>
        </w:rPr>
        <w:t xml:space="preserve"> department and, indeed, across the APS. For example, t</w:t>
      </w:r>
      <w:r w:rsidR="00F138E3">
        <w:rPr>
          <w:rFonts w:asciiTheme="minorHAnsi" w:eastAsiaTheme="minorHAnsi" w:hAnsiTheme="minorHAnsi" w:cstheme="minorBidi"/>
          <w:szCs w:val="22"/>
        </w:rPr>
        <w:t>he</w:t>
      </w:r>
      <w:r w:rsidR="00E135F8">
        <w:rPr>
          <w:rFonts w:asciiTheme="minorHAnsi" w:eastAsiaTheme="minorHAnsi" w:hAnsiTheme="minorHAnsi" w:cstheme="minorBidi"/>
          <w:szCs w:val="22"/>
        </w:rPr>
        <w:t xml:space="preserve"> department’s Assurance Framework includes guidance on assurance activities around project evaluation. </w:t>
      </w:r>
      <w:r w:rsidR="00350AA9">
        <w:rPr>
          <w:rFonts w:asciiTheme="minorHAnsi" w:eastAsiaTheme="minorHAnsi" w:hAnsiTheme="minorHAnsi" w:cstheme="minorBidi"/>
          <w:szCs w:val="22"/>
        </w:rPr>
        <w:t>This Strategy is also intended to support other work happening across the department</w:t>
      </w:r>
      <w:r w:rsidR="00AE6FF0">
        <w:rPr>
          <w:rFonts w:asciiTheme="minorHAnsi" w:eastAsiaTheme="minorHAnsi" w:hAnsiTheme="minorHAnsi" w:cstheme="minorBidi"/>
          <w:szCs w:val="22"/>
        </w:rPr>
        <w:t xml:space="preserve">, such as </w:t>
      </w:r>
      <w:r w:rsidR="00350AA9">
        <w:rPr>
          <w:rFonts w:asciiTheme="minorHAnsi" w:eastAsiaTheme="minorHAnsi" w:hAnsiTheme="minorHAnsi" w:cstheme="minorBidi"/>
          <w:szCs w:val="22"/>
        </w:rPr>
        <w:t>t</w:t>
      </w:r>
      <w:r w:rsidR="00E135F8">
        <w:rPr>
          <w:rFonts w:asciiTheme="minorHAnsi" w:eastAsiaTheme="minorHAnsi" w:hAnsiTheme="minorHAnsi" w:cstheme="minorBidi"/>
          <w:szCs w:val="22"/>
        </w:rPr>
        <w:t xml:space="preserve">he department’s </w:t>
      </w:r>
      <w:r w:rsidR="0082682D" w:rsidRPr="004E61AA">
        <w:rPr>
          <w:rFonts w:asciiTheme="minorHAnsi" w:eastAsiaTheme="minorHAnsi" w:hAnsiTheme="minorHAnsi" w:cstheme="minorBidi"/>
          <w:i/>
          <w:iCs/>
          <w:szCs w:val="22"/>
        </w:rPr>
        <w:t>D</w:t>
      </w:r>
      <w:r w:rsidR="00E135F8" w:rsidRPr="004E61AA">
        <w:rPr>
          <w:rFonts w:asciiTheme="minorHAnsi" w:eastAsiaTheme="minorHAnsi" w:hAnsiTheme="minorHAnsi" w:cstheme="minorBidi"/>
          <w:i/>
          <w:iCs/>
          <w:szCs w:val="22"/>
        </w:rPr>
        <w:t xml:space="preserve">ata </w:t>
      </w:r>
      <w:r w:rsidR="0082682D" w:rsidRPr="004E61AA">
        <w:rPr>
          <w:rFonts w:asciiTheme="minorHAnsi" w:eastAsiaTheme="minorHAnsi" w:hAnsiTheme="minorHAnsi" w:cstheme="minorBidi"/>
          <w:i/>
          <w:iCs/>
          <w:szCs w:val="22"/>
        </w:rPr>
        <w:t>S</w:t>
      </w:r>
      <w:r w:rsidR="00E135F8" w:rsidRPr="004E61AA">
        <w:rPr>
          <w:rFonts w:asciiTheme="minorHAnsi" w:eastAsiaTheme="minorHAnsi" w:hAnsiTheme="minorHAnsi" w:cstheme="minorBidi"/>
          <w:i/>
          <w:iCs/>
          <w:szCs w:val="22"/>
        </w:rPr>
        <w:t>trategy 2022-2025</w:t>
      </w:r>
      <w:r w:rsidR="00350AA9">
        <w:rPr>
          <w:rFonts w:asciiTheme="minorHAnsi" w:eastAsiaTheme="minorHAnsi" w:hAnsiTheme="minorHAnsi" w:cstheme="minorBidi"/>
          <w:szCs w:val="22"/>
        </w:rPr>
        <w:t>.</w:t>
      </w:r>
    </w:p>
    <w:p w14:paraId="2C00C9EB" w14:textId="48738DBB" w:rsidR="00350AA9" w:rsidRDefault="00350AA9" w:rsidP="00AA50E6">
      <w:pPr>
        <w:spacing w:before="120" w:after="120"/>
        <w:rPr>
          <w:rFonts w:asciiTheme="minorHAnsi" w:eastAsiaTheme="minorHAnsi" w:hAnsiTheme="minorHAnsi" w:cstheme="minorBidi"/>
          <w:szCs w:val="22"/>
        </w:rPr>
      </w:pPr>
      <w:r>
        <w:rPr>
          <w:rFonts w:asciiTheme="minorHAnsi" w:eastAsiaTheme="minorHAnsi" w:hAnsiTheme="minorHAnsi" w:cstheme="minorBidi"/>
          <w:szCs w:val="22"/>
        </w:rPr>
        <w:t xml:space="preserve">The Strategy </w:t>
      </w:r>
      <w:r w:rsidR="003350CE">
        <w:rPr>
          <w:rFonts w:asciiTheme="minorHAnsi" w:eastAsiaTheme="minorHAnsi" w:hAnsiTheme="minorHAnsi" w:cstheme="minorBidi"/>
          <w:szCs w:val="22"/>
        </w:rPr>
        <w:t>aligns with</w:t>
      </w:r>
      <w:r>
        <w:rPr>
          <w:rFonts w:asciiTheme="minorHAnsi" w:eastAsiaTheme="minorHAnsi" w:hAnsiTheme="minorHAnsi" w:cstheme="minorBidi"/>
          <w:szCs w:val="22"/>
        </w:rPr>
        <w:t xml:space="preserve"> </w:t>
      </w:r>
      <w:r w:rsidR="003350CE">
        <w:rPr>
          <w:rFonts w:asciiTheme="minorHAnsi" w:eastAsiaTheme="minorHAnsi" w:hAnsiTheme="minorHAnsi" w:cstheme="minorBidi"/>
          <w:szCs w:val="22"/>
        </w:rPr>
        <w:t>whole-of-government guidance</w:t>
      </w:r>
      <w:r>
        <w:rPr>
          <w:rFonts w:asciiTheme="minorHAnsi" w:eastAsiaTheme="minorHAnsi" w:hAnsiTheme="minorHAnsi" w:cstheme="minorBidi"/>
          <w:szCs w:val="22"/>
        </w:rPr>
        <w:t xml:space="preserve"> and follows the direction of other government departments. </w:t>
      </w:r>
      <w:r w:rsidRPr="00350AA9">
        <w:rPr>
          <w:rFonts w:asciiTheme="minorHAnsi" w:eastAsiaTheme="minorHAnsi" w:hAnsiTheme="minorHAnsi" w:cstheme="minorBidi"/>
          <w:szCs w:val="22"/>
        </w:rPr>
        <w:t>The Government’s APS Reform Agend</w:t>
      </w:r>
      <w:r>
        <w:rPr>
          <w:rFonts w:asciiTheme="minorHAnsi" w:eastAsiaTheme="minorHAnsi" w:hAnsiTheme="minorHAnsi" w:cstheme="minorBidi"/>
          <w:szCs w:val="22"/>
        </w:rPr>
        <w:t xml:space="preserve">a, </w:t>
      </w:r>
      <w:r w:rsidR="00647D4C">
        <w:rPr>
          <w:rFonts w:asciiTheme="minorHAnsi" w:eastAsiaTheme="minorHAnsi" w:hAnsiTheme="minorHAnsi" w:cstheme="minorBidi"/>
          <w:szCs w:val="22"/>
        </w:rPr>
        <w:t>t</w:t>
      </w:r>
      <w:r>
        <w:rPr>
          <w:rFonts w:asciiTheme="minorHAnsi" w:eastAsiaTheme="minorHAnsi" w:hAnsiTheme="minorHAnsi" w:cstheme="minorBidi"/>
          <w:szCs w:val="22"/>
        </w:rPr>
        <w:t>h</w:t>
      </w:r>
      <w:r w:rsidR="00071EB0">
        <w:rPr>
          <w:rFonts w:asciiTheme="minorHAnsi" w:eastAsiaTheme="minorHAnsi" w:hAnsiTheme="minorHAnsi" w:cstheme="minorBidi"/>
          <w:szCs w:val="22"/>
        </w:rPr>
        <w:t>e</w:t>
      </w:r>
      <w:r w:rsidR="00B65C00">
        <w:rPr>
          <w:rFonts w:asciiTheme="minorHAnsi" w:eastAsiaTheme="minorHAnsi" w:hAnsiTheme="minorHAnsi" w:cstheme="minorBidi"/>
          <w:szCs w:val="22"/>
        </w:rPr>
        <w:t xml:space="preserve"> </w:t>
      </w:r>
      <w:r w:rsidR="00B65C00" w:rsidRPr="004E61AA">
        <w:rPr>
          <w:rFonts w:asciiTheme="minorHAnsi" w:eastAsiaTheme="minorHAnsi" w:hAnsiTheme="minorHAnsi" w:cstheme="minorBidi"/>
          <w:szCs w:val="22"/>
        </w:rPr>
        <w:t>Commonwealth Evaluation Policy</w:t>
      </w:r>
      <w:r>
        <w:rPr>
          <w:rFonts w:asciiTheme="minorHAnsi" w:eastAsiaTheme="minorHAnsi" w:hAnsiTheme="minorHAnsi" w:cstheme="minorBidi"/>
          <w:szCs w:val="22"/>
        </w:rPr>
        <w:t xml:space="preserve">, and </w:t>
      </w:r>
      <w:r w:rsidR="000919DC">
        <w:rPr>
          <w:rFonts w:asciiTheme="minorHAnsi" w:eastAsiaTheme="minorHAnsi" w:hAnsiTheme="minorHAnsi" w:cstheme="minorBidi"/>
          <w:szCs w:val="22"/>
        </w:rPr>
        <w:t xml:space="preserve">the </w:t>
      </w:r>
      <w:r w:rsidR="00C41D6C">
        <w:rPr>
          <w:rFonts w:asciiTheme="minorHAnsi" w:eastAsiaTheme="minorHAnsi" w:hAnsiTheme="minorHAnsi" w:cstheme="minorBidi"/>
          <w:szCs w:val="22"/>
        </w:rPr>
        <w:t xml:space="preserve">new </w:t>
      </w:r>
      <w:r w:rsidR="003D590B" w:rsidRPr="003D590B">
        <w:rPr>
          <w:rFonts w:asciiTheme="minorHAnsi" w:eastAsiaTheme="minorHAnsi" w:hAnsiTheme="minorHAnsi" w:cstheme="minorBidi"/>
          <w:szCs w:val="22"/>
        </w:rPr>
        <w:t>Australian Centre for Evaluation</w:t>
      </w:r>
      <w:r w:rsidRPr="003350CE">
        <w:rPr>
          <w:rFonts w:asciiTheme="minorHAnsi" w:eastAsiaTheme="minorHAnsi" w:hAnsiTheme="minorHAnsi" w:cstheme="minorBidi"/>
          <w:szCs w:val="22"/>
        </w:rPr>
        <w:t xml:space="preserve"> </w:t>
      </w:r>
      <w:r>
        <w:rPr>
          <w:rFonts w:asciiTheme="minorHAnsi" w:eastAsiaTheme="minorHAnsi" w:hAnsiTheme="minorHAnsi" w:cstheme="minorBidi"/>
          <w:szCs w:val="22"/>
        </w:rPr>
        <w:t>provide</w:t>
      </w:r>
      <w:r w:rsidR="000919DC">
        <w:rPr>
          <w:rFonts w:asciiTheme="minorHAnsi" w:eastAsiaTheme="minorHAnsi" w:hAnsiTheme="minorHAnsi" w:cstheme="minorBidi"/>
          <w:szCs w:val="22"/>
        </w:rPr>
        <w:t>s</w:t>
      </w:r>
      <w:r>
        <w:rPr>
          <w:rFonts w:asciiTheme="minorHAnsi" w:eastAsiaTheme="minorHAnsi" w:hAnsiTheme="minorHAnsi" w:cstheme="minorBidi"/>
          <w:szCs w:val="22"/>
        </w:rPr>
        <w:t xml:space="preserve"> us with strong support in </w:t>
      </w:r>
      <w:r w:rsidR="00647D4C">
        <w:rPr>
          <w:rFonts w:asciiTheme="minorHAnsi" w:eastAsiaTheme="minorHAnsi" w:hAnsiTheme="minorHAnsi" w:cstheme="minorBidi"/>
          <w:szCs w:val="22"/>
        </w:rPr>
        <w:t xml:space="preserve">achieving </w:t>
      </w:r>
      <w:r>
        <w:rPr>
          <w:rFonts w:asciiTheme="minorHAnsi" w:eastAsiaTheme="minorHAnsi" w:hAnsiTheme="minorHAnsi" w:cstheme="minorBidi"/>
          <w:szCs w:val="22"/>
        </w:rPr>
        <w:t xml:space="preserve">the Strategy’s vision. </w:t>
      </w:r>
    </w:p>
    <w:p w14:paraId="7F0DB874" w14:textId="2CC12818" w:rsidR="0082682D" w:rsidRDefault="00350AA9" w:rsidP="00AA50E6">
      <w:pPr>
        <w:spacing w:before="120" w:after="120"/>
        <w:rPr>
          <w:rFonts w:asciiTheme="minorHAnsi" w:eastAsiaTheme="minorHAnsi" w:hAnsiTheme="minorHAnsi" w:cstheme="minorBidi"/>
          <w:szCs w:val="22"/>
        </w:rPr>
      </w:pPr>
      <w:r>
        <w:rPr>
          <w:rFonts w:asciiTheme="minorHAnsi" w:eastAsiaTheme="minorHAnsi" w:hAnsiTheme="minorHAnsi" w:cstheme="minorBidi"/>
          <w:szCs w:val="22"/>
        </w:rPr>
        <w:t>The Strategy is just the beginning</w:t>
      </w:r>
      <w:r w:rsidR="002A394C">
        <w:rPr>
          <w:rFonts w:asciiTheme="minorHAnsi" w:eastAsiaTheme="minorHAnsi" w:hAnsiTheme="minorHAnsi" w:cstheme="minorBidi"/>
          <w:szCs w:val="22"/>
        </w:rPr>
        <w:t xml:space="preserve"> – it outlines a cohesive pathway forward to help us embed</w:t>
      </w:r>
      <w:r w:rsidR="00B65C00">
        <w:rPr>
          <w:rFonts w:asciiTheme="minorHAnsi" w:eastAsiaTheme="minorHAnsi" w:hAnsiTheme="minorHAnsi" w:cstheme="minorBidi"/>
          <w:szCs w:val="22"/>
        </w:rPr>
        <w:t xml:space="preserve"> evaluation activities throughout the policy or program lifecycle, build evaluation capability, and ensur</w:t>
      </w:r>
      <w:r w:rsidR="002A394C">
        <w:rPr>
          <w:rFonts w:asciiTheme="minorHAnsi" w:eastAsiaTheme="minorHAnsi" w:hAnsiTheme="minorHAnsi" w:cstheme="minorBidi"/>
          <w:szCs w:val="22"/>
        </w:rPr>
        <w:t xml:space="preserve">e </w:t>
      </w:r>
      <w:r w:rsidR="00B65C00">
        <w:rPr>
          <w:rFonts w:asciiTheme="minorHAnsi" w:eastAsiaTheme="minorHAnsi" w:hAnsiTheme="minorHAnsi" w:cstheme="minorBidi"/>
          <w:szCs w:val="22"/>
        </w:rPr>
        <w:t xml:space="preserve">evaluation </w:t>
      </w:r>
      <w:r w:rsidR="002A394C">
        <w:rPr>
          <w:rFonts w:asciiTheme="minorHAnsi" w:eastAsiaTheme="minorHAnsi" w:hAnsiTheme="minorHAnsi" w:cstheme="minorBidi"/>
          <w:szCs w:val="22"/>
        </w:rPr>
        <w:t xml:space="preserve">findings are appropriately used. </w:t>
      </w:r>
      <w:r w:rsidR="002A394C" w:rsidRPr="002A394C">
        <w:rPr>
          <w:rFonts w:asciiTheme="minorHAnsi" w:eastAsiaTheme="minorHAnsi" w:hAnsiTheme="minorHAnsi" w:cstheme="minorBidi"/>
          <w:szCs w:val="22"/>
        </w:rPr>
        <w:t>A</w:t>
      </w:r>
      <w:r w:rsidR="00647D4C">
        <w:rPr>
          <w:rFonts w:asciiTheme="minorHAnsi" w:eastAsiaTheme="minorHAnsi" w:hAnsiTheme="minorHAnsi" w:cstheme="minorBidi"/>
          <w:szCs w:val="22"/>
        </w:rPr>
        <w:t>n</w:t>
      </w:r>
      <w:r w:rsidR="002A394C" w:rsidRPr="002A394C">
        <w:rPr>
          <w:rFonts w:asciiTheme="minorHAnsi" w:eastAsiaTheme="minorHAnsi" w:hAnsiTheme="minorHAnsi" w:cstheme="minorBidi"/>
          <w:szCs w:val="22"/>
        </w:rPr>
        <w:t xml:space="preserve"> implementation plan will be developed to complement the Strategy </w:t>
      </w:r>
      <w:r w:rsidR="00CF7CBE">
        <w:rPr>
          <w:rFonts w:asciiTheme="minorHAnsi" w:eastAsiaTheme="minorHAnsi" w:hAnsiTheme="minorHAnsi" w:cstheme="minorBidi"/>
          <w:szCs w:val="22"/>
        </w:rPr>
        <w:t xml:space="preserve">that provides </w:t>
      </w:r>
      <w:r w:rsidR="002A394C" w:rsidRPr="002A394C">
        <w:rPr>
          <w:rFonts w:asciiTheme="minorHAnsi" w:eastAsiaTheme="minorHAnsi" w:hAnsiTheme="minorHAnsi" w:cstheme="minorBidi"/>
          <w:szCs w:val="22"/>
        </w:rPr>
        <w:t>detailed information on the concrete activities to be delivered under each of the priorities.</w:t>
      </w:r>
    </w:p>
    <w:p w14:paraId="7A7B628D" w14:textId="3C70DA5D" w:rsidR="002A394C" w:rsidRDefault="00CF7CBE" w:rsidP="00AA50E6">
      <w:pPr>
        <w:spacing w:before="120" w:after="120"/>
        <w:rPr>
          <w:rFonts w:asciiTheme="minorHAnsi" w:eastAsiaTheme="minorHAnsi" w:hAnsiTheme="minorHAnsi" w:cstheme="minorBidi"/>
          <w:szCs w:val="22"/>
        </w:rPr>
      </w:pPr>
      <w:r>
        <w:rPr>
          <w:rFonts w:asciiTheme="minorHAnsi" w:eastAsiaTheme="minorHAnsi" w:hAnsiTheme="minorHAnsi" w:cstheme="minorBidi"/>
          <w:szCs w:val="22"/>
        </w:rPr>
        <w:t xml:space="preserve">This is a living Strategy. We will continue to track progress towards our vision and adjust course as we need to. </w:t>
      </w:r>
      <w:r w:rsidR="002A394C">
        <w:rPr>
          <w:rFonts w:asciiTheme="minorHAnsi" w:eastAsiaTheme="minorHAnsi" w:hAnsiTheme="minorHAnsi" w:cstheme="minorBidi"/>
          <w:szCs w:val="22"/>
        </w:rPr>
        <w:t>This will help all of us</w:t>
      </w:r>
      <w:r>
        <w:rPr>
          <w:rFonts w:asciiTheme="minorHAnsi" w:eastAsiaTheme="minorHAnsi" w:hAnsiTheme="minorHAnsi" w:cstheme="minorBidi"/>
          <w:szCs w:val="22"/>
        </w:rPr>
        <w:t xml:space="preserve"> identify </w:t>
      </w:r>
      <w:r w:rsidRPr="00CF7CBE">
        <w:rPr>
          <w:rFonts w:asciiTheme="minorHAnsi" w:eastAsiaTheme="minorHAnsi" w:hAnsiTheme="minorHAnsi" w:cstheme="minorBidi"/>
          <w:szCs w:val="22"/>
        </w:rPr>
        <w:t>good practice</w:t>
      </w:r>
      <w:r>
        <w:rPr>
          <w:rFonts w:asciiTheme="minorHAnsi" w:eastAsiaTheme="minorHAnsi" w:hAnsiTheme="minorHAnsi" w:cstheme="minorBidi"/>
          <w:szCs w:val="22"/>
        </w:rPr>
        <w:t xml:space="preserve"> and share l</w:t>
      </w:r>
      <w:r w:rsidRPr="00CF7CBE">
        <w:rPr>
          <w:rFonts w:asciiTheme="minorHAnsi" w:eastAsiaTheme="minorHAnsi" w:hAnsiTheme="minorHAnsi" w:cstheme="minorBidi"/>
          <w:szCs w:val="22"/>
        </w:rPr>
        <w:t xml:space="preserve">essons </w:t>
      </w:r>
      <w:r>
        <w:rPr>
          <w:rFonts w:asciiTheme="minorHAnsi" w:eastAsiaTheme="minorHAnsi" w:hAnsiTheme="minorHAnsi" w:cstheme="minorBidi"/>
          <w:szCs w:val="22"/>
        </w:rPr>
        <w:t xml:space="preserve">learned as we implement this Strategy. </w:t>
      </w:r>
    </w:p>
    <w:p w14:paraId="129771A8" w14:textId="67C3265C" w:rsidR="008C4C84" w:rsidRDefault="008C4C84" w:rsidP="00AA50E6">
      <w:pPr>
        <w:spacing w:before="120" w:after="120"/>
        <w:rPr>
          <w:rFonts w:asciiTheme="minorHAnsi" w:eastAsiaTheme="minorHAnsi" w:hAnsiTheme="minorHAnsi" w:cstheme="minorBidi"/>
          <w:szCs w:val="22"/>
        </w:rPr>
      </w:pPr>
      <w:r>
        <w:rPr>
          <w:rFonts w:asciiTheme="minorHAnsi" w:eastAsiaTheme="minorHAnsi" w:hAnsiTheme="minorHAnsi" w:cstheme="minorBidi"/>
          <w:szCs w:val="22"/>
        </w:rPr>
        <w:t xml:space="preserve">Finally, I would like to take this opportunity to thank all of you who participated in consultations to shape the development of the Strategy. The Strategy is our Strategy – and it is </w:t>
      </w:r>
      <w:r w:rsidR="000B52EB">
        <w:rPr>
          <w:rFonts w:asciiTheme="minorHAnsi" w:eastAsiaTheme="minorHAnsi" w:hAnsiTheme="minorHAnsi" w:cstheme="minorBidi"/>
          <w:szCs w:val="22"/>
        </w:rPr>
        <w:t>stronger because of your input.</w:t>
      </w:r>
    </w:p>
    <w:p w14:paraId="7C9816B9" w14:textId="6655A197" w:rsidR="00AA50E6" w:rsidRPr="008865D7" w:rsidRDefault="00AA50E6" w:rsidP="00DE7E76">
      <w:pPr>
        <w:spacing w:before="120" w:after="120"/>
        <w:rPr>
          <w:rFonts w:asciiTheme="minorHAnsi" w:eastAsiaTheme="minorHAnsi" w:hAnsiTheme="minorHAnsi" w:cstheme="minorBidi"/>
          <w:szCs w:val="22"/>
        </w:rPr>
      </w:pPr>
    </w:p>
    <w:p w14:paraId="1388125D" w14:textId="77777777" w:rsidR="009C32DF" w:rsidRDefault="009C32DF" w:rsidP="00AA50E6">
      <w:pPr>
        <w:spacing w:before="120" w:after="120"/>
        <w:rPr>
          <w:rFonts w:asciiTheme="minorHAnsi" w:eastAsiaTheme="minorHAnsi" w:hAnsiTheme="minorHAnsi" w:cstheme="minorBidi"/>
          <w:szCs w:val="22"/>
        </w:rPr>
      </w:pPr>
      <w:r w:rsidRPr="009C32DF">
        <w:rPr>
          <w:rFonts w:asciiTheme="minorHAnsi" w:eastAsiaTheme="minorHAnsi" w:hAnsiTheme="minorHAnsi" w:cstheme="minorBidi"/>
          <w:szCs w:val="22"/>
        </w:rPr>
        <w:t>Blair Comley PSM</w:t>
      </w:r>
    </w:p>
    <w:p w14:paraId="4E42BA1C" w14:textId="221B7C9B" w:rsidR="005E1152" w:rsidRDefault="005E1152" w:rsidP="00AA50E6">
      <w:pPr>
        <w:spacing w:before="120" w:after="120"/>
        <w:rPr>
          <w:rFonts w:asciiTheme="minorHAnsi" w:eastAsiaTheme="minorHAnsi" w:hAnsiTheme="minorHAnsi" w:cstheme="minorBidi"/>
          <w:szCs w:val="22"/>
        </w:rPr>
      </w:pPr>
      <w:r>
        <w:rPr>
          <w:rFonts w:asciiTheme="minorHAnsi" w:eastAsiaTheme="minorHAnsi" w:hAnsiTheme="minorHAnsi" w:cstheme="minorBidi"/>
          <w:szCs w:val="22"/>
        </w:rPr>
        <w:t>Secretary</w:t>
      </w:r>
    </w:p>
    <w:p w14:paraId="73EA5662" w14:textId="44F602F4" w:rsidR="00AA50E6" w:rsidRDefault="00AA50E6" w:rsidP="00AA50E6">
      <w:pPr>
        <w:pStyle w:val="Heading1"/>
        <w:rPr>
          <w:rFonts w:asciiTheme="minorHAnsi" w:hAnsiTheme="minorHAnsi"/>
          <w:bCs w:val="0"/>
          <w:color w:val="37818A"/>
        </w:rPr>
      </w:pPr>
      <w:r>
        <w:rPr>
          <w:rFonts w:asciiTheme="minorHAnsi" w:hAnsiTheme="minorHAnsi"/>
          <w:color w:val="37818A"/>
        </w:rPr>
        <w:br w:type="page"/>
      </w:r>
    </w:p>
    <w:p w14:paraId="3DABF22E" w14:textId="637E009C" w:rsidR="00C05CC9" w:rsidRPr="008865D7" w:rsidRDefault="00C05CC9" w:rsidP="00C05CC9">
      <w:pPr>
        <w:pStyle w:val="Heading1"/>
        <w:rPr>
          <w:rFonts w:asciiTheme="minorHAnsi" w:hAnsiTheme="minorHAnsi"/>
          <w:color w:val="37818A"/>
        </w:rPr>
      </w:pPr>
      <w:bookmarkStart w:id="7" w:name="_Toc140233979"/>
      <w:bookmarkStart w:id="8" w:name="_Hlk117003476"/>
      <w:bookmarkEnd w:id="6"/>
      <w:r w:rsidRPr="00B65C97">
        <w:rPr>
          <w:rFonts w:asciiTheme="minorHAnsi" w:hAnsiTheme="minorHAnsi"/>
          <w:color w:val="37818A"/>
        </w:rPr>
        <w:lastRenderedPageBreak/>
        <w:t>Foreword</w:t>
      </w:r>
      <w:bookmarkEnd w:id="7"/>
      <w:r w:rsidR="00982989" w:rsidRPr="008865D7">
        <w:rPr>
          <w:rFonts w:asciiTheme="minorHAnsi" w:hAnsiTheme="minorHAnsi"/>
          <w:color w:val="37818A"/>
        </w:rPr>
        <w:t xml:space="preserve"> </w:t>
      </w:r>
    </w:p>
    <w:p w14:paraId="30003772" w14:textId="4B10A76B" w:rsidR="003552A2" w:rsidRDefault="0025376A" w:rsidP="0025376A">
      <w:pPr>
        <w:tabs>
          <w:tab w:val="left" w:pos="9027"/>
        </w:tabs>
        <w:spacing w:after="160" w:line="259" w:lineRule="auto"/>
        <w:rPr>
          <w:rFonts w:asciiTheme="minorHAnsi" w:hAnsiTheme="minorHAnsi" w:cstheme="minorHAnsi"/>
          <w:szCs w:val="22"/>
        </w:rPr>
      </w:pPr>
      <w:r>
        <w:rPr>
          <w:rFonts w:asciiTheme="minorHAnsi" w:hAnsiTheme="minorHAnsi" w:cstheme="minorHAnsi"/>
          <w:szCs w:val="22"/>
        </w:rPr>
        <w:t xml:space="preserve">The tumult of the </w:t>
      </w:r>
      <w:r w:rsidR="003552A2">
        <w:rPr>
          <w:rFonts w:asciiTheme="minorHAnsi" w:hAnsiTheme="minorHAnsi" w:cstheme="minorHAnsi"/>
          <w:szCs w:val="22"/>
        </w:rPr>
        <w:t xml:space="preserve">global </w:t>
      </w:r>
      <w:r w:rsidR="002A7828">
        <w:rPr>
          <w:rFonts w:asciiTheme="minorHAnsi" w:hAnsiTheme="minorHAnsi" w:cstheme="minorHAnsi"/>
          <w:szCs w:val="22"/>
        </w:rPr>
        <w:t xml:space="preserve">pandemic </w:t>
      </w:r>
      <w:r w:rsidR="003552A2">
        <w:rPr>
          <w:rFonts w:asciiTheme="minorHAnsi" w:hAnsiTheme="minorHAnsi" w:cstheme="minorHAnsi"/>
          <w:szCs w:val="22"/>
        </w:rPr>
        <w:t xml:space="preserve">required large-scale service delivery changes for government. It also provided us the opportunities to work together, especially with jurisdictions, to drive fast </w:t>
      </w:r>
      <w:r w:rsidR="00647D4C">
        <w:rPr>
          <w:rFonts w:asciiTheme="minorHAnsi" w:hAnsiTheme="minorHAnsi" w:cstheme="minorHAnsi"/>
          <w:szCs w:val="22"/>
        </w:rPr>
        <w:t>improvements</w:t>
      </w:r>
      <w:r w:rsidR="003552A2">
        <w:rPr>
          <w:rFonts w:asciiTheme="minorHAnsi" w:hAnsiTheme="minorHAnsi" w:cstheme="minorHAnsi"/>
          <w:szCs w:val="22"/>
        </w:rPr>
        <w:t xml:space="preserve"> when needed across all four pillars of reform: strong and sustainable Medicare, hospitals, mental </w:t>
      </w:r>
      <w:proofErr w:type="gramStart"/>
      <w:r w:rsidR="003552A2">
        <w:rPr>
          <w:rFonts w:asciiTheme="minorHAnsi" w:hAnsiTheme="minorHAnsi" w:cstheme="minorHAnsi"/>
          <w:szCs w:val="22"/>
        </w:rPr>
        <w:t>health</w:t>
      </w:r>
      <w:proofErr w:type="gramEnd"/>
      <w:r w:rsidR="003552A2">
        <w:rPr>
          <w:rFonts w:asciiTheme="minorHAnsi" w:hAnsiTheme="minorHAnsi" w:cstheme="minorHAnsi"/>
          <w:szCs w:val="22"/>
        </w:rPr>
        <w:t xml:space="preserve"> and medical research. In this context, there is a deep need for effective data and evidence to underpin the work</w:t>
      </w:r>
      <w:r w:rsidR="006F1A5D">
        <w:rPr>
          <w:rFonts w:asciiTheme="minorHAnsi" w:hAnsiTheme="minorHAnsi" w:cstheme="minorHAnsi"/>
          <w:szCs w:val="22"/>
        </w:rPr>
        <w:t xml:space="preserve"> of </w:t>
      </w:r>
      <w:r w:rsidR="003552A2">
        <w:rPr>
          <w:rFonts w:asciiTheme="minorHAnsi" w:hAnsiTheme="minorHAnsi" w:cstheme="minorHAnsi"/>
          <w:szCs w:val="22"/>
        </w:rPr>
        <w:t xml:space="preserve">the department. </w:t>
      </w:r>
    </w:p>
    <w:p w14:paraId="480E5318" w14:textId="71C90DD1" w:rsidR="003552A2" w:rsidRDefault="003552A2" w:rsidP="0025376A">
      <w:pPr>
        <w:tabs>
          <w:tab w:val="left" w:pos="9027"/>
        </w:tabs>
        <w:spacing w:after="160" w:line="259" w:lineRule="auto"/>
        <w:rPr>
          <w:rFonts w:asciiTheme="minorHAnsi" w:hAnsiTheme="minorHAnsi" w:cstheme="minorHAnsi"/>
          <w:szCs w:val="22"/>
        </w:rPr>
      </w:pPr>
      <w:r w:rsidRPr="003552A2">
        <w:rPr>
          <w:rFonts w:asciiTheme="minorHAnsi" w:hAnsiTheme="minorHAnsi" w:cstheme="minorHAnsi"/>
          <w:szCs w:val="22"/>
        </w:rPr>
        <w:t>Evaluation helps us to gain an understanding of what works and what doesn't, for whom and why. This kind of knowledge help</w:t>
      </w:r>
      <w:r w:rsidR="00982715">
        <w:rPr>
          <w:rFonts w:asciiTheme="minorHAnsi" w:hAnsiTheme="minorHAnsi" w:cstheme="minorHAnsi"/>
          <w:szCs w:val="22"/>
        </w:rPr>
        <w:t>s</w:t>
      </w:r>
      <w:r w:rsidRPr="003552A2">
        <w:rPr>
          <w:rFonts w:asciiTheme="minorHAnsi" w:hAnsiTheme="minorHAnsi" w:cstheme="minorHAnsi"/>
          <w:szCs w:val="22"/>
        </w:rPr>
        <w:t xml:space="preserve"> us to learn and improve what we do</w:t>
      </w:r>
      <w:r w:rsidR="00982715">
        <w:rPr>
          <w:rFonts w:asciiTheme="minorHAnsi" w:hAnsiTheme="minorHAnsi" w:cstheme="minorHAnsi"/>
          <w:szCs w:val="22"/>
        </w:rPr>
        <w:t xml:space="preserve"> and</w:t>
      </w:r>
      <w:r w:rsidRPr="003552A2">
        <w:rPr>
          <w:rFonts w:asciiTheme="minorHAnsi" w:hAnsiTheme="minorHAnsi" w:cstheme="minorHAnsi"/>
          <w:szCs w:val="22"/>
        </w:rPr>
        <w:t xml:space="preserve"> support</w:t>
      </w:r>
      <w:r w:rsidR="00982715">
        <w:rPr>
          <w:rFonts w:asciiTheme="minorHAnsi" w:hAnsiTheme="minorHAnsi" w:cstheme="minorHAnsi"/>
          <w:szCs w:val="22"/>
        </w:rPr>
        <w:t>s</w:t>
      </w:r>
      <w:r w:rsidRPr="003552A2">
        <w:rPr>
          <w:rFonts w:asciiTheme="minorHAnsi" w:hAnsiTheme="minorHAnsi" w:cstheme="minorHAnsi"/>
          <w:szCs w:val="22"/>
        </w:rPr>
        <w:t xml:space="preserve"> decision-making with the best available evidence.</w:t>
      </w:r>
    </w:p>
    <w:p w14:paraId="1637F0B3" w14:textId="125A9F0F" w:rsidR="006F1A5D" w:rsidRDefault="003552A2" w:rsidP="0025376A">
      <w:pPr>
        <w:tabs>
          <w:tab w:val="left" w:pos="9027"/>
        </w:tabs>
        <w:spacing w:after="160" w:line="259" w:lineRule="auto"/>
        <w:rPr>
          <w:rFonts w:asciiTheme="minorHAnsi" w:hAnsiTheme="minorHAnsi" w:cstheme="minorHAnsi"/>
          <w:szCs w:val="22"/>
        </w:rPr>
      </w:pPr>
      <w:r w:rsidRPr="003552A2">
        <w:rPr>
          <w:rFonts w:asciiTheme="minorHAnsi" w:hAnsiTheme="minorHAnsi" w:cstheme="minorHAnsi"/>
          <w:szCs w:val="22"/>
        </w:rPr>
        <w:t>Evaluation is integral to continual improvement</w:t>
      </w:r>
      <w:r w:rsidR="00982715">
        <w:rPr>
          <w:rFonts w:asciiTheme="minorHAnsi" w:hAnsiTheme="minorHAnsi" w:cstheme="minorHAnsi"/>
          <w:szCs w:val="22"/>
        </w:rPr>
        <w:t xml:space="preserve"> -</w:t>
      </w:r>
      <w:r w:rsidR="001B1D3E">
        <w:rPr>
          <w:rFonts w:asciiTheme="minorHAnsi" w:hAnsiTheme="minorHAnsi" w:cstheme="minorHAnsi"/>
          <w:szCs w:val="22"/>
        </w:rPr>
        <w:t xml:space="preserve"> i</w:t>
      </w:r>
      <w:r w:rsidRPr="003552A2">
        <w:rPr>
          <w:rFonts w:asciiTheme="minorHAnsi" w:hAnsiTheme="minorHAnsi" w:cstheme="minorHAnsi"/>
          <w:szCs w:val="22"/>
        </w:rPr>
        <w:t xml:space="preserve">t is not a </w:t>
      </w:r>
      <w:r w:rsidR="00982715">
        <w:rPr>
          <w:rFonts w:asciiTheme="minorHAnsi" w:hAnsiTheme="minorHAnsi" w:cstheme="minorHAnsi"/>
          <w:szCs w:val="22"/>
        </w:rPr>
        <w:t>s</w:t>
      </w:r>
      <w:r w:rsidR="004218D4">
        <w:rPr>
          <w:rFonts w:asciiTheme="minorHAnsi" w:hAnsiTheme="minorHAnsi" w:cstheme="minorHAnsi"/>
          <w:szCs w:val="22"/>
        </w:rPr>
        <w:t>ingular</w:t>
      </w:r>
      <w:r w:rsidRPr="003552A2">
        <w:rPr>
          <w:rFonts w:asciiTheme="minorHAnsi" w:hAnsiTheme="minorHAnsi" w:cstheme="minorHAnsi"/>
          <w:szCs w:val="22"/>
        </w:rPr>
        <w:t xml:space="preserve">, or 'tick the box' exercise. Evaluation supports evidence-informed policy development, public accountability, learning and performance reporting. </w:t>
      </w:r>
      <w:r w:rsidR="00982715">
        <w:rPr>
          <w:rFonts w:asciiTheme="minorHAnsi" w:hAnsiTheme="minorHAnsi" w:cstheme="minorHAnsi"/>
          <w:szCs w:val="22"/>
        </w:rPr>
        <w:t>Therefore, e</w:t>
      </w:r>
      <w:r w:rsidRPr="003552A2">
        <w:rPr>
          <w:rFonts w:asciiTheme="minorHAnsi" w:hAnsiTheme="minorHAnsi" w:cstheme="minorHAnsi"/>
          <w:szCs w:val="22"/>
        </w:rPr>
        <w:t>valuation needs to be planned across the lifecycle of a program, from the very start.</w:t>
      </w:r>
      <w:r w:rsidR="006F1A5D">
        <w:rPr>
          <w:rFonts w:asciiTheme="minorHAnsi" w:hAnsiTheme="minorHAnsi" w:cstheme="minorHAnsi"/>
          <w:szCs w:val="22"/>
        </w:rPr>
        <w:t xml:space="preserve"> </w:t>
      </w:r>
      <w:r w:rsidR="002942F9">
        <w:rPr>
          <w:rFonts w:asciiTheme="minorHAnsi" w:hAnsiTheme="minorHAnsi" w:cstheme="minorHAnsi"/>
          <w:szCs w:val="22"/>
        </w:rPr>
        <w:t xml:space="preserve">The Strategy </w:t>
      </w:r>
      <w:r w:rsidRPr="003552A2">
        <w:rPr>
          <w:rFonts w:asciiTheme="minorHAnsi" w:hAnsiTheme="minorHAnsi" w:cstheme="minorHAnsi"/>
          <w:szCs w:val="22"/>
        </w:rPr>
        <w:t xml:space="preserve">promotes and supports a culture </w:t>
      </w:r>
      <w:r w:rsidR="004218D4">
        <w:rPr>
          <w:rFonts w:asciiTheme="minorHAnsi" w:hAnsiTheme="minorHAnsi" w:cstheme="minorHAnsi"/>
          <w:szCs w:val="22"/>
        </w:rPr>
        <w:t>of</w:t>
      </w:r>
      <w:r w:rsidRPr="003552A2">
        <w:rPr>
          <w:rFonts w:asciiTheme="minorHAnsi" w:hAnsiTheme="minorHAnsi" w:cstheme="minorHAnsi"/>
          <w:szCs w:val="22"/>
        </w:rPr>
        <w:t xml:space="preserve"> improvement. </w:t>
      </w:r>
    </w:p>
    <w:p w14:paraId="40025393" w14:textId="4923FAA5" w:rsidR="00B107CC" w:rsidRDefault="006F1A5D" w:rsidP="00B107CC">
      <w:pPr>
        <w:tabs>
          <w:tab w:val="left" w:pos="9027"/>
        </w:tabs>
        <w:spacing w:after="160" w:line="259" w:lineRule="auto"/>
        <w:rPr>
          <w:rFonts w:asciiTheme="minorHAnsi" w:hAnsiTheme="minorHAnsi" w:cstheme="minorHAnsi"/>
          <w:szCs w:val="22"/>
        </w:rPr>
      </w:pPr>
      <w:r>
        <w:rPr>
          <w:rFonts w:asciiTheme="minorHAnsi" w:hAnsiTheme="minorHAnsi" w:cstheme="minorHAnsi"/>
          <w:szCs w:val="22"/>
        </w:rPr>
        <w:t>We cannot do this alone. We must work</w:t>
      </w:r>
      <w:r w:rsidR="00B107CC">
        <w:rPr>
          <w:rFonts w:asciiTheme="minorHAnsi" w:hAnsiTheme="minorHAnsi" w:cstheme="minorHAnsi"/>
          <w:szCs w:val="22"/>
        </w:rPr>
        <w:t xml:space="preserve"> closely </w:t>
      </w:r>
      <w:r>
        <w:rPr>
          <w:rFonts w:asciiTheme="minorHAnsi" w:hAnsiTheme="minorHAnsi" w:cstheme="minorHAnsi"/>
          <w:szCs w:val="22"/>
        </w:rPr>
        <w:t>with</w:t>
      </w:r>
      <w:r w:rsidR="0009064D">
        <w:rPr>
          <w:rFonts w:asciiTheme="minorHAnsi" w:hAnsiTheme="minorHAnsi" w:cstheme="minorHAnsi"/>
          <w:szCs w:val="22"/>
        </w:rPr>
        <w:t xml:space="preserve"> our </w:t>
      </w:r>
      <w:r>
        <w:rPr>
          <w:rFonts w:asciiTheme="minorHAnsi" w:hAnsiTheme="minorHAnsi" w:cstheme="minorHAnsi"/>
          <w:szCs w:val="22"/>
        </w:rPr>
        <w:t>partners in the health portfolio, other parts of government, and the research community. The Strategy commits us to</w:t>
      </w:r>
      <w:r w:rsidR="0009064D">
        <w:rPr>
          <w:rFonts w:asciiTheme="minorHAnsi" w:hAnsiTheme="minorHAnsi" w:cstheme="minorHAnsi"/>
          <w:szCs w:val="22"/>
        </w:rPr>
        <w:t xml:space="preserve"> be </w:t>
      </w:r>
      <w:r w:rsidR="00F25065">
        <w:rPr>
          <w:rFonts w:asciiTheme="minorHAnsi" w:hAnsiTheme="minorHAnsi" w:cstheme="minorHAnsi"/>
          <w:szCs w:val="22"/>
        </w:rPr>
        <w:t xml:space="preserve">transparent, </w:t>
      </w:r>
      <w:r w:rsidR="0009064D">
        <w:rPr>
          <w:rFonts w:asciiTheme="minorHAnsi" w:hAnsiTheme="minorHAnsi" w:cstheme="minorHAnsi"/>
          <w:szCs w:val="22"/>
        </w:rPr>
        <w:t xml:space="preserve">credible, </w:t>
      </w:r>
      <w:proofErr w:type="gramStart"/>
      <w:r w:rsidR="0009064D">
        <w:rPr>
          <w:rFonts w:asciiTheme="minorHAnsi" w:hAnsiTheme="minorHAnsi" w:cstheme="minorHAnsi"/>
          <w:szCs w:val="22"/>
        </w:rPr>
        <w:t>ethical</w:t>
      </w:r>
      <w:proofErr w:type="gramEnd"/>
      <w:r w:rsidR="0009064D">
        <w:rPr>
          <w:rFonts w:asciiTheme="minorHAnsi" w:hAnsiTheme="minorHAnsi" w:cstheme="minorHAnsi"/>
          <w:szCs w:val="22"/>
        </w:rPr>
        <w:t xml:space="preserve"> and culturally appropriate</w:t>
      </w:r>
      <w:r w:rsidR="00F25065">
        <w:rPr>
          <w:rFonts w:asciiTheme="minorHAnsi" w:hAnsiTheme="minorHAnsi" w:cstheme="minorHAnsi"/>
          <w:szCs w:val="22"/>
        </w:rPr>
        <w:t xml:space="preserve"> </w:t>
      </w:r>
      <w:r w:rsidR="00982715">
        <w:rPr>
          <w:rFonts w:asciiTheme="minorHAnsi" w:hAnsiTheme="minorHAnsi" w:cstheme="minorHAnsi"/>
          <w:szCs w:val="22"/>
        </w:rPr>
        <w:t>when undertaking</w:t>
      </w:r>
      <w:r w:rsidR="00F25065">
        <w:rPr>
          <w:rFonts w:asciiTheme="minorHAnsi" w:hAnsiTheme="minorHAnsi" w:cstheme="minorHAnsi"/>
          <w:szCs w:val="22"/>
        </w:rPr>
        <w:t xml:space="preserve"> evaluation activities</w:t>
      </w:r>
      <w:r w:rsidR="00982715">
        <w:rPr>
          <w:rFonts w:asciiTheme="minorHAnsi" w:hAnsiTheme="minorHAnsi" w:cstheme="minorHAnsi"/>
          <w:szCs w:val="22"/>
        </w:rPr>
        <w:t xml:space="preserve">, particularly in </w:t>
      </w:r>
      <w:r w:rsidR="00BA0B3E" w:rsidRPr="00BA0B3E">
        <w:rPr>
          <w:rFonts w:asciiTheme="minorHAnsi" w:hAnsiTheme="minorHAnsi" w:cstheme="minorHAnsi"/>
          <w:szCs w:val="22"/>
        </w:rPr>
        <w:t>the collection, assessment and use of information</w:t>
      </w:r>
      <w:r w:rsidR="00E305DF">
        <w:rPr>
          <w:rFonts w:asciiTheme="minorHAnsi" w:hAnsiTheme="minorHAnsi" w:cstheme="minorHAnsi"/>
          <w:szCs w:val="22"/>
        </w:rPr>
        <w:t>.</w:t>
      </w:r>
    </w:p>
    <w:p w14:paraId="0399F54A" w14:textId="01E1225B" w:rsidR="00BA0B3E" w:rsidRDefault="00614777" w:rsidP="00B107CC">
      <w:pPr>
        <w:tabs>
          <w:tab w:val="left" w:pos="9027"/>
        </w:tabs>
        <w:spacing w:after="160" w:line="259" w:lineRule="auto"/>
        <w:rPr>
          <w:rFonts w:asciiTheme="minorHAnsi" w:hAnsiTheme="minorHAnsi" w:cstheme="minorHAnsi"/>
          <w:szCs w:val="22"/>
        </w:rPr>
      </w:pPr>
      <w:r w:rsidRPr="00614777">
        <w:rPr>
          <w:rFonts w:asciiTheme="minorHAnsi" w:hAnsiTheme="minorHAnsi" w:cstheme="minorHAnsi"/>
          <w:szCs w:val="22"/>
        </w:rPr>
        <w:t xml:space="preserve">We must ensure that evaluation findings are provided to appropriate stakeholders to support continuous improvement, </w:t>
      </w:r>
      <w:proofErr w:type="gramStart"/>
      <w:r w:rsidRPr="00614777">
        <w:rPr>
          <w:rFonts w:asciiTheme="minorHAnsi" w:hAnsiTheme="minorHAnsi" w:cstheme="minorHAnsi"/>
          <w:szCs w:val="22"/>
        </w:rPr>
        <w:t>accountability</w:t>
      </w:r>
      <w:proofErr w:type="gramEnd"/>
      <w:r w:rsidRPr="00614777">
        <w:rPr>
          <w:rFonts w:asciiTheme="minorHAnsi" w:hAnsiTheme="minorHAnsi" w:cstheme="minorHAnsi"/>
          <w:szCs w:val="22"/>
        </w:rPr>
        <w:t xml:space="preserve"> and decision-making</w:t>
      </w:r>
      <w:r w:rsidR="00BA0B3E" w:rsidRPr="00BA0B3E">
        <w:rPr>
          <w:rFonts w:asciiTheme="minorHAnsi" w:hAnsiTheme="minorHAnsi" w:cstheme="minorHAnsi"/>
          <w:szCs w:val="22"/>
        </w:rPr>
        <w:t>.</w:t>
      </w:r>
      <w:r w:rsidR="00263F5E">
        <w:rPr>
          <w:rFonts w:asciiTheme="minorHAnsi" w:hAnsiTheme="minorHAnsi" w:cstheme="minorHAnsi"/>
          <w:szCs w:val="22"/>
        </w:rPr>
        <w:t xml:space="preserve"> Reimaging our governance will be </w:t>
      </w:r>
      <w:proofErr w:type="gramStart"/>
      <w:r w:rsidR="00263F5E">
        <w:rPr>
          <w:rFonts w:asciiTheme="minorHAnsi" w:hAnsiTheme="minorHAnsi" w:cstheme="minorHAnsi"/>
          <w:szCs w:val="22"/>
        </w:rPr>
        <w:t>core</w:t>
      </w:r>
      <w:proofErr w:type="gramEnd"/>
      <w:r w:rsidR="00263F5E">
        <w:rPr>
          <w:rFonts w:asciiTheme="minorHAnsi" w:hAnsiTheme="minorHAnsi" w:cstheme="minorHAnsi"/>
          <w:szCs w:val="22"/>
        </w:rPr>
        <w:t xml:space="preserve"> to help</w:t>
      </w:r>
      <w:r w:rsidR="00982715">
        <w:rPr>
          <w:rFonts w:asciiTheme="minorHAnsi" w:hAnsiTheme="minorHAnsi" w:cstheme="minorHAnsi"/>
          <w:szCs w:val="22"/>
        </w:rPr>
        <w:t>ing</w:t>
      </w:r>
      <w:r w:rsidR="00263F5E">
        <w:rPr>
          <w:rFonts w:asciiTheme="minorHAnsi" w:hAnsiTheme="minorHAnsi" w:cstheme="minorHAnsi"/>
          <w:szCs w:val="22"/>
        </w:rPr>
        <w:t xml:space="preserve"> us achieve this vision. We will review and</w:t>
      </w:r>
      <w:r w:rsidR="00982715">
        <w:rPr>
          <w:rFonts w:asciiTheme="minorHAnsi" w:hAnsiTheme="minorHAnsi" w:cstheme="minorHAnsi"/>
          <w:szCs w:val="22"/>
        </w:rPr>
        <w:t>,</w:t>
      </w:r>
      <w:r w:rsidR="00263F5E">
        <w:rPr>
          <w:rFonts w:asciiTheme="minorHAnsi" w:hAnsiTheme="minorHAnsi" w:cstheme="minorHAnsi"/>
          <w:szCs w:val="22"/>
        </w:rPr>
        <w:t xml:space="preserve"> where needed, update our evaluation governance so that our arrangements are clear and transparent. </w:t>
      </w:r>
    </w:p>
    <w:p w14:paraId="4908115B" w14:textId="02D68AAA" w:rsidR="00263F5E" w:rsidRDefault="00263F5E" w:rsidP="00B107CC">
      <w:pPr>
        <w:tabs>
          <w:tab w:val="left" w:pos="9027"/>
        </w:tabs>
        <w:spacing w:after="160" w:line="259" w:lineRule="auto"/>
        <w:rPr>
          <w:rFonts w:asciiTheme="minorHAnsi" w:hAnsiTheme="minorHAnsi" w:cstheme="minorHAnsi"/>
          <w:szCs w:val="22"/>
        </w:rPr>
      </w:pPr>
      <w:r>
        <w:rPr>
          <w:rFonts w:asciiTheme="minorHAnsi" w:hAnsiTheme="minorHAnsi" w:cstheme="minorHAnsi"/>
          <w:szCs w:val="22"/>
        </w:rPr>
        <w:t>All staff ha</w:t>
      </w:r>
      <w:r w:rsidR="00982715">
        <w:rPr>
          <w:rFonts w:asciiTheme="minorHAnsi" w:hAnsiTheme="minorHAnsi" w:cstheme="minorHAnsi"/>
          <w:szCs w:val="22"/>
        </w:rPr>
        <w:t>ve</w:t>
      </w:r>
      <w:r>
        <w:rPr>
          <w:rFonts w:asciiTheme="minorHAnsi" w:hAnsiTheme="minorHAnsi" w:cstheme="minorHAnsi"/>
          <w:szCs w:val="22"/>
        </w:rPr>
        <w:t xml:space="preserve"> a role to play in ensuring we make best use of evaluation – this is central to the department achieving its broader objectives. That is why this Strategy focuses on building staff capability. We believe that all staff should have a baseline of evaluation literacy. </w:t>
      </w:r>
    </w:p>
    <w:p w14:paraId="5EE5DA57" w14:textId="0481590E" w:rsidR="007D35CD" w:rsidRDefault="00263F5E" w:rsidP="004E61AA">
      <w:pPr>
        <w:tabs>
          <w:tab w:val="left" w:pos="9027"/>
        </w:tabs>
        <w:spacing w:after="160" w:line="259" w:lineRule="auto"/>
        <w:rPr>
          <w:rFonts w:asciiTheme="minorHAnsi" w:hAnsiTheme="minorHAnsi" w:cstheme="minorHAnsi"/>
          <w:szCs w:val="22"/>
        </w:rPr>
      </w:pPr>
      <w:r>
        <w:rPr>
          <w:rFonts w:asciiTheme="minorHAnsi" w:hAnsiTheme="minorHAnsi" w:cstheme="minorHAnsi"/>
          <w:szCs w:val="22"/>
        </w:rPr>
        <w:t xml:space="preserve">The key to a successful evaluation strategy is always the people involved. I encourage everyone in the department to take part and make better use of evaluation </w:t>
      </w:r>
      <w:r w:rsidR="007D35CD">
        <w:rPr>
          <w:rFonts w:asciiTheme="minorHAnsi" w:hAnsiTheme="minorHAnsi" w:cstheme="minorHAnsi"/>
          <w:szCs w:val="22"/>
        </w:rPr>
        <w:t xml:space="preserve">as we </w:t>
      </w:r>
      <w:r>
        <w:rPr>
          <w:rFonts w:asciiTheme="minorHAnsi" w:hAnsiTheme="minorHAnsi" w:cstheme="minorHAnsi"/>
          <w:szCs w:val="22"/>
        </w:rPr>
        <w:t xml:space="preserve">design and deliver </w:t>
      </w:r>
      <w:r w:rsidR="007D35CD">
        <w:rPr>
          <w:rFonts w:asciiTheme="minorHAnsi" w:hAnsiTheme="minorHAnsi" w:cstheme="minorHAnsi"/>
          <w:szCs w:val="22"/>
        </w:rPr>
        <w:t xml:space="preserve">health services </w:t>
      </w:r>
      <w:r w:rsidR="00614E24">
        <w:rPr>
          <w:rFonts w:asciiTheme="minorHAnsi" w:hAnsiTheme="minorHAnsi" w:cstheme="minorHAnsi"/>
          <w:szCs w:val="22"/>
        </w:rPr>
        <w:t>to the Australian community.</w:t>
      </w:r>
    </w:p>
    <w:p w14:paraId="75CAFEA4" w14:textId="77777777" w:rsidR="00F53C04" w:rsidRDefault="00F53C04" w:rsidP="008865D7">
      <w:pPr>
        <w:spacing w:before="120" w:after="120"/>
        <w:rPr>
          <w:rFonts w:asciiTheme="minorHAnsi" w:hAnsiTheme="minorHAnsi" w:cstheme="minorHAnsi"/>
          <w:szCs w:val="22"/>
        </w:rPr>
      </w:pPr>
    </w:p>
    <w:p w14:paraId="637FE937" w14:textId="6119E23F" w:rsidR="00B42546" w:rsidRPr="00B42546" w:rsidRDefault="00AA50E6" w:rsidP="00B42546">
      <w:pPr>
        <w:spacing w:before="120" w:after="120"/>
        <w:rPr>
          <w:rFonts w:asciiTheme="minorHAnsi" w:eastAsiaTheme="minorHAnsi" w:hAnsiTheme="minorHAnsi" w:cstheme="minorBidi"/>
          <w:szCs w:val="22"/>
        </w:rPr>
      </w:pPr>
      <w:r>
        <w:rPr>
          <w:rFonts w:asciiTheme="minorHAnsi" w:eastAsiaTheme="minorHAnsi" w:hAnsiTheme="minorHAnsi" w:cstheme="minorBidi"/>
          <w:szCs w:val="22"/>
        </w:rPr>
        <w:t xml:space="preserve">Blair </w:t>
      </w:r>
      <w:proofErr w:type="spellStart"/>
      <w:r>
        <w:rPr>
          <w:rFonts w:asciiTheme="minorHAnsi" w:eastAsiaTheme="minorHAnsi" w:hAnsiTheme="minorHAnsi" w:cstheme="minorBidi"/>
          <w:szCs w:val="22"/>
        </w:rPr>
        <w:t>Exell</w:t>
      </w:r>
      <w:proofErr w:type="spellEnd"/>
    </w:p>
    <w:p w14:paraId="7C9E6552" w14:textId="4D5691BC" w:rsidR="0078218B" w:rsidRDefault="00B42546" w:rsidP="0078218B">
      <w:pPr>
        <w:spacing w:before="120" w:after="120"/>
        <w:rPr>
          <w:rFonts w:asciiTheme="minorHAnsi" w:eastAsiaTheme="minorHAnsi" w:hAnsiTheme="minorHAnsi" w:cstheme="minorBidi"/>
          <w:szCs w:val="22"/>
        </w:rPr>
      </w:pPr>
      <w:r w:rsidRPr="00B42546">
        <w:rPr>
          <w:rFonts w:asciiTheme="minorHAnsi" w:eastAsiaTheme="minorHAnsi" w:hAnsiTheme="minorHAnsi" w:cstheme="minorBidi"/>
          <w:szCs w:val="22"/>
        </w:rPr>
        <w:t>Deputy Secretar</w:t>
      </w:r>
      <w:r>
        <w:rPr>
          <w:rFonts w:asciiTheme="minorHAnsi" w:eastAsiaTheme="minorHAnsi" w:hAnsiTheme="minorHAnsi" w:cstheme="minorBidi"/>
          <w:szCs w:val="22"/>
        </w:rPr>
        <w:t>y</w:t>
      </w:r>
      <w:bookmarkEnd w:id="8"/>
    </w:p>
    <w:p w14:paraId="0D21ADAB" w14:textId="77777777" w:rsidR="0078218B" w:rsidRDefault="0078218B">
      <w:pPr>
        <w:rPr>
          <w:rFonts w:asciiTheme="minorHAnsi" w:eastAsiaTheme="minorHAnsi" w:hAnsiTheme="minorHAnsi" w:cstheme="minorBidi"/>
          <w:szCs w:val="22"/>
        </w:rPr>
      </w:pPr>
      <w:r>
        <w:rPr>
          <w:rFonts w:asciiTheme="minorHAnsi" w:eastAsiaTheme="minorHAnsi" w:hAnsiTheme="minorHAnsi" w:cstheme="minorBidi"/>
          <w:szCs w:val="22"/>
        </w:rPr>
        <w:br w:type="page"/>
      </w:r>
    </w:p>
    <w:p w14:paraId="6098C587" w14:textId="4D401954" w:rsidR="00C62CEA" w:rsidRPr="00D265E8" w:rsidRDefault="00C62CEA">
      <w:pPr>
        <w:pStyle w:val="Heading1"/>
        <w:rPr>
          <w:rFonts w:asciiTheme="minorHAnsi" w:hAnsiTheme="minorHAnsi"/>
          <w:color w:val="37818A"/>
        </w:rPr>
      </w:pPr>
      <w:bookmarkStart w:id="9" w:name="_Toc140233980"/>
      <w:r w:rsidRPr="00D265E8">
        <w:rPr>
          <w:rFonts w:asciiTheme="minorHAnsi" w:hAnsiTheme="minorHAnsi"/>
          <w:color w:val="37818A"/>
        </w:rPr>
        <w:lastRenderedPageBreak/>
        <w:t>Introduction</w:t>
      </w:r>
      <w:bookmarkEnd w:id="9"/>
    </w:p>
    <w:p w14:paraId="11C03DB1" w14:textId="436A9DD2" w:rsidR="00DE2722" w:rsidRDefault="0087122D" w:rsidP="00DC2218">
      <w:pPr>
        <w:spacing w:before="120" w:after="120"/>
        <w:rPr>
          <w:rFonts w:asciiTheme="minorHAnsi" w:eastAsiaTheme="minorHAnsi" w:hAnsiTheme="minorHAnsi" w:cstheme="minorBidi"/>
          <w:szCs w:val="22"/>
        </w:rPr>
      </w:pPr>
      <w:r>
        <w:rPr>
          <w:rFonts w:asciiTheme="minorHAnsi" w:eastAsiaTheme="minorHAnsi" w:hAnsiTheme="minorHAnsi" w:cstheme="minorBidi"/>
          <w:szCs w:val="22"/>
        </w:rPr>
        <w:t>Better evaluation of government</w:t>
      </w:r>
      <w:r w:rsidR="00B877E0">
        <w:rPr>
          <w:rFonts w:asciiTheme="minorHAnsi" w:eastAsiaTheme="minorHAnsi" w:hAnsiTheme="minorHAnsi" w:cstheme="minorBidi"/>
          <w:szCs w:val="22"/>
        </w:rPr>
        <w:t xml:space="preserve"> </w:t>
      </w:r>
      <w:r w:rsidR="005A51CD">
        <w:rPr>
          <w:rFonts w:asciiTheme="minorHAnsi" w:eastAsiaTheme="minorHAnsi" w:hAnsiTheme="minorHAnsi" w:cstheme="minorBidi"/>
          <w:szCs w:val="22"/>
        </w:rPr>
        <w:t xml:space="preserve">policies and </w:t>
      </w:r>
      <w:r w:rsidR="00B01F62" w:rsidRPr="00D61CBA">
        <w:rPr>
          <w:rFonts w:asciiTheme="minorHAnsi" w:eastAsiaTheme="minorHAnsi" w:hAnsiTheme="minorHAnsi" w:cstheme="minorBidi"/>
          <w:szCs w:val="22"/>
        </w:rPr>
        <w:t>programs</w:t>
      </w:r>
      <w:r w:rsidR="00F20227" w:rsidRPr="00D61CBA">
        <w:rPr>
          <w:rStyle w:val="FootnoteReference"/>
          <w:rFonts w:asciiTheme="minorHAnsi" w:eastAsiaTheme="minorHAnsi" w:hAnsiTheme="minorHAnsi" w:cstheme="minorBidi"/>
          <w:szCs w:val="22"/>
        </w:rPr>
        <w:footnoteReference w:id="2"/>
      </w:r>
      <w:r w:rsidR="00AE6FF0">
        <w:rPr>
          <w:rFonts w:asciiTheme="minorHAnsi" w:eastAsiaTheme="minorHAnsi" w:hAnsiTheme="minorHAnsi" w:cstheme="minorBidi"/>
          <w:szCs w:val="22"/>
        </w:rPr>
        <w:t xml:space="preserve"> </w:t>
      </w:r>
      <w:r w:rsidRPr="00D61CBA">
        <w:rPr>
          <w:rFonts w:asciiTheme="minorHAnsi" w:eastAsiaTheme="minorHAnsi" w:hAnsiTheme="minorHAnsi" w:cstheme="minorBidi"/>
          <w:szCs w:val="22"/>
        </w:rPr>
        <w:t>is</w:t>
      </w:r>
      <w:r>
        <w:rPr>
          <w:rFonts w:asciiTheme="minorHAnsi" w:eastAsiaTheme="minorHAnsi" w:hAnsiTheme="minorHAnsi" w:cstheme="minorBidi"/>
          <w:szCs w:val="22"/>
        </w:rPr>
        <w:t xml:space="preserve"> a key election commitment</w:t>
      </w:r>
      <w:r w:rsidR="00B01F62">
        <w:rPr>
          <w:rFonts w:asciiTheme="minorHAnsi" w:eastAsiaTheme="minorHAnsi" w:hAnsiTheme="minorHAnsi" w:cstheme="minorBidi"/>
          <w:szCs w:val="22"/>
        </w:rPr>
        <w:t xml:space="preserve"> by </w:t>
      </w:r>
      <w:r>
        <w:rPr>
          <w:rFonts w:asciiTheme="minorHAnsi" w:eastAsiaTheme="minorHAnsi" w:hAnsiTheme="minorHAnsi" w:cstheme="minorBidi"/>
          <w:szCs w:val="22"/>
        </w:rPr>
        <w:t xml:space="preserve">the new Government. </w:t>
      </w:r>
      <w:r w:rsidR="00273918" w:rsidRPr="00B65C97">
        <w:rPr>
          <w:rFonts w:asciiTheme="minorHAnsi" w:eastAsiaTheme="minorHAnsi" w:hAnsiTheme="minorHAnsi" w:cstheme="minorBidi"/>
          <w:szCs w:val="22"/>
        </w:rPr>
        <w:t xml:space="preserve">The </w:t>
      </w:r>
      <w:r w:rsidR="00FC301C">
        <w:rPr>
          <w:rFonts w:asciiTheme="minorHAnsi" w:eastAsiaTheme="minorHAnsi" w:hAnsiTheme="minorHAnsi" w:cstheme="minorBidi"/>
          <w:szCs w:val="22"/>
        </w:rPr>
        <w:t>d</w:t>
      </w:r>
      <w:r w:rsidR="00273918" w:rsidRPr="00B65C97">
        <w:rPr>
          <w:rFonts w:asciiTheme="minorHAnsi" w:eastAsiaTheme="minorHAnsi" w:hAnsiTheme="minorHAnsi" w:cstheme="minorBidi"/>
          <w:szCs w:val="22"/>
        </w:rPr>
        <w:t xml:space="preserve">epartment published its first evaluation strategy in 2016. Since that time, significant effort has been invested to establish initial systems and processes and build capacity across the department. This Strategy is seeking to further embed and strengthen evaluation capacity, culture and capability in the department in order to inform the ongoing evolution of our policies and </w:t>
      </w:r>
      <w:proofErr w:type="gramStart"/>
      <w:r w:rsidR="00273918" w:rsidRPr="00B65C97">
        <w:rPr>
          <w:rFonts w:asciiTheme="minorHAnsi" w:eastAsiaTheme="minorHAnsi" w:hAnsiTheme="minorHAnsi" w:cstheme="minorBidi"/>
          <w:szCs w:val="22"/>
        </w:rPr>
        <w:t>programs, and</w:t>
      </w:r>
      <w:proofErr w:type="gramEnd"/>
      <w:r w:rsidR="00273918" w:rsidRPr="00B65C97">
        <w:rPr>
          <w:rFonts w:asciiTheme="minorHAnsi" w:eastAsiaTheme="minorHAnsi" w:hAnsiTheme="minorHAnsi" w:cstheme="minorBidi"/>
          <w:szCs w:val="22"/>
        </w:rPr>
        <w:t xml:space="preserve"> support us in our resource allocation and decision-making responsibilities.</w:t>
      </w:r>
      <w:r w:rsidR="0075589F" w:rsidRPr="00B65C97">
        <w:rPr>
          <w:rFonts w:asciiTheme="minorHAnsi" w:eastAsiaTheme="minorHAnsi" w:hAnsiTheme="minorHAnsi" w:cstheme="minorBidi"/>
          <w:szCs w:val="22"/>
        </w:rPr>
        <w:t xml:space="preserve"> </w:t>
      </w:r>
    </w:p>
    <w:p w14:paraId="1EFA544E" w14:textId="44AF49EA" w:rsidR="00DC2218" w:rsidRPr="009803A4" w:rsidRDefault="00DC2218" w:rsidP="00DC2218">
      <w:pPr>
        <w:spacing w:before="120" w:after="120"/>
        <w:rPr>
          <w:rFonts w:asciiTheme="minorHAnsi" w:eastAsiaTheme="minorHAnsi" w:hAnsiTheme="minorHAnsi" w:cstheme="minorBidi"/>
          <w:color w:val="000000" w:themeColor="text1"/>
          <w:szCs w:val="22"/>
        </w:rPr>
      </w:pPr>
      <w:r w:rsidRPr="009803A4">
        <w:rPr>
          <w:rFonts w:asciiTheme="minorHAnsi" w:eastAsiaTheme="minorHAnsi" w:hAnsiTheme="minorHAnsi" w:cstheme="minorBidi"/>
          <w:color w:val="000000" w:themeColor="text1"/>
          <w:szCs w:val="22"/>
        </w:rPr>
        <w:t xml:space="preserve">The Strategy complements the 2023-24 Budget announcement to establish the Australian Centre for Evaluation (ACE). The ACE will partner with the </w:t>
      </w:r>
      <w:r w:rsidR="00AF0984">
        <w:rPr>
          <w:rFonts w:asciiTheme="minorHAnsi" w:eastAsiaTheme="minorHAnsi" w:hAnsiTheme="minorHAnsi" w:cstheme="minorBidi"/>
          <w:color w:val="000000" w:themeColor="text1"/>
          <w:szCs w:val="22"/>
        </w:rPr>
        <w:t>d</w:t>
      </w:r>
      <w:r w:rsidRPr="009803A4">
        <w:rPr>
          <w:rFonts w:asciiTheme="minorHAnsi" w:eastAsiaTheme="minorHAnsi" w:hAnsiTheme="minorHAnsi" w:cstheme="minorBidi"/>
          <w:color w:val="000000" w:themeColor="text1"/>
          <w:szCs w:val="22"/>
        </w:rPr>
        <w:t>epartment to develop robust evidence on whether policies and programs achieve their intended outcomes and deliver value for money. The Strategy will also inform the policy architecture and a consistent decision-making framework to underpin the Budget measure ‘Reinvesting in Health and Aged Care Programs’</w:t>
      </w:r>
      <w:r w:rsidRPr="009803A4">
        <w:rPr>
          <w:rFonts w:asciiTheme="minorHAnsi" w:eastAsiaTheme="minorHAnsi" w:hAnsiTheme="minorHAnsi" w:cstheme="minorBidi"/>
          <w:i/>
          <w:iCs/>
          <w:color w:val="000000" w:themeColor="text1"/>
          <w:szCs w:val="22"/>
        </w:rPr>
        <w:t xml:space="preserve"> </w:t>
      </w:r>
      <w:r w:rsidRPr="009803A4">
        <w:rPr>
          <w:rFonts w:asciiTheme="minorHAnsi" w:eastAsiaTheme="minorHAnsi" w:hAnsiTheme="minorHAnsi" w:cstheme="minorBidi"/>
          <w:color w:val="000000" w:themeColor="text1"/>
          <w:szCs w:val="22"/>
        </w:rPr>
        <w:t>which will reallocate</w:t>
      </w:r>
      <w:r w:rsidR="008C1A09">
        <w:rPr>
          <w:rFonts w:asciiTheme="minorHAnsi" w:eastAsiaTheme="minorHAnsi" w:hAnsiTheme="minorHAnsi" w:cstheme="minorBidi"/>
          <w:color w:val="000000" w:themeColor="text1"/>
          <w:szCs w:val="22"/>
        </w:rPr>
        <w:t xml:space="preserve"> funds </w:t>
      </w:r>
      <w:r w:rsidR="008C1A09" w:rsidRPr="008C1A09">
        <w:rPr>
          <w:rFonts w:asciiTheme="minorHAnsi" w:eastAsiaTheme="minorHAnsi" w:hAnsiTheme="minorHAnsi" w:cstheme="minorBidi"/>
          <w:color w:val="000000" w:themeColor="text1"/>
          <w:szCs w:val="22"/>
        </w:rPr>
        <w:t>to priority areas of need</w:t>
      </w:r>
      <w:r w:rsidRPr="009803A4">
        <w:rPr>
          <w:rFonts w:asciiTheme="minorHAnsi" w:eastAsiaTheme="minorHAnsi" w:hAnsiTheme="minorHAnsi" w:cstheme="minorBidi"/>
          <w:i/>
          <w:iCs/>
          <w:color w:val="000000" w:themeColor="text1"/>
          <w:szCs w:val="22"/>
        </w:rPr>
        <w:t xml:space="preserve"> </w:t>
      </w:r>
      <w:r w:rsidR="008C1A09" w:rsidRPr="008C1A09">
        <w:rPr>
          <w:rFonts w:asciiTheme="minorHAnsi" w:eastAsiaTheme="minorHAnsi" w:hAnsiTheme="minorHAnsi" w:cstheme="minorBidi"/>
          <w:color w:val="000000" w:themeColor="text1"/>
          <w:szCs w:val="22"/>
        </w:rPr>
        <w:t>informed by robust and contestable evidence</w:t>
      </w:r>
      <w:r w:rsidR="008C1A09" w:rsidRPr="008C1A09">
        <w:rPr>
          <w:rFonts w:asciiTheme="minorHAnsi" w:eastAsiaTheme="minorHAnsi" w:hAnsiTheme="minorHAnsi" w:cstheme="minorBidi"/>
          <w:i/>
          <w:iCs/>
          <w:color w:val="000000" w:themeColor="text1"/>
          <w:szCs w:val="22"/>
        </w:rPr>
        <w:t>.</w:t>
      </w:r>
    </w:p>
    <w:p w14:paraId="0480EA83" w14:textId="77777777" w:rsidR="00DC2218" w:rsidRDefault="00DC2218" w:rsidP="00DC2218">
      <w:pPr>
        <w:spacing w:before="120" w:after="120"/>
        <w:rPr>
          <w:rFonts w:asciiTheme="minorHAnsi" w:eastAsiaTheme="minorHAnsi" w:hAnsiTheme="minorHAnsi" w:cstheme="minorBidi"/>
          <w:szCs w:val="22"/>
        </w:rPr>
      </w:pPr>
      <w:r w:rsidRPr="00B65C97">
        <w:rPr>
          <w:rFonts w:asciiTheme="minorHAnsi" w:eastAsiaTheme="minorHAnsi" w:hAnsiTheme="minorHAnsi" w:cstheme="minorBidi"/>
          <w:szCs w:val="22"/>
        </w:rPr>
        <w:t xml:space="preserve">These activities will ultimately help to ensure that the department’s policies and programs effectively meet their objectives and deliver an affordable, quality health and aged care system and better health, ageing and sport outcomes for all Australians. </w:t>
      </w:r>
    </w:p>
    <w:p w14:paraId="1375884B" w14:textId="77777777" w:rsidR="00DC2218" w:rsidRDefault="00DC2218" w:rsidP="00866AD2">
      <w:pPr>
        <w:spacing w:before="120" w:after="120"/>
        <w:rPr>
          <w:rFonts w:asciiTheme="minorHAnsi" w:hAnsiTheme="minorHAnsi" w:cstheme="minorHAnsi"/>
          <w:b/>
          <w:color w:val="358189" w:themeColor="accent2"/>
          <w:sz w:val="28"/>
        </w:rPr>
      </w:pPr>
    </w:p>
    <w:p w14:paraId="3EB1A2FE" w14:textId="6D8B3D6C" w:rsidR="00EF0B35" w:rsidRPr="00AA6870" w:rsidRDefault="00EF0B35" w:rsidP="00AA6870">
      <w:pPr>
        <w:pStyle w:val="Paragraphtext"/>
        <w:rPr>
          <w:rFonts w:asciiTheme="minorHAnsi" w:hAnsiTheme="minorHAnsi" w:cstheme="minorHAnsi"/>
          <w:b/>
          <w:color w:val="358189" w:themeColor="accent2"/>
          <w:sz w:val="28"/>
        </w:rPr>
      </w:pPr>
      <w:r w:rsidRPr="00AA6870">
        <w:rPr>
          <w:rFonts w:asciiTheme="minorHAnsi" w:hAnsiTheme="minorHAnsi" w:cstheme="minorHAnsi"/>
          <w:b/>
          <w:color w:val="358189" w:themeColor="accent2"/>
          <w:sz w:val="28"/>
        </w:rPr>
        <w:t>Objective</w:t>
      </w:r>
    </w:p>
    <w:p w14:paraId="2191D262" w14:textId="7A4272EB" w:rsidR="0075589F" w:rsidRDefault="00F7092F" w:rsidP="00AA6870">
      <w:pPr>
        <w:spacing w:before="120" w:after="120"/>
        <w:rPr>
          <w:rFonts w:asciiTheme="minorHAnsi" w:eastAsiaTheme="minorHAnsi" w:hAnsiTheme="minorHAnsi" w:cstheme="minorBidi"/>
          <w:szCs w:val="22"/>
        </w:rPr>
      </w:pPr>
      <w:r w:rsidRPr="00B65C97">
        <w:rPr>
          <w:rFonts w:asciiTheme="minorHAnsi" w:eastAsiaTheme="minorHAnsi" w:hAnsiTheme="minorHAnsi" w:cstheme="minorBidi"/>
          <w:szCs w:val="22"/>
        </w:rPr>
        <w:t>T</w:t>
      </w:r>
      <w:r w:rsidR="0075589F" w:rsidRPr="00B65C97">
        <w:rPr>
          <w:rFonts w:asciiTheme="minorHAnsi" w:eastAsiaTheme="minorHAnsi" w:hAnsiTheme="minorHAnsi" w:cstheme="minorBidi"/>
          <w:szCs w:val="22"/>
        </w:rPr>
        <w:t>he</w:t>
      </w:r>
      <w:r w:rsidR="00273918" w:rsidRPr="00B65C97">
        <w:rPr>
          <w:rFonts w:asciiTheme="minorHAnsi" w:eastAsiaTheme="minorHAnsi" w:hAnsiTheme="minorHAnsi" w:cstheme="minorBidi"/>
          <w:szCs w:val="22"/>
        </w:rPr>
        <w:t xml:space="preserve"> Strategy provides a framework</w:t>
      </w:r>
      <w:r w:rsidR="0075589F" w:rsidRPr="00B65C97">
        <w:rPr>
          <w:rFonts w:asciiTheme="minorHAnsi" w:eastAsiaTheme="minorHAnsi" w:hAnsiTheme="minorHAnsi" w:cstheme="minorBidi"/>
          <w:szCs w:val="22"/>
        </w:rPr>
        <w:t xml:space="preserve"> to strengthen policy and program evaluation practice</w:t>
      </w:r>
      <w:r w:rsidR="003B29F3">
        <w:rPr>
          <w:rFonts w:asciiTheme="minorHAnsi" w:eastAsiaTheme="minorHAnsi" w:hAnsiTheme="minorHAnsi" w:cstheme="minorBidi"/>
          <w:szCs w:val="22"/>
        </w:rPr>
        <w:t xml:space="preserve"> and </w:t>
      </w:r>
      <w:proofErr w:type="gramStart"/>
      <w:r w:rsidR="003B29F3">
        <w:rPr>
          <w:rFonts w:asciiTheme="minorHAnsi" w:eastAsiaTheme="minorHAnsi" w:hAnsiTheme="minorHAnsi" w:cstheme="minorBidi"/>
          <w:szCs w:val="22"/>
        </w:rPr>
        <w:t>culture</w:t>
      </w:r>
      <w:r w:rsidR="0075589F" w:rsidRPr="00B65C97">
        <w:rPr>
          <w:rFonts w:asciiTheme="minorHAnsi" w:eastAsiaTheme="minorHAnsi" w:hAnsiTheme="minorHAnsi" w:cstheme="minorBidi"/>
          <w:szCs w:val="22"/>
        </w:rPr>
        <w:t>, and</w:t>
      </w:r>
      <w:proofErr w:type="gramEnd"/>
      <w:r w:rsidR="0075589F" w:rsidRPr="00B65C97">
        <w:rPr>
          <w:rFonts w:asciiTheme="minorHAnsi" w:eastAsiaTheme="minorHAnsi" w:hAnsiTheme="minorHAnsi" w:cstheme="minorBidi"/>
          <w:szCs w:val="22"/>
        </w:rPr>
        <w:t xml:space="preserve"> increase the use of evaluation evidence for decision making, planning and reporting. </w:t>
      </w:r>
      <w:r w:rsidR="008D32C3">
        <w:rPr>
          <w:rFonts w:asciiTheme="minorHAnsi" w:eastAsiaTheme="minorHAnsi" w:hAnsiTheme="minorHAnsi" w:cstheme="minorBidi"/>
          <w:szCs w:val="22"/>
        </w:rPr>
        <w:t>It</w:t>
      </w:r>
      <w:r w:rsidR="00DE2722">
        <w:rPr>
          <w:rFonts w:asciiTheme="minorHAnsi" w:eastAsiaTheme="minorHAnsi" w:hAnsiTheme="minorHAnsi" w:cstheme="minorBidi"/>
          <w:szCs w:val="22"/>
        </w:rPr>
        <w:t xml:space="preserve"> </w:t>
      </w:r>
      <w:r w:rsidR="00831345" w:rsidRPr="00831345">
        <w:rPr>
          <w:rFonts w:asciiTheme="minorHAnsi" w:eastAsiaTheme="minorHAnsi" w:hAnsiTheme="minorHAnsi" w:cstheme="minorBidi"/>
          <w:szCs w:val="22"/>
        </w:rPr>
        <w:t xml:space="preserve">provides a principles-based approach for the conduct of evaluations across the </w:t>
      </w:r>
      <w:proofErr w:type="gramStart"/>
      <w:r w:rsidR="00831345">
        <w:rPr>
          <w:rFonts w:asciiTheme="minorHAnsi" w:eastAsiaTheme="minorHAnsi" w:hAnsiTheme="minorHAnsi" w:cstheme="minorBidi"/>
          <w:szCs w:val="22"/>
        </w:rPr>
        <w:t>department</w:t>
      </w:r>
      <w:r w:rsidR="00831345" w:rsidRPr="00831345">
        <w:rPr>
          <w:rFonts w:asciiTheme="minorHAnsi" w:eastAsiaTheme="minorHAnsi" w:hAnsiTheme="minorHAnsi" w:cstheme="minorBidi"/>
          <w:szCs w:val="22"/>
        </w:rPr>
        <w:t>, and</w:t>
      </w:r>
      <w:proofErr w:type="gramEnd"/>
      <w:r w:rsidR="00831345" w:rsidRPr="00831345">
        <w:rPr>
          <w:rFonts w:asciiTheme="minorHAnsi" w:eastAsiaTheme="minorHAnsi" w:hAnsiTheme="minorHAnsi" w:cstheme="minorBidi"/>
          <w:szCs w:val="22"/>
        </w:rPr>
        <w:t xml:space="preserve"> can be used to help plan how government programs and activities will be evaluated across the policy cycle in line with be</w:t>
      </w:r>
      <w:r w:rsidR="006B66FF">
        <w:rPr>
          <w:rFonts w:asciiTheme="minorHAnsi" w:eastAsiaTheme="minorHAnsi" w:hAnsiTheme="minorHAnsi" w:cstheme="minorBidi"/>
          <w:szCs w:val="22"/>
        </w:rPr>
        <w:t>st</w:t>
      </w:r>
      <w:r w:rsidR="00831345" w:rsidRPr="00831345">
        <w:rPr>
          <w:rFonts w:asciiTheme="minorHAnsi" w:eastAsiaTheme="minorHAnsi" w:hAnsiTheme="minorHAnsi" w:cstheme="minorBidi"/>
          <w:szCs w:val="22"/>
        </w:rPr>
        <w:t xml:space="preserve"> practice approaches.</w:t>
      </w:r>
    </w:p>
    <w:p w14:paraId="00521BB0" w14:textId="77777777" w:rsidR="00B072B6" w:rsidRDefault="00B072B6" w:rsidP="00B072B6">
      <w:pPr>
        <w:pStyle w:val="Paragraphtext"/>
        <w:rPr>
          <w:rFonts w:asciiTheme="minorHAnsi" w:hAnsiTheme="minorHAnsi" w:cstheme="minorHAnsi"/>
          <w:b/>
          <w:color w:val="358189" w:themeColor="accent2"/>
          <w:sz w:val="28"/>
        </w:rPr>
      </w:pPr>
    </w:p>
    <w:p w14:paraId="1F3FCC90" w14:textId="4D52E619" w:rsidR="00B072B6" w:rsidRDefault="00B072B6" w:rsidP="00B072B6">
      <w:pPr>
        <w:pStyle w:val="Paragraphtext"/>
        <w:rPr>
          <w:rFonts w:asciiTheme="minorHAnsi" w:eastAsiaTheme="minorHAnsi" w:hAnsiTheme="minorHAnsi" w:cstheme="minorBidi"/>
          <w:szCs w:val="22"/>
        </w:rPr>
      </w:pPr>
      <w:r>
        <w:rPr>
          <w:rFonts w:asciiTheme="minorHAnsi" w:hAnsiTheme="minorHAnsi" w:cstheme="minorHAnsi"/>
          <w:b/>
          <w:color w:val="358189" w:themeColor="accent2"/>
          <w:sz w:val="28"/>
        </w:rPr>
        <w:t xml:space="preserve">Foundation </w:t>
      </w:r>
    </w:p>
    <w:p w14:paraId="6DB108D6" w14:textId="7B3A292C" w:rsidR="00B072B6" w:rsidRPr="00B072B6" w:rsidRDefault="00B072B6" w:rsidP="00B072B6">
      <w:pPr>
        <w:spacing w:before="120" w:after="120"/>
        <w:rPr>
          <w:rFonts w:asciiTheme="minorHAnsi" w:eastAsiaTheme="minorHAnsi" w:hAnsiTheme="minorHAnsi" w:cstheme="minorBidi"/>
          <w:szCs w:val="22"/>
        </w:rPr>
      </w:pPr>
      <w:r w:rsidRPr="00B072B6">
        <w:rPr>
          <w:rFonts w:asciiTheme="minorHAnsi" w:eastAsiaTheme="minorHAnsi" w:hAnsiTheme="minorHAnsi" w:cstheme="minorBidi"/>
          <w:szCs w:val="22"/>
        </w:rPr>
        <w:t xml:space="preserve">The Strategy complements and builds on the Enhanced Commonwealth Performance Framework under the </w:t>
      </w:r>
      <w:r w:rsidRPr="00B072B6">
        <w:rPr>
          <w:rFonts w:asciiTheme="minorHAnsi" w:eastAsiaTheme="minorHAnsi" w:hAnsiTheme="minorHAnsi" w:cstheme="minorBidi"/>
          <w:i/>
          <w:iCs/>
          <w:szCs w:val="22"/>
        </w:rPr>
        <w:t>Public Governance, Performance and Accountability Act 2013</w:t>
      </w:r>
      <w:r>
        <w:rPr>
          <w:rFonts w:asciiTheme="minorHAnsi" w:eastAsiaTheme="minorHAnsi" w:hAnsiTheme="minorHAnsi" w:cstheme="minorBidi"/>
          <w:i/>
          <w:iCs/>
          <w:szCs w:val="22"/>
        </w:rPr>
        <w:t xml:space="preserve"> (</w:t>
      </w:r>
      <w:r w:rsidRPr="00B072B6">
        <w:rPr>
          <w:rFonts w:asciiTheme="minorHAnsi" w:eastAsiaTheme="minorHAnsi" w:hAnsiTheme="minorHAnsi" w:cstheme="minorBidi"/>
          <w:szCs w:val="22"/>
        </w:rPr>
        <w:t>PGPA Act</w:t>
      </w:r>
      <w:r>
        <w:rPr>
          <w:rFonts w:asciiTheme="minorHAnsi" w:eastAsiaTheme="minorHAnsi" w:hAnsiTheme="minorHAnsi" w:cstheme="minorBidi"/>
          <w:szCs w:val="22"/>
        </w:rPr>
        <w:t>)</w:t>
      </w:r>
      <w:r w:rsidRPr="00B072B6">
        <w:rPr>
          <w:rFonts w:asciiTheme="minorHAnsi" w:eastAsiaTheme="minorHAnsi" w:hAnsiTheme="minorHAnsi" w:cstheme="minorBidi"/>
          <w:szCs w:val="22"/>
        </w:rPr>
        <w:t xml:space="preserve">. The department’s overall planning and reporting framework is summarised in Figure 1. Evaluations provide an opportunity to look beyond performance monitoring and reporting and consider how well the program is achieving its </w:t>
      </w:r>
      <w:r w:rsidR="00F138E3">
        <w:rPr>
          <w:rFonts w:asciiTheme="minorHAnsi" w:eastAsiaTheme="minorHAnsi" w:hAnsiTheme="minorHAnsi" w:cstheme="minorBidi"/>
          <w:szCs w:val="22"/>
        </w:rPr>
        <w:t>objectives</w:t>
      </w:r>
      <w:r w:rsidRPr="00B072B6">
        <w:rPr>
          <w:rFonts w:asciiTheme="minorHAnsi" w:eastAsiaTheme="minorHAnsi" w:hAnsiTheme="minorHAnsi" w:cstheme="minorBidi"/>
          <w:szCs w:val="22"/>
        </w:rPr>
        <w:t>. Evaluations provide meaningful information and evidence on a program or policy’s aim and purpose in terms of its effectiveness and efficiency and the activities that focused on that purpose.</w:t>
      </w:r>
    </w:p>
    <w:p w14:paraId="17033D5B" w14:textId="44DF347B" w:rsidR="0078218B" w:rsidRDefault="0078218B">
      <w:pPr>
        <w:rPr>
          <w:rFonts w:asciiTheme="minorHAnsi" w:eastAsiaTheme="minorHAnsi" w:hAnsiTheme="minorHAnsi" w:cstheme="minorBidi"/>
          <w:szCs w:val="22"/>
        </w:rPr>
      </w:pPr>
      <w:r>
        <w:rPr>
          <w:rFonts w:asciiTheme="minorHAnsi" w:eastAsiaTheme="minorHAnsi" w:hAnsiTheme="minorHAnsi" w:cstheme="minorBidi"/>
          <w:szCs w:val="22"/>
        </w:rPr>
        <w:br w:type="page"/>
      </w:r>
    </w:p>
    <w:p w14:paraId="746A7EB1" w14:textId="1180D8A0" w:rsidR="005B0FDB" w:rsidRPr="00B65C97" w:rsidRDefault="00B072B6" w:rsidP="005B0FDB">
      <w:pPr>
        <w:rPr>
          <w:rFonts w:asciiTheme="minorHAnsi" w:hAnsiTheme="minorHAnsi" w:cstheme="minorHAnsi"/>
          <w:b/>
          <w:i/>
          <w:color w:val="37818A"/>
          <w:szCs w:val="22"/>
        </w:rPr>
      </w:pPr>
      <w:r w:rsidRPr="00B072B6">
        <w:rPr>
          <w:rFonts w:asciiTheme="minorHAnsi" w:eastAsiaTheme="minorHAnsi" w:hAnsiTheme="minorHAnsi" w:cstheme="minorBidi"/>
          <w:szCs w:val="22"/>
        </w:rPr>
        <w:lastRenderedPageBreak/>
        <w:t xml:space="preserve"> </w:t>
      </w:r>
      <w:r w:rsidR="005B0FDB" w:rsidRPr="00B65C97">
        <w:rPr>
          <w:rFonts w:asciiTheme="minorHAnsi" w:hAnsiTheme="minorHAnsi" w:cstheme="minorHAnsi"/>
          <w:b/>
          <w:i/>
          <w:color w:val="37818A"/>
          <w:szCs w:val="22"/>
        </w:rPr>
        <w:t xml:space="preserve">Figure </w:t>
      </w:r>
      <w:r w:rsidR="005B0FDB">
        <w:rPr>
          <w:rFonts w:asciiTheme="minorHAnsi" w:hAnsiTheme="minorHAnsi" w:cstheme="minorHAnsi"/>
          <w:b/>
          <w:i/>
          <w:color w:val="37818A"/>
          <w:szCs w:val="22"/>
        </w:rPr>
        <w:t>1</w:t>
      </w:r>
      <w:r w:rsidR="005B0FDB" w:rsidRPr="00B65C97">
        <w:rPr>
          <w:rFonts w:asciiTheme="minorHAnsi" w:hAnsiTheme="minorHAnsi" w:cstheme="minorHAnsi"/>
          <w:b/>
          <w:i/>
          <w:color w:val="37818A"/>
          <w:szCs w:val="22"/>
        </w:rPr>
        <w:t xml:space="preserve">: </w:t>
      </w:r>
      <w:r w:rsidR="005B0FDB" w:rsidRPr="005B0FDB">
        <w:rPr>
          <w:rFonts w:asciiTheme="minorHAnsi" w:hAnsiTheme="minorHAnsi" w:cstheme="minorHAnsi"/>
          <w:b/>
          <w:i/>
          <w:color w:val="37818A"/>
          <w:szCs w:val="22"/>
        </w:rPr>
        <w:t xml:space="preserve">The department’s overall planning and reporting </w:t>
      </w:r>
      <w:proofErr w:type="gramStart"/>
      <w:r w:rsidR="005B0FDB" w:rsidRPr="005B0FDB">
        <w:rPr>
          <w:rFonts w:asciiTheme="minorHAnsi" w:hAnsiTheme="minorHAnsi" w:cstheme="minorHAnsi"/>
          <w:b/>
          <w:i/>
          <w:color w:val="37818A"/>
          <w:szCs w:val="22"/>
        </w:rPr>
        <w:t>framework</w:t>
      </w:r>
      <w:proofErr w:type="gramEnd"/>
    </w:p>
    <w:p w14:paraId="3BACF779" w14:textId="348B3008" w:rsidR="00B072B6" w:rsidRPr="00B072B6" w:rsidRDefault="00B072B6" w:rsidP="00B072B6">
      <w:pPr>
        <w:spacing w:before="120" w:after="120"/>
        <w:rPr>
          <w:rFonts w:asciiTheme="minorHAnsi" w:eastAsiaTheme="minorHAnsi" w:hAnsiTheme="minorHAnsi" w:cstheme="minorBidi"/>
          <w:szCs w:val="22"/>
        </w:rPr>
      </w:pPr>
      <w:r>
        <w:rPr>
          <w:rFonts w:cs="Arial"/>
          <w:noProof/>
          <w:szCs w:val="22"/>
          <w:lang w:eastAsia="en-AU"/>
        </w:rPr>
        <w:drawing>
          <wp:inline distT="0" distB="0" distL="0" distR="0" wp14:anchorId="043F583E" wp14:editId="1831D19C">
            <wp:extent cx="5870864" cy="2089776"/>
            <wp:effectExtent l="0" t="0" r="0" b="6350"/>
            <wp:docPr id="5" name="Picture 5" descr="Figure 1: The department’s overall planning and report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The department’s overall planning and reporting framework"/>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922" t="7927" r="5922" b="7927"/>
                    <a:stretch/>
                  </pic:blipFill>
                  <pic:spPr bwMode="auto">
                    <a:xfrm>
                      <a:off x="0" y="0"/>
                      <a:ext cx="5924238" cy="2108775"/>
                    </a:xfrm>
                    <a:prstGeom prst="rect">
                      <a:avLst/>
                    </a:prstGeom>
                    <a:noFill/>
                    <a:ln>
                      <a:noFill/>
                    </a:ln>
                    <a:extLst>
                      <a:ext uri="{53640926-AAD7-44D8-BBD7-CCE9431645EC}">
                        <a14:shadowObscured xmlns:a14="http://schemas.microsoft.com/office/drawing/2010/main"/>
                      </a:ext>
                    </a:extLst>
                  </pic:spPr>
                </pic:pic>
              </a:graphicData>
            </a:graphic>
          </wp:inline>
        </w:drawing>
      </w:r>
    </w:p>
    <w:p w14:paraId="63AC8F3B" w14:textId="77777777" w:rsidR="00B072B6" w:rsidRDefault="00B072B6" w:rsidP="00B072B6">
      <w:pPr>
        <w:spacing w:before="120" w:after="120"/>
        <w:rPr>
          <w:rFonts w:asciiTheme="minorHAnsi" w:eastAsiaTheme="minorHAnsi" w:hAnsiTheme="minorHAnsi" w:cstheme="minorBidi"/>
          <w:szCs w:val="22"/>
        </w:rPr>
      </w:pPr>
      <w:r w:rsidRPr="00B072B6">
        <w:rPr>
          <w:rFonts w:asciiTheme="minorHAnsi" w:eastAsiaTheme="minorHAnsi" w:hAnsiTheme="minorHAnsi" w:cstheme="minorBidi"/>
          <w:szCs w:val="22"/>
        </w:rPr>
        <w:t>Source: Department of Health (2018), Performance Measurement and Reporting Framework.</w:t>
      </w:r>
    </w:p>
    <w:p w14:paraId="79624E89" w14:textId="4D4D557C" w:rsidR="00EF0B35" w:rsidRDefault="00A431F0" w:rsidP="00A431F0">
      <w:pPr>
        <w:pStyle w:val="Paragraphtext"/>
        <w:rPr>
          <w:rFonts w:asciiTheme="minorHAnsi" w:hAnsiTheme="minorHAnsi" w:cstheme="minorHAnsi"/>
          <w:b/>
          <w:color w:val="358189" w:themeColor="accent2"/>
          <w:sz w:val="28"/>
        </w:rPr>
      </w:pPr>
      <w:r w:rsidRPr="00AA6870">
        <w:rPr>
          <w:rFonts w:asciiTheme="minorHAnsi" w:hAnsiTheme="minorHAnsi" w:cstheme="minorHAnsi"/>
          <w:b/>
          <w:color w:val="358189" w:themeColor="accent2"/>
          <w:sz w:val="28"/>
        </w:rPr>
        <w:t>Audienc</w:t>
      </w:r>
      <w:r>
        <w:rPr>
          <w:rFonts w:asciiTheme="minorHAnsi" w:hAnsiTheme="minorHAnsi" w:cstheme="minorHAnsi"/>
          <w:b/>
          <w:color w:val="358189" w:themeColor="accent2"/>
          <w:sz w:val="28"/>
        </w:rPr>
        <w:t>e</w:t>
      </w:r>
    </w:p>
    <w:p w14:paraId="7B29A6B0" w14:textId="3B476B65" w:rsidR="00A431F0" w:rsidRPr="00AA6870" w:rsidRDefault="00A431F0" w:rsidP="00AA6870">
      <w:pPr>
        <w:spacing w:before="120" w:after="120"/>
        <w:rPr>
          <w:rFonts w:asciiTheme="minorHAnsi" w:eastAsiaTheme="minorHAnsi" w:hAnsiTheme="minorHAnsi" w:cstheme="minorBidi"/>
          <w:szCs w:val="22"/>
        </w:rPr>
      </w:pPr>
      <w:r w:rsidRPr="00AA6870">
        <w:rPr>
          <w:rFonts w:asciiTheme="minorHAnsi" w:eastAsiaTheme="minorHAnsi" w:hAnsiTheme="minorHAnsi" w:cstheme="minorBidi"/>
          <w:szCs w:val="22"/>
        </w:rPr>
        <w:t>Th</w:t>
      </w:r>
      <w:r w:rsidR="00F16EF1">
        <w:rPr>
          <w:rFonts w:asciiTheme="minorHAnsi" w:eastAsiaTheme="minorHAnsi" w:hAnsiTheme="minorHAnsi" w:cstheme="minorBidi"/>
          <w:szCs w:val="22"/>
        </w:rPr>
        <w:t xml:space="preserve">e Strategy </w:t>
      </w:r>
      <w:r w:rsidRPr="00AA6870">
        <w:rPr>
          <w:rFonts w:asciiTheme="minorHAnsi" w:eastAsiaTheme="minorHAnsi" w:hAnsiTheme="minorHAnsi" w:cstheme="minorBidi"/>
          <w:szCs w:val="22"/>
        </w:rPr>
        <w:t xml:space="preserve">is written for </w:t>
      </w:r>
      <w:proofErr w:type="gramStart"/>
      <w:r w:rsidRPr="00AA6870">
        <w:rPr>
          <w:rFonts w:asciiTheme="minorHAnsi" w:eastAsiaTheme="minorHAnsi" w:hAnsiTheme="minorHAnsi" w:cstheme="minorBidi"/>
          <w:szCs w:val="22"/>
        </w:rPr>
        <w:t>a number of</w:t>
      </w:r>
      <w:proofErr w:type="gramEnd"/>
      <w:r w:rsidRPr="00AA6870">
        <w:rPr>
          <w:rFonts w:asciiTheme="minorHAnsi" w:eastAsiaTheme="minorHAnsi" w:hAnsiTheme="minorHAnsi" w:cstheme="minorBidi"/>
          <w:szCs w:val="22"/>
        </w:rPr>
        <w:t xml:space="preserve"> audiences: </w:t>
      </w:r>
    </w:p>
    <w:p w14:paraId="143959A5" w14:textId="6507BD7F" w:rsidR="00A431F0" w:rsidRPr="00AA6870" w:rsidRDefault="00F7092F" w:rsidP="00AA6870">
      <w:pPr>
        <w:pStyle w:val="ListParagraph"/>
        <w:numPr>
          <w:ilvl w:val="0"/>
          <w:numId w:val="62"/>
        </w:numPr>
        <w:spacing w:before="120" w:after="120"/>
        <w:rPr>
          <w:rFonts w:asciiTheme="minorHAnsi" w:eastAsiaTheme="minorHAnsi" w:hAnsiTheme="minorHAnsi" w:cstheme="minorBidi"/>
          <w:szCs w:val="22"/>
        </w:rPr>
      </w:pPr>
      <w:r w:rsidRPr="00AA6870">
        <w:rPr>
          <w:rFonts w:asciiTheme="minorHAnsi" w:eastAsiaTheme="minorHAnsi" w:hAnsiTheme="minorHAnsi" w:cstheme="minorBidi"/>
          <w:szCs w:val="22"/>
        </w:rPr>
        <w:t xml:space="preserve">The Strategy applies to all departmental employees and will be used </w:t>
      </w:r>
      <w:r w:rsidR="00F16EF1">
        <w:rPr>
          <w:rFonts w:asciiTheme="minorHAnsi" w:eastAsiaTheme="minorHAnsi" w:hAnsiTheme="minorHAnsi" w:cstheme="minorBidi"/>
          <w:szCs w:val="22"/>
        </w:rPr>
        <w:t>by</w:t>
      </w:r>
      <w:r w:rsidRPr="00AA6870">
        <w:rPr>
          <w:rFonts w:asciiTheme="minorHAnsi" w:eastAsiaTheme="minorHAnsi" w:hAnsiTheme="minorHAnsi" w:cstheme="minorBidi"/>
          <w:szCs w:val="22"/>
        </w:rPr>
        <w:t xml:space="preserve"> key governance committees, including the Program Assurance Committee (PAC) and the Executive Committee (EC) to guide evaluation efforts.</w:t>
      </w:r>
      <w:r w:rsidR="00BF2E02" w:rsidRPr="00AA6870">
        <w:rPr>
          <w:rFonts w:asciiTheme="minorHAnsi" w:eastAsiaTheme="minorHAnsi" w:hAnsiTheme="minorHAnsi" w:cstheme="minorBidi"/>
          <w:szCs w:val="22"/>
        </w:rPr>
        <w:t xml:space="preserve"> </w:t>
      </w:r>
    </w:p>
    <w:p w14:paraId="63E72B41" w14:textId="12A07F5D" w:rsidR="00C62CEA" w:rsidRDefault="00F7092F" w:rsidP="00A431F0">
      <w:pPr>
        <w:pStyle w:val="ListParagraph"/>
        <w:numPr>
          <w:ilvl w:val="0"/>
          <w:numId w:val="62"/>
        </w:numPr>
        <w:spacing w:before="120" w:after="120"/>
        <w:rPr>
          <w:rFonts w:asciiTheme="minorHAnsi" w:eastAsiaTheme="minorHAnsi" w:hAnsiTheme="minorHAnsi" w:cstheme="minorBidi"/>
          <w:szCs w:val="22"/>
        </w:rPr>
      </w:pPr>
      <w:r w:rsidRPr="00AA6870">
        <w:rPr>
          <w:rFonts w:asciiTheme="minorHAnsi" w:eastAsiaTheme="minorHAnsi" w:hAnsiTheme="minorHAnsi" w:cstheme="minorBidi"/>
          <w:szCs w:val="22"/>
        </w:rPr>
        <w:t xml:space="preserve">It is also intended to provide information </w:t>
      </w:r>
      <w:r w:rsidR="002841B1" w:rsidRPr="00AA6870">
        <w:rPr>
          <w:rFonts w:asciiTheme="minorHAnsi" w:eastAsiaTheme="minorHAnsi" w:hAnsiTheme="minorHAnsi" w:cstheme="minorBidi"/>
          <w:szCs w:val="22"/>
        </w:rPr>
        <w:t xml:space="preserve">and transparency </w:t>
      </w:r>
      <w:r w:rsidRPr="00AA6870">
        <w:rPr>
          <w:rFonts w:asciiTheme="minorHAnsi" w:eastAsiaTheme="minorHAnsi" w:hAnsiTheme="minorHAnsi" w:cstheme="minorBidi"/>
          <w:szCs w:val="22"/>
        </w:rPr>
        <w:t xml:space="preserve">to </w:t>
      </w:r>
      <w:r w:rsidR="00C62CEA" w:rsidRPr="00AA6870">
        <w:rPr>
          <w:rFonts w:asciiTheme="minorHAnsi" w:eastAsiaTheme="minorHAnsi" w:hAnsiTheme="minorHAnsi" w:cstheme="minorBidi"/>
          <w:szCs w:val="22"/>
        </w:rPr>
        <w:t>other agencies</w:t>
      </w:r>
      <w:r w:rsidR="002841B1" w:rsidRPr="00AA6870">
        <w:rPr>
          <w:rFonts w:asciiTheme="minorHAnsi" w:eastAsiaTheme="minorHAnsi" w:hAnsiTheme="minorHAnsi" w:cstheme="minorBidi"/>
          <w:szCs w:val="22"/>
        </w:rPr>
        <w:t xml:space="preserve">, </w:t>
      </w:r>
      <w:r w:rsidRPr="00AA6870">
        <w:rPr>
          <w:rFonts w:asciiTheme="minorHAnsi" w:eastAsiaTheme="minorHAnsi" w:hAnsiTheme="minorHAnsi" w:cstheme="minorBidi"/>
          <w:szCs w:val="22"/>
        </w:rPr>
        <w:t>stakeholders</w:t>
      </w:r>
      <w:r w:rsidR="002841B1" w:rsidRPr="00AA6870">
        <w:rPr>
          <w:rFonts w:asciiTheme="minorHAnsi" w:eastAsiaTheme="minorHAnsi" w:hAnsiTheme="minorHAnsi" w:cstheme="minorBidi"/>
          <w:szCs w:val="22"/>
        </w:rPr>
        <w:t xml:space="preserve">, the </w:t>
      </w:r>
      <w:r w:rsidR="00784B10" w:rsidRPr="00AA6870">
        <w:rPr>
          <w:rFonts w:asciiTheme="minorHAnsi" w:eastAsiaTheme="minorHAnsi" w:hAnsiTheme="minorHAnsi" w:cstheme="minorBidi"/>
          <w:szCs w:val="22"/>
        </w:rPr>
        <w:t xml:space="preserve">Australian </w:t>
      </w:r>
      <w:r w:rsidR="00784B10">
        <w:rPr>
          <w:rFonts w:asciiTheme="minorHAnsi" w:eastAsiaTheme="minorHAnsi" w:hAnsiTheme="minorHAnsi" w:cstheme="minorBidi"/>
          <w:szCs w:val="22"/>
        </w:rPr>
        <w:t xml:space="preserve">Parliament and </w:t>
      </w:r>
      <w:r w:rsidR="00784B10" w:rsidRPr="00AA6870">
        <w:rPr>
          <w:rFonts w:asciiTheme="minorHAnsi" w:eastAsiaTheme="minorHAnsi" w:hAnsiTheme="minorHAnsi" w:cstheme="minorBidi"/>
          <w:szCs w:val="22"/>
        </w:rPr>
        <w:t xml:space="preserve">public </w:t>
      </w:r>
      <w:r w:rsidR="002841B1" w:rsidRPr="00AA6870">
        <w:rPr>
          <w:rFonts w:asciiTheme="minorHAnsi" w:eastAsiaTheme="minorHAnsi" w:hAnsiTheme="minorHAnsi" w:cstheme="minorBidi"/>
          <w:szCs w:val="22"/>
        </w:rPr>
        <w:t>regarding</w:t>
      </w:r>
      <w:r w:rsidR="00C62CEA" w:rsidRPr="00AA6870">
        <w:rPr>
          <w:rFonts w:asciiTheme="minorHAnsi" w:eastAsiaTheme="minorHAnsi" w:hAnsiTheme="minorHAnsi" w:cstheme="minorBidi"/>
          <w:szCs w:val="22"/>
        </w:rPr>
        <w:t xml:space="preserve"> how the department is meeting its statutory requirements</w:t>
      </w:r>
      <w:r w:rsidR="002841B1" w:rsidRPr="00AA6870">
        <w:rPr>
          <w:rFonts w:asciiTheme="minorHAnsi" w:eastAsiaTheme="minorHAnsi" w:hAnsiTheme="minorHAnsi" w:cstheme="minorBidi"/>
          <w:szCs w:val="22"/>
        </w:rPr>
        <w:t xml:space="preserve"> and</w:t>
      </w:r>
      <w:r w:rsidR="00C62CEA" w:rsidRPr="00AA6870">
        <w:rPr>
          <w:rFonts w:asciiTheme="minorHAnsi" w:eastAsiaTheme="minorHAnsi" w:hAnsiTheme="minorHAnsi" w:cstheme="minorBidi"/>
          <w:szCs w:val="22"/>
        </w:rPr>
        <w:t xml:space="preserve"> is efficiently, </w:t>
      </w:r>
      <w:proofErr w:type="gramStart"/>
      <w:r w:rsidR="00C62CEA" w:rsidRPr="00AA6870">
        <w:rPr>
          <w:rFonts w:asciiTheme="minorHAnsi" w:eastAsiaTheme="minorHAnsi" w:hAnsiTheme="minorHAnsi" w:cstheme="minorBidi"/>
          <w:szCs w:val="22"/>
        </w:rPr>
        <w:t>effectively</w:t>
      </w:r>
      <w:proofErr w:type="gramEnd"/>
      <w:r w:rsidR="00C62CEA" w:rsidRPr="00AA6870">
        <w:rPr>
          <w:rFonts w:asciiTheme="minorHAnsi" w:eastAsiaTheme="minorHAnsi" w:hAnsiTheme="minorHAnsi" w:cstheme="minorBidi"/>
          <w:szCs w:val="22"/>
        </w:rPr>
        <w:t xml:space="preserve"> and appropriately conducting its activities and realising its objectives. </w:t>
      </w:r>
    </w:p>
    <w:p w14:paraId="1F651A4A" w14:textId="60CDA733" w:rsidR="00C62CEA" w:rsidRPr="00B65C97" w:rsidRDefault="00C62CEA" w:rsidP="00B65C97">
      <w:pPr>
        <w:spacing w:before="120" w:after="120"/>
        <w:rPr>
          <w:rFonts w:asciiTheme="minorHAnsi" w:eastAsiaTheme="minorHAnsi" w:hAnsiTheme="minorHAnsi" w:cstheme="minorBidi"/>
          <w:szCs w:val="22"/>
        </w:rPr>
      </w:pPr>
      <w:r w:rsidRPr="00B65C97">
        <w:rPr>
          <w:rFonts w:asciiTheme="minorHAnsi" w:eastAsiaTheme="minorHAnsi" w:hAnsiTheme="minorHAnsi" w:cstheme="minorBidi"/>
          <w:szCs w:val="22"/>
        </w:rPr>
        <w:t xml:space="preserve">The Strategy is not intended to be a standalone document </w:t>
      </w:r>
      <w:r w:rsidR="005A51CD">
        <w:rPr>
          <w:rFonts w:asciiTheme="minorHAnsi" w:eastAsiaTheme="minorHAnsi" w:hAnsiTheme="minorHAnsi" w:cstheme="minorBidi"/>
          <w:szCs w:val="22"/>
        </w:rPr>
        <w:t xml:space="preserve">for </w:t>
      </w:r>
      <w:r w:rsidRPr="00B65C97">
        <w:rPr>
          <w:rFonts w:asciiTheme="minorHAnsi" w:eastAsiaTheme="minorHAnsi" w:hAnsiTheme="minorHAnsi" w:cstheme="minorBidi"/>
          <w:szCs w:val="22"/>
        </w:rPr>
        <w:t>evaluation and performance measurement. It is supported by a range of internal and external resources including</w:t>
      </w:r>
      <w:r w:rsidR="00B938A1" w:rsidRPr="008C2754">
        <w:rPr>
          <w:rFonts w:asciiTheme="minorHAnsi" w:eastAsiaTheme="minorHAnsi" w:hAnsiTheme="minorHAnsi" w:cstheme="minorBidi"/>
          <w:szCs w:val="22"/>
        </w:rPr>
        <w:t>:</w:t>
      </w:r>
      <w:r w:rsidRPr="00B65C97">
        <w:rPr>
          <w:rFonts w:asciiTheme="minorHAnsi" w:eastAsiaTheme="minorHAnsi" w:hAnsiTheme="minorHAnsi" w:cstheme="minorBidi"/>
          <w:szCs w:val="22"/>
        </w:rPr>
        <w:t xml:space="preserve"> </w:t>
      </w:r>
    </w:p>
    <w:p w14:paraId="750F2C1F" w14:textId="702014B0" w:rsidR="00C62CEA" w:rsidRDefault="00C62CEA" w:rsidP="00B65C97">
      <w:pPr>
        <w:pStyle w:val="ListBullet"/>
        <w:numPr>
          <w:ilvl w:val="0"/>
          <w:numId w:val="33"/>
        </w:numPr>
        <w:ind w:left="360"/>
        <w:rPr>
          <w:rFonts w:asciiTheme="minorHAnsi" w:hAnsiTheme="minorHAnsi"/>
          <w:sz w:val="22"/>
          <w:szCs w:val="22"/>
        </w:rPr>
      </w:pPr>
      <w:r w:rsidRPr="00B65C97">
        <w:rPr>
          <w:rFonts w:asciiTheme="minorHAnsi" w:hAnsiTheme="minorHAnsi"/>
          <w:sz w:val="22"/>
          <w:szCs w:val="22"/>
        </w:rPr>
        <w:t xml:space="preserve">the department’s Performance Measurement and Reporting Framework </w:t>
      </w:r>
    </w:p>
    <w:p w14:paraId="17C0BD6B" w14:textId="19C69E4C" w:rsidR="006C1556" w:rsidRPr="00B65C97" w:rsidRDefault="006C1556" w:rsidP="00B65C97">
      <w:pPr>
        <w:pStyle w:val="ListBullet"/>
        <w:numPr>
          <w:ilvl w:val="0"/>
          <w:numId w:val="33"/>
        </w:numPr>
        <w:ind w:left="360"/>
        <w:rPr>
          <w:rFonts w:asciiTheme="minorHAnsi" w:hAnsiTheme="minorHAnsi"/>
          <w:sz w:val="22"/>
          <w:szCs w:val="22"/>
        </w:rPr>
      </w:pPr>
      <w:r>
        <w:rPr>
          <w:rFonts w:asciiTheme="minorHAnsi" w:hAnsiTheme="minorHAnsi"/>
          <w:sz w:val="22"/>
          <w:szCs w:val="22"/>
        </w:rPr>
        <w:t xml:space="preserve">the department’s Assurance Framework </w:t>
      </w:r>
    </w:p>
    <w:p w14:paraId="621CA43C" w14:textId="73B394E9" w:rsidR="00C62CEA" w:rsidRDefault="00C62CEA" w:rsidP="00B65C97">
      <w:pPr>
        <w:pStyle w:val="ListBullet"/>
        <w:numPr>
          <w:ilvl w:val="0"/>
          <w:numId w:val="33"/>
        </w:numPr>
        <w:ind w:left="360"/>
        <w:rPr>
          <w:rFonts w:asciiTheme="minorHAnsi" w:hAnsiTheme="minorHAnsi"/>
          <w:sz w:val="22"/>
          <w:szCs w:val="22"/>
        </w:rPr>
      </w:pPr>
      <w:r w:rsidRPr="00B65C97">
        <w:rPr>
          <w:rFonts w:asciiTheme="minorHAnsi" w:hAnsiTheme="minorHAnsi"/>
          <w:sz w:val="22"/>
          <w:szCs w:val="22"/>
        </w:rPr>
        <w:t>the department’s Data Strategy</w:t>
      </w:r>
    </w:p>
    <w:p w14:paraId="2BFF8759" w14:textId="4B649D8A" w:rsidR="00D87A37" w:rsidRDefault="00B346E2" w:rsidP="00B65C97">
      <w:pPr>
        <w:pStyle w:val="ListBullet"/>
        <w:numPr>
          <w:ilvl w:val="0"/>
          <w:numId w:val="33"/>
        </w:numPr>
        <w:ind w:left="360"/>
        <w:rPr>
          <w:rFonts w:asciiTheme="minorHAnsi" w:hAnsiTheme="minorHAnsi"/>
          <w:sz w:val="22"/>
          <w:szCs w:val="22"/>
        </w:rPr>
      </w:pPr>
      <w:r>
        <w:rPr>
          <w:rFonts w:asciiTheme="minorHAnsi" w:hAnsiTheme="minorHAnsi"/>
          <w:sz w:val="22"/>
          <w:szCs w:val="22"/>
        </w:rPr>
        <w:t xml:space="preserve">the </w:t>
      </w:r>
      <w:r w:rsidR="00D87A37" w:rsidRPr="00D87A37">
        <w:rPr>
          <w:rFonts w:asciiTheme="minorHAnsi" w:hAnsiTheme="minorHAnsi"/>
          <w:sz w:val="22"/>
          <w:szCs w:val="22"/>
        </w:rPr>
        <w:t>Department of Finance Commonwealth Evaluation Policy and Toolkit</w:t>
      </w:r>
    </w:p>
    <w:p w14:paraId="5F8A8DB8" w14:textId="6DFC8A60" w:rsidR="008C1B45" w:rsidRPr="008C1B45" w:rsidRDefault="00B346E2" w:rsidP="00D538F0">
      <w:pPr>
        <w:pStyle w:val="ListBullet"/>
        <w:numPr>
          <w:ilvl w:val="0"/>
          <w:numId w:val="33"/>
        </w:numPr>
        <w:ind w:left="360"/>
        <w:rPr>
          <w:rFonts w:asciiTheme="minorHAnsi" w:hAnsiTheme="minorHAnsi"/>
          <w:sz w:val="22"/>
          <w:szCs w:val="22"/>
        </w:rPr>
      </w:pPr>
      <w:r>
        <w:rPr>
          <w:rFonts w:asciiTheme="minorHAnsi" w:eastAsiaTheme="minorHAnsi" w:hAnsiTheme="minorHAnsi" w:cstheme="minorBidi"/>
          <w:sz w:val="22"/>
          <w:szCs w:val="22"/>
        </w:rPr>
        <w:t xml:space="preserve">the </w:t>
      </w:r>
      <w:r w:rsidR="008C1B45" w:rsidRPr="004E61AA">
        <w:rPr>
          <w:rFonts w:asciiTheme="minorHAnsi" w:eastAsiaTheme="minorHAnsi" w:hAnsiTheme="minorHAnsi" w:cstheme="minorBidi"/>
          <w:sz w:val="22"/>
          <w:szCs w:val="22"/>
        </w:rPr>
        <w:t>Enhanced Commonwealth Performance Framework</w:t>
      </w:r>
      <w:r w:rsidR="008C1B45" w:rsidRPr="008C1B45">
        <w:rPr>
          <w:rFonts w:asciiTheme="minorHAnsi" w:eastAsiaTheme="minorHAnsi" w:hAnsiTheme="minorHAnsi" w:cstheme="minorBidi"/>
          <w:szCs w:val="22"/>
        </w:rPr>
        <w:t xml:space="preserve"> </w:t>
      </w:r>
    </w:p>
    <w:p w14:paraId="7FD57F1D" w14:textId="46BCCF26" w:rsidR="00C62CEA" w:rsidRPr="00B65C97" w:rsidRDefault="00B346E2" w:rsidP="00B65C97">
      <w:pPr>
        <w:pStyle w:val="ListBullet"/>
        <w:numPr>
          <w:ilvl w:val="0"/>
          <w:numId w:val="33"/>
        </w:numPr>
        <w:ind w:left="360"/>
        <w:rPr>
          <w:rFonts w:asciiTheme="minorHAnsi" w:hAnsiTheme="minorHAnsi"/>
          <w:szCs w:val="22"/>
        </w:rPr>
      </w:pPr>
      <w:r>
        <w:rPr>
          <w:rFonts w:asciiTheme="minorHAnsi" w:hAnsiTheme="minorHAnsi"/>
          <w:sz w:val="22"/>
          <w:szCs w:val="22"/>
        </w:rPr>
        <w:t xml:space="preserve">the </w:t>
      </w:r>
      <w:r w:rsidR="00C62CEA" w:rsidRPr="00B65C97">
        <w:rPr>
          <w:rFonts w:asciiTheme="minorHAnsi" w:hAnsiTheme="minorHAnsi"/>
          <w:sz w:val="22"/>
          <w:szCs w:val="22"/>
        </w:rPr>
        <w:t xml:space="preserve">Productivity Commission’s Indigenous Evaluation Strategy 2020 </w:t>
      </w:r>
    </w:p>
    <w:p w14:paraId="3C7A7C43" w14:textId="3650F64E" w:rsidR="00C62CEA" w:rsidRPr="00B65C97" w:rsidRDefault="00C62CEA" w:rsidP="00B65C97">
      <w:pPr>
        <w:pStyle w:val="ListBullet"/>
        <w:numPr>
          <w:ilvl w:val="0"/>
          <w:numId w:val="33"/>
        </w:numPr>
        <w:ind w:left="360"/>
        <w:rPr>
          <w:rFonts w:asciiTheme="minorHAnsi" w:hAnsiTheme="minorHAnsi"/>
          <w:sz w:val="22"/>
          <w:szCs w:val="22"/>
        </w:rPr>
      </w:pPr>
      <w:r w:rsidRPr="00B65C97">
        <w:rPr>
          <w:rFonts w:asciiTheme="minorHAnsi" w:hAnsiTheme="minorHAnsi"/>
          <w:sz w:val="22"/>
          <w:szCs w:val="22"/>
        </w:rPr>
        <w:t>the Australian National Audit Office Best Practice Guide – Successful Implementation of Policy Initiatives.</w:t>
      </w:r>
    </w:p>
    <w:p w14:paraId="550B2AD9" w14:textId="77777777" w:rsidR="00C62CEA" w:rsidRDefault="00C62CEA" w:rsidP="00B351C0">
      <w:pPr>
        <w:pStyle w:val="Paragraphtext"/>
      </w:pPr>
    </w:p>
    <w:p w14:paraId="41FDF294" w14:textId="5D5DC4B0" w:rsidR="00AA6870" w:rsidRPr="00AA6870" w:rsidRDefault="00AA6870" w:rsidP="00AA6870">
      <w:pPr>
        <w:spacing w:before="120" w:after="120"/>
        <w:rPr>
          <w:rFonts w:asciiTheme="minorHAnsi" w:eastAsiaTheme="minorHAnsi" w:hAnsiTheme="minorHAnsi" w:cstheme="minorBidi"/>
          <w:szCs w:val="22"/>
        </w:rPr>
        <w:sectPr w:rsidR="00AA6870" w:rsidRPr="00AA6870" w:rsidSect="00B938A1">
          <w:pgSz w:w="11907" w:h="16840" w:code="9"/>
          <w:pgMar w:top="1701" w:right="1418" w:bottom="1418" w:left="1418" w:header="709" w:footer="709" w:gutter="0"/>
          <w:pgNumType w:start="1"/>
          <w:cols w:space="708"/>
          <w:docGrid w:linePitch="360"/>
        </w:sectPr>
      </w:pPr>
    </w:p>
    <w:p w14:paraId="656E61D8" w14:textId="1C978F2F" w:rsidR="00C62CEA" w:rsidRPr="00B65C97" w:rsidRDefault="00C62CEA" w:rsidP="00B65C97">
      <w:pPr>
        <w:pStyle w:val="Heading1"/>
        <w:rPr>
          <w:rFonts w:asciiTheme="minorHAnsi" w:hAnsiTheme="minorHAnsi"/>
          <w:color w:val="37818A"/>
        </w:rPr>
      </w:pPr>
      <w:bookmarkStart w:id="10" w:name="_Toc140233981"/>
      <w:r w:rsidRPr="00B65C97">
        <w:rPr>
          <w:rFonts w:asciiTheme="minorHAnsi" w:hAnsiTheme="minorHAnsi"/>
          <w:color w:val="37818A"/>
        </w:rPr>
        <w:lastRenderedPageBreak/>
        <w:t>What is evaluation</w:t>
      </w:r>
      <w:r w:rsidR="00260377" w:rsidRPr="00B65C97">
        <w:rPr>
          <w:rFonts w:asciiTheme="minorHAnsi" w:hAnsiTheme="minorHAnsi"/>
          <w:color w:val="37818A"/>
        </w:rPr>
        <w:t xml:space="preserve"> and why is it important</w:t>
      </w:r>
      <w:r w:rsidRPr="00B65C97">
        <w:rPr>
          <w:rFonts w:asciiTheme="minorHAnsi" w:hAnsiTheme="minorHAnsi"/>
          <w:color w:val="37818A"/>
        </w:rPr>
        <w:t>?</w:t>
      </w:r>
      <w:bookmarkEnd w:id="10"/>
      <w:r w:rsidRPr="00B65C97">
        <w:rPr>
          <w:rFonts w:asciiTheme="minorHAnsi" w:hAnsiTheme="minorHAnsi"/>
          <w:color w:val="37818A"/>
        </w:rPr>
        <w:t xml:space="preserve">  </w:t>
      </w:r>
    </w:p>
    <w:p w14:paraId="56AC7C6D" w14:textId="673CB268" w:rsidR="00C62CEA" w:rsidRPr="00B65C97" w:rsidRDefault="00C62CEA" w:rsidP="00C62CEA">
      <w:pPr>
        <w:spacing w:before="120" w:afterLines="60" w:after="144"/>
        <w:ind w:left="-5"/>
        <w:rPr>
          <w:rFonts w:asciiTheme="minorHAnsi" w:hAnsiTheme="minorHAnsi" w:cstheme="minorHAnsi"/>
          <w:szCs w:val="22"/>
        </w:rPr>
      </w:pPr>
      <w:r w:rsidRPr="00B65C97">
        <w:rPr>
          <w:rFonts w:asciiTheme="minorHAnsi" w:hAnsiTheme="minorHAnsi" w:cstheme="minorHAnsi"/>
          <w:szCs w:val="22"/>
        </w:rPr>
        <w:t>Evaluation in the department is defined as</w:t>
      </w:r>
      <w:r w:rsidR="00E5572F">
        <w:rPr>
          <w:rStyle w:val="FootnoteReference"/>
          <w:rFonts w:asciiTheme="minorHAnsi" w:hAnsiTheme="minorHAnsi" w:cstheme="minorHAnsi"/>
          <w:szCs w:val="22"/>
        </w:rPr>
        <w:footnoteReference w:id="3"/>
      </w:r>
      <w:r w:rsidRPr="00B65C97">
        <w:rPr>
          <w:rFonts w:asciiTheme="minorHAnsi" w:hAnsiTheme="minorHAnsi" w:cstheme="minorHAnsi"/>
          <w:szCs w:val="22"/>
        </w:rPr>
        <w:t>:</w:t>
      </w:r>
      <w:r w:rsidRPr="00B65C97">
        <w:rPr>
          <w:rFonts w:asciiTheme="minorHAnsi" w:hAnsiTheme="minorHAnsi" w:cstheme="minorHAnsi"/>
          <w:b/>
          <w:szCs w:val="22"/>
        </w:rPr>
        <w:t xml:space="preserve"> </w:t>
      </w:r>
    </w:p>
    <w:p w14:paraId="322E3D16" w14:textId="5EEDE37A" w:rsidR="00C62CEA" w:rsidRPr="00B65C97" w:rsidRDefault="00E5572F" w:rsidP="00C62CEA">
      <w:pPr>
        <w:spacing w:before="120" w:afterLines="60" w:after="144"/>
        <w:ind w:left="437"/>
        <w:rPr>
          <w:rFonts w:asciiTheme="minorHAnsi" w:hAnsiTheme="minorHAnsi" w:cstheme="minorHAnsi"/>
          <w:szCs w:val="22"/>
        </w:rPr>
      </w:pPr>
      <w:r>
        <w:rPr>
          <w:rFonts w:asciiTheme="minorHAnsi" w:hAnsiTheme="minorHAnsi" w:cstheme="minorHAnsi"/>
          <w:i/>
          <w:szCs w:val="22"/>
        </w:rPr>
        <w:t>T</w:t>
      </w:r>
      <w:r w:rsidRPr="00E5572F">
        <w:rPr>
          <w:rFonts w:asciiTheme="minorHAnsi" w:hAnsiTheme="minorHAnsi" w:cstheme="minorHAnsi"/>
          <w:i/>
          <w:szCs w:val="22"/>
        </w:rPr>
        <w:t xml:space="preserve">he systematic and objective assessment of the design, implementation or results of a government program or activity for the purposes of continuous improvement, </w:t>
      </w:r>
      <w:proofErr w:type="gramStart"/>
      <w:r w:rsidRPr="00E5572F">
        <w:rPr>
          <w:rFonts w:asciiTheme="minorHAnsi" w:hAnsiTheme="minorHAnsi" w:cstheme="minorHAnsi"/>
          <w:i/>
          <w:szCs w:val="22"/>
        </w:rPr>
        <w:t>accountability</w:t>
      </w:r>
      <w:proofErr w:type="gramEnd"/>
      <w:r w:rsidRPr="00E5572F">
        <w:rPr>
          <w:rFonts w:asciiTheme="minorHAnsi" w:hAnsiTheme="minorHAnsi" w:cstheme="minorHAnsi"/>
          <w:i/>
          <w:szCs w:val="22"/>
        </w:rPr>
        <w:t xml:space="preserve"> and decision-making. It provides a structured and disciplined analysis of the value of policies, </w:t>
      </w:r>
      <w:proofErr w:type="gramStart"/>
      <w:r w:rsidRPr="00E5572F">
        <w:rPr>
          <w:rFonts w:asciiTheme="minorHAnsi" w:hAnsiTheme="minorHAnsi" w:cstheme="minorHAnsi"/>
          <w:i/>
          <w:szCs w:val="22"/>
        </w:rPr>
        <w:t>programs</w:t>
      </w:r>
      <w:proofErr w:type="gramEnd"/>
      <w:r w:rsidRPr="00E5572F">
        <w:rPr>
          <w:rFonts w:asciiTheme="minorHAnsi" w:hAnsiTheme="minorHAnsi" w:cstheme="minorHAnsi"/>
          <w:i/>
          <w:szCs w:val="22"/>
        </w:rPr>
        <w:t xml:space="preserve"> and activities at all stages of the policy cycle.</w:t>
      </w:r>
    </w:p>
    <w:p w14:paraId="0620C85A" w14:textId="24FD5F89" w:rsidR="000F26CD" w:rsidRPr="00B65C97" w:rsidRDefault="00C62CEA" w:rsidP="000F26CD">
      <w:pPr>
        <w:spacing w:before="120" w:afterLines="60" w:after="144"/>
        <w:ind w:left="-5"/>
        <w:rPr>
          <w:rFonts w:asciiTheme="minorHAnsi" w:hAnsiTheme="minorHAnsi" w:cstheme="minorHAnsi"/>
          <w:szCs w:val="22"/>
        </w:rPr>
      </w:pPr>
      <w:r w:rsidRPr="00B65C97">
        <w:rPr>
          <w:rFonts w:asciiTheme="minorHAnsi" w:hAnsiTheme="minorHAnsi" w:cstheme="minorHAnsi"/>
          <w:szCs w:val="22"/>
        </w:rPr>
        <w:t xml:space="preserve">Evaluation is a process to understand whether a policy or program is fit for purpose, how it is implemented and operated, and what effect it had – for whom, how and why. </w:t>
      </w:r>
      <w:r w:rsidR="000F26CD" w:rsidRPr="00B65C97">
        <w:rPr>
          <w:rFonts w:asciiTheme="minorHAnsi" w:hAnsiTheme="minorHAnsi" w:cstheme="minorHAnsi"/>
          <w:szCs w:val="22"/>
        </w:rPr>
        <w:t xml:space="preserve">Evaluation is not a one-off exercise. It is an ongoing process of analysing information and evidence about what is working well and what is not working </w:t>
      </w:r>
      <w:proofErr w:type="gramStart"/>
      <w:r w:rsidR="000F26CD" w:rsidRPr="00B65C97">
        <w:rPr>
          <w:rFonts w:asciiTheme="minorHAnsi" w:hAnsiTheme="minorHAnsi" w:cstheme="minorHAnsi"/>
          <w:szCs w:val="22"/>
        </w:rPr>
        <w:t>in order to</w:t>
      </w:r>
      <w:proofErr w:type="gramEnd"/>
      <w:r w:rsidR="000F26CD" w:rsidRPr="00B65C97">
        <w:rPr>
          <w:rFonts w:asciiTheme="minorHAnsi" w:hAnsiTheme="minorHAnsi" w:cstheme="minorHAnsi"/>
          <w:szCs w:val="22"/>
        </w:rPr>
        <w:t xml:space="preserve"> inform policy and program development and improvement. Ultimately, evaluation provides evidence to inform whether a particular policy and program should be continued, changed, or ceased. Evaluation findings may also be used to inform the development, </w:t>
      </w:r>
      <w:proofErr w:type="gramStart"/>
      <w:r w:rsidR="000F26CD" w:rsidRPr="00B65C97">
        <w:rPr>
          <w:rFonts w:asciiTheme="minorHAnsi" w:hAnsiTheme="minorHAnsi" w:cstheme="minorHAnsi"/>
          <w:szCs w:val="22"/>
        </w:rPr>
        <w:t>implemen</w:t>
      </w:r>
      <w:r w:rsidR="00480B7B" w:rsidRPr="00B65C97">
        <w:rPr>
          <w:rFonts w:asciiTheme="minorHAnsi" w:hAnsiTheme="minorHAnsi" w:cstheme="minorHAnsi"/>
          <w:szCs w:val="22"/>
        </w:rPr>
        <w:t>tation</w:t>
      </w:r>
      <w:proofErr w:type="gramEnd"/>
      <w:r w:rsidR="00480B7B" w:rsidRPr="00B65C97">
        <w:rPr>
          <w:rFonts w:asciiTheme="minorHAnsi" w:hAnsiTheme="minorHAnsi" w:cstheme="minorHAnsi"/>
          <w:szCs w:val="22"/>
        </w:rPr>
        <w:t xml:space="preserve"> and refinement of other </w:t>
      </w:r>
      <w:r w:rsidR="000F26CD" w:rsidRPr="00B65C97">
        <w:rPr>
          <w:rFonts w:asciiTheme="minorHAnsi" w:hAnsiTheme="minorHAnsi" w:cstheme="minorHAnsi"/>
          <w:szCs w:val="22"/>
        </w:rPr>
        <w:t>similar initiatives.</w:t>
      </w:r>
    </w:p>
    <w:p w14:paraId="503EEA74" w14:textId="32E0FA80" w:rsidR="000F26CD" w:rsidRPr="00B65C97" w:rsidRDefault="000F26CD" w:rsidP="00B65C97">
      <w:pPr>
        <w:spacing w:before="120" w:afterLines="60" w:after="144"/>
        <w:ind w:left="-5"/>
        <w:rPr>
          <w:rFonts w:asciiTheme="minorHAnsi" w:hAnsiTheme="minorHAnsi" w:cstheme="minorHAnsi"/>
          <w:szCs w:val="22"/>
        </w:rPr>
      </w:pPr>
      <w:r w:rsidRPr="00B65C97">
        <w:rPr>
          <w:rFonts w:asciiTheme="minorHAnsi" w:hAnsiTheme="minorHAnsi" w:cstheme="minorHAnsi"/>
          <w:szCs w:val="22"/>
        </w:rPr>
        <w:t>To ensure evaluations generate reliable information and evidence</w:t>
      </w:r>
      <w:r w:rsidR="00DF7F70">
        <w:rPr>
          <w:rFonts w:asciiTheme="minorHAnsi" w:hAnsiTheme="minorHAnsi" w:cstheme="minorHAnsi"/>
          <w:szCs w:val="22"/>
        </w:rPr>
        <w:t>,</w:t>
      </w:r>
      <w:r w:rsidRPr="00B65C97">
        <w:rPr>
          <w:rFonts w:asciiTheme="minorHAnsi" w:hAnsiTheme="minorHAnsi" w:cstheme="minorHAnsi"/>
          <w:szCs w:val="22"/>
        </w:rPr>
        <w:t xml:space="preserve"> it is essential that evaluation is considered early in the policy and program cycle. Evaluations need to be tailored to the characteristics of a policy or program, the questions that require answering, the timing of decisions, and</w:t>
      </w:r>
      <w:r w:rsidR="00B346E2">
        <w:rPr>
          <w:rFonts w:asciiTheme="minorHAnsi" w:hAnsiTheme="minorHAnsi" w:cstheme="minorHAnsi"/>
          <w:szCs w:val="22"/>
        </w:rPr>
        <w:t xml:space="preserve"> the</w:t>
      </w:r>
      <w:r w:rsidRPr="00B65C97">
        <w:rPr>
          <w:rFonts w:asciiTheme="minorHAnsi" w:hAnsiTheme="minorHAnsi" w:cstheme="minorHAnsi"/>
          <w:szCs w:val="22"/>
        </w:rPr>
        <w:t xml:space="preserve"> resources available. A one size fits all approach to evaluation is not appropriate.</w:t>
      </w:r>
    </w:p>
    <w:p w14:paraId="65F744C2" w14:textId="1B3F5B52" w:rsidR="000F26CD" w:rsidRPr="00B65C97" w:rsidRDefault="000F26CD" w:rsidP="00B65C97">
      <w:pPr>
        <w:spacing w:before="120" w:afterLines="60" w:after="144"/>
        <w:ind w:left="-5"/>
        <w:rPr>
          <w:rFonts w:asciiTheme="minorHAnsi" w:hAnsiTheme="minorHAnsi" w:cstheme="minorHAnsi"/>
          <w:szCs w:val="22"/>
        </w:rPr>
      </w:pPr>
      <w:r w:rsidRPr="00B65C97">
        <w:rPr>
          <w:rFonts w:asciiTheme="minorHAnsi" w:hAnsiTheme="minorHAnsi" w:cstheme="minorHAnsi"/>
          <w:szCs w:val="22"/>
        </w:rPr>
        <w:t>The policy and program cycle generally consists of four phases: Development, Planning, Implementation, and Transition. Evaluation has a role throughout the cycle and contributes to the cumulative evidence base about a policy or program.</w:t>
      </w:r>
      <w:r w:rsidRPr="00B65C97">
        <w:t xml:space="preserve"> </w:t>
      </w:r>
      <w:r w:rsidRPr="00B65C97">
        <w:rPr>
          <w:rFonts w:asciiTheme="minorHAnsi" w:hAnsiTheme="minorHAnsi" w:cstheme="minorHAnsi"/>
          <w:szCs w:val="22"/>
        </w:rPr>
        <w:t xml:space="preserve">Figure </w:t>
      </w:r>
      <w:r w:rsidR="005B0FDB">
        <w:rPr>
          <w:rFonts w:asciiTheme="minorHAnsi" w:hAnsiTheme="minorHAnsi" w:cstheme="minorHAnsi"/>
          <w:szCs w:val="22"/>
        </w:rPr>
        <w:t>2</w:t>
      </w:r>
      <w:r w:rsidRPr="00B65C97">
        <w:rPr>
          <w:rFonts w:asciiTheme="minorHAnsi" w:hAnsiTheme="minorHAnsi" w:cstheme="minorHAnsi"/>
          <w:szCs w:val="22"/>
        </w:rPr>
        <w:t xml:space="preserve"> provides an overview of the role of evaluation and evaluation activities across the policy and program cycle.</w:t>
      </w:r>
    </w:p>
    <w:p w14:paraId="7E409B95" w14:textId="03C8B14D" w:rsidR="000F26CD" w:rsidRPr="00B65C97" w:rsidRDefault="000F26CD" w:rsidP="00B65C97">
      <w:pPr>
        <w:rPr>
          <w:rFonts w:asciiTheme="minorHAnsi" w:hAnsiTheme="minorHAnsi" w:cstheme="minorHAnsi"/>
          <w:b/>
          <w:i/>
          <w:color w:val="37818A"/>
          <w:szCs w:val="22"/>
        </w:rPr>
      </w:pPr>
      <w:r w:rsidRPr="00B65C97">
        <w:rPr>
          <w:rFonts w:asciiTheme="minorHAnsi" w:hAnsiTheme="minorHAnsi" w:cstheme="minorHAnsi"/>
          <w:b/>
          <w:i/>
          <w:color w:val="37818A"/>
          <w:szCs w:val="22"/>
        </w:rPr>
        <w:t xml:space="preserve">Figure </w:t>
      </w:r>
      <w:r w:rsidR="005B0FDB">
        <w:rPr>
          <w:rFonts w:asciiTheme="minorHAnsi" w:hAnsiTheme="minorHAnsi" w:cstheme="minorHAnsi"/>
          <w:b/>
          <w:i/>
          <w:color w:val="37818A"/>
          <w:szCs w:val="22"/>
        </w:rPr>
        <w:t>2</w:t>
      </w:r>
      <w:r w:rsidRPr="00B65C97">
        <w:rPr>
          <w:rFonts w:asciiTheme="minorHAnsi" w:hAnsiTheme="minorHAnsi" w:cstheme="minorHAnsi"/>
          <w:b/>
          <w:i/>
          <w:color w:val="37818A"/>
          <w:szCs w:val="22"/>
        </w:rPr>
        <w:t xml:space="preserve">: Overview of evaluation within the </w:t>
      </w:r>
      <w:r w:rsidR="008D32C3">
        <w:rPr>
          <w:rFonts w:asciiTheme="minorHAnsi" w:hAnsiTheme="minorHAnsi" w:cstheme="minorHAnsi"/>
          <w:b/>
          <w:i/>
          <w:color w:val="37818A"/>
          <w:szCs w:val="22"/>
        </w:rPr>
        <w:t>p</w:t>
      </w:r>
      <w:r w:rsidRPr="00B65C97">
        <w:rPr>
          <w:rFonts w:asciiTheme="minorHAnsi" w:hAnsiTheme="minorHAnsi" w:cstheme="minorHAnsi"/>
          <w:b/>
          <w:i/>
          <w:color w:val="37818A"/>
          <w:szCs w:val="22"/>
        </w:rPr>
        <w:t xml:space="preserve">olicy and </w:t>
      </w:r>
      <w:r w:rsidR="008D32C3">
        <w:rPr>
          <w:rFonts w:asciiTheme="minorHAnsi" w:hAnsiTheme="minorHAnsi" w:cstheme="minorHAnsi"/>
          <w:b/>
          <w:i/>
          <w:color w:val="37818A"/>
          <w:szCs w:val="22"/>
        </w:rPr>
        <w:t>p</w:t>
      </w:r>
      <w:r w:rsidRPr="00B65C97">
        <w:rPr>
          <w:rFonts w:asciiTheme="minorHAnsi" w:hAnsiTheme="minorHAnsi" w:cstheme="minorHAnsi"/>
          <w:b/>
          <w:i/>
          <w:color w:val="37818A"/>
          <w:szCs w:val="22"/>
        </w:rPr>
        <w:t xml:space="preserve">rogram </w:t>
      </w:r>
      <w:r w:rsidR="008D32C3">
        <w:rPr>
          <w:rFonts w:asciiTheme="minorHAnsi" w:hAnsiTheme="minorHAnsi" w:cstheme="minorHAnsi"/>
          <w:b/>
          <w:i/>
          <w:color w:val="37818A"/>
          <w:szCs w:val="22"/>
        </w:rPr>
        <w:t>c</w:t>
      </w:r>
      <w:r w:rsidRPr="00B65C97">
        <w:rPr>
          <w:rFonts w:asciiTheme="minorHAnsi" w:hAnsiTheme="minorHAnsi" w:cstheme="minorHAnsi"/>
          <w:b/>
          <w:i/>
          <w:color w:val="37818A"/>
          <w:szCs w:val="22"/>
        </w:rPr>
        <w:t>ycle</w:t>
      </w:r>
    </w:p>
    <w:p w14:paraId="44F997EB" w14:textId="3893AD94" w:rsidR="000F26CD" w:rsidRPr="00B65C97" w:rsidRDefault="000F26CD" w:rsidP="000852CF">
      <w:pPr>
        <w:spacing w:before="120" w:afterLines="60" w:after="144"/>
        <w:ind w:left="-5"/>
        <w:rPr>
          <w:rFonts w:asciiTheme="minorHAnsi" w:hAnsiTheme="minorHAnsi" w:cstheme="minorHAnsi"/>
          <w:szCs w:val="22"/>
        </w:rPr>
      </w:pPr>
      <w:r w:rsidRPr="000F26CD">
        <w:rPr>
          <w:noProof/>
          <w:lang w:eastAsia="en-AU"/>
        </w:rPr>
        <w:drawing>
          <wp:inline distT="0" distB="0" distL="0" distR="0" wp14:anchorId="3733F4FF" wp14:editId="162A9F78">
            <wp:extent cx="5608800" cy="3290423"/>
            <wp:effectExtent l="0" t="0" r="0" b="0"/>
            <wp:docPr id="4" name="Picture 4" descr="Figure 2: Overview of evaluation within the policy and program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Overview of evaluation within the policy and program cycl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0271" t="9285" r="-20271" b="7520"/>
                    <a:stretch/>
                  </pic:blipFill>
                  <pic:spPr bwMode="auto">
                    <a:xfrm>
                      <a:off x="0" y="0"/>
                      <a:ext cx="5616758" cy="3295092"/>
                    </a:xfrm>
                    <a:prstGeom prst="rect">
                      <a:avLst/>
                    </a:prstGeom>
                    <a:noFill/>
                    <a:ln>
                      <a:noFill/>
                    </a:ln>
                    <a:extLst>
                      <a:ext uri="{53640926-AAD7-44D8-BBD7-CCE9431645EC}">
                        <a14:shadowObscured xmlns:a14="http://schemas.microsoft.com/office/drawing/2010/main"/>
                      </a:ext>
                    </a:extLst>
                  </pic:spPr>
                </pic:pic>
              </a:graphicData>
            </a:graphic>
          </wp:inline>
        </w:drawing>
      </w:r>
    </w:p>
    <w:p w14:paraId="653505D5" w14:textId="11ADE212" w:rsidR="005B0FDB" w:rsidRDefault="005B0FDB" w:rsidP="000852CF">
      <w:pPr>
        <w:pStyle w:val="Paragraphtext"/>
        <w:spacing w:before="0" w:afterLines="60" w:after="144"/>
        <w:rPr>
          <w:rFonts w:asciiTheme="minorHAnsi" w:hAnsiTheme="minorHAnsi" w:cstheme="minorHAnsi"/>
          <w:color w:val="auto"/>
          <w:sz w:val="22"/>
          <w:szCs w:val="22"/>
        </w:rPr>
      </w:pPr>
      <w:r>
        <w:rPr>
          <w:rFonts w:asciiTheme="minorHAnsi" w:hAnsiTheme="minorHAnsi" w:cstheme="minorHAnsi"/>
          <w:color w:val="auto"/>
          <w:sz w:val="22"/>
          <w:szCs w:val="22"/>
        </w:rPr>
        <w:t xml:space="preserve">Source: </w:t>
      </w:r>
      <w:r w:rsidR="00717285" w:rsidRPr="00717285">
        <w:rPr>
          <w:rFonts w:asciiTheme="minorHAnsi" w:hAnsiTheme="minorHAnsi" w:cstheme="minorHAnsi"/>
          <w:color w:val="auto"/>
          <w:sz w:val="22"/>
          <w:szCs w:val="22"/>
        </w:rPr>
        <w:t>Department of Health Evaluation Strategy 2016-2019</w:t>
      </w:r>
    </w:p>
    <w:p w14:paraId="491DC4D5" w14:textId="12BDA44C" w:rsidR="00BF1222" w:rsidRPr="00B65C97" w:rsidRDefault="00BF1222" w:rsidP="00B65C97">
      <w:pPr>
        <w:pStyle w:val="Paragraphtext"/>
        <w:spacing w:afterLines="60" w:after="144"/>
        <w:rPr>
          <w:rFonts w:asciiTheme="minorHAnsi" w:hAnsiTheme="minorHAnsi" w:cstheme="minorHAnsi"/>
          <w:color w:val="auto"/>
          <w:sz w:val="22"/>
          <w:szCs w:val="22"/>
        </w:rPr>
      </w:pPr>
      <w:r w:rsidRPr="00B65C97">
        <w:rPr>
          <w:rFonts w:asciiTheme="minorHAnsi" w:hAnsiTheme="minorHAnsi" w:cstheme="minorHAnsi"/>
          <w:color w:val="auto"/>
          <w:sz w:val="22"/>
          <w:szCs w:val="22"/>
        </w:rPr>
        <w:lastRenderedPageBreak/>
        <w:t>For existing policies and programs that were implemented without evaluation in mind, evaluation can be planned and initiated at appropriate intervals to inform policy and program development and improvement</w:t>
      </w:r>
      <w:r w:rsidR="00B346E2">
        <w:rPr>
          <w:rFonts w:asciiTheme="minorHAnsi" w:hAnsiTheme="minorHAnsi" w:cstheme="minorHAnsi"/>
          <w:color w:val="auto"/>
          <w:sz w:val="22"/>
          <w:szCs w:val="22"/>
        </w:rPr>
        <w:t xml:space="preserve"> – </w:t>
      </w:r>
      <w:r w:rsidRPr="00B65C97">
        <w:rPr>
          <w:rFonts w:asciiTheme="minorHAnsi" w:hAnsiTheme="minorHAnsi" w:cstheme="minorHAnsi"/>
          <w:color w:val="auto"/>
          <w:sz w:val="22"/>
          <w:szCs w:val="22"/>
        </w:rPr>
        <w:t>such as</w:t>
      </w:r>
      <w:r w:rsidR="00B65C97" w:rsidRPr="00B65C97">
        <w:rPr>
          <w:rFonts w:asciiTheme="minorHAnsi" w:hAnsiTheme="minorHAnsi" w:cstheme="minorHAnsi"/>
          <w:color w:val="auto"/>
          <w:sz w:val="22"/>
          <w:szCs w:val="22"/>
        </w:rPr>
        <w:t xml:space="preserve"> through</w:t>
      </w:r>
      <w:r w:rsidRPr="00B65C97">
        <w:rPr>
          <w:rFonts w:asciiTheme="minorHAnsi" w:hAnsiTheme="minorHAnsi" w:cstheme="minorHAnsi"/>
          <w:color w:val="auto"/>
          <w:sz w:val="22"/>
          <w:szCs w:val="22"/>
        </w:rPr>
        <w:t xml:space="preserve"> </w:t>
      </w:r>
      <w:r w:rsidR="00480B7B" w:rsidRPr="00B65C97">
        <w:rPr>
          <w:rFonts w:asciiTheme="minorHAnsi" w:hAnsiTheme="minorHAnsi" w:cstheme="minorHAnsi"/>
          <w:color w:val="auto"/>
          <w:sz w:val="22"/>
          <w:szCs w:val="22"/>
        </w:rPr>
        <w:t>a mid-way or p</w:t>
      </w:r>
      <w:r w:rsidRPr="00B65C97">
        <w:rPr>
          <w:rFonts w:asciiTheme="minorHAnsi" w:hAnsiTheme="minorHAnsi" w:cstheme="minorHAnsi"/>
          <w:color w:val="auto"/>
          <w:sz w:val="22"/>
          <w:szCs w:val="22"/>
        </w:rPr>
        <w:t>ost-hoc evaluation.</w:t>
      </w:r>
    </w:p>
    <w:p w14:paraId="567CFB78" w14:textId="6A212F3D" w:rsidR="00CF3377" w:rsidRPr="00B65C97" w:rsidRDefault="00CF3377">
      <w:pPr>
        <w:pStyle w:val="Paragraphtext"/>
        <w:rPr>
          <w:rFonts w:asciiTheme="minorHAnsi" w:hAnsiTheme="minorHAnsi" w:cstheme="minorHAnsi"/>
          <w:b/>
          <w:color w:val="358189" w:themeColor="accent2"/>
          <w:sz w:val="28"/>
        </w:rPr>
      </w:pPr>
      <w:r w:rsidRPr="00B65C97">
        <w:rPr>
          <w:rFonts w:asciiTheme="minorHAnsi" w:hAnsiTheme="minorHAnsi" w:cstheme="minorHAnsi"/>
          <w:b/>
          <w:color w:val="358189" w:themeColor="accent2"/>
          <w:sz w:val="28"/>
        </w:rPr>
        <w:t>Why evaluate?</w:t>
      </w:r>
    </w:p>
    <w:p w14:paraId="289E75D0" w14:textId="5055B89F" w:rsidR="00823A9E" w:rsidRDefault="00823A9E" w:rsidP="00823A9E">
      <w:pPr>
        <w:pStyle w:val="Paragraphtext"/>
        <w:spacing w:afterLines="60" w:after="144"/>
        <w:rPr>
          <w:rFonts w:asciiTheme="minorHAnsi" w:hAnsiTheme="minorHAnsi" w:cstheme="minorHAnsi"/>
          <w:sz w:val="22"/>
          <w:szCs w:val="22"/>
        </w:rPr>
      </w:pPr>
      <w:r w:rsidRPr="00823A9E">
        <w:rPr>
          <w:rFonts w:asciiTheme="minorHAnsi" w:hAnsiTheme="minorHAnsi" w:cstheme="minorHAnsi"/>
          <w:sz w:val="22"/>
          <w:szCs w:val="22"/>
        </w:rPr>
        <w:t xml:space="preserve">Evaluations should contribute to a high-quality, </w:t>
      </w:r>
      <w:proofErr w:type="gramStart"/>
      <w:r w:rsidRPr="00823A9E">
        <w:rPr>
          <w:rFonts w:asciiTheme="minorHAnsi" w:hAnsiTheme="minorHAnsi" w:cstheme="minorHAnsi"/>
          <w:sz w:val="22"/>
          <w:szCs w:val="22"/>
        </w:rPr>
        <w:t>useful</w:t>
      </w:r>
      <w:proofErr w:type="gramEnd"/>
      <w:r w:rsidRPr="00823A9E">
        <w:rPr>
          <w:rFonts w:asciiTheme="minorHAnsi" w:hAnsiTheme="minorHAnsi" w:cstheme="minorHAnsi"/>
          <w:sz w:val="22"/>
          <w:szCs w:val="22"/>
        </w:rPr>
        <w:t xml:space="preserve"> and accessible body of evidence that governments, organisations and communities have confidence to use when designing, modifying and implementing health policies and programs. Evaluation is complementary to the audit process in the department.</w:t>
      </w:r>
    </w:p>
    <w:p w14:paraId="13C7FB72" w14:textId="45468ECB" w:rsidR="00CF3377" w:rsidRPr="00B65C97" w:rsidRDefault="00CF3377" w:rsidP="00823A9E">
      <w:pPr>
        <w:pStyle w:val="Paragraphtext"/>
        <w:spacing w:afterLines="60" w:after="144"/>
        <w:rPr>
          <w:rFonts w:asciiTheme="minorHAnsi" w:hAnsiTheme="minorHAnsi" w:cstheme="minorHAnsi"/>
          <w:sz w:val="22"/>
          <w:szCs w:val="22"/>
        </w:rPr>
      </w:pPr>
      <w:r w:rsidRPr="00B65C97">
        <w:rPr>
          <w:rFonts w:asciiTheme="minorHAnsi" w:hAnsiTheme="minorHAnsi" w:cstheme="minorHAnsi"/>
          <w:sz w:val="22"/>
          <w:szCs w:val="22"/>
        </w:rPr>
        <w:t xml:space="preserve">The main drivers behind the department’s increasing interest in evaluating its policies and programs are represented in the </w:t>
      </w:r>
      <w:r w:rsidR="00721FDF">
        <w:rPr>
          <w:rFonts w:asciiTheme="minorHAnsi" w:hAnsiTheme="minorHAnsi" w:cstheme="minorHAnsi"/>
          <w:sz w:val="22"/>
          <w:szCs w:val="22"/>
        </w:rPr>
        <w:t>4</w:t>
      </w:r>
      <w:r w:rsidRPr="00B65C97">
        <w:rPr>
          <w:rFonts w:asciiTheme="minorHAnsi" w:hAnsiTheme="minorHAnsi" w:cstheme="minorHAnsi"/>
          <w:sz w:val="22"/>
          <w:szCs w:val="22"/>
        </w:rPr>
        <w:t>As of evaluation</w:t>
      </w:r>
      <w:r w:rsidRPr="00B65C97">
        <w:rPr>
          <w:rStyle w:val="FootnoteReference"/>
          <w:rFonts w:asciiTheme="minorHAnsi" w:hAnsiTheme="minorHAnsi" w:cstheme="minorHAnsi"/>
          <w:sz w:val="22"/>
          <w:szCs w:val="22"/>
        </w:rPr>
        <w:footnoteReference w:id="4"/>
      </w:r>
      <w:r w:rsidRPr="00B65C97">
        <w:rPr>
          <w:rFonts w:asciiTheme="minorHAnsi" w:hAnsiTheme="minorHAnsi" w:cstheme="minorHAnsi"/>
          <w:sz w:val="22"/>
          <w:szCs w:val="22"/>
        </w:rPr>
        <w:t>.</w:t>
      </w:r>
    </w:p>
    <w:p w14:paraId="7A05F783" w14:textId="1AC421B6" w:rsidR="00CF3377" w:rsidRPr="00B65C97" w:rsidRDefault="00CF3377" w:rsidP="00CF3377">
      <w:pPr>
        <w:pStyle w:val="Paragraphtext"/>
        <w:numPr>
          <w:ilvl w:val="0"/>
          <w:numId w:val="35"/>
        </w:numPr>
        <w:spacing w:afterLines="60" w:after="144"/>
        <w:rPr>
          <w:rFonts w:asciiTheme="minorHAnsi" w:hAnsiTheme="minorHAnsi" w:cstheme="minorHAnsi"/>
          <w:sz w:val="22"/>
          <w:szCs w:val="22"/>
        </w:rPr>
      </w:pPr>
      <w:r w:rsidRPr="00B65C97">
        <w:rPr>
          <w:rFonts w:asciiTheme="minorHAnsi" w:hAnsiTheme="minorHAnsi" w:cstheme="minorHAnsi"/>
          <w:b/>
          <w:sz w:val="22"/>
          <w:szCs w:val="22"/>
        </w:rPr>
        <w:t>Accountability</w:t>
      </w:r>
      <w:r w:rsidRPr="00B65C97">
        <w:rPr>
          <w:rFonts w:asciiTheme="minorHAnsi" w:hAnsiTheme="minorHAnsi" w:cstheme="minorHAnsi"/>
          <w:sz w:val="22"/>
          <w:szCs w:val="22"/>
        </w:rPr>
        <w:t>:</w:t>
      </w:r>
      <w:r w:rsidR="008D32C3">
        <w:rPr>
          <w:rFonts w:asciiTheme="minorHAnsi" w:hAnsiTheme="minorHAnsi" w:cstheme="minorHAnsi"/>
          <w:szCs w:val="22"/>
        </w:rPr>
        <w:t xml:space="preserve"> </w:t>
      </w:r>
      <w:r w:rsidR="008D32C3" w:rsidRPr="00564F20">
        <w:rPr>
          <w:rFonts w:asciiTheme="minorHAnsi" w:hAnsiTheme="minorHAnsi" w:cstheme="minorHAnsi"/>
          <w:sz w:val="22"/>
          <w:szCs w:val="22"/>
        </w:rPr>
        <w:t xml:space="preserve">the </w:t>
      </w:r>
      <w:r w:rsidR="00B26F11" w:rsidRPr="00564F20">
        <w:rPr>
          <w:rFonts w:asciiTheme="minorHAnsi" w:hAnsiTheme="minorHAnsi" w:cstheme="minorHAnsi"/>
          <w:sz w:val="22"/>
          <w:szCs w:val="22"/>
        </w:rPr>
        <w:t>PGPA Act</w:t>
      </w:r>
      <w:r w:rsidR="00B26F11" w:rsidRPr="00EB5967">
        <w:rPr>
          <w:rFonts w:asciiTheme="minorHAnsi" w:hAnsiTheme="minorHAnsi" w:cstheme="minorHAnsi"/>
          <w:szCs w:val="22"/>
        </w:rPr>
        <w:t xml:space="preserve"> </w:t>
      </w:r>
      <w:r w:rsidRPr="00B65C97">
        <w:rPr>
          <w:rFonts w:asciiTheme="minorHAnsi" w:hAnsiTheme="minorHAnsi" w:cstheme="minorHAnsi"/>
          <w:sz w:val="22"/>
          <w:szCs w:val="22"/>
        </w:rPr>
        <w:t>established a core set of obligations that apply to all Commonwealth entities</w:t>
      </w:r>
      <w:r w:rsidR="00B346E2">
        <w:rPr>
          <w:rFonts w:asciiTheme="minorHAnsi" w:hAnsiTheme="minorHAnsi" w:cstheme="minorHAnsi"/>
          <w:sz w:val="22"/>
          <w:szCs w:val="22"/>
        </w:rPr>
        <w:t>.</w:t>
      </w:r>
    </w:p>
    <w:p w14:paraId="51F55825" w14:textId="714DFD69" w:rsidR="00CF3377" w:rsidRPr="00B65C97" w:rsidRDefault="00CF3377" w:rsidP="00CF3377">
      <w:pPr>
        <w:pStyle w:val="Paragraphtext"/>
        <w:numPr>
          <w:ilvl w:val="0"/>
          <w:numId w:val="35"/>
        </w:numPr>
        <w:spacing w:afterLines="60" w:after="144"/>
        <w:rPr>
          <w:rFonts w:asciiTheme="minorHAnsi" w:hAnsiTheme="minorHAnsi" w:cstheme="minorHAnsi"/>
          <w:sz w:val="22"/>
          <w:szCs w:val="22"/>
        </w:rPr>
      </w:pPr>
      <w:r w:rsidRPr="00B65C97">
        <w:rPr>
          <w:rFonts w:asciiTheme="minorHAnsi" w:hAnsiTheme="minorHAnsi" w:cstheme="minorHAnsi"/>
          <w:b/>
          <w:sz w:val="22"/>
          <w:szCs w:val="22"/>
        </w:rPr>
        <w:t>Allocation:</w:t>
      </w:r>
      <w:r w:rsidRPr="00B65C97">
        <w:rPr>
          <w:rFonts w:asciiTheme="minorHAnsi" w:hAnsiTheme="minorHAnsi" w:cstheme="minorHAnsi"/>
          <w:sz w:val="22"/>
          <w:szCs w:val="22"/>
        </w:rPr>
        <w:t xml:space="preserve"> informing investment decision of policies and programs for great returns</w:t>
      </w:r>
      <w:r w:rsidR="00B346E2">
        <w:rPr>
          <w:rFonts w:asciiTheme="minorHAnsi" w:hAnsiTheme="minorHAnsi" w:cstheme="minorHAnsi"/>
          <w:sz w:val="22"/>
          <w:szCs w:val="22"/>
        </w:rPr>
        <w:t>.</w:t>
      </w:r>
    </w:p>
    <w:p w14:paraId="4C437183" w14:textId="57FF8B1F" w:rsidR="00CF3377" w:rsidRPr="00B65C97" w:rsidRDefault="00CF3377" w:rsidP="00CF3377">
      <w:pPr>
        <w:pStyle w:val="Paragraphtext"/>
        <w:numPr>
          <w:ilvl w:val="0"/>
          <w:numId w:val="35"/>
        </w:numPr>
        <w:spacing w:afterLines="60" w:after="144"/>
        <w:rPr>
          <w:rFonts w:asciiTheme="minorHAnsi" w:hAnsiTheme="minorHAnsi" w:cstheme="minorHAnsi"/>
          <w:sz w:val="22"/>
          <w:szCs w:val="22"/>
        </w:rPr>
      </w:pPr>
      <w:r w:rsidRPr="00B65C97">
        <w:rPr>
          <w:rFonts w:asciiTheme="minorHAnsi" w:hAnsiTheme="minorHAnsi" w:cstheme="minorHAnsi"/>
          <w:b/>
          <w:sz w:val="22"/>
          <w:szCs w:val="22"/>
        </w:rPr>
        <w:t>Analysis:</w:t>
      </w:r>
      <w:r w:rsidRPr="00B65C97">
        <w:rPr>
          <w:rFonts w:asciiTheme="minorHAnsi" w:hAnsiTheme="minorHAnsi" w:cstheme="minorHAnsi"/>
          <w:sz w:val="22"/>
          <w:szCs w:val="22"/>
        </w:rPr>
        <w:t xml:space="preserve"> providing reliable and robust information and evidence to support evidence-</w:t>
      </w:r>
      <w:r w:rsidR="003C6E24">
        <w:rPr>
          <w:rFonts w:asciiTheme="minorHAnsi" w:hAnsiTheme="minorHAnsi" w:cstheme="minorHAnsi"/>
          <w:sz w:val="22"/>
          <w:szCs w:val="22"/>
        </w:rPr>
        <w:t xml:space="preserve">based </w:t>
      </w:r>
      <w:r w:rsidRPr="00B65C97">
        <w:rPr>
          <w:rFonts w:asciiTheme="minorHAnsi" w:hAnsiTheme="minorHAnsi" w:cstheme="minorHAnsi"/>
          <w:sz w:val="22"/>
          <w:szCs w:val="22"/>
        </w:rPr>
        <w:t>policy development, program design and implementation</w:t>
      </w:r>
      <w:r w:rsidR="00B346E2">
        <w:rPr>
          <w:rFonts w:asciiTheme="minorHAnsi" w:hAnsiTheme="minorHAnsi" w:cstheme="minorHAnsi"/>
          <w:sz w:val="22"/>
          <w:szCs w:val="22"/>
        </w:rPr>
        <w:t>.</w:t>
      </w:r>
    </w:p>
    <w:p w14:paraId="526681E9" w14:textId="77777777" w:rsidR="00CF3377" w:rsidRPr="00B65C97" w:rsidRDefault="00CF3377" w:rsidP="00CF3377">
      <w:pPr>
        <w:pStyle w:val="ListParagraph"/>
        <w:numPr>
          <w:ilvl w:val="0"/>
          <w:numId w:val="35"/>
        </w:numPr>
        <w:spacing w:before="120" w:afterLines="60" w:after="144"/>
        <w:rPr>
          <w:rFonts w:asciiTheme="minorHAnsi" w:hAnsiTheme="minorHAnsi" w:cstheme="minorHAnsi"/>
          <w:color w:val="000000" w:themeColor="text1"/>
          <w:szCs w:val="22"/>
        </w:rPr>
      </w:pPr>
      <w:r w:rsidRPr="00B65C97">
        <w:rPr>
          <w:rFonts w:asciiTheme="minorHAnsi" w:hAnsiTheme="minorHAnsi" w:cstheme="minorHAnsi"/>
          <w:b/>
          <w:szCs w:val="22"/>
        </w:rPr>
        <w:t>Advocacy:</w:t>
      </w:r>
      <w:r w:rsidRPr="00B65C97">
        <w:rPr>
          <w:rFonts w:asciiTheme="minorHAnsi" w:hAnsiTheme="minorHAnsi" w:cstheme="minorHAnsi"/>
          <w:szCs w:val="22"/>
        </w:rPr>
        <w:t xml:space="preserve"> evidence-based articulation and communication of the value of the department’s work and provide greater confidence for stakeholders and </w:t>
      </w:r>
      <w:r w:rsidRPr="00B65C97">
        <w:rPr>
          <w:rFonts w:asciiTheme="minorHAnsi" w:hAnsiTheme="minorHAnsi" w:cstheme="minorHAnsi"/>
          <w:color w:val="000000" w:themeColor="text1"/>
          <w:szCs w:val="22"/>
        </w:rPr>
        <w:t xml:space="preserve">build trust in government. </w:t>
      </w:r>
    </w:p>
    <w:p w14:paraId="35416DC6" w14:textId="60F066FC" w:rsidR="00C91DAE" w:rsidRDefault="005B0FDB" w:rsidP="00C91DAE">
      <w:pPr>
        <w:spacing w:before="120" w:afterLines="60" w:after="144"/>
      </w:pPr>
      <w:r>
        <w:rPr>
          <w:rFonts w:asciiTheme="minorHAnsi" w:hAnsiTheme="minorHAnsi" w:cstheme="minorHAnsi"/>
          <w:szCs w:val="22"/>
        </w:rPr>
        <w:t>Figure 3</w:t>
      </w:r>
      <w:r w:rsidR="00C91DAE" w:rsidRPr="00EB5967">
        <w:rPr>
          <w:rFonts w:asciiTheme="minorHAnsi" w:hAnsiTheme="minorHAnsi" w:cstheme="minorHAnsi"/>
          <w:szCs w:val="22"/>
        </w:rPr>
        <w:t xml:space="preserve"> </w:t>
      </w:r>
      <w:r w:rsidR="00221A46">
        <w:rPr>
          <w:rFonts w:asciiTheme="minorHAnsi" w:hAnsiTheme="minorHAnsi" w:cstheme="minorHAnsi"/>
          <w:szCs w:val="22"/>
        </w:rPr>
        <w:t xml:space="preserve">illustrates the various </w:t>
      </w:r>
      <w:r w:rsidR="00C91DAE" w:rsidRPr="00EB5967">
        <w:rPr>
          <w:rFonts w:asciiTheme="minorHAnsi" w:hAnsiTheme="minorHAnsi" w:cstheme="minorHAnsi"/>
          <w:szCs w:val="22"/>
        </w:rPr>
        <w:t xml:space="preserve">evidence-generating activities that help </w:t>
      </w:r>
      <w:r w:rsidR="00C91DAE">
        <w:rPr>
          <w:rFonts w:asciiTheme="minorHAnsi" w:hAnsiTheme="minorHAnsi" w:cstheme="minorHAnsi"/>
          <w:szCs w:val="22"/>
        </w:rPr>
        <w:t xml:space="preserve">the department </w:t>
      </w:r>
      <w:r w:rsidR="00C91DAE" w:rsidRPr="00EB5967">
        <w:rPr>
          <w:rFonts w:asciiTheme="minorHAnsi" w:hAnsiTheme="minorHAnsi" w:cstheme="minorHAnsi"/>
          <w:szCs w:val="22"/>
        </w:rPr>
        <w:t xml:space="preserve">to meet high standards of governance, </w:t>
      </w:r>
      <w:proofErr w:type="gramStart"/>
      <w:r w:rsidR="00C91DAE" w:rsidRPr="00EB5967">
        <w:rPr>
          <w:rFonts w:asciiTheme="minorHAnsi" w:hAnsiTheme="minorHAnsi" w:cstheme="minorHAnsi"/>
          <w:szCs w:val="22"/>
        </w:rPr>
        <w:t>performance</w:t>
      </w:r>
      <w:proofErr w:type="gramEnd"/>
      <w:r w:rsidR="00C91DAE" w:rsidRPr="00EB5967">
        <w:rPr>
          <w:rFonts w:asciiTheme="minorHAnsi" w:hAnsiTheme="minorHAnsi" w:cstheme="minorHAnsi"/>
          <w:szCs w:val="22"/>
        </w:rPr>
        <w:t xml:space="preserve"> and accountability. Many </w:t>
      </w:r>
      <w:proofErr w:type="gramStart"/>
      <w:r w:rsidR="00C91DAE" w:rsidRPr="00EB5967">
        <w:rPr>
          <w:rFonts w:asciiTheme="minorHAnsi" w:hAnsiTheme="minorHAnsi" w:cstheme="minorHAnsi"/>
          <w:szCs w:val="22"/>
        </w:rPr>
        <w:t>share</w:t>
      </w:r>
      <w:proofErr w:type="gramEnd"/>
      <w:r w:rsidR="00C91DAE" w:rsidRPr="00EB5967">
        <w:rPr>
          <w:rFonts w:asciiTheme="minorHAnsi" w:hAnsiTheme="minorHAnsi" w:cstheme="minorHAnsi"/>
          <w:szCs w:val="22"/>
        </w:rPr>
        <w:t xml:space="preserve"> similar approaches and analytical techniques, and together, represent the fundamental links in an accountability and assurance chain that is designed to contribute to continuous improvement and better public administration, and to identify better practice approaches.</w:t>
      </w:r>
      <w:r w:rsidR="00C91DAE" w:rsidRPr="00EB5967">
        <w:t xml:space="preserve"> </w:t>
      </w:r>
    </w:p>
    <w:p w14:paraId="1075B30B" w14:textId="1317D7AC" w:rsidR="005B0FDB" w:rsidRPr="00564F20" w:rsidRDefault="005B0FDB" w:rsidP="00C91DAE">
      <w:pPr>
        <w:spacing w:before="120" w:afterLines="60" w:after="144"/>
        <w:rPr>
          <w:rFonts w:asciiTheme="minorHAnsi" w:hAnsiTheme="minorHAnsi" w:cstheme="minorHAnsi"/>
          <w:b/>
          <w:i/>
          <w:color w:val="37818A"/>
          <w:szCs w:val="22"/>
        </w:rPr>
      </w:pPr>
      <w:r>
        <w:rPr>
          <w:rFonts w:asciiTheme="minorHAnsi" w:hAnsiTheme="minorHAnsi" w:cstheme="minorHAnsi"/>
          <w:b/>
          <w:i/>
          <w:color w:val="37818A"/>
          <w:szCs w:val="22"/>
        </w:rPr>
        <w:t xml:space="preserve">Figure 3: </w:t>
      </w:r>
      <w:r w:rsidRPr="00564F20">
        <w:rPr>
          <w:rFonts w:asciiTheme="minorHAnsi" w:hAnsiTheme="minorHAnsi" w:cstheme="minorHAnsi"/>
          <w:b/>
          <w:i/>
          <w:color w:val="37818A"/>
          <w:szCs w:val="22"/>
        </w:rPr>
        <w:t xml:space="preserve">The department’s </w:t>
      </w:r>
      <w:r>
        <w:rPr>
          <w:rFonts w:asciiTheme="minorHAnsi" w:hAnsiTheme="minorHAnsi" w:cstheme="minorHAnsi"/>
          <w:b/>
          <w:i/>
          <w:color w:val="37818A"/>
          <w:szCs w:val="22"/>
        </w:rPr>
        <w:t>evidence gathering activities</w:t>
      </w:r>
    </w:p>
    <w:p w14:paraId="50DC1858" w14:textId="77777777" w:rsidR="00C91DAE" w:rsidRDefault="00C91DAE" w:rsidP="000852CF">
      <w:pPr>
        <w:pStyle w:val="Paragraphtext"/>
        <w:spacing w:before="0" w:after="0"/>
        <w:rPr>
          <w:rFonts w:asciiTheme="minorHAnsi" w:hAnsiTheme="minorHAnsi" w:cstheme="minorHAnsi"/>
          <w:szCs w:val="22"/>
        </w:rPr>
      </w:pPr>
      <w:r>
        <w:rPr>
          <w:noProof/>
        </w:rPr>
        <w:drawing>
          <wp:inline distT="0" distB="0" distL="0" distR="0" wp14:anchorId="464AA514" wp14:editId="1FE83417">
            <wp:extent cx="5916141" cy="2667000"/>
            <wp:effectExtent l="0" t="0" r="0" b="0"/>
            <wp:docPr id="1" name="Picture 1" descr="Figure 3: The department’s evidence gather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The department’s evidence gathering activitie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4912" t="16746" r="-24912" b="15105"/>
                    <a:stretch/>
                  </pic:blipFill>
                  <pic:spPr bwMode="auto">
                    <a:xfrm>
                      <a:off x="0" y="0"/>
                      <a:ext cx="5954434" cy="2684263"/>
                    </a:xfrm>
                    <a:prstGeom prst="rect">
                      <a:avLst/>
                    </a:prstGeom>
                    <a:noFill/>
                    <a:ln>
                      <a:noFill/>
                    </a:ln>
                    <a:extLst>
                      <a:ext uri="{53640926-AAD7-44D8-BBD7-CCE9431645EC}">
                        <a14:shadowObscured xmlns:a14="http://schemas.microsoft.com/office/drawing/2010/main"/>
                      </a:ext>
                    </a:extLst>
                  </pic:spPr>
                </pic:pic>
              </a:graphicData>
            </a:graphic>
          </wp:inline>
        </w:drawing>
      </w:r>
    </w:p>
    <w:p w14:paraId="2E7E81E9" w14:textId="30AC5EB7" w:rsidR="00C91DAE" w:rsidRPr="00564F20" w:rsidRDefault="00C91DAE" w:rsidP="000852CF">
      <w:pPr>
        <w:pStyle w:val="Paragraphtext"/>
        <w:spacing w:before="0"/>
        <w:rPr>
          <w:rFonts w:asciiTheme="minorHAnsi" w:hAnsiTheme="minorHAnsi" w:cstheme="minorHAnsi"/>
          <w:sz w:val="22"/>
          <w:szCs w:val="22"/>
        </w:rPr>
      </w:pPr>
      <w:r w:rsidRPr="00564F20">
        <w:rPr>
          <w:rFonts w:asciiTheme="minorHAnsi" w:hAnsiTheme="minorHAnsi" w:cstheme="minorHAnsi"/>
          <w:sz w:val="22"/>
          <w:szCs w:val="22"/>
        </w:rPr>
        <w:t>Source: Department of Finance</w:t>
      </w:r>
      <w:r w:rsidR="00D87A37" w:rsidRPr="00564F20">
        <w:rPr>
          <w:rFonts w:asciiTheme="minorHAnsi" w:hAnsiTheme="minorHAnsi" w:cstheme="minorHAnsi"/>
          <w:sz w:val="22"/>
          <w:szCs w:val="22"/>
        </w:rPr>
        <w:t xml:space="preserve"> (2021)</w:t>
      </w:r>
      <w:r w:rsidRPr="00564F20">
        <w:rPr>
          <w:rFonts w:asciiTheme="minorHAnsi" w:hAnsiTheme="minorHAnsi" w:cstheme="minorHAnsi"/>
          <w:sz w:val="22"/>
          <w:szCs w:val="22"/>
        </w:rPr>
        <w:t xml:space="preserve">, </w:t>
      </w:r>
      <w:r w:rsidRPr="00564F20">
        <w:rPr>
          <w:rFonts w:asciiTheme="minorHAnsi" w:hAnsiTheme="minorHAnsi" w:cstheme="minorHAnsi"/>
          <w:i/>
          <w:iCs/>
          <w:sz w:val="22"/>
          <w:szCs w:val="22"/>
        </w:rPr>
        <w:t>Evaluation in the Commonwealth</w:t>
      </w:r>
      <w:r w:rsidRPr="00564F20">
        <w:rPr>
          <w:rFonts w:asciiTheme="minorHAnsi" w:hAnsiTheme="minorHAnsi" w:cstheme="minorHAnsi"/>
          <w:sz w:val="22"/>
          <w:szCs w:val="22"/>
        </w:rPr>
        <w:t>, Commonwealth of Australia</w:t>
      </w:r>
    </w:p>
    <w:p w14:paraId="063C00C7" w14:textId="77777777" w:rsidR="00122A61" w:rsidRDefault="00122A61" w:rsidP="00122A61">
      <w:pPr>
        <w:spacing w:before="120" w:afterLines="60" w:after="144"/>
        <w:rPr>
          <w:rFonts w:asciiTheme="minorHAnsi" w:hAnsiTheme="minorHAnsi" w:cstheme="minorHAnsi"/>
          <w:szCs w:val="22"/>
        </w:rPr>
      </w:pPr>
      <w:r w:rsidRPr="003D590B">
        <w:rPr>
          <w:rFonts w:asciiTheme="minorHAnsi" w:hAnsiTheme="minorHAnsi" w:cstheme="minorHAnsi"/>
          <w:szCs w:val="22"/>
        </w:rPr>
        <w:lastRenderedPageBreak/>
        <w:t>I</w:t>
      </w:r>
      <w:r w:rsidRPr="00EB5967">
        <w:rPr>
          <w:rFonts w:asciiTheme="minorHAnsi" w:hAnsiTheme="minorHAnsi" w:cstheme="minorHAnsi"/>
          <w:szCs w:val="22"/>
        </w:rPr>
        <w:t xml:space="preserve">n this context, evaluation is one way of generating evidence to measure and assess the extent to which government programs and activities are achieving their objectives and outcomes. Along with other evidence-generating activities, evaluation supports </w:t>
      </w:r>
      <w:r>
        <w:rPr>
          <w:rFonts w:asciiTheme="minorHAnsi" w:hAnsiTheme="minorHAnsi" w:cstheme="minorHAnsi"/>
          <w:szCs w:val="22"/>
        </w:rPr>
        <w:t xml:space="preserve">the department </w:t>
      </w:r>
      <w:r w:rsidRPr="00EB5967">
        <w:rPr>
          <w:rFonts w:asciiTheme="minorHAnsi" w:hAnsiTheme="minorHAnsi" w:cstheme="minorHAnsi"/>
          <w:szCs w:val="22"/>
        </w:rPr>
        <w:t xml:space="preserve">to meet </w:t>
      </w:r>
      <w:r>
        <w:rPr>
          <w:rFonts w:asciiTheme="minorHAnsi" w:hAnsiTheme="minorHAnsi" w:cstheme="minorHAnsi"/>
          <w:szCs w:val="22"/>
        </w:rPr>
        <w:t xml:space="preserve">its </w:t>
      </w:r>
      <w:r w:rsidRPr="00EB5967">
        <w:rPr>
          <w:rFonts w:asciiTheme="minorHAnsi" w:hAnsiTheme="minorHAnsi" w:cstheme="minorHAnsi"/>
          <w:szCs w:val="22"/>
        </w:rPr>
        <w:t xml:space="preserve">obligations under the </w:t>
      </w:r>
      <w:r w:rsidRPr="00564F20">
        <w:rPr>
          <w:rFonts w:asciiTheme="minorHAnsi" w:hAnsiTheme="minorHAnsi" w:cstheme="minorHAnsi"/>
          <w:szCs w:val="22"/>
        </w:rPr>
        <w:t>PGPA Act</w:t>
      </w:r>
      <w:r w:rsidRPr="00EB5967">
        <w:rPr>
          <w:rFonts w:asciiTheme="minorHAnsi" w:hAnsiTheme="minorHAnsi" w:cstheme="minorHAnsi"/>
          <w:szCs w:val="22"/>
        </w:rPr>
        <w:t xml:space="preserve"> and associated instruments, and related whole-of-government frameworks and policies.</w:t>
      </w:r>
    </w:p>
    <w:p w14:paraId="7AF8026A" w14:textId="77777777" w:rsidR="00122A61" w:rsidRPr="003D590B" w:rsidRDefault="00122A61">
      <w:pPr>
        <w:pStyle w:val="Paragraphtext"/>
        <w:rPr>
          <w:rFonts w:asciiTheme="minorHAnsi" w:hAnsiTheme="minorHAnsi" w:cstheme="minorHAnsi"/>
          <w:b/>
          <w:color w:val="358189" w:themeColor="accent2"/>
          <w:sz w:val="22"/>
          <w:szCs w:val="22"/>
        </w:rPr>
      </w:pPr>
    </w:p>
    <w:p w14:paraId="1F7F2CD4" w14:textId="46F68924" w:rsidR="00405253" w:rsidRPr="00B65C97" w:rsidRDefault="00CF3377">
      <w:pPr>
        <w:pStyle w:val="Paragraphtext"/>
        <w:rPr>
          <w:rFonts w:asciiTheme="minorHAnsi" w:hAnsiTheme="minorHAnsi" w:cstheme="minorHAnsi"/>
          <w:b/>
          <w:color w:val="358189" w:themeColor="accent2"/>
          <w:sz w:val="28"/>
        </w:rPr>
      </w:pPr>
      <w:r w:rsidRPr="00B65C97">
        <w:rPr>
          <w:rFonts w:asciiTheme="minorHAnsi" w:hAnsiTheme="minorHAnsi" w:cstheme="minorHAnsi"/>
          <w:b/>
          <w:color w:val="358189" w:themeColor="accent2"/>
          <w:sz w:val="28"/>
        </w:rPr>
        <w:t>What should be evaluated?</w:t>
      </w:r>
      <w:r w:rsidR="00405253" w:rsidRPr="00B65C97">
        <w:rPr>
          <w:rFonts w:asciiTheme="minorHAnsi" w:hAnsiTheme="minorHAnsi" w:cstheme="minorHAnsi"/>
          <w:b/>
          <w:color w:val="358189" w:themeColor="accent2"/>
          <w:sz w:val="28"/>
        </w:rPr>
        <w:t xml:space="preserve"> </w:t>
      </w:r>
    </w:p>
    <w:p w14:paraId="692FC7A0" w14:textId="34A68670" w:rsidR="00CF3377" w:rsidRPr="00B65C97" w:rsidRDefault="0013044F" w:rsidP="008C2754">
      <w:pPr>
        <w:pStyle w:val="Paragraphtext"/>
        <w:rPr>
          <w:rFonts w:asciiTheme="minorHAnsi" w:hAnsiTheme="minorHAnsi" w:cstheme="minorHAnsi"/>
          <w:sz w:val="22"/>
          <w:szCs w:val="22"/>
        </w:rPr>
      </w:pPr>
      <w:r w:rsidRPr="00B65C97">
        <w:rPr>
          <w:rFonts w:asciiTheme="minorHAnsi" w:hAnsiTheme="minorHAnsi" w:cstheme="minorHAnsi"/>
          <w:sz w:val="22"/>
          <w:szCs w:val="22"/>
        </w:rPr>
        <w:t>A</w:t>
      </w:r>
      <w:r>
        <w:rPr>
          <w:rFonts w:asciiTheme="minorHAnsi" w:hAnsiTheme="minorHAnsi" w:cstheme="minorHAnsi"/>
          <w:sz w:val="22"/>
          <w:szCs w:val="22"/>
        </w:rPr>
        <w:t xml:space="preserve">ny </w:t>
      </w:r>
      <w:r w:rsidR="00CF3377" w:rsidRPr="00B65C97">
        <w:rPr>
          <w:rFonts w:asciiTheme="minorHAnsi" w:hAnsiTheme="minorHAnsi" w:cstheme="minorHAnsi"/>
          <w:sz w:val="22"/>
          <w:szCs w:val="22"/>
        </w:rPr>
        <w:t xml:space="preserve">new </w:t>
      </w:r>
      <w:r>
        <w:rPr>
          <w:rFonts w:asciiTheme="minorHAnsi" w:hAnsiTheme="minorHAnsi" w:cstheme="minorHAnsi"/>
          <w:sz w:val="22"/>
          <w:szCs w:val="22"/>
        </w:rPr>
        <w:t>or</w:t>
      </w:r>
      <w:r w:rsidRPr="00B65C97">
        <w:rPr>
          <w:rFonts w:asciiTheme="minorHAnsi" w:hAnsiTheme="minorHAnsi" w:cstheme="minorHAnsi"/>
          <w:sz w:val="22"/>
          <w:szCs w:val="22"/>
        </w:rPr>
        <w:t xml:space="preserve"> </w:t>
      </w:r>
      <w:r w:rsidR="00CF3377" w:rsidRPr="00B65C97">
        <w:rPr>
          <w:rFonts w:asciiTheme="minorHAnsi" w:hAnsiTheme="minorHAnsi" w:cstheme="minorHAnsi"/>
          <w:sz w:val="22"/>
          <w:szCs w:val="22"/>
        </w:rPr>
        <w:t>existing</w:t>
      </w:r>
      <w:r w:rsidR="001D707E" w:rsidRPr="001D707E">
        <w:t xml:space="preserve"> </w:t>
      </w:r>
      <w:r w:rsidR="001D707E" w:rsidRPr="001D707E">
        <w:rPr>
          <w:rFonts w:asciiTheme="minorHAnsi" w:hAnsiTheme="minorHAnsi" w:cstheme="minorHAnsi"/>
          <w:sz w:val="22"/>
          <w:szCs w:val="22"/>
        </w:rPr>
        <w:t>policy, program, project or strategy or any types of intervention</w:t>
      </w:r>
      <w:r w:rsidR="00CF3377" w:rsidRPr="00B65C97">
        <w:rPr>
          <w:rFonts w:asciiTheme="minorHAnsi" w:hAnsiTheme="minorHAnsi" w:cstheme="minorHAnsi"/>
          <w:sz w:val="22"/>
          <w:szCs w:val="22"/>
        </w:rPr>
        <w:t xml:space="preserve">, including those focusing on corporate services delivery, are in scope for the Strategy. </w:t>
      </w:r>
    </w:p>
    <w:p w14:paraId="4B66ED28" w14:textId="7CF3ACA6" w:rsidR="00E717AA" w:rsidRDefault="00CF3377" w:rsidP="00405253">
      <w:pPr>
        <w:pStyle w:val="Paragraphtext"/>
        <w:rPr>
          <w:rFonts w:asciiTheme="minorHAnsi" w:hAnsiTheme="minorHAnsi" w:cstheme="minorHAnsi"/>
          <w:color w:val="auto"/>
          <w:sz w:val="22"/>
          <w:szCs w:val="22"/>
        </w:rPr>
      </w:pPr>
      <w:r w:rsidRPr="00564F20">
        <w:rPr>
          <w:rFonts w:asciiTheme="minorHAnsi" w:hAnsiTheme="minorHAnsi" w:cstheme="minorHAnsi"/>
          <w:szCs w:val="22"/>
        </w:rPr>
        <w:t>H</w:t>
      </w:r>
      <w:r w:rsidR="00405253" w:rsidRPr="00564F20">
        <w:rPr>
          <w:rFonts w:asciiTheme="minorHAnsi" w:hAnsiTheme="minorHAnsi" w:cstheme="minorHAnsi"/>
          <w:szCs w:val="22"/>
        </w:rPr>
        <w:t xml:space="preserve">ealth technology and other </w:t>
      </w:r>
      <w:r w:rsidRPr="00564F20">
        <w:rPr>
          <w:rFonts w:asciiTheme="minorHAnsi" w:hAnsiTheme="minorHAnsi" w:cstheme="minorHAnsi"/>
          <w:szCs w:val="22"/>
        </w:rPr>
        <w:t xml:space="preserve">technical </w:t>
      </w:r>
      <w:r w:rsidR="00405253" w:rsidRPr="00564F20">
        <w:rPr>
          <w:rFonts w:asciiTheme="minorHAnsi" w:hAnsiTheme="minorHAnsi" w:cstheme="minorHAnsi"/>
          <w:szCs w:val="22"/>
        </w:rPr>
        <w:t xml:space="preserve">regulatory assessments </w:t>
      </w:r>
      <w:r w:rsidRPr="00564F20">
        <w:rPr>
          <w:rFonts w:asciiTheme="minorHAnsi" w:hAnsiTheme="minorHAnsi" w:cstheme="minorHAnsi"/>
          <w:szCs w:val="22"/>
        </w:rPr>
        <w:t xml:space="preserve">(such as those involving </w:t>
      </w:r>
      <w:r w:rsidR="00405253" w:rsidRPr="00564F20">
        <w:rPr>
          <w:rFonts w:asciiTheme="minorHAnsi" w:hAnsiTheme="minorHAnsi" w:cstheme="minorHAnsi"/>
          <w:szCs w:val="22"/>
        </w:rPr>
        <w:t>pharmaceuticals, medical devices</w:t>
      </w:r>
      <w:r w:rsidRPr="00564F20">
        <w:rPr>
          <w:rFonts w:asciiTheme="minorHAnsi" w:hAnsiTheme="minorHAnsi" w:cstheme="minorHAnsi"/>
          <w:szCs w:val="22"/>
        </w:rPr>
        <w:t>,</w:t>
      </w:r>
      <w:r w:rsidR="00405253" w:rsidRPr="00564F20">
        <w:rPr>
          <w:rFonts w:asciiTheme="minorHAnsi" w:hAnsiTheme="minorHAnsi" w:cstheme="minorHAnsi"/>
          <w:szCs w:val="22"/>
        </w:rPr>
        <w:t xml:space="preserve"> medical </w:t>
      </w:r>
      <w:proofErr w:type="gramStart"/>
      <w:r w:rsidR="00405253" w:rsidRPr="00564F20">
        <w:rPr>
          <w:rFonts w:asciiTheme="minorHAnsi" w:hAnsiTheme="minorHAnsi" w:cstheme="minorHAnsi"/>
          <w:szCs w:val="22"/>
        </w:rPr>
        <w:t>procedures</w:t>
      </w:r>
      <w:proofErr w:type="gramEnd"/>
      <w:r w:rsidRPr="00564F20">
        <w:rPr>
          <w:rFonts w:asciiTheme="minorHAnsi" w:hAnsiTheme="minorHAnsi" w:cstheme="minorHAnsi"/>
          <w:szCs w:val="22"/>
        </w:rPr>
        <w:t xml:space="preserve"> and therapeutic assessments)</w:t>
      </w:r>
      <w:r w:rsidR="00405253" w:rsidRPr="00564F20">
        <w:rPr>
          <w:rFonts w:asciiTheme="minorHAnsi" w:hAnsiTheme="minorHAnsi" w:cstheme="minorHAnsi"/>
          <w:szCs w:val="22"/>
        </w:rPr>
        <w:t xml:space="preserve"> </w:t>
      </w:r>
      <w:r w:rsidR="00B65C97" w:rsidRPr="00564F20">
        <w:rPr>
          <w:rFonts w:asciiTheme="minorHAnsi" w:hAnsiTheme="minorHAnsi" w:cstheme="minorHAnsi"/>
          <w:szCs w:val="22"/>
        </w:rPr>
        <w:t>are</w:t>
      </w:r>
      <w:r w:rsidR="00405253" w:rsidRPr="00564F20">
        <w:rPr>
          <w:rFonts w:asciiTheme="minorHAnsi" w:hAnsiTheme="minorHAnsi" w:cstheme="minorHAnsi"/>
          <w:szCs w:val="22"/>
        </w:rPr>
        <w:t xml:space="preserve"> outside the scope of this Strategy</w:t>
      </w:r>
      <w:r w:rsidR="00425E68" w:rsidRPr="00564F20">
        <w:rPr>
          <w:rFonts w:asciiTheme="minorHAnsi" w:hAnsiTheme="minorHAnsi" w:cstheme="minorHAnsi"/>
          <w:szCs w:val="22"/>
        </w:rPr>
        <w:t xml:space="preserve"> as evaluation in these areas is governed under a Statutory Office Holder.</w:t>
      </w:r>
    </w:p>
    <w:p w14:paraId="723CC01B" w14:textId="77777777" w:rsidR="00105B4B" w:rsidRPr="003D590B" w:rsidRDefault="00105B4B" w:rsidP="009807D9">
      <w:pPr>
        <w:pStyle w:val="Paragraphtext"/>
        <w:rPr>
          <w:rFonts w:asciiTheme="minorHAnsi" w:hAnsiTheme="minorHAnsi" w:cstheme="minorHAnsi"/>
          <w:b/>
          <w:color w:val="358189" w:themeColor="accent2"/>
          <w:sz w:val="22"/>
          <w:szCs w:val="22"/>
        </w:rPr>
      </w:pPr>
    </w:p>
    <w:p w14:paraId="648E7495" w14:textId="14ADFFD8" w:rsidR="009807D9" w:rsidRPr="00B65C97" w:rsidRDefault="009807D9" w:rsidP="009807D9">
      <w:pPr>
        <w:pStyle w:val="Paragraphtext"/>
        <w:rPr>
          <w:rFonts w:asciiTheme="minorHAnsi" w:hAnsiTheme="minorHAnsi" w:cstheme="minorHAnsi"/>
          <w:b/>
          <w:color w:val="358189" w:themeColor="accent2"/>
          <w:sz w:val="28"/>
        </w:rPr>
      </w:pPr>
      <w:r>
        <w:rPr>
          <w:rFonts w:asciiTheme="minorHAnsi" w:hAnsiTheme="minorHAnsi" w:cstheme="minorHAnsi"/>
          <w:b/>
          <w:color w:val="358189" w:themeColor="accent2"/>
          <w:sz w:val="28"/>
        </w:rPr>
        <w:t xml:space="preserve">Types of evaluation </w:t>
      </w:r>
      <w:r w:rsidRPr="00B65C97">
        <w:rPr>
          <w:rFonts w:asciiTheme="minorHAnsi" w:hAnsiTheme="minorHAnsi" w:cstheme="minorHAnsi"/>
          <w:b/>
          <w:color w:val="358189" w:themeColor="accent2"/>
          <w:sz w:val="28"/>
        </w:rPr>
        <w:t xml:space="preserve"> </w:t>
      </w:r>
    </w:p>
    <w:p w14:paraId="37031BDD" w14:textId="77777777" w:rsidR="009807D9" w:rsidRPr="009807D9" w:rsidRDefault="009807D9" w:rsidP="009807D9">
      <w:pPr>
        <w:pStyle w:val="Paragraphtext"/>
        <w:rPr>
          <w:rFonts w:asciiTheme="minorHAnsi" w:hAnsiTheme="minorHAnsi" w:cstheme="minorHAnsi"/>
          <w:sz w:val="22"/>
          <w:szCs w:val="22"/>
        </w:rPr>
      </w:pPr>
      <w:r w:rsidRPr="009807D9">
        <w:rPr>
          <w:rFonts w:asciiTheme="minorHAnsi" w:hAnsiTheme="minorHAnsi" w:cstheme="minorHAnsi"/>
          <w:sz w:val="22"/>
          <w:szCs w:val="22"/>
        </w:rPr>
        <w:t>Evaluation can occur at different times over the life of a policy or program and take different forms depending on the focus of evaluation and the evaluation questions to be answered. Three main forms of evaluation address different aspects of a policy or program: process, outcome, and economic evaluation.</w:t>
      </w:r>
    </w:p>
    <w:p w14:paraId="78C974B7" w14:textId="20DB9338" w:rsidR="009807D9" w:rsidRDefault="009807D9" w:rsidP="009807D9">
      <w:pPr>
        <w:pStyle w:val="Paragraphtext"/>
        <w:rPr>
          <w:rFonts w:asciiTheme="minorHAnsi" w:hAnsiTheme="minorHAnsi" w:cstheme="minorHAnsi"/>
          <w:sz w:val="22"/>
          <w:szCs w:val="22"/>
        </w:rPr>
      </w:pPr>
      <w:r w:rsidRPr="009807D9">
        <w:rPr>
          <w:rFonts w:asciiTheme="minorHAnsi" w:hAnsiTheme="minorHAnsi" w:cstheme="minorHAnsi"/>
          <w:sz w:val="22"/>
          <w:szCs w:val="22"/>
        </w:rPr>
        <w:t>All three forms may be addressed through both formative evaluation (looking forwards) to identify opportunities for improvement and summative evaluation (looking back) to determine what has been achieved.</w:t>
      </w:r>
    </w:p>
    <w:p w14:paraId="1B44E95D" w14:textId="6448A654" w:rsidR="009807D9" w:rsidRPr="009807D9" w:rsidRDefault="009807D9" w:rsidP="009807D9">
      <w:pPr>
        <w:pStyle w:val="Paragraphtext"/>
        <w:rPr>
          <w:rFonts w:asciiTheme="minorHAnsi" w:hAnsiTheme="minorHAnsi" w:cstheme="minorHAnsi"/>
          <w:sz w:val="22"/>
          <w:szCs w:val="22"/>
        </w:rPr>
      </w:pPr>
      <w:r w:rsidRPr="009807D9">
        <w:rPr>
          <w:rFonts w:asciiTheme="minorHAnsi" w:hAnsiTheme="minorHAnsi" w:cstheme="minorHAnsi"/>
          <w:sz w:val="22"/>
          <w:szCs w:val="22"/>
        </w:rPr>
        <w:t>What type of evaluation is best suited in a particular situation depends on a combination of:</w:t>
      </w:r>
    </w:p>
    <w:p w14:paraId="07556CAE" w14:textId="01890659" w:rsidR="009807D9" w:rsidRPr="005E3891" w:rsidRDefault="009807D9" w:rsidP="005E3891">
      <w:pPr>
        <w:pStyle w:val="ListBullet"/>
        <w:numPr>
          <w:ilvl w:val="0"/>
          <w:numId w:val="34"/>
        </w:numPr>
        <w:ind w:left="360"/>
        <w:rPr>
          <w:rFonts w:asciiTheme="minorHAnsi" w:hAnsiTheme="minorHAnsi" w:cstheme="minorHAnsi"/>
          <w:sz w:val="22"/>
          <w:szCs w:val="22"/>
        </w:rPr>
      </w:pPr>
      <w:r w:rsidRPr="005E3891">
        <w:rPr>
          <w:rFonts w:asciiTheme="minorHAnsi" w:hAnsiTheme="minorHAnsi" w:cstheme="minorHAnsi"/>
          <w:sz w:val="22"/>
          <w:szCs w:val="22"/>
        </w:rPr>
        <w:t>the stage and maturity of the program or activity</w:t>
      </w:r>
    </w:p>
    <w:p w14:paraId="733709CD" w14:textId="00C52EE5" w:rsidR="009807D9" w:rsidRPr="005E3891" w:rsidRDefault="009807D9" w:rsidP="005E3891">
      <w:pPr>
        <w:pStyle w:val="ListBullet"/>
        <w:numPr>
          <w:ilvl w:val="0"/>
          <w:numId w:val="34"/>
        </w:numPr>
        <w:ind w:left="360"/>
        <w:rPr>
          <w:rFonts w:asciiTheme="minorHAnsi" w:hAnsiTheme="minorHAnsi" w:cstheme="minorHAnsi"/>
          <w:sz w:val="22"/>
          <w:szCs w:val="22"/>
        </w:rPr>
      </w:pPr>
      <w:r w:rsidRPr="005E3891">
        <w:rPr>
          <w:rFonts w:asciiTheme="minorHAnsi" w:hAnsiTheme="minorHAnsi" w:cstheme="minorHAnsi"/>
          <w:sz w:val="22"/>
          <w:szCs w:val="22"/>
        </w:rPr>
        <w:t>the issue or question being investigated</w:t>
      </w:r>
    </w:p>
    <w:p w14:paraId="0CB741E2" w14:textId="27A4C144" w:rsidR="005E3891" w:rsidRPr="005E3891" w:rsidRDefault="009807D9" w:rsidP="005E3891">
      <w:pPr>
        <w:pStyle w:val="ListBullet"/>
        <w:numPr>
          <w:ilvl w:val="0"/>
          <w:numId w:val="34"/>
        </w:numPr>
        <w:ind w:left="360"/>
        <w:rPr>
          <w:rFonts w:asciiTheme="minorHAnsi" w:hAnsiTheme="minorHAnsi" w:cstheme="minorHAnsi"/>
          <w:sz w:val="22"/>
          <w:szCs w:val="22"/>
        </w:rPr>
      </w:pPr>
      <w:r w:rsidRPr="005E3891">
        <w:rPr>
          <w:rFonts w:asciiTheme="minorHAnsi" w:hAnsiTheme="minorHAnsi" w:cstheme="minorHAnsi"/>
          <w:sz w:val="22"/>
          <w:szCs w:val="22"/>
        </w:rPr>
        <w:t>what data or information is already available</w:t>
      </w:r>
    </w:p>
    <w:p w14:paraId="4672E4C0" w14:textId="32C6B916" w:rsidR="009807D9" w:rsidRPr="005E3891" w:rsidRDefault="009807D9" w:rsidP="005E3891">
      <w:pPr>
        <w:pStyle w:val="ListBullet"/>
        <w:numPr>
          <w:ilvl w:val="0"/>
          <w:numId w:val="34"/>
        </w:numPr>
        <w:ind w:left="360"/>
        <w:rPr>
          <w:rFonts w:asciiTheme="minorHAnsi" w:hAnsiTheme="minorHAnsi" w:cstheme="minorHAnsi"/>
          <w:sz w:val="22"/>
          <w:szCs w:val="22"/>
        </w:rPr>
      </w:pPr>
      <w:r w:rsidRPr="005E3891">
        <w:rPr>
          <w:rFonts w:asciiTheme="minorHAnsi" w:hAnsiTheme="minorHAnsi" w:cstheme="minorHAnsi"/>
          <w:sz w:val="22"/>
          <w:szCs w:val="22"/>
        </w:rPr>
        <w:t>the timing of when evaluation findings are required to support continuous improvement, accountability or decision-making.</w:t>
      </w:r>
    </w:p>
    <w:p w14:paraId="45D0EF68" w14:textId="310F6E32" w:rsidR="0078218B" w:rsidRDefault="009807D9" w:rsidP="0078218B">
      <w:pPr>
        <w:pStyle w:val="Paragraphtext"/>
        <w:rPr>
          <w:rFonts w:asciiTheme="minorHAnsi" w:hAnsiTheme="minorHAnsi" w:cstheme="minorHAnsi"/>
          <w:sz w:val="22"/>
          <w:szCs w:val="22"/>
        </w:rPr>
      </w:pPr>
      <w:r w:rsidRPr="009807D9">
        <w:rPr>
          <w:rFonts w:asciiTheme="minorHAnsi" w:hAnsiTheme="minorHAnsi" w:cstheme="minorHAnsi"/>
          <w:sz w:val="22"/>
          <w:szCs w:val="22"/>
        </w:rPr>
        <w:t>It is important to select tools and approaches that are fit for purpose based on the specific program or activity and the purpose of the evaluation.</w:t>
      </w:r>
    </w:p>
    <w:p w14:paraId="38034610" w14:textId="77777777" w:rsidR="0078218B" w:rsidRDefault="0078218B">
      <w:pPr>
        <w:rPr>
          <w:rFonts w:asciiTheme="minorHAnsi" w:hAnsiTheme="minorHAnsi" w:cstheme="minorHAnsi"/>
          <w:color w:val="000000" w:themeColor="text1"/>
          <w:szCs w:val="22"/>
        </w:rPr>
      </w:pPr>
      <w:r>
        <w:rPr>
          <w:rFonts w:asciiTheme="minorHAnsi" w:hAnsiTheme="minorHAnsi" w:cstheme="minorHAnsi"/>
          <w:szCs w:val="22"/>
        </w:rPr>
        <w:br w:type="page"/>
      </w:r>
    </w:p>
    <w:p w14:paraId="52AC1DDC" w14:textId="40BD2BE1" w:rsidR="00C62CEA" w:rsidRPr="00B65C97" w:rsidRDefault="00C62CEA" w:rsidP="00C62CEA">
      <w:pPr>
        <w:pStyle w:val="Heading1"/>
        <w:spacing w:before="0"/>
        <w:rPr>
          <w:rFonts w:asciiTheme="minorHAnsi" w:hAnsiTheme="minorHAnsi"/>
          <w:color w:val="37818A"/>
        </w:rPr>
      </w:pPr>
      <w:bookmarkStart w:id="11" w:name="_Toc140233982"/>
      <w:r w:rsidRPr="00B65C97">
        <w:rPr>
          <w:rFonts w:asciiTheme="minorHAnsi" w:hAnsiTheme="minorHAnsi"/>
          <w:color w:val="37818A"/>
        </w:rPr>
        <w:lastRenderedPageBreak/>
        <w:t>Evaluation principles</w:t>
      </w:r>
      <w:bookmarkEnd w:id="11"/>
      <w:r w:rsidRPr="00B65C97">
        <w:rPr>
          <w:rFonts w:asciiTheme="minorHAnsi" w:hAnsiTheme="minorHAnsi"/>
          <w:color w:val="37818A"/>
        </w:rPr>
        <w:t xml:space="preserve"> </w:t>
      </w:r>
    </w:p>
    <w:p w14:paraId="152F928D" w14:textId="55D0A9C1" w:rsidR="00361A56" w:rsidRPr="00361A56" w:rsidRDefault="00C62CEA" w:rsidP="00361A56">
      <w:pPr>
        <w:rPr>
          <w:rFonts w:asciiTheme="minorHAnsi" w:hAnsiTheme="minorHAnsi" w:cstheme="minorHAnsi"/>
        </w:rPr>
      </w:pPr>
      <w:r w:rsidRPr="00B65C97">
        <w:rPr>
          <w:rFonts w:asciiTheme="minorHAnsi" w:hAnsiTheme="minorHAnsi" w:cstheme="minorHAnsi"/>
        </w:rPr>
        <w:t xml:space="preserve">To ensure evaluations are </w:t>
      </w:r>
      <w:r w:rsidR="00122A61">
        <w:rPr>
          <w:rFonts w:asciiTheme="minorHAnsi" w:hAnsiTheme="minorHAnsi" w:cstheme="minorHAnsi"/>
        </w:rPr>
        <w:t xml:space="preserve">both credible and useful </w:t>
      </w:r>
      <w:r w:rsidRPr="00B65C97">
        <w:rPr>
          <w:rFonts w:asciiTheme="minorHAnsi" w:hAnsiTheme="minorHAnsi" w:cstheme="minorHAnsi"/>
        </w:rPr>
        <w:t xml:space="preserve">to the department’s decision-makers, it is essential that evaluations are conducted to a consistently high standard. Table 1 outlines the key principles that </w:t>
      </w:r>
      <w:r w:rsidR="00C14E12">
        <w:rPr>
          <w:rFonts w:asciiTheme="minorHAnsi" w:hAnsiTheme="minorHAnsi" w:cstheme="minorHAnsi"/>
        </w:rPr>
        <w:t xml:space="preserve">should </w:t>
      </w:r>
      <w:r w:rsidRPr="00B65C97">
        <w:rPr>
          <w:rFonts w:asciiTheme="minorHAnsi" w:hAnsiTheme="minorHAnsi" w:cstheme="minorHAnsi"/>
        </w:rPr>
        <w:t>apply to evaluations conducted by the department.</w:t>
      </w:r>
      <w:r w:rsidR="00361A56">
        <w:rPr>
          <w:rFonts w:asciiTheme="minorHAnsi" w:hAnsiTheme="minorHAnsi" w:cstheme="minorHAnsi"/>
        </w:rPr>
        <w:t xml:space="preserve"> These principles are </w:t>
      </w:r>
      <w:r w:rsidR="00361A56" w:rsidRPr="00361A56">
        <w:rPr>
          <w:rFonts w:asciiTheme="minorHAnsi" w:hAnsiTheme="minorHAnsi" w:cstheme="minorHAnsi"/>
        </w:rPr>
        <w:t xml:space="preserve">consistent with the new Commonwealth Evaluation Policy. </w:t>
      </w:r>
    </w:p>
    <w:p w14:paraId="7902F1F2" w14:textId="77777777" w:rsidR="001E0237" w:rsidRPr="00B65C97" w:rsidRDefault="001E0237" w:rsidP="00C62CEA">
      <w:pPr>
        <w:rPr>
          <w:rFonts w:asciiTheme="minorHAnsi" w:hAnsiTheme="minorHAnsi" w:cstheme="minorHAnsi"/>
        </w:rPr>
      </w:pPr>
    </w:p>
    <w:p w14:paraId="6037B0CA" w14:textId="2FE3A0EB" w:rsidR="00C62CEA" w:rsidRPr="00B65C97" w:rsidRDefault="00C62CEA">
      <w:pPr>
        <w:rPr>
          <w:rFonts w:asciiTheme="minorHAnsi" w:hAnsiTheme="minorHAnsi" w:cstheme="minorHAnsi"/>
          <w:b/>
          <w:i/>
          <w:color w:val="358189" w:themeColor="accent2"/>
          <w:szCs w:val="22"/>
        </w:rPr>
      </w:pPr>
      <w:r w:rsidRPr="00B65C97">
        <w:rPr>
          <w:rFonts w:asciiTheme="minorHAnsi" w:hAnsiTheme="minorHAnsi" w:cstheme="minorHAnsi"/>
          <w:b/>
          <w:i/>
          <w:color w:val="358189" w:themeColor="accent2"/>
          <w:szCs w:val="22"/>
        </w:rPr>
        <w:t xml:space="preserve">Table 1: Evaluation </w:t>
      </w:r>
      <w:r w:rsidR="004E697D">
        <w:rPr>
          <w:rFonts w:asciiTheme="minorHAnsi" w:hAnsiTheme="minorHAnsi" w:cstheme="minorHAnsi"/>
          <w:b/>
          <w:i/>
          <w:color w:val="358189" w:themeColor="accent2"/>
          <w:szCs w:val="22"/>
        </w:rPr>
        <w:t>p</w:t>
      </w:r>
      <w:r w:rsidRPr="00B65C97">
        <w:rPr>
          <w:rFonts w:asciiTheme="minorHAnsi" w:hAnsiTheme="minorHAnsi" w:cstheme="minorHAnsi"/>
          <w:b/>
          <w:i/>
          <w:color w:val="358189" w:themeColor="accent2"/>
          <w:szCs w:val="22"/>
        </w:rPr>
        <w:t xml:space="preserve">rinciples </w:t>
      </w:r>
    </w:p>
    <w:tbl>
      <w:tblPr>
        <w:tblW w:w="9781" w:type="dxa"/>
        <w:tblInd w:w="-10" w:type="dxa"/>
        <w:tblBorders>
          <w:top w:val="single" w:sz="8" w:space="0" w:color="358189"/>
          <w:left w:val="single" w:sz="8" w:space="0" w:color="358189"/>
          <w:bottom w:val="single" w:sz="8" w:space="0" w:color="358189"/>
          <w:right w:val="single" w:sz="8" w:space="0" w:color="358189"/>
          <w:insideH w:val="single" w:sz="8" w:space="0" w:color="358189"/>
          <w:insideV w:val="single" w:sz="8" w:space="0" w:color="358189"/>
        </w:tblBorders>
        <w:shd w:val="clear" w:color="auto" w:fill="FFFFFF"/>
        <w:tblCellMar>
          <w:left w:w="0" w:type="dxa"/>
          <w:right w:w="0" w:type="dxa"/>
        </w:tblCellMar>
        <w:tblLook w:val="04A0" w:firstRow="1" w:lastRow="0" w:firstColumn="1" w:lastColumn="0" w:noHBand="0" w:noVBand="1"/>
      </w:tblPr>
      <w:tblGrid>
        <w:gridCol w:w="1608"/>
        <w:gridCol w:w="8173"/>
      </w:tblGrid>
      <w:tr w:rsidR="00C62CEA" w:rsidRPr="00BF2E02" w14:paraId="59F3B190" w14:textId="77777777" w:rsidTr="008865D7">
        <w:tc>
          <w:tcPr>
            <w:tcW w:w="1608" w:type="dxa"/>
            <w:shd w:val="clear" w:color="auto" w:fill="009999"/>
            <w:tcMar>
              <w:top w:w="0" w:type="dxa"/>
              <w:left w:w="108" w:type="dxa"/>
              <w:bottom w:w="0" w:type="dxa"/>
              <w:right w:w="108" w:type="dxa"/>
            </w:tcMar>
          </w:tcPr>
          <w:p w14:paraId="53860C86" w14:textId="2EC0F81B" w:rsidR="00C62CEA" w:rsidRPr="002D4620" w:rsidRDefault="00C62CEA" w:rsidP="00B65C97">
            <w:pPr>
              <w:spacing w:before="120" w:after="120"/>
              <w:rPr>
                <w:rStyle w:val="Strong"/>
                <w:rFonts w:asciiTheme="minorHAnsi" w:eastAsiaTheme="minorHAnsi" w:hAnsiTheme="minorHAnsi" w:cstheme="minorHAnsi"/>
                <w:color w:val="FFFFFF" w:themeColor="background1"/>
              </w:rPr>
            </w:pPr>
            <w:r w:rsidRPr="002D4620">
              <w:rPr>
                <w:rStyle w:val="Strong"/>
                <w:rFonts w:asciiTheme="minorHAnsi" w:eastAsiaTheme="minorHAnsi" w:hAnsiTheme="minorHAnsi" w:cstheme="minorHAnsi"/>
                <w:color w:val="FFFFFF" w:themeColor="background1"/>
              </w:rPr>
              <w:t>Evaluations should be</w:t>
            </w:r>
            <w:r w:rsidR="00BD5D43" w:rsidRPr="002D4620">
              <w:rPr>
                <w:rStyle w:val="Strong"/>
                <w:rFonts w:asciiTheme="minorHAnsi" w:eastAsiaTheme="minorHAnsi" w:hAnsiTheme="minorHAnsi" w:cstheme="minorHAnsi"/>
                <w:color w:val="FFFFFF" w:themeColor="background1"/>
              </w:rPr>
              <w:t>...</w:t>
            </w:r>
          </w:p>
        </w:tc>
        <w:tc>
          <w:tcPr>
            <w:tcW w:w="8173" w:type="dxa"/>
            <w:shd w:val="clear" w:color="auto" w:fill="009999"/>
            <w:tcMar>
              <w:top w:w="0" w:type="dxa"/>
              <w:left w:w="108" w:type="dxa"/>
              <w:bottom w:w="0" w:type="dxa"/>
              <w:right w:w="108" w:type="dxa"/>
            </w:tcMar>
          </w:tcPr>
          <w:p w14:paraId="589B5409" w14:textId="77777777" w:rsidR="00C62CEA" w:rsidRPr="002D4620" w:rsidRDefault="00C62CEA" w:rsidP="00B65C97">
            <w:pPr>
              <w:spacing w:before="120" w:after="120"/>
              <w:jc w:val="center"/>
              <w:rPr>
                <w:rStyle w:val="Strong"/>
                <w:rFonts w:asciiTheme="minorHAnsi" w:eastAsiaTheme="minorHAnsi" w:hAnsiTheme="minorHAnsi" w:cstheme="minorHAnsi"/>
                <w:color w:val="FFFFFF" w:themeColor="background1"/>
              </w:rPr>
            </w:pPr>
            <w:r w:rsidRPr="002D4620">
              <w:rPr>
                <w:rStyle w:val="Strong"/>
                <w:rFonts w:asciiTheme="minorHAnsi" w:eastAsiaTheme="minorHAnsi" w:hAnsiTheme="minorHAnsi" w:cstheme="minorHAnsi"/>
                <w:color w:val="FFFFFF" w:themeColor="background1"/>
              </w:rPr>
              <w:t>Characteristics of the evaluation principles</w:t>
            </w:r>
          </w:p>
        </w:tc>
      </w:tr>
      <w:tr w:rsidR="00361A56" w:rsidRPr="00BF2E02" w14:paraId="3FA271D8" w14:textId="77777777" w:rsidTr="008865D7">
        <w:tc>
          <w:tcPr>
            <w:tcW w:w="1608" w:type="dxa"/>
            <w:shd w:val="clear" w:color="auto" w:fill="FFFFFF"/>
            <w:tcMar>
              <w:top w:w="0" w:type="dxa"/>
              <w:left w:w="108" w:type="dxa"/>
              <w:bottom w:w="0" w:type="dxa"/>
              <w:right w:w="108" w:type="dxa"/>
            </w:tcMar>
          </w:tcPr>
          <w:p w14:paraId="2415B701" w14:textId="454E4484" w:rsidR="00361A56" w:rsidRPr="002D4620" w:rsidRDefault="00361A56">
            <w:pPr>
              <w:spacing w:before="120" w:after="120"/>
              <w:rPr>
                <w:rStyle w:val="Strong"/>
                <w:rFonts w:asciiTheme="minorHAnsi" w:eastAsiaTheme="minorHAnsi" w:hAnsiTheme="minorHAnsi" w:cstheme="minorHAnsi"/>
              </w:rPr>
            </w:pPr>
            <w:r>
              <w:rPr>
                <w:rStyle w:val="Strong"/>
                <w:rFonts w:asciiTheme="minorHAnsi" w:eastAsiaTheme="minorHAnsi" w:hAnsiTheme="minorHAnsi" w:cstheme="minorHAnsi"/>
              </w:rPr>
              <w:t>F</w:t>
            </w:r>
            <w:r w:rsidRPr="00361A56">
              <w:rPr>
                <w:rStyle w:val="Strong"/>
                <w:rFonts w:asciiTheme="minorHAnsi" w:eastAsiaTheme="minorHAnsi" w:hAnsiTheme="minorHAnsi" w:cstheme="minorHAnsi"/>
              </w:rPr>
              <w:t>it for purpose</w:t>
            </w:r>
          </w:p>
        </w:tc>
        <w:tc>
          <w:tcPr>
            <w:tcW w:w="8173" w:type="dxa"/>
            <w:shd w:val="clear" w:color="auto" w:fill="FFFFFF"/>
            <w:tcMar>
              <w:top w:w="0" w:type="dxa"/>
              <w:left w:w="108" w:type="dxa"/>
              <w:bottom w:w="0" w:type="dxa"/>
              <w:right w:w="108" w:type="dxa"/>
            </w:tcMar>
          </w:tcPr>
          <w:p w14:paraId="16791623" w14:textId="77777777" w:rsidR="00361A56" w:rsidRDefault="00361A56" w:rsidP="006E0A4A">
            <w:pPr>
              <w:pStyle w:val="ListParagraph"/>
              <w:numPr>
                <w:ilvl w:val="0"/>
                <w:numId w:val="23"/>
              </w:numPr>
              <w:rPr>
                <w:rFonts w:asciiTheme="minorHAnsi" w:hAnsiTheme="minorHAnsi" w:cstheme="minorHAnsi"/>
                <w:sz w:val="19"/>
                <w:szCs w:val="19"/>
              </w:rPr>
            </w:pPr>
            <w:r w:rsidRPr="00AE53E5">
              <w:rPr>
                <w:rFonts w:asciiTheme="minorHAnsi" w:hAnsiTheme="minorHAnsi" w:cstheme="minorHAnsi"/>
                <w:sz w:val="19"/>
                <w:szCs w:val="19"/>
              </w:rPr>
              <w:t>Evaluations should be proportionate to the size, significance and risk of the policy or program. The costs of the evaluation should be commensurate with the value of information and risk profile of the program.</w:t>
            </w:r>
          </w:p>
          <w:p w14:paraId="701A6505" w14:textId="45FE75B7" w:rsidR="00361A56" w:rsidRPr="006E0A4A" w:rsidRDefault="00361A56" w:rsidP="003D590B">
            <w:pPr>
              <w:pStyle w:val="ListParagraph"/>
              <w:numPr>
                <w:ilvl w:val="0"/>
                <w:numId w:val="23"/>
              </w:numPr>
              <w:spacing w:after="60"/>
              <w:ind w:left="357" w:hanging="357"/>
              <w:rPr>
                <w:rFonts w:asciiTheme="minorHAnsi" w:hAnsiTheme="minorHAnsi" w:cstheme="minorHAnsi"/>
                <w:sz w:val="19"/>
                <w:szCs w:val="19"/>
              </w:rPr>
            </w:pPr>
            <w:r>
              <w:rPr>
                <w:rFonts w:asciiTheme="minorHAnsi" w:hAnsiTheme="minorHAnsi" w:cstheme="minorHAnsi"/>
                <w:sz w:val="19"/>
                <w:szCs w:val="19"/>
              </w:rPr>
              <w:t>M</w:t>
            </w:r>
            <w:r w:rsidRPr="00361A56">
              <w:rPr>
                <w:rFonts w:asciiTheme="minorHAnsi" w:hAnsiTheme="minorHAnsi" w:cstheme="minorHAnsi"/>
                <w:sz w:val="19"/>
                <w:szCs w:val="19"/>
              </w:rPr>
              <w:t>ethods should differentiate between evaluations to inform program administration and evaluations to inform policy decisions.</w:t>
            </w:r>
          </w:p>
        </w:tc>
      </w:tr>
      <w:tr w:rsidR="00361A56" w:rsidRPr="00BF2E02" w14:paraId="6B7E45CE" w14:textId="77777777" w:rsidTr="008865D7">
        <w:tc>
          <w:tcPr>
            <w:tcW w:w="1608" w:type="dxa"/>
            <w:shd w:val="clear" w:color="auto" w:fill="FFFFFF"/>
            <w:tcMar>
              <w:top w:w="0" w:type="dxa"/>
              <w:left w:w="108" w:type="dxa"/>
              <w:bottom w:w="0" w:type="dxa"/>
              <w:right w:w="108" w:type="dxa"/>
            </w:tcMar>
          </w:tcPr>
          <w:p w14:paraId="5825133B" w14:textId="6EC53A70" w:rsidR="00361A56" w:rsidRDefault="00361A56">
            <w:pPr>
              <w:spacing w:before="120" w:after="120"/>
              <w:rPr>
                <w:rStyle w:val="Strong"/>
                <w:rFonts w:asciiTheme="minorHAnsi" w:eastAsiaTheme="minorHAnsi" w:hAnsiTheme="minorHAnsi" w:cstheme="minorHAnsi"/>
              </w:rPr>
            </w:pPr>
            <w:r>
              <w:rPr>
                <w:rStyle w:val="Strong"/>
                <w:rFonts w:asciiTheme="minorHAnsi" w:eastAsiaTheme="minorHAnsi" w:hAnsiTheme="minorHAnsi" w:cstheme="minorHAnsi"/>
              </w:rPr>
              <w:t xml:space="preserve">Useful </w:t>
            </w:r>
          </w:p>
        </w:tc>
        <w:tc>
          <w:tcPr>
            <w:tcW w:w="8173" w:type="dxa"/>
            <w:shd w:val="clear" w:color="auto" w:fill="FFFFFF"/>
            <w:tcMar>
              <w:top w:w="0" w:type="dxa"/>
              <w:left w:w="108" w:type="dxa"/>
              <w:bottom w:w="0" w:type="dxa"/>
              <w:right w:w="108" w:type="dxa"/>
            </w:tcMar>
          </w:tcPr>
          <w:p w14:paraId="215F9906" w14:textId="340A6AF1" w:rsidR="00361A56" w:rsidRPr="00AE53E5" w:rsidRDefault="00BA156C" w:rsidP="00944635">
            <w:pPr>
              <w:pStyle w:val="ListParagraph"/>
              <w:numPr>
                <w:ilvl w:val="0"/>
                <w:numId w:val="23"/>
              </w:numPr>
              <w:rPr>
                <w:rFonts w:asciiTheme="minorHAnsi" w:hAnsiTheme="minorHAnsi" w:cstheme="minorHAnsi"/>
                <w:sz w:val="19"/>
                <w:szCs w:val="19"/>
              </w:rPr>
            </w:pPr>
            <w:r>
              <w:rPr>
                <w:rFonts w:asciiTheme="minorHAnsi" w:hAnsiTheme="minorHAnsi" w:cstheme="minorHAnsi"/>
                <w:sz w:val="19"/>
                <w:szCs w:val="19"/>
              </w:rPr>
              <w:t>E</w:t>
            </w:r>
            <w:r w:rsidRPr="00BA156C">
              <w:rPr>
                <w:rFonts w:asciiTheme="minorHAnsi" w:hAnsiTheme="minorHAnsi" w:cstheme="minorHAnsi"/>
                <w:sz w:val="19"/>
                <w:szCs w:val="19"/>
              </w:rPr>
              <w:t>valuations to inform program delivery should be designed for the purposes of continuous improvement and accountability against objectives, while evaluation for decision-making should be designed for the purpose of defining achievable outcomes</w:t>
            </w:r>
            <w:r>
              <w:rPr>
                <w:rFonts w:asciiTheme="minorHAnsi" w:hAnsiTheme="minorHAnsi" w:cstheme="minorHAnsi"/>
                <w:sz w:val="19"/>
                <w:szCs w:val="19"/>
              </w:rPr>
              <w:t>.</w:t>
            </w:r>
          </w:p>
        </w:tc>
      </w:tr>
      <w:tr w:rsidR="00BA156C" w:rsidRPr="00BF2E02" w14:paraId="0C0D3EE1" w14:textId="77777777" w:rsidTr="008865D7">
        <w:tc>
          <w:tcPr>
            <w:tcW w:w="1608" w:type="dxa"/>
            <w:shd w:val="clear" w:color="auto" w:fill="FFFFFF"/>
            <w:tcMar>
              <w:top w:w="0" w:type="dxa"/>
              <w:left w:w="108" w:type="dxa"/>
              <w:bottom w:w="0" w:type="dxa"/>
              <w:right w:w="108" w:type="dxa"/>
            </w:tcMar>
          </w:tcPr>
          <w:p w14:paraId="43390547" w14:textId="1CA611D6" w:rsidR="00BA156C" w:rsidRDefault="00BA156C" w:rsidP="00BA156C">
            <w:pPr>
              <w:spacing w:before="120" w:after="120"/>
              <w:rPr>
                <w:rStyle w:val="Strong"/>
                <w:rFonts w:asciiTheme="minorHAnsi" w:eastAsiaTheme="minorHAnsi" w:hAnsiTheme="minorHAnsi" w:cstheme="minorHAnsi"/>
              </w:rPr>
            </w:pPr>
            <w:r>
              <w:rPr>
                <w:rStyle w:val="Strong"/>
                <w:rFonts w:asciiTheme="minorHAnsi" w:eastAsiaTheme="minorHAnsi" w:hAnsiTheme="minorHAnsi" w:cstheme="minorHAnsi"/>
              </w:rPr>
              <w:t xml:space="preserve">Robust </w:t>
            </w:r>
            <w:r w:rsidRPr="00B65C97">
              <w:rPr>
                <w:rStyle w:val="Strong"/>
                <w:rFonts w:asciiTheme="minorHAnsi" w:eastAsiaTheme="minorHAnsi" w:hAnsiTheme="minorHAnsi" w:cstheme="minorHAnsi"/>
              </w:rPr>
              <w:t xml:space="preserve"> </w:t>
            </w:r>
          </w:p>
        </w:tc>
        <w:tc>
          <w:tcPr>
            <w:tcW w:w="8173" w:type="dxa"/>
            <w:shd w:val="clear" w:color="auto" w:fill="FFFFFF"/>
            <w:tcMar>
              <w:top w:w="0" w:type="dxa"/>
              <w:left w:w="108" w:type="dxa"/>
              <w:bottom w:w="0" w:type="dxa"/>
              <w:right w:w="108" w:type="dxa"/>
            </w:tcMar>
          </w:tcPr>
          <w:p w14:paraId="6ECDB109" w14:textId="77777777" w:rsidR="00BA156C" w:rsidRDefault="00BA156C" w:rsidP="00BA156C">
            <w:pPr>
              <w:pStyle w:val="ListParagraph"/>
              <w:numPr>
                <w:ilvl w:val="0"/>
                <w:numId w:val="23"/>
              </w:numPr>
              <w:rPr>
                <w:rFonts w:asciiTheme="minorHAnsi" w:hAnsiTheme="minorHAnsi" w:cstheme="minorHAnsi"/>
                <w:sz w:val="19"/>
                <w:szCs w:val="19"/>
              </w:rPr>
            </w:pPr>
            <w:r w:rsidRPr="00B65C97">
              <w:rPr>
                <w:rFonts w:asciiTheme="minorHAnsi" w:hAnsiTheme="minorHAnsi" w:cstheme="minorHAnsi"/>
                <w:sz w:val="19"/>
                <w:szCs w:val="19"/>
              </w:rPr>
              <w:t>Evaluations apply robust research and analytical methods to assess impact and outcomes.</w:t>
            </w:r>
          </w:p>
          <w:p w14:paraId="2019A941" w14:textId="77777777" w:rsidR="00BA156C" w:rsidRDefault="00BA156C" w:rsidP="00BA156C">
            <w:pPr>
              <w:pStyle w:val="ListParagraph"/>
              <w:numPr>
                <w:ilvl w:val="0"/>
                <w:numId w:val="23"/>
              </w:numPr>
              <w:rPr>
                <w:rFonts w:asciiTheme="minorHAnsi" w:hAnsiTheme="minorHAnsi" w:cstheme="minorHAnsi"/>
                <w:sz w:val="19"/>
                <w:szCs w:val="19"/>
              </w:rPr>
            </w:pPr>
            <w:r>
              <w:rPr>
                <w:rFonts w:asciiTheme="minorHAnsi" w:hAnsiTheme="minorHAnsi" w:cstheme="minorHAnsi"/>
                <w:sz w:val="19"/>
                <w:szCs w:val="19"/>
              </w:rPr>
              <w:t>R</w:t>
            </w:r>
            <w:r w:rsidRPr="00BA156C">
              <w:rPr>
                <w:rFonts w:asciiTheme="minorHAnsi" w:hAnsiTheme="minorHAnsi" w:cstheme="minorHAnsi"/>
                <w:sz w:val="19"/>
                <w:szCs w:val="19"/>
              </w:rPr>
              <w:t>obust data and evidence should provide performance insights and drive continuous improvement for programs in the delivery stage.</w:t>
            </w:r>
          </w:p>
          <w:p w14:paraId="7D8C57B2" w14:textId="4AA12825" w:rsidR="0009092E" w:rsidRDefault="0009092E" w:rsidP="003D590B">
            <w:pPr>
              <w:pStyle w:val="ListParagraph"/>
              <w:numPr>
                <w:ilvl w:val="0"/>
                <w:numId w:val="23"/>
              </w:numPr>
              <w:spacing w:after="60"/>
              <w:ind w:left="357" w:hanging="357"/>
              <w:rPr>
                <w:rFonts w:asciiTheme="minorHAnsi" w:hAnsiTheme="minorHAnsi" w:cstheme="minorHAnsi"/>
                <w:sz w:val="19"/>
                <w:szCs w:val="19"/>
              </w:rPr>
            </w:pPr>
            <w:r w:rsidRPr="0009092E">
              <w:rPr>
                <w:rFonts w:asciiTheme="minorHAnsi" w:hAnsiTheme="minorHAnsi" w:cstheme="minorHAnsi"/>
                <w:sz w:val="19"/>
                <w:szCs w:val="19"/>
              </w:rPr>
              <w:t>Relevant stakeholders are consulted and participate in the evaluation as appropriate.</w:t>
            </w:r>
            <w:r w:rsidRPr="003D590B">
              <w:rPr>
                <w:rFonts w:asciiTheme="minorHAnsi" w:hAnsiTheme="minorHAnsi" w:cstheme="minorHAnsi"/>
                <w:sz w:val="19"/>
                <w:szCs w:val="19"/>
              </w:rPr>
              <w:t xml:space="preserve"> </w:t>
            </w:r>
          </w:p>
        </w:tc>
      </w:tr>
      <w:tr w:rsidR="00BA156C" w:rsidRPr="00BF2E02" w14:paraId="5F12A681" w14:textId="77777777" w:rsidTr="008865D7">
        <w:tc>
          <w:tcPr>
            <w:tcW w:w="1608" w:type="dxa"/>
            <w:shd w:val="clear" w:color="auto" w:fill="FFFFFF"/>
            <w:tcMar>
              <w:top w:w="0" w:type="dxa"/>
              <w:left w:w="108" w:type="dxa"/>
              <w:bottom w:w="0" w:type="dxa"/>
              <w:right w:w="108" w:type="dxa"/>
            </w:tcMar>
          </w:tcPr>
          <w:p w14:paraId="3D5392BD" w14:textId="1C8D8084" w:rsidR="00BA156C" w:rsidRPr="002D4620" w:rsidRDefault="00BA156C">
            <w:pPr>
              <w:spacing w:before="120" w:after="120"/>
              <w:rPr>
                <w:rStyle w:val="Strong"/>
                <w:rFonts w:asciiTheme="minorHAnsi" w:eastAsiaTheme="minorHAnsi" w:hAnsiTheme="minorHAnsi" w:cstheme="minorHAnsi"/>
              </w:rPr>
            </w:pPr>
            <w:r>
              <w:rPr>
                <w:rStyle w:val="Strong"/>
                <w:rFonts w:asciiTheme="minorHAnsi" w:eastAsiaTheme="minorHAnsi" w:hAnsiTheme="minorHAnsi" w:cstheme="minorHAnsi"/>
              </w:rPr>
              <w:t>E</w:t>
            </w:r>
            <w:r w:rsidRPr="00BA156C">
              <w:rPr>
                <w:rStyle w:val="Strong"/>
                <w:rFonts w:asciiTheme="minorHAnsi" w:eastAsiaTheme="minorHAnsi" w:hAnsiTheme="minorHAnsi" w:cstheme="minorHAnsi"/>
              </w:rPr>
              <w:t>thical and culturally appropriate</w:t>
            </w:r>
          </w:p>
        </w:tc>
        <w:tc>
          <w:tcPr>
            <w:tcW w:w="8173" w:type="dxa"/>
            <w:shd w:val="clear" w:color="auto" w:fill="FFFFFF"/>
            <w:tcMar>
              <w:top w:w="0" w:type="dxa"/>
              <w:left w:w="108" w:type="dxa"/>
              <w:bottom w:w="0" w:type="dxa"/>
              <w:right w:w="108" w:type="dxa"/>
            </w:tcMar>
          </w:tcPr>
          <w:p w14:paraId="4A314436" w14:textId="3A33A4CF" w:rsidR="00BA156C" w:rsidRPr="006E0A4A" w:rsidRDefault="00BA156C" w:rsidP="003D590B">
            <w:pPr>
              <w:pStyle w:val="ListParagraph"/>
              <w:numPr>
                <w:ilvl w:val="0"/>
                <w:numId w:val="23"/>
              </w:numPr>
              <w:spacing w:after="60"/>
              <w:ind w:left="357" w:hanging="357"/>
              <w:rPr>
                <w:rFonts w:asciiTheme="minorHAnsi" w:hAnsiTheme="minorHAnsi" w:cstheme="minorHAnsi"/>
                <w:sz w:val="19"/>
                <w:szCs w:val="19"/>
              </w:rPr>
            </w:pPr>
            <w:r>
              <w:rPr>
                <w:rFonts w:asciiTheme="minorHAnsi" w:hAnsiTheme="minorHAnsi" w:cstheme="minorHAnsi"/>
                <w:sz w:val="19"/>
                <w:szCs w:val="19"/>
              </w:rPr>
              <w:t>E</w:t>
            </w:r>
            <w:r w:rsidRPr="00BA156C">
              <w:rPr>
                <w:rFonts w:asciiTheme="minorHAnsi" w:hAnsiTheme="minorHAnsi" w:cstheme="minorHAnsi"/>
                <w:sz w:val="19"/>
                <w:szCs w:val="19"/>
              </w:rPr>
              <w:t xml:space="preserve">thical and culturally appropriate approaches should be considered in all evaluation activities, including for the collection, </w:t>
            </w:r>
            <w:proofErr w:type="gramStart"/>
            <w:r w:rsidRPr="00BA156C">
              <w:rPr>
                <w:rFonts w:asciiTheme="minorHAnsi" w:hAnsiTheme="minorHAnsi" w:cstheme="minorHAnsi"/>
                <w:sz w:val="19"/>
                <w:szCs w:val="19"/>
              </w:rPr>
              <w:t>assessment</w:t>
            </w:r>
            <w:proofErr w:type="gramEnd"/>
            <w:r w:rsidRPr="00BA156C">
              <w:rPr>
                <w:rFonts w:asciiTheme="minorHAnsi" w:hAnsiTheme="minorHAnsi" w:cstheme="minorHAnsi"/>
                <w:sz w:val="19"/>
                <w:szCs w:val="19"/>
              </w:rPr>
              <w:t xml:space="preserve"> and use of information.</w:t>
            </w:r>
          </w:p>
        </w:tc>
      </w:tr>
      <w:tr w:rsidR="00BA156C" w:rsidRPr="00BF2E02" w14:paraId="304340EA" w14:textId="77777777" w:rsidTr="008865D7">
        <w:tc>
          <w:tcPr>
            <w:tcW w:w="1608" w:type="dxa"/>
            <w:shd w:val="clear" w:color="auto" w:fill="FFFFFF"/>
            <w:tcMar>
              <w:top w:w="0" w:type="dxa"/>
              <w:left w:w="108" w:type="dxa"/>
              <w:bottom w:w="0" w:type="dxa"/>
              <w:right w:w="108" w:type="dxa"/>
            </w:tcMar>
          </w:tcPr>
          <w:p w14:paraId="5C4FF0EB" w14:textId="61E22627" w:rsidR="00BA156C" w:rsidRDefault="00BA156C">
            <w:pPr>
              <w:spacing w:before="120" w:after="120"/>
              <w:rPr>
                <w:rStyle w:val="Strong"/>
                <w:rFonts w:asciiTheme="minorHAnsi" w:eastAsiaTheme="minorHAnsi" w:hAnsiTheme="minorHAnsi" w:cstheme="minorHAnsi"/>
              </w:rPr>
            </w:pPr>
            <w:r>
              <w:rPr>
                <w:rStyle w:val="Strong"/>
                <w:rFonts w:asciiTheme="minorHAnsi" w:eastAsiaTheme="minorHAnsi" w:hAnsiTheme="minorHAnsi" w:cstheme="minorHAnsi"/>
              </w:rPr>
              <w:t>C</w:t>
            </w:r>
            <w:r w:rsidRPr="00BA156C">
              <w:rPr>
                <w:rStyle w:val="Strong"/>
                <w:rFonts w:asciiTheme="minorHAnsi" w:eastAsiaTheme="minorHAnsi" w:hAnsiTheme="minorHAnsi" w:cstheme="minorHAnsi"/>
              </w:rPr>
              <w:t xml:space="preserve">redible </w:t>
            </w:r>
          </w:p>
        </w:tc>
        <w:tc>
          <w:tcPr>
            <w:tcW w:w="8173" w:type="dxa"/>
            <w:shd w:val="clear" w:color="auto" w:fill="FFFFFF"/>
            <w:tcMar>
              <w:top w:w="0" w:type="dxa"/>
              <w:left w:w="108" w:type="dxa"/>
              <w:bottom w:w="0" w:type="dxa"/>
              <w:right w:w="108" w:type="dxa"/>
            </w:tcMar>
          </w:tcPr>
          <w:p w14:paraId="5CED1888" w14:textId="77777777" w:rsidR="00BA156C" w:rsidRDefault="00BA156C" w:rsidP="006E0A4A">
            <w:pPr>
              <w:pStyle w:val="ListParagraph"/>
              <w:numPr>
                <w:ilvl w:val="0"/>
                <w:numId w:val="23"/>
              </w:numPr>
              <w:rPr>
                <w:rFonts w:asciiTheme="minorHAnsi" w:hAnsiTheme="minorHAnsi" w:cstheme="minorHAnsi"/>
                <w:sz w:val="19"/>
                <w:szCs w:val="19"/>
              </w:rPr>
            </w:pPr>
            <w:r>
              <w:rPr>
                <w:rFonts w:asciiTheme="minorHAnsi" w:hAnsiTheme="minorHAnsi" w:cstheme="minorHAnsi"/>
                <w:sz w:val="19"/>
                <w:szCs w:val="19"/>
              </w:rPr>
              <w:t>E</w:t>
            </w:r>
            <w:r w:rsidRPr="00BA156C">
              <w:rPr>
                <w:rFonts w:asciiTheme="minorHAnsi" w:hAnsiTheme="minorHAnsi" w:cstheme="minorHAnsi"/>
                <w:sz w:val="19"/>
                <w:szCs w:val="19"/>
              </w:rPr>
              <w:t xml:space="preserve">valuations should be conducted by people who are technically and culturally capable. </w:t>
            </w:r>
          </w:p>
          <w:p w14:paraId="50684B6D" w14:textId="77777777" w:rsidR="00BA156C" w:rsidRDefault="00BA156C" w:rsidP="006E0A4A">
            <w:pPr>
              <w:pStyle w:val="ListParagraph"/>
              <w:numPr>
                <w:ilvl w:val="0"/>
                <w:numId w:val="23"/>
              </w:numPr>
              <w:rPr>
                <w:rFonts w:asciiTheme="minorHAnsi" w:hAnsiTheme="minorHAnsi" w:cstheme="minorHAnsi"/>
                <w:sz w:val="19"/>
                <w:szCs w:val="19"/>
              </w:rPr>
            </w:pPr>
            <w:r w:rsidRPr="00BA156C">
              <w:rPr>
                <w:rFonts w:asciiTheme="minorHAnsi" w:hAnsiTheme="minorHAnsi" w:cstheme="minorHAnsi"/>
                <w:sz w:val="19"/>
                <w:szCs w:val="19"/>
              </w:rPr>
              <w:t xml:space="preserve">The collection and analysis of evidence should be undertaken in an impartial and systematic way, having regard to the perspectives of all relevant stakeholders. </w:t>
            </w:r>
          </w:p>
          <w:p w14:paraId="01DA56DE" w14:textId="0ED304B5" w:rsidR="00BA156C" w:rsidRDefault="00BA156C" w:rsidP="003D590B">
            <w:pPr>
              <w:pStyle w:val="ListParagraph"/>
              <w:numPr>
                <w:ilvl w:val="0"/>
                <w:numId w:val="23"/>
              </w:numPr>
              <w:spacing w:after="60"/>
              <w:ind w:left="357" w:hanging="357"/>
              <w:rPr>
                <w:rFonts w:asciiTheme="minorHAnsi" w:hAnsiTheme="minorHAnsi" w:cstheme="minorHAnsi"/>
                <w:sz w:val="19"/>
                <w:szCs w:val="19"/>
              </w:rPr>
            </w:pPr>
            <w:r w:rsidRPr="00BA156C">
              <w:rPr>
                <w:rFonts w:asciiTheme="minorHAnsi" w:hAnsiTheme="minorHAnsi" w:cstheme="minorHAnsi"/>
                <w:sz w:val="19"/>
                <w:szCs w:val="19"/>
              </w:rPr>
              <w:t>Evaluations should adhere to appropriate standards of integrity and independence.</w:t>
            </w:r>
          </w:p>
        </w:tc>
      </w:tr>
      <w:tr w:rsidR="00BA156C" w:rsidRPr="00BF2E02" w14:paraId="1291CB30" w14:textId="77777777" w:rsidTr="008865D7">
        <w:tc>
          <w:tcPr>
            <w:tcW w:w="1608" w:type="dxa"/>
            <w:shd w:val="clear" w:color="auto" w:fill="FFFFFF"/>
            <w:tcMar>
              <w:top w:w="0" w:type="dxa"/>
              <w:left w:w="108" w:type="dxa"/>
              <w:bottom w:w="0" w:type="dxa"/>
              <w:right w:w="108" w:type="dxa"/>
            </w:tcMar>
          </w:tcPr>
          <w:p w14:paraId="190597AA" w14:textId="25C91E0C" w:rsidR="00BA156C" w:rsidRPr="002D4620" w:rsidRDefault="00BA156C">
            <w:pPr>
              <w:spacing w:before="120" w:after="120"/>
              <w:rPr>
                <w:rStyle w:val="Strong"/>
                <w:rFonts w:asciiTheme="minorHAnsi" w:eastAsiaTheme="minorHAnsi" w:hAnsiTheme="minorHAnsi" w:cstheme="minorHAnsi"/>
              </w:rPr>
            </w:pPr>
            <w:r w:rsidRPr="00BA156C">
              <w:rPr>
                <w:rStyle w:val="Strong"/>
                <w:rFonts w:asciiTheme="minorHAnsi" w:eastAsiaTheme="minorHAnsi" w:hAnsiTheme="minorHAnsi" w:cstheme="minorHAnsi"/>
              </w:rPr>
              <w:t>Transparent where appropriate</w:t>
            </w:r>
          </w:p>
        </w:tc>
        <w:tc>
          <w:tcPr>
            <w:tcW w:w="8173" w:type="dxa"/>
            <w:shd w:val="clear" w:color="auto" w:fill="FFFFFF"/>
            <w:tcMar>
              <w:top w:w="0" w:type="dxa"/>
              <w:left w:w="108" w:type="dxa"/>
              <w:bottom w:w="0" w:type="dxa"/>
              <w:right w:w="108" w:type="dxa"/>
            </w:tcMar>
          </w:tcPr>
          <w:p w14:paraId="3BDCE105" w14:textId="77777777" w:rsidR="00BA156C" w:rsidRDefault="00BA156C" w:rsidP="006E0A4A">
            <w:pPr>
              <w:pStyle w:val="ListParagraph"/>
              <w:numPr>
                <w:ilvl w:val="0"/>
                <w:numId w:val="23"/>
              </w:numPr>
              <w:rPr>
                <w:rFonts w:asciiTheme="minorHAnsi" w:hAnsiTheme="minorHAnsi" w:cstheme="minorHAnsi"/>
                <w:sz w:val="19"/>
                <w:szCs w:val="19"/>
              </w:rPr>
            </w:pPr>
            <w:r>
              <w:rPr>
                <w:rFonts w:asciiTheme="minorHAnsi" w:hAnsiTheme="minorHAnsi" w:cstheme="minorHAnsi"/>
                <w:sz w:val="19"/>
                <w:szCs w:val="19"/>
              </w:rPr>
              <w:t>E</w:t>
            </w:r>
            <w:r w:rsidRPr="00BA156C">
              <w:rPr>
                <w:rFonts w:asciiTheme="minorHAnsi" w:hAnsiTheme="minorHAnsi" w:cstheme="minorHAnsi"/>
                <w:sz w:val="19"/>
                <w:szCs w:val="19"/>
              </w:rPr>
              <w:t xml:space="preserve">valuation findings should be transparent by default unless there are appropriate reasons for not releasing information publicly. </w:t>
            </w:r>
          </w:p>
          <w:p w14:paraId="06980F5B" w14:textId="63A4945F" w:rsidR="00BA156C" w:rsidRPr="006E0A4A" w:rsidRDefault="00BA156C" w:rsidP="003D590B">
            <w:pPr>
              <w:pStyle w:val="ListParagraph"/>
              <w:numPr>
                <w:ilvl w:val="0"/>
                <w:numId w:val="23"/>
              </w:numPr>
              <w:spacing w:after="60"/>
              <w:ind w:left="357" w:hanging="357"/>
              <w:rPr>
                <w:rFonts w:asciiTheme="minorHAnsi" w:hAnsiTheme="minorHAnsi" w:cstheme="minorHAnsi"/>
                <w:sz w:val="19"/>
                <w:szCs w:val="19"/>
              </w:rPr>
            </w:pPr>
            <w:r w:rsidRPr="00BA156C">
              <w:rPr>
                <w:rFonts w:asciiTheme="minorHAnsi" w:hAnsiTheme="minorHAnsi" w:cstheme="minorHAnsi"/>
                <w:sz w:val="19"/>
                <w:szCs w:val="19"/>
              </w:rPr>
              <w:t>To support continuous improvement, accountability and decision-making, evaluation findings should be provided to appropriate stakeholders.</w:t>
            </w:r>
          </w:p>
        </w:tc>
      </w:tr>
      <w:tr w:rsidR="00C62CEA" w:rsidRPr="00BF2E02" w14:paraId="5A3F6EC0" w14:textId="77777777" w:rsidTr="008865D7">
        <w:tc>
          <w:tcPr>
            <w:tcW w:w="1608" w:type="dxa"/>
            <w:shd w:val="clear" w:color="auto" w:fill="FFFFFF"/>
            <w:tcMar>
              <w:top w:w="0" w:type="dxa"/>
              <w:left w:w="108" w:type="dxa"/>
              <w:bottom w:w="0" w:type="dxa"/>
              <w:right w:w="108" w:type="dxa"/>
            </w:tcMar>
            <w:hideMark/>
          </w:tcPr>
          <w:p w14:paraId="74EFC869" w14:textId="0708460D" w:rsidR="00C62CEA" w:rsidRPr="00B65C97" w:rsidRDefault="00D7267F" w:rsidP="00B65C97">
            <w:pPr>
              <w:spacing w:before="120" w:after="120"/>
              <w:rPr>
                <w:rStyle w:val="Strong"/>
                <w:rFonts w:asciiTheme="minorHAnsi" w:eastAsiaTheme="minorHAnsi" w:hAnsiTheme="minorHAnsi" w:cstheme="minorHAnsi"/>
              </w:rPr>
            </w:pPr>
            <w:r w:rsidRPr="002D4620">
              <w:rPr>
                <w:rStyle w:val="Strong"/>
                <w:rFonts w:asciiTheme="minorHAnsi" w:eastAsiaTheme="minorHAnsi" w:hAnsiTheme="minorHAnsi" w:cstheme="minorHAnsi"/>
              </w:rPr>
              <w:t>Embedded</w:t>
            </w:r>
            <w:r w:rsidR="00C62CEA" w:rsidRPr="00B65C97">
              <w:rPr>
                <w:rStyle w:val="Strong"/>
                <w:rFonts w:asciiTheme="minorHAnsi" w:eastAsiaTheme="minorHAnsi" w:hAnsiTheme="minorHAnsi" w:cstheme="minorHAnsi"/>
              </w:rPr>
              <w:t xml:space="preserve"> </w:t>
            </w:r>
          </w:p>
        </w:tc>
        <w:tc>
          <w:tcPr>
            <w:tcW w:w="8173" w:type="dxa"/>
            <w:shd w:val="clear" w:color="auto" w:fill="FFFFFF"/>
            <w:tcMar>
              <w:top w:w="0" w:type="dxa"/>
              <w:left w:w="108" w:type="dxa"/>
              <w:bottom w:w="0" w:type="dxa"/>
              <w:right w:w="108" w:type="dxa"/>
            </w:tcMar>
            <w:hideMark/>
          </w:tcPr>
          <w:p w14:paraId="39E08767" w14:textId="1A2B28E5" w:rsidR="000F5A51" w:rsidRDefault="000F5A51" w:rsidP="000F5A51">
            <w:pPr>
              <w:pStyle w:val="ListParagraph"/>
              <w:numPr>
                <w:ilvl w:val="0"/>
                <w:numId w:val="23"/>
              </w:numPr>
              <w:rPr>
                <w:rFonts w:asciiTheme="minorHAnsi" w:hAnsiTheme="minorHAnsi" w:cstheme="minorHAnsi"/>
                <w:sz w:val="19"/>
                <w:szCs w:val="19"/>
              </w:rPr>
            </w:pPr>
            <w:r w:rsidRPr="006E0A4A">
              <w:rPr>
                <w:rFonts w:asciiTheme="minorHAnsi" w:hAnsiTheme="minorHAnsi" w:cstheme="minorHAnsi"/>
                <w:sz w:val="19"/>
                <w:szCs w:val="19"/>
              </w:rPr>
              <w:t>Evaluation planning is routinely undertaken at the new policy proposal (NPP) stage and completed early in the design of programs.</w:t>
            </w:r>
          </w:p>
          <w:p w14:paraId="19E2FAF3" w14:textId="77777777" w:rsidR="00BA156C" w:rsidRDefault="00BA156C" w:rsidP="00BA156C">
            <w:pPr>
              <w:pStyle w:val="ListParagraph"/>
              <w:numPr>
                <w:ilvl w:val="0"/>
                <w:numId w:val="23"/>
              </w:numPr>
              <w:rPr>
                <w:rFonts w:asciiTheme="minorHAnsi" w:hAnsiTheme="minorHAnsi" w:cstheme="minorHAnsi"/>
                <w:sz w:val="19"/>
                <w:szCs w:val="19"/>
              </w:rPr>
            </w:pPr>
            <w:r w:rsidRPr="00A27051">
              <w:rPr>
                <w:rFonts w:asciiTheme="minorHAnsi" w:hAnsiTheme="minorHAnsi" w:cstheme="minorHAnsi"/>
                <w:sz w:val="19"/>
                <w:szCs w:val="19"/>
              </w:rPr>
              <w:t xml:space="preserve">Routine collection and analysis of an existing policy and program performance information to provide indicators of progress towards objectives. </w:t>
            </w:r>
          </w:p>
          <w:p w14:paraId="30341CBE" w14:textId="63740822" w:rsidR="00936B46" w:rsidRPr="00B65C97" w:rsidRDefault="00BA156C" w:rsidP="003D590B">
            <w:pPr>
              <w:pStyle w:val="ListParagraph"/>
              <w:numPr>
                <w:ilvl w:val="0"/>
                <w:numId w:val="23"/>
              </w:numPr>
              <w:spacing w:after="60"/>
              <w:ind w:left="357" w:hanging="357"/>
              <w:rPr>
                <w:rFonts w:asciiTheme="minorHAnsi" w:hAnsiTheme="minorHAnsi" w:cstheme="minorHAnsi"/>
                <w:sz w:val="19"/>
                <w:szCs w:val="19"/>
              </w:rPr>
            </w:pPr>
            <w:r w:rsidRPr="00A27051">
              <w:rPr>
                <w:rFonts w:asciiTheme="minorHAnsi" w:hAnsiTheme="minorHAnsi" w:cstheme="minorHAnsi"/>
                <w:sz w:val="19"/>
                <w:szCs w:val="19"/>
              </w:rPr>
              <w:t>Evaluation should use existing infrastructure data assets where possible.</w:t>
            </w:r>
          </w:p>
        </w:tc>
      </w:tr>
      <w:tr w:rsidR="00C62CEA" w:rsidRPr="00BF2E02" w14:paraId="03471A52" w14:textId="77777777" w:rsidTr="008865D7">
        <w:tc>
          <w:tcPr>
            <w:tcW w:w="1608" w:type="dxa"/>
            <w:shd w:val="clear" w:color="auto" w:fill="FFFFFF"/>
            <w:tcMar>
              <w:top w:w="0" w:type="dxa"/>
              <w:left w:w="108" w:type="dxa"/>
              <w:bottom w:w="0" w:type="dxa"/>
              <w:right w:w="108" w:type="dxa"/>
            </w:tcMar>
          </w:tcPr>
          <w:p w14:paraId="3174DE40" w14:textId="77777777" w:rsidR="00C62CEA" w:rsidRPr="00B65C97" w:rsidRDefault="00C62CEA" w:rsidP="00B65C97">
            <w:pPr>
              <w:spacing w:before="120" w:after="120"/>
              <w:rPr>
                <w:rStyle w:val="Strong"/>
                <w:rFonts w:asciiTheme="minorHAnsi" w:eastAsiaTheme="minorHAnsi" w:hAnsiTheme="minorHAnsi" w:cstheme="minorHAnsi"/>
              </w:rPr>
            </w:pPr>
            <w:r w:rsidRPr="00B65C97">
              <w:rPr>
                <w:rStyle w:val="Strong"/>
                <w:rFonts w:asciiTheme="minorHAnsi" w:eastAsiaTheme="minorHAnsi" w:hAnsiTheme="minorHAnsi" w:cstheme="minorHAnsi"/>
              </w:rPr>
              <w:t>Timely</w:t>
            </w:r>
          </w:p>
        </w:tc>
        <w:tc>
          <w:tcPr>
            <w:tcW w:w="8173" w:type="dxa"/>
            <w:shd w:val="clear" w:color="auto" w:fill="FFFFFF"/>
            <w:tcMar>
              <w:top w:w="0" w:type="dxa"/>
              <w:left w:w="108" w:type="dxa"/>
              <w:bottom w:w="0" w:type="dxa"/>
              <w:right w:w="108" w:type="dxa"/>
            </w:tcMar>
            <w:hideMark/>
          </w:tcPr>
          <w:p w14:paraId="6B7F0747" w14:textId="77777777" w:rsidR="00C62CEA" w:rsidRPr="00B65C97" w:rsidRDefault="00C62CEA" w:rsidP="003D590B">
            <w:pPr>
              <w:pStyle w:val="ListParagraph"/>
              <w:numPr>
                <w:ilvl w:val="0"/>
                <w:numId w:val="23"/>
              </w:numPr>
              <w:spacing w:after="60"/>
              <w:ind w:left="357" w:hanging="357"/>
              <w:rPr>
                <w:rFonts w:asciiTheme="minorHAnsi" w:hAnsiTheme="minorHAnsi" w:cstheme="minorHAnsi"/>
                <w:sz w:val="19"/>
                <w:szCs w:val="19"/>
              </w:rPr>
            </w:pPr>
            <w:r w:rsidRPr="00B65C97">
              <w:rPr>
                <w:rFonts w:asciiTheme="minorHAnsi" w:hAnsiTheme="minorHAnsi" w:cstheme="minorHAnsi"/>
                <w:sz w:val="19"/>
                <w:szCs w:val="19"/>
              </w:rPr>
              <w:t>Evaluation planning is guided by the timing of critical decisions to ensure sufficient bodies of evidence are available when needed.</w:t>
            </w:r>
          </w:p>
        </w:tc>
      </w:tr>
    </w:tbl>
    <w:p w14:paraId="1EA7A3CC" w14:textId="5F76DBBB" w:rsidR="00C62CEA" w:rsidRDefault="00C62CEA" w:rsidP="00C62CEA">
      <w:pPr>
        <w:rPr>
          <w:rFonts w:asciiTheme="minorHAnsi" w:hAnsiTheme="minorHAnsi" w:cstheme="minorHAnsi"/>
          <w:sz w:val="18"/>
          <w:szCs w:val="18"/>
        </w:rPr>
      </w:pPr>
      <w:r w:rsidRPr="00B65C97">
        <w:rPr>
          <w:rFonts w:asciiTheme="minorHAnsi" w:hAnsiTheme="minorHAnsi" w:cstheme="minorHAnsi"/>
          <w:sz w:val="18"/>
          <w:szCs w:val="18"/>
        </w:rPr>
        <w:t>Source: Adapted from Department of Health Evaluation Strategy 201</w:t>
      </w:r>
      <w:r w:rsidR="00717285">
        <w:rPr>
          <w:rFonts w:asciiTheme="minorHAnsi" w:hAnsiTheme="minorHAnsi" w:cstheme="minorHAnsi"/>
          <w:sz w:val="18"/>
          <w:szCs w:val="18"/>
        </w:rPr>
        <w:t>6</w:t>
      </w:r>
      <w:r w:rsidRPr="00B65C97">
        <w:rPr>
          <w:rFonts w:asciiTheme="minorHAnsi" w:hAnsiTheme="minorHAnsi" w:cstheme="minorHAnsi"/>
          <w:sz w:val="18"/>
          <w:szCs w:val="18"/>
        </w:rPr>
        <w:t>-20</w:t>
      </w:r>
      <w:r w:rsidR="00717285">
        <w:rPr>
          <w:rFonts w:asciiTheme="minorHAnsi" w:hAnsiTheme="minorHAnsi" w:cstheme="minorHAnsi"/>
          <w:sz w:val="18"/>
          <w:szCs w:val="18"/>
        </w:rPr>
        <w:t>19</w:t>
      </w:r>
      <w:r w:rsidRPr="00B65C97">
        <w:rPr>
          <w:rFonts w:asciiTheme="minorHAnsi" w:hAnsiTheme="minorHAnsi" w:cstheme="minorHAnsi"/>
          <w:sz w:val="18"/>
          <w:szCs w:val="18"/>
        </w:rPr>
        <w:t xml:space="preserve"> and </w:t>
      </w:r>
      <w:r w:rsidR="002B4262" w:rsidRPr="002B4262">
        <w:rPr>
          <w:rFonts w:asciiTheme="minorHAnsi" w:hAnsiTheme="minorHAnsi" w:cstheme="minorHAnsi"/>
          <w:sz w:val="18"/>
          <w:szCs w:val="18"/>
        </w:rPr>
        <w:t>Department of Finance (2021)</w:t>
      </w:r>
      <w:r w:rsidR="002B4262">
        <w:rPr>
          <w:rFonts w:asciiTheme="minorHAnsi" w:hAnsiTheme="minorHAnsi" w:cstheme="minorHAnsi"/>
          <w:sz w:val="18"/>
          <w:szCs w:val="18"/>
        </w:rPr>
        <w:t xml:space="preserve"> </w:t>
      </w:r>
      <w:r w:rsidR="0091694F">
        <w:rPr>
          <w:rFonts w:asciiTheme="minorHAnsi" w:hAnsiTheme="minorHAnsi" w:cstheme="minorHAnsi"/>
          <w:sz w:val="18"/>
          <w:szCs w:val="18"/>
        </w:rPr>
        <w:t>C</w:t>
      </w:r>
      <w:r w:rsidR="002B4262" w:rsidRPr="002B4262">
        <w:rPr>
          <w:rFonts w:asciiTheme="minorHAnsi" w:hAnsiTheme="minorHAnsi" w:cstheme="minorHAnsi"/>
          <w:sz w:val="18"/>
          <w:szCs w:val="18"/>
        </w:rPr>
        <w:t>ommonwealth Evaluation Policy and Toolkit.</w:t>
      </w:r>
    </w:p>
    <w:p w14:paraId="606EE059" w14:textId="77777777" w:rsidR="00F26B4B" w:rsidRDefault="00F26B4B">
      <w:pPr>
        <w:rPr>
          <w:rFonts w:asciiTheme="minorHAnsi" w:hAnsiTheme="minorHAnsi" w:cs="Arial"/>
          <w:bCs/>
          <w:color w:val="37818A"/>
          <w:kern w:val="28"/>
          <w:sz w:val="36"/>
          <w:szCs w:val="36"/>
        </w:rPr>
      </w:pPr>
      <w:r>
        <w:rPr>
          <w:rFonts w:asciiTheme="minorHAnsi" w:hAnsiTheme="minorHAnsi"/>
          <w:color w:val="37818A"/>
        </w:rPr>
        <w:br w:type="page"/>
      </w:r>
    </w:p>
    <w:p w14:paraId="5B28B478" w14:textId="3622644E" w:rsidR="00C62CEA" w:rsidRPr="00B65C97" w:rsidRDefault="0069746F" w:rsidP="00C62CEA">
      <w:pPr>
        <w:pStyle w:val="Heading1"/>
        <w:spacing w:before="0"/>
        <w:rPr>
          <w:rFonts w:asciiTheme="minorHAnsi" w:hAnsiTheme="minorHAnsi"/>
          <w:color w:val="37818A"/>
        </w:rPr>
      </w:pPr>
      <w:bookmarkStart w:id="12" w:name="_Toc140233983"/>
      <w:r w:rsidRPr="00B65C97">
        <w:rPr>
          <w:rFonts w:asciiTheme="minorHAnsi" w:hAnsiTheme="minorHAnsi"/>
          <w:color w:val="37818A"/>
        </w:rPr>
        <w:lastRenderedPageBreak/>
        <w:t xml:space="preserve">Prioritising </w:t>
      </w:r>
      <w:r w:rsidR="00C14E12">
        <w:rPr>
          <w:rFonts w:asciiTheme="minorHAnsi" w:hAnsiTheme="minorHAnsi"/>
          <w:color w:val="37818A"/>
        </w:rPr>
        <w:t>e</w:t>
      </w:r>
      <w:r w:rsidRPr="00B65C97">
        <w:rPr>
          <w:rFonts w:asciiTheme="minorHAnsi" w:hAnsiTheme="minorHAnsi"/>
          <w:color w:val="37818A"/>
        </w:rPr>
        <w:t>valuation effort</w:t>
      </w:r>
      <w:r w:rsidR="00C14E12">
        <w:rPr>
          <w:rFonts w:asciiTheme="minorHAnsi" w:hAnsiTheme="minorHAnsi"/>
          <w:color w:val="37818A"/>
        </w:rPr>
        <w:t>s</w:t>
      </w:r>
      <w:bookmarkEnd w:id="12"/>
      <w:r w:rsidR="00C62CEA" w:rsidRPr="00B65C97">
        <w:rPr>
          <w:rFonts w:asciiTheme="minorHAnsi" w:hAnsiTheme="minorHAnsi"/>
          <w:color w:val="37818A"/>
        </w:rPr>
        <w:t xml:space="preserve">  </w:t>
      </w:r>
    </w:p>
    <w:p w14:paraId="1B65B057" w14:textId="0C1F8504" w:rsidR="00E717AA" w:rsidRDefault="00E717AA" w:rsidP="00C62CEA">
      <w:pPr>
        <w:pStyle w:val="Paragraphtext"/>
        <w:rPr>
          <w:rFonts w:asciiTheme="minorHAnsi" w:hAnsiTheme="minorHAnsi" w:cstheme="minorHAnsi"/>
          <w:color w:val="auto"/>
          <w:sz w:val="22"/>
          <w:szCs w:val="22"/>
        </w:rPr>
      </w:pPr>
      <w:r w:rsidRPr="00E717AA">
        <w:rPr>
          <w:rFonts w:asciiTheme="minorHAnsi" w:hAnsiTheme="minorHAnsi" w:cstheme="minorHAnsi"/>
          <w:color w:val="auto"/>
          <w:sz w:val="22"/>
          <w:szCs w:val="22"/>
        </w:rPr>
        <w:t>The appropriate timing and type of evaluation required to support continuous improvement, accountability and decision-making needs to be determined on a case-by-case basis to ensure the overall approach is fit for purpose.</w:t>
      </w:r>
    </w:p>
    <w:p w14:paraId="303EB3CF" w14:textId="67C77DE5" w:rsidR="00E717AA" w:rsidRDefault="00E717AA" w:rsidP="00C62CEA">
      <w:pPr>
        <w:pStyle w:val="Paragraphtext"/>
        <w:rPr>
          <w:rFonts w:asciiTheme="minorHAnsi" w:hAnsiTheme="minorHAnsi" w:cstheme="minorHAnsi"/>
          <w:color w:val="auto"/>
          <w:sz w:val="22"/>
          <w:szCs w:val="22"/>
        </w:rPr>
      </w:pPr>
      <w:r w:rsidRPr="00E717AA">
        <w:rPr>
          <w:rFonts w:asciiTheme="minorHAnsi" w:hAnsiTheme="minorHAnsi" w:cstheme="minorHAnsi"/>
          <w:color w:val="auto"/>
          <w:sz w:val="22"/>
          <w:szCs w:val="22"/>
        </w:rPr>
        <w:t>It is not feasible, cost effective or appropriate to fully evaluate all government activities and programs. The cost of evaluation must be balanced against the risk of not evaluating, noting that sometimes performance monitoring by itself will be sufficient to meet the performance reporting requirements under the</w:t>
      </w:r>
      <w:r>
        <w:rPr>
          <w:rFonts w:asciiTheme="minorHAnsi" w:hAnsiTheme="minorHAnsi" w:cstheme="minorHAnsi"/>
          <w:color w:val="auto"/>
          <w:sz w:val="22"/>
          <w:szCs w:val="22"/>
        </w:rPr>
        <w:t xml:space="preserve"> </w:t>
      </w:r>
      <w:r w:rsidRPr="00564F20">
        <w:rPr>
          <w:rFonts w:asciiTheme="minorHAnsi" w:hAnsiTheme="minorHAnsi" w:cstheme="minorHAnsi"/>
          <w:color w:val="auto"/>
          <w:sz w:val="22"/>
          <w:szCs w:val="22"/>
        </w:rPr>
        <w:t>PGPA Act</w:t>
      </w:r>
      <w:r w:rsidRPr="00AA6870">
        <w:rPr>
          <w:rFonts w:asciiTheme="minorHAnsi" w:hAnsiTheme="minorHAnsi" w:cstheme="minorHAnsi"/>
          <w:i/>
          <w:iCs/>
          <w:color w:val="auto"/>
          <w:sz w:val="22"/>
          <w:szCs w:val="22"/>
        </w:rPr>
        <w:t>.</w:t>
      </w:r>
    </w:p>
    <w:p w14:paraId="76BC527E" w14:textId="0BE16E17" w:rsidR="00C62CEA" w:rsidRPr="00B65C97" w:rsidRDefault="00CD42FE" w:rsidP="00C62CEA">
      <w:pPr>
        <w:pStyle w:val="Paragraphtext"/>
        <w:rPr>
          <w:rFonts w:asciiTheme="minorHAnsi" w:hAnsiTheme="minorHAnsi" w:cstheme="minorHAnsi"/>
          <w:sz w:val="22"/>
          <w:szCs w:val="22"/>
        </w:rPr>
      </w:pPr>
      <w:r w:rsidRPr="00CD42FE">
        <w:rPr>
          <w:rFonts w:asciiTheme="minorHAnsi" w:hAnsiTheme="minorHAnsi" w:cstheme="minorHAnsi"/>
          <w:sz w:val="22"/>
          <w:szCs w:val="22"/>
        </w:rPr>
        <w:t>It is important that evaluations adhere to the principle of proportionality – that is, evaluation should be proportionate to the size, significance and risk of a policy or program</w:t>
      </w:r>
      <w:r w:rsidR="00C62CEA" w:rsidRPr="00B65C97">
        <w:rPr>
          <w:rFonts w:asciiTheme="minorHAnsi" w:hAnsiTheme="minorHAnsi" w:cstheme="minorHAnsi"/>
          <w:sz w:val="22"/>
          <w:szCs w:val="22"/>
        </w:rPr>
        <w:t xml:space="preserve">.  </w:t>
      </w:r>
    </w:p>
    <w:p w14:paraId="31B59101" w14:textId="4F03934D" w:rsidR="00C62CEA" w:rsidRPr="00B65C97" w:rsidRDefault="00C62CEA" w:rsidP="00C62CEA">
      <w:pPr>
        <w:pStyle w:val="Paragraphtext"/>
        <w:rPr>
          <w:rFonts w:asciiTheme="minorHAnsi" w:hAnsiTheme="minorHAnsi" w:cstheme="minorHAnsi"/>
          <w:sz w:val="22"/>
          <w:szCs w:val="22"/>
        </w:rPr>
      </w:pPr>
      <w:r w:rsidRPr="00B65C97">
        <w:rPr>
          <w:rFonts w:asciiTheme="minorHAnsi" w:hAnsiTheme="minorHAnsi" w:cstheme="minorHAnsi"/>
          <w:sz w:val="22"/>
          <w:szCs w:val="22"/>
        </w:rPr>
        <w:t xml:space="preserve">To inform </w:t>
      </w:r>
      <w:r w:rsidR="006F04FE">
        <w:rPr>
          <w:rFonts w:asciiTheme="minorHAnsi" w:hAnsiTheme="minorHAnsi" w:cstheme="minorHAnsi"/>
          <w:sz w:val="22"/>
          <w:szCs w:val="22"/>
        </w:rPr>
        <w:t xml:space="preserve">a system of prioritisation </w:t>
      </w:r>
      <w:r w:rsidRPr="00B65C97">
        <w:rPr>
          <w:rFonts w:asciiTheme="minorHAnsi" w:hAnsiTheme="minorHAnsi" w:cstheme="minorHAnsi"/>
          <w:sz w:val="22"/>
          <w:szCs w:val="22"/>
        </w:rPr>
        <w:t xml:space="preserve">and provide guidance on evaluation effort and resourcing, policies and programs are risk assessed and classified into one of three </w:t>
      </w:r>
      <w:proofErr w:type="gramStart"/>
      <w:r w:rsidRPr="00B65C97">
        <w:rPr>
          <w:rFonts w:asciiTheme="minorHAnsi" w:hAnsiTheme="minorHAnsi" w:cstheme="minorHAnsi"/>
          <w:sz w:val="22"/>
          <w:szCs w:val="22"/>
        </w:rPr>
        <w:t>evaluation</w:t>
      </w:r>
      <w:proofErr w:type="gramEnd"/>
      <w:r w:rsidRPr="00B65C97">
        <w:rPr>
          <w:rFonts w:asciiTheme="minorHAnsi" w:hAnsiTheme="minorHAnsi" w:cstheme="minorHAnsi"/>
          <w:sz w:val="22"/>
          <w:szCs w:val="22"/>
        </w:rPr>
        <w:t xml:space="preserve"> ‘tiers’; higher risk, higher profile evaluations generally involve a greater level of evaluation resources and effort, as well as more defined governance and oversight arrangements.   </w:t>
      </w:r>
    </w:p>
    <w:p w14:paraId="1D889620" w14:textId="6DE04C8C" w:rsidR="00C62CEA" w:rsidRPr="00B65C97" w:rsidRDefault="0062659B" w:rsidP="00C62CEA">
      <w:pPr>
        <w:pStyle w:val="Paragraphtext"/>
        <w:rPr>
          <w:rFonts w:asciiTheme="minorHAnsi" w:hAnsiTheme="minorHAnsi" w:cstheme="minorHAnsi"/>
          <w:sz w:val="22"/>
          <w:szCs w:val="22"/>
        </w:rPr>
      </w:pPr>
      <w:r>
        <w:rPr>
          <w:rFonts w:asciiTheme="minorHAnsi" w:hAnsiTheme="minorHAnsi" w:cstheme="minorHAnsi"/>
          <w:sz w:val="22"/>
          <w:szCs w:val="22"/>
        </w:rPr>
        <w:t>Priorities should be determined based on the following considerations</w:t>
      </w:r>
      <w:r w:rsidR="00C62CEA" w:rsidRPr="00B65C97">
        <w:rPr>
          <w:rFonts w:asciiTheme="minorHAnsi" w:hAnsiTheme="minorHAnsi" w:cstheme="minorHAnsi"/>
          <w:sz w:val="22"/>
          <w:szCs w:val="22"/>
        </w:rPr>
        <w:t xml:space="preserve">:   </w:t>
      </w:r>
    </w:p>
    <w:p w14:paraId="1BF41D66" w14:textId="02278BD2" w:rsidR="00C62CEA" w:rsidRPr="00B65C97" w:rsidRDefault="00F26B4B" w:rsidP="00B65C97">
      <w:pPr>
        <w:pStyle w:val="ListBullet"/>
        <w:numPr>
          <w:ilvl w:val="0"/>
          <w:numId w:val="34"/>
        </w:numPr>
        <w:ind w:left="360"/>
        <w:rPr>
          <w:rFonts w:asciiTheme="minorHAnsi" w:hAnsiTheme="minorHAnsi" w:cstheme="minorHAnsi"/>
          <w:sz w:val="22"/>
          <w:szCs w:val="22"/>
        </w:rPr>
      </w:pPr>
      <w:r>
        <w:rPr>
          <w:rFonts w:asciiTheme="minorHAnsi" w:hAnsiTheme="minorHAnsi" w:cstheme="minorHAnsi"/>
          <w:sz w:val="22"/>
          <w:szCs w:val="22"/>
        </w:rPr>
        <w:t>P</w:t>
      </w:r>
      <w:r w:rsidR="00C62CEA" w:rsidRPr="00B65C97">
        <w:rPr>
          <w:rFonts w:asciiTheme="minorHAnsi" w:hAnsiTheme="minorHAnsi" w:cstheme="minorHAnsi"/>
          <w:sz w:val="22"/>
          <w:szCs w:val="22"/>
        </w:rPr>
        <w:t>riority</w:t>
      </w:r>
      <w:r w:rsidR="0062659B" w:rsidRPr="00692CD9">
        <w:rPr>
          <w:rFonts w:asciiTheme="minorHAnsi" w:hAnsiTheme="minorHAnsi" w:cstheme="minorHAnsi"/>
          <w:sz w:val="22"/>
          <w:szCs w:val="22"/>
        </w:rPr>
        <w:t xml:space="preserve"> (</w:t>
      </w:r>
      <w:r w:rsidR="00C62CEA" w:rsidRPr="00B65C97">
        <w:rPr>
          <w:rFonts w:asciiTheme="minorHAnsi" w:hAnsiTheme="minorHAnsi" w:cstheme="minorHAnsi"/>
          <w:sz w:val="22"/>
          <w:szCs w:val="22"/>
        </w:rPr>
        <w:t>strategic importance</w:t>
      </w:r>
      <w:r w:rsidR="0062659B" w:rsidRPr="00692CD9">
        <w:rPr>
          <w:rFonts w:asciiTheme="minorHAnsi" w:hAnsiTheme="minorHAnsi" w:cstheme="minorHAnsi"/>
          <w:sz w:val="22"/>
          <w:szCs w:val="22"/>
        </w:rPr>
        <w:t>) - how important and valuable the policy or program is</w:t>
      </w:r>
      <w:r w:rsidR="002D4620">
        <w:rPr>
          <w:rFonts w:asciiTheme="minorHAnsi" w:hAnsiTheme="minorHAnsi" w:cstheme="minorHAnsi"/>
          <w:sz w:val="22"/>
          <w:szCs w:val="22"/>
        </w:rPr>
        <w:t xml:space="preserve"> to overall departmental objectives and</w:t>
      </w:r>
      <w:r w:rsidR="0062659B" w:rsidRPr="00692CD9">
        <w:rPr>
          <w:rFonts w:asciiTheme="minorHAnsi" w:hAnsiTheme="minorHAnsi" w:cstheme="minorHAnsi"/>
          <w:sz w:val="22"/>
          <w:szCs w:val="22"/>
        </w:rPr>
        <w:t xml:space="preserve"> in terms </w:t>
      </w:r>
      <w:r w:rsidR="002D4620">
        <w:rPr>
          <w:rFonts w:asciiTheme="minorHAnsi" w:hAnsiTheme="minorHAnsi" w:cstheme="minorHAnsi"/>
          <w:sz w:val="22"/>
          <w:szCs w:val="22"/>
        </w:rPr>
        <w:t>of other</w:t>
      </w:r>
      <w:r w:rsidR="0062659B" w:rsidRPr="00692CD9">
        <w:rPr>
          <w:rFonts w:asciiTheme="minorHAnsi" w:hAnsiTheme="minorHAnsi" w:cstheme="minorHAnsi"/>
          <w:sz w:val="22"/>
          <w:szCs w:val="22"/>
        </w:rPr>
        <w:t xml:space="preserve"> competing </w:t>
      </w:r>
      <w:r w:rsidR="00692CD9">
        <w:rPr>
          <w:rFonts w:asciiTheme="minorHAnsi" w:hAnsiTheme="minorHAnsi" w:cstheme="minorHAnsi"/>
          <w:sz w:val="22"/>
          <w:szCs w:val="22"/>
        </w:rPr>
        <w:t>priority areas</w:t>
      </w:r>
      <w:r>
        <w:rPr>
          <w:rFonts w:asciiTheme="minorHAnsi" w:hAnsiTheme="minorHAnsi" w:cstheme="minorHAnsi"/>
          <w:sz w:val="22"/>
          <w:szCs w:val="22"/>
        </w:rPr>
        <w:t>.</w:t>
      </w:r>
    </w:p>
    <w:p w14:paraId="7F188860" w14:textId="1E7427B3" w:rsidR="00C62CEA" w:rsidRPr="00B65C97" w:rsidRDefault="00F26B4B" w:rsidP="00B65C97">
      <w:pPr>
        <w:pStyle w:val="ListBullet"/>
        <w:numPr>
          <w:ilvl w:val="0"/>
          <w:numId w:val="34"/>
        </w:numPr>
        <w:ind w:left="360"/>
        <w:rPr>
          <w:rFonts w:asciiTheme="minorHAnsi" w:hAnsiTheme="minorHAnsi" w:cstheme="minorHAnsi"/>
          <w:sz w:val="22"/>
          <w:szCs w:val="22"/>
        </w:rPr>
      </w:pPr>
      <w:r>
        <w:rPr>
          <w:rFonts w:asciiTheme="minorHAnsi" w:hAnsiTheme="minorHAnsi" w:cstheme="minorHAnsi"/>
          <w:sz w:val="22"/>
          <w:szCs w:val="22"/>
        </w:rPr>
        <w:t>F</w:t>
      </w:r>
      <w:r w:rsidR="00C62CEA" w:rsidRPr="00B65C97">
        <w:rPr>
          <w:rFonts w:asciiTheme="minorHAnsi" w:hAnsiTheme="minorHAnsi" w:cstheme="minorHAnsi"/>
          <w:sz w:val="22"/>
          <w:szCs w:val="22"/>
        </w:rPr>
        <w:t>unding</w:t>
      </w:r>
      <w:r w:rsidR="00692CD9">
        <w:rPr>
          <w:rFonts w:asciiTheme="minorHAnsi" w:hAnsiTheme="minorHAnsi" w:cstheme="minorHAnsi"/>
          <w:sz w:val="22"/>
          <w:szCs w:val="22"/>
        </w:rPr>
        <w:t xml:space="preserve"> - </w:t>
      </w:r>
      <w:r w:rsidR="00692CD9" w:rsidRPr="00692CD9">
        <w:rPr>
          <w:rFonts w:asciiTheme="minorHAnsi" w:hAnsiTheme="minorHAnsi" w:cstheme="minorHAnsi"/>
          <w:sz w:val="22"/>
          <w:szCs w:val="22"/>
        </w:rPr>
        <w:t>the overall funding for the policy or program</w:t>
      </w:r>
      <w:r>
        <w:rPr>
          <w:rFonts w:asciiTheme="minorHAnsi" w:hAnsiTheme="minorHAnsi" w:cstheme="minorHAnsi"/>
          <w:sz w:val="22"/>
          <w:szCs w:val="22"/>
        </w:rPr>
        <w:t>.</w:t>
      </w:r>
    </w:p>
    <w:p w14:paraId="45ACCA3C" w14:textId="1E70B915" w:rsidR="007F6B8A" w:rsidRPr="00074E75" w:rsidRDefault="00F26B4B" w:rsidP="00B65C97">
      <w:pPr>
        <w:pStyle w:val="ListBullet"/>
        <w:numPr>
          <w:ilvl w:val="0"/>
          <w:numId w:val="34"/>
        </w:numPr>
        <w:ind w:left="360"/>
        <w:rPr>
          <w:rFonts w:asciiTheme="minorHAnsi" w:hAnsiTheme="minorHAnsi" w:cstheme="minorHAnsi"/>
          <w:sz w:val="22"/>
          <w:szCs w:val="22"/>
        </w:rPr>
      </w:pPr>
      <w:r>
        <w:rPr>
          <w:rFonts w:asciiTheme="minorHAnsi" w:hAnsiTheme="minorHAnsi" w:cstheme="minorHAnsi"/>
          <w:sz w:val="22"/>
          <w:szCs w:val="22"/>
        </w:rPr>
        <w:t>R</w:t>
      </w:r>
      <w:r w:rsidR="00C62CEA" w:rsidRPr="00564F20">
        <w:rPr>
          <w:rFonts w:asciiTheme="minorHAnsi" w:hAnsiTheme="minorHAnsi" w:cstheme="minorHAnsi"/>
          <w:sz w:val="22"/>
          <w:szCs w:val="22"/>
        </w:rPr>
        <w:t>isk</w:t>
      </w:r>
      <w:r w:rsidR="00692CD9" w:rsidRPr="00564F20">
        <w:rPr>
          <w:rFonts w:asciiTheme="minorHAnsi" w:hAnsiTheme="minorHAnsi" w:cstheme="minorHAnsi"/>
          <w:sz w:val="22"/>
          <w:szCs w:val="22"/>
        </w:rPr>
        <w:t xml:space="preserve"> - the policy or program’s overall risk. This may include how difficult it is to estimate the impact of the policy or program (the outcomes are uncertain or difficult to measure)</w:t>
      </w:r>
      <w:r>
        <w:rPr>
          <w:rFonts w:asciiTheme="minorHAnsi" w:hAnsiTheme="minorHAnsi" w:cstheme="minorHAnsi"/>
          <w:sz w:val="22"/>
          <w:szCs w:val="22"/>
        </w:rPr>
        <w:t>.</w:t>
      </w:r>
    </w:p>
    <w:p w14:paraId="61968480" w14:textId="729D16C4" w:rsidR="00C62CEA" w:rsidRPr="00B65C97" w:rsidRDefault="00F26B4B" w:rsidP="00B65C97">
      <w:pPr>
        <w:pStyle w:val="ListBullet"/>
        <w:numPr>
          <w:ilvl w:val="0"/>
          <w:numId w:val="34"/>
        </w:numPr>
        <w:ind w:left="360"/>
        <w:rPr>
          <w:rFonts w:asciiTheme="minorHAnsi" w:hAnsiTheme="minorHAnsi" w:cstheme="minorHAnsi"/>
          <w:sz w:val="22"/>
          <w:szCs w:val="22"/>
        </w:rPr>
      </w:pPr>
      <w:r>
        <w:rPr>
          <w:rFonts w:asciiTheme="minorHAnsi" w:hAnsiTheme="minorHAnsi" w:cstheme="minorHAnsi"/>
          <w:sz w:val="22"/>
          <w:szCs w:val="22"/>
        </w:rPr>
        <w:t>I</w:t>
      </w:r>
      <w:r w:rsidR="007F6B8A" w:rsidRPr="007F6B8A">
        <w:rPr>
          <w:rFonts w:asciiTheme="minorHAnsi" w:hAnsiTheme="minorHAnsi" w:cstheme="minorHAnsi"/>
          <w:sz w:val="22"/>
          <w:szCs w:val="22"/>
        </w:rPr>
        <w:t xml:space="preserve">mpact - how likely the policy or program will impact the lives of </w:t>
      </w:r>
      <w:r w:rsidR="007F6B8A">
        <w:rPr>
          <w:rFonts w:asciiTheme="minorHAnsi" w:hAnsiTheme="minorHAnsi" w:cstheme="minorHAnsi"/>
          <w:sz w:val="22"/>
          <w:szCs w:val="22"/>
        </w:rPr>
        <w:t>Australians</w:t>
      </w:r>
      <w:r>
        <w:rPr>
          <w:rFonts w:asciiTheme="minorHAnsi" w:hAnsiTheme="minorHAnsi" w:cstheme="minorHAnsi"/>
          <w:sz w:val="22"/>
          <w:szCs w:val="22"/>
        </w:rPr>
        <w:t>.</w:t>
      </w:r>
    </w:p>
    <w:p w14:paraId="6665FF09" w14:textId="0F7F62CE" w:rsidR="00C62CEA" w:rsidRPr="00B65C97" w:rsidRDefault="00F26B4B" w:rsidP="00B65C97">
      <w:pPr>
        <w:pStyle w:val="ListBullet"/>
        <w:numPr>
          <w:ilvl w:val="0"/>
          <w:numId w:val="34"/>
        </w:numPr>
        <w:ind w:left="360"/>
        <w:rPr>
          <w:rFonts w:asciiTheme="minorHAnsi" w:hAnsiTheme="minorHAnsi" w:cstheme="minorHAnsi"/>
          <w:sz w:val="22"/>
          <w:szCs w:val="22"/>
        </w:rPr>
      </w:pPr>
      <w:r>
        <w:rPr>
          <w:rFonts w:asciiTheme="minorHAnsi" w:hAnsiTheme="minorHAnsi" w:cstheme="minorHAnsi"/>
          <w:sz w:val="22"/>
          <w:szCs w:val="22"/>
        </w:rPr>
        <w:t>E</w:t>
      </w:r>
      <w:r w:rsidR="00C62CEA" w:rsidRPr="00B65C97">
        <w:rPr>
          <w:rFonts w:asciiTheme="minorHAnsi" w:hAnsiTheme="minorHAnsi" w:cstheme="minorHAnsi"/>
          <w:sz w:val="22"/>
          <w:szCs w:val="22"/>
        </w:rPr>
        <w:t>vidence</w:t>
      </w:r>
      <w:r w:rsidR="00081FC4">
        <w:rPr>
          <w:rFonts w:asciiTheme="minorHAnsi" w:hAnsiTheme="minorHAnsi" w:cstheme="minorHAnsi"/>
          <w:sz w:val="22"/>
          <w:szCs w:val="22"/>
        </w:rPr>
        <w:t xml:space="preserve"> </w:t>
      </w:r>
      <w:r w:rsidR="000109CA">
        <w:rPr>
          <w:rFonts w:asciiTheme="minorHAnsi" w:hAnsiTheme="minorHAnsi" w:cstheme="minorHAnsi"/>
          <w:sz w:val="22"/>
          <w:szCs w:val="22"/>
        </w:rPr>
        <w:t xml:space="preserve">- what is the evidence </w:t>
      </w:r>
      <w:r w:rsidR="00C62CEA" w:rsidRPr="00B65C97">
        <w:rPr>
          <w:rFonts w:asciiTheme="minorHAnsi" w:hAnsiTheme="minorHAnsi" w:cstheme="minorHAnsi"/>
          <w:sz w:val="22"/>
          <w:szCs w:val="22"/>
        </w:rPr>
        <w:t>base for the policy or program</w:t>
      </w:r>
      <w:r w:rsidR="000109CA">
        <w:rPr>
          <w:rFonts w:asciiTheme="minorHAnsi" w:hAnsiTheme="minorHAnsi" w:cstheme="minorHAnsi"/>
          <w:sz w:val="22"/>
          <w:szCs w:val="22"/>
        </w:rPr>
        <w:t xml:space="preserve"> to date</w:t>
      </w:r>
      <w:r w:rsidR="00C62CEA" w:rsidRPr="00B65C97">
        <w:rPr>
          <w:rFonts w:asciiTheme="minorHAnsi" w:hAnsiTheme="minorHAnsi" w:cstheme="minorHAnsi"/>
          <w:sz w:val="22"/>
          <w:szCs w:val="22"/>
        </w:rPr>
        <w:t>.</w:t>
      </w:r>
    </w:p>
    <w:p w14:paraId="45E05392" w14:textId="65EBB33C" w:rsidR="00C62CEA" w:rsidRDefault="007248B9" w:rsidP="00B070D8">
      <w:pPr>
        <w:pStyle w:val="Paragraphtext"/>
        <w:spacing w:after="240"/>
        <w:rPr>
          <w:rFonts w:asciiTheme="minorHAnsi" w:hAnsiTheme="minorHAnsi" w:cstheme="minorHAnsi"/>
          <w:color w:val="auto"/>
          <w:sz w:val="22"/>
          <w:szCs w:val="22"/>
        </w:rPr>
      </w:pPr>
      <w:r w:rsidRPr="007248B9">
        <w:rPr>
          <w:rFonts w:asciiTheme="minorHAnsi" w:hAnsiTheme="minorHAnsi" w:cstheme="minorHAnsi"/>
          <w:color w:val="auto"/>
          <w:sz w:val="22"/>
          <w:szCs w:val="22"/>
        </w:rPr>
        <w:t>T</w:t>
      </w:r>
      <w:r>
        <w:rPr>
          <w:rFonts w:asciiTheme="minorHAnsi" w:hAnsiTheme="minorHAnsi" w:cstheme="minorHAnsi"/>
          <w:color w:val="auto"/>
          <w:sz w:val="22"/>
          <w:szCs w:val="22"/>
        </w:rPr>
        <w:t xml:space="preserve">he table below </w:t>
      </w:r>
      <w:r w:rsidRPr="007248B9">
        <w:rPr>
          <w:rFonts w:asciiTheme="minorHAnsi" w:hAnsiTheme="minorHAnsi" w:cstheme="minorHAnsi"/>
          <w:color w:val="auto"/>
          <w:sz w:val="22"/>
          <w:szCs w:val="22"/>
        </w:rPr>
        <w:t>provides an overview of the three evaluation tiers, including policy and program characteristics, and potential features of an evaluation.</w:t>
      </w:r>
      <w:r w:rsidRPr="007248B9">
        <w:t xml:space="preserve"> </w:t>
      </w:r>
      <w:r w:rsidR="00CD42FE" w:rsidRPr="007248B9">
        <w:rPr>
          <w:rFonts w:asciiTheme="minorHAnsi" w:hAnsiTheme="minorHAnsi" w:cstheme="minorHAnsi"/>
          <w:color w:val="auto"/>
          <w:sz w:val="22"/>
          <w:szCs w:val="22"/>
        </w:rPr>
        <w:t xml:space="preserve">There may also be times where </w:t>
      </w:r>
      <w:r w:rsidR="00CD42FE">
        <w:rPr>
          <w:rFonts w:asciiTheme="minorHAnsi" w:hAnsiTheme="minorHAnsi" w:cstheme="minorHAnsi"/>
          <w:color w:val="auto"/>
          <w:sz w:val="22"/>
          <w:szCs w:val="22"/>
        </w:rPr>
        <w:t xml:space="preserve">a Budget or </w:t>
      </w:r>
      <w:r w:rsidR="00CD42FE" w:rsidRPr="007248B9">
        <w:rPr>
          <w:rFonts w:asciiTheme="minorHAnsi" w:hAnsiTheme="minorHAnsi" w:cstheme="minorHAnsi"/>
          <w:color w:val="auto"/>
          <w:sz w:val="22"/>
          <w:szCs w:val="22"/>
        </w:rPr>
        <w:t xml:space="preserve">Cabinet </w:t>
      </w:r>
      <w:r w:rsidR="00CD42FE">
        <w:rPr>
          <w:rFonts w:asciiTheme="minorHAnsi" w:hAnsiTheme="minorHAnsi" w:cstheme="minorHAnsi"/>
          <w:color w:val="auto"/>
          <w:sz w:val="22"/>
          <w:szCs w:val="22"/>
        </w:rPr>
        <w:t xml:space="preserve">decision </w:t>
      </w:r>
      <w:r w:rsidR="00CD42FE" w:rsidRPr="007248B9">
        <w:rPr>
          <w:rFonts w:asciiTheme="minorHAnsi" w:hAnsiTheme="minorHAnsi" w:cstheme="minorHAnsi"/>
          <w:color w:val="auto"/>
          <w:sz w:val="22"/>
          <w:szCs w:val="22"/>
        </w:rPr>
        <w:t>or legislation determine the type of evaluation and when it should be conducted</w:t>
      </w:r>
      <w:r w:rsidRPr="007248B9">
        <w:rPr>
          <w:rFonts w:asciiTheme="minorHAnsi" w:hAnsiTheme="minorHAnsi" w:cstheme="minorHAnsi"/>
          <w:color w:val="auto"/>
          <w:sz w:val="22"/>
          <w:szCs w:val="22"/>
        </w:rPr>
        <w:t>.</w:t>
      </w:r>
    </w:p>
    <w:p w14:paraId="4853817B" w14:textId="77777777" w:rsidR="00F26B4B" w:rsidRDefault="00F26B4B">
      <w:pPr>
        <w:rPr>
          <w:rFonts w:asciiTheme="minorHAnsi" w:hAnsiTheme="minorHAnsi" w:cstheme="minorHAnsi"/>
          <w:b/>
          <w:i/>
          <w:color w:val="358189" w:themeColor="accent2"/>
          <w:szCs w:val="22"/>
        </w:rPr>
      </w:pPr>
      <w:r>
        <w:rPr>
          <w:rFonts w:asciiTheme="minorHAnsi" w:hAnsiTheme="minorHAnsi" w:cstheme="minorHAnsi"/>
          <w:b/>
          <w:i/>
          <w:color w:val="358189" w:themeColor="accent2"/>
          <w:szCs w:val="22"/>
        </w:rPr>
        <w:br w:type="page"/>
      </w:r>
    </w:p>
    <w:p w14:paraId="07BA6054" w14:textId="238DE5F1" w:rsidR="00C62CEA" w:rsidRPr="00B65C97" w:rsidRDefault="00C62CEA" w:rsidP="00B65C97">
      <w:pPr>
        <w:rPr>
          <w:rFonts w:asciiTheme="minorHAnsi" w:hAnsiTheme="minorHAnsi" w:cstheme="minorHAnsi"/>
          <w:b/>
          <w:i/>
          <w:color w:val="358189" w:themeColor="accent2"/>
          <w:szCs w:val="22"/>
        </w:rPr>
      </w:pPr>
      <w:r w:rsidRPr="00B65C97">
        <w:rPr>
          <w:rFonts w:asciiTheme="minorHAnsi" w:hAnsiTheme="minorHAnsi" w:cstheme="minorHAnsi"/>
          <w:b/>
          <w:i/>
          <w:color w:val="358189" w:themeColor="accent2"/>
          <w:szCs w:val="22"/>
        </w:rPr>
        <w:lastRenderedPageBreak/>
        <w:t xml:space="preserve">Table 2: Evaluation </w:t>
      </w:r>
      <w:r w:rsidR="004E697D">
        <w:rPr>
          <w:rFonts w:asciiTheme="minorHAnsi" w:hAnsiTheme="minorHAnsi" w:cstheme="minorHAnsi"/>
          <w:b/>
          <w:i/>
          <w:color w:val="358189" w:themeColor="accent2"/>
          <w:szCs w:val="22"/>
        </w:rPr>
        <w:t>t</w:t>
      </w:r>
      <w:r w:rsidRPr="00B65C97">
        <w:rPr>
          <w:rFonts w:asciiTheme="minorHAnsi" w:hAnsiTheme="minorHAnsi" w:cstheme="minorHAnsi"/>
          <w:b/>
          <w:i/>
          <w:color w:val="358189" w:themeColor="accent2"/>
          <w:szCs w:val="22"/>
        </w:rPr>
        <w:t>iers</w:t>
      </w:r>
    </w:p>
    <w:tbl>
      <w:tblPr>
        <w:tblStyle w:val="TableGrid2"/>
        <w:tblW w:w="8913" w:type="dxa"/>
        <w:tblBorders>
          <w:top w:val="single" w:sz="8" w:space="0" w:color="358189"/>
          <w:left w:val="single" w:sz="8" w:space="0" w:color="358189"/>
          <w:bottom w:val="single" w:sz="8" w:space="0" w:color="358189"/>
          <w:right w:val="single" w:sz="8" w:space="0" w:color="358189"/>
          <w:insideH w:val="single" w:sz="8" w:space="0" w:color="358189"/>
          <w:insideV w:val="single" w:sz="8" w:space="0" w:color="358189"/>
        </w:tblBorders>
        <w:tblLayout w:type="fixed"/>
        <w:tblLook w:val="04A0" w:firstRow="1" w:lastRow="0" w:firstColumn="1" w:lastColumn="0" w:noHBand="0" w:noVBand="1"/>
      </w:tblPr>
      <w:tblGrid>
        <w:gridCol w:w="846"/>
        <w:gridCol w:w="992"/>
        <w:gridCol w:w="3827"/>
        <w:gridCol w:w="3239"/>
        <w:gridCol w:w="9"/>
      </w:tblGrid>
      <w:tr w:rsidR="0067424B" w:rsidRPr="00BD5D43" w14:paraId="37189FF9" w14:textId="77777777" w:rsidTr="003D590B">
        <w:trPr>
          <w:trHeight w:val="368"/>
        </w:trPr>
        <w:tc>
          <w:tcPr>
            <w:tcW w:w="846" w:type="dxa"/>
            <w:shd w:val="clear" w:color="auto" w:fill="009999"/>
          </w:tcPr>
          <w:p w14:paraId="140E19F6" w14:textId="77777777" w:rsidR="0067424B" w:rsidRPr="003D590B" w:rsidRDefault="0067424B" w:rsidP="00B65C97">
            <w:pPr>
              <w:spacing w:before="120" w:after="120"/>
              <w:rPr>
                <w:rStyle w:val="Strong"/>
                <w:rFonts w:asciiTheme="minorHAnsi" w:hAnsiTheme="minorHAnsi" w:cstheme="minorHAnsi"/>
                <w:color w:val="FFFFFF" w:themeColor="background1"/>
                <w:sz w:val="20"/>
                <w:szCs w:val="22"/>
              </w:rPr>
            </w:pPr>
            <w:r w:rsidRPr="003D590B">
              <w:rPr>
                <w:rStyle w:val="Strong"/>
                <w:rFonts w:asciiTheme="minorHAnsi" w:hAnsiTheme="minorHAnsi" w:cstheme="minorHAnsi"/>
                <w:color w:val="FFFFFF" w:themeColor="background1"/>
                <w:sz w:val="20"/>
                <w:szCs w:val="22"/>
              </w:rPr>
              <w:t>Tier</w:t>
            </w:r>
          </w:p>
        </w:tc>
        <w:tc>
          <w:tcPr>
            <w:tcW w:w="4819" w:type="dxa"/>
            <w:gridSpan w:val="2"/>
            <w:shd w:val="clear" w:color="auto" w:fill="009999"/>
          </w:tcPr>
          <w:p w14:paraId="7C06A29E" w14:textId="77777777" w:rsidR="0067424B" w:rsidRPr="003D590B" w:rsidRDefault="0067424B" w:rsidP="00B65C97">
            <w:pPr>
              <w:spacing w:before="120" w:after="120"/>
              <w:rPr>
                <w:rStyle w:val="Strong"/>
                <w:rFonts w:asciiTheme="minorHAnsi" w:hAnsiTheme="minorHAnsi" w:cstheme="minorHAnsi"/>
                <w:color w:val="FFFFFF" w:themeColor="background1"/>
                <w:sz w:val="20"/>
                <w:szCs w:val="22"/>
              </w:rPr>
            </w:pPr>
            <w:r w:rsidRPr="003D590B">
              <w:rPr>
                <w:rStyle w:val="Strong"/>
                <w:rFonts w:asciiTheme="minorHAnsi" w:hAnsiTheme="minorHAnsi" w:cstheme="minorHAnsi"/>
                <w:color w:val="FFFFFF" w:themeColor="background1"/>
                <w:sz w:val="20"/>
                <w:szCs w:val="22"/>
              </w:rPr>
              <w:t>Policy or program characteristics</w:t>
            </w:r>
          </w:p>
        </w:tc>
        <w:tc>
          <w:tcPr>
            <w:tcW w:w="3248" w:type="dxa"/>
            <w:gridSpan w:val="2"/>
            <w:shd w:val="clear" w:color="auto" w:fill="009999"/>
          </w:tcPr>
          <w:p w14:paraId="259986B4" w14:textId="77777777" w:rsidR="0067424B" w:rsidRPr="003D590B" w:rsidRDefault="0067424B" w:rsidP="00B65C97">
            <w:pPr>
              <w:spacing w:before="120" w:after="120"/>
              <w:rPr>
                <w:rStyle w:val="Strong"/>
                <w:rFonts w:asciiTheme="minorHAnsi" w:hAnsiTheme="minorHAnsi" w:cstheme="minorHAnsi"/>
                <w:color w:val="FFFFFF" w:themeColor="background1"/>
                <w:sz w:val="20"/>
                <w:szCs w:val="22"/>
              </w:rPr>
            </w:pPr>
            <w:r w:rsidRPr="003D590B">
              <w:rPr>
                <w:rStyle w:val="Strong"/>
                <w:rFonts w:asciiTheme="minorHAnsi" w:hAnsiTheme="minorHAnsi" w:cstheme="minorHAnsi"/>
                <w:color w:val="FFFFFF" w:themeColor="background1"/>
                <w:sz w:val="20"/>
                <w:szCs w:val="22"/>
              </w:rPr>
              <w:t>Indicative evaluation features</w:t>
            </w:r>
          </w:p>
        </w:tc>
      </w:tr>
      <w:tr w:rsidR="00A73193" w:rsidRPr="00F26B4B" w14:paraId="105D5028" w14:textId="77777777" w:rsidTr="008865D7">
        <w:trPr>
          <w:gridAfter w:val="1"/>
          <w:wAfter w:w="9" w:type="dxa"/>
          <w:trHeight w:val="1769"/>
        </w:trPr>
        <w:tc>
          <w:tcPr>
            <w:tcW w:w="846" w:type="dxa"/>
          </w:tcPr>
          <w:p w14:paraId="46BDD911" w14:textId="77777777" w:rsidR="00A73193" w:rsidRPr="00B65C97" w:rsidRDefault="00A73193" w:rsidP="00B65C97">
            <w:pPr>
              <w:spacing w:before="120" w:after="120"/>
              <w:rPr>
                <w:rStyle w:val="Strong"/>
                <w:rFonts w:asciiTheme="minorHAnsi" w:hAnsiTheme="minorHAnsi" w:cstheme="minorHAnsi"/>
              </w:rPr>
            </w:pPr>
            <w:r w:rsidRPr="00B65C97">
              <w:rPr>
                <w:rStyle w:val="Strong"/>
                <w:rFonts w:asciiTheme="minorHAnsi" w:hAnsiTheme="minorHAnsi" w:cstheme="minorHAnsi"/>
              </w:rPr>
              <w:t xml:space="preserve">One  </w:t>
            </w:r>
          </w:p>
        </w:tc>
        <w:tc>
          <w:tcPr>
            <w:tcW w:w="992" w:type="dxa"/>
            <w:vAlign w:val="center"/>
          </w:tcPr>
          <w:p w14:paraId="7C3D3132" w14:textId="12983AFA" w:rsidR="00A73193" w:rsidRPr="00F26B4B" w:rsidRDefault="00A73193" w:rsidP="008865D7">
            <w:pPr>
              <w:pStyle w:val="TableText"/>
              <w:spacing w:before="0" w:after="0" w:line="360" w:lineRule="auto"/>
              <w:rPr>
                <w:rFonts w:asciiTheme="minorHAnsi" w:hAnsiTheme="minorHAnsi" w:cstheme="minorHAnsi"/>
                <w:sz w:val="19"/>
                <w:szCs w:val="19"/>
              </w:rPr>
            </w:pPr>
            <w:r w:rsidRPr="00F26B4B">
              <w:rPr>
                <w:rFonts w:asciiTheme="minorHAnsi" w:hAnsiTheme="minorHAnsi" w:cstheme="minorHAnsi"/>
                <w:b/>
                <w:sz w:val="19"/>
                <w:szCs w:val="19"/>
              </w:rPr>
              <w:t>Priority</w:t>
            </w:r>
            <w:r w:rsidRPr="00F26B4B">
              <w:rPr>
                <w:rFonts w:asciiTheme="minorHAnsi" w:hAnsiTheme="minorHAnsi" w:cstheme="minorHAnsi"/>
                <w:sz w:val="19"/>
                <w:szCs w:val="19"/>
              </w:rPr>
              <w:t xml:space="preserve"> </w:t>
            </w:r>
          </w:p>
          <w:p w14:paraId="52954B11" w14:textId="2C98C07F" w:rsidR="00A73193" w:rsidRPr="00F26B4B" w:rsidRDefault="00A73193" w:rsidP="008865D7">
            <w:pPr>
              <w:pStyle w:val="TableText"/>
              <w:spacing w:before="0" w:after="0" w:line="360" w:lineRule="auto"/>
              <w:rPr>
                <w:rFonts w:asciiTheme="minorHAnsi" w:hAnsiTheme="minorHAnsi" w:cstheme="minorHAnsi"/>
                <w:sz w:val="19"/>
                <w:szCs w:val="19"/>
              </w:rPr>
            </w:pPr>
            <w:r w:rsidRPr="00F26B4B">
              <w:rPr>
                <w:rFonts w:asciiTheme="minorHAnsi" w:hAnsiTheme="minorHAnsi" w:cstheme="minorHAnsi"/>
                <w:b/>
                <w:sz w:val="19"/>
                <w:szCs w:val="19"/>
              </w:rPr>
              <w:t>Funding</w:t>
            </w:r>
            <w:r w:rsidRPr="00F26B4B">
              <w:rPr>
                <w:rFonts w:asciiTheme="minorHAnsi" w:hAnsiTheme="minorHAnsi" w:cstheme="minorHAnsi"/>
                <w:sz w:val="19"/>
                <w:szCs w:val="19"/>
              </w:rPr>
              <w:t xml:space="preserve"> </w:t>
            </w:r>
          </w:p>
          <w:p w14:paraId="02DBB68A" w14:textId="38B3DE53" w:rsidR="00A73193" w:rsidRPr="00F26B4B" w:rsidRDefault="00A73193" w:rsidP="008865D7">
            <w:pPr>
              <w:pStyle w:val="TableText"/>
              <w:spacing w:before="0" w:after="0" w:line="360" w:lineRule="auto"/>
              <w:rPr>
                <w:rFonts w:asciiTheme="minorHAnsi" w:hAnsiTheme="minorHAnsi" w:cstheme="minorHAnsi"/>
                <w:sz w:val="19"/>
                <w:szCs w:val="19"/>
              </w:rPr>
            </w:pPr>
            <w:r w:rsidRPr="00F26B4B">
              <w:rPr>
                <w:rFonts w:asciiTheme="minorHAnsi" w:hAnsiTheme="minorHAnsi" w:cstheme="minorHAnsi"/>
                <w:b/>
                <w:sz w:val="19"/>
                <w:szCs w:val="19"/>
              </w:rPr>
              <w:t>Risk</w:t>
            </w:r>
            <w:r w:rsidRPr="00F26B4B">
              <w:rPr>
                <w:rFonts w:asciiTheme="minorHAnsi" w:hAnsiTheme="minorHAnsi" w:cstheme="minorHAnsi"/>
                <w:sz w:val="19"/>
                <w:szCs w:val="19"/>
              </w:rPr>
              <w:t xml:space="preserve"> </w:t>
            </w:r>
          </w:p>
          <w:p w14:paraId="336732F5" w14:textId="7653193F" w:rsidR="00A73193" w:rsidRPr="00F26B4B" w:rsidRDefault="00A73193" w:rsidP="008865D7">
            <w:pPr>
              <w:pStyle w:val="TableText"/>
              <w:spacing w:before="0" w:after="0" w:line="360" w:lineRule="auto"/>
              <w:rPr>
                <w:rFonts w:asciiTheme="minorHAnsi" w:hAnsiTheme="minorHAnsi" w:cstheme="minorHAnsi"/>
                <w:sz w:val="19"/>
                <w:szCs w:val="19"/>
              </w:rPr>
            </w:pPr>
            <w:r w:rsidRPr="00F26B4B">
              <w:rPr>
                <w:rFonts w:asciiTheme="minorHAnsi" w:hAnsiTheme="minorHAnsi" w:cstheme="minorHAnsi"/>
                <w:b/>
                <w:sz w:val="19"/>
                <w:szCs w:val="19"/>
              </w:rPr>
              <w:t xml:space="preserve">Impact </w:t>
            </w:r>
          </w:p>
          <w:p w14:paraId="2EA400EA" w14:textId="6764E14E" w:rsidR="00A73193" w:rsidRPr="00F26B4B" w:rsidRDefault="00A73193" w:rsidP="008865D7">
            <w:pPr>
              <w:pStyle w:val="TableText"/>
              <w:spacing w:before="0" w:after="0" w:line="360" w:lineRule="auto"/>
              <w:rPr>
                <w:rFonts w:asciiTheme="minorHAnsi" w:hAnsiTheme="minorHAnsi" w:cstheme="minorHAnsi"/>
                <w:sz w:val="19"/>
                <w:szCs w:val="19"/>
              </w:rPr>
            </w:pPr>
            <w:r w:rsidRPr="00F26B4B">
              <w:rPr>
                <w:rFonts w:asciiTheme="minorHAnsi" w:hAnsiTheme="minorHAnsi" w:cstheme="minorHAnsi"/>
                <w:b/>
                <w:sz w:val="19"/>
                <w:szCs w:val="19"/>
              </w:rPr>
              <w:t xml:space="preserve">Evidence </w:t>
            </w:r>
          </w:p>
        </w:tc>
        <w:tc>
          <w:tcPr>
            <w:tcW w:w="3827" w:type="dxa"/>
            <w:vAlign w:val="center"/>
          </w:tcPr>
          <w:p w14:paraId="5AFBFBBC" w14:textId="56CCDA22" w:rsidR="00A73193" w:rsidRPr="00F26B4B" w:rsidRDefault="0064033C" w:rsidP="008865D7">
            <w:pPr>
              <w:pBdr>
                <w:left w:val="single" w:sz="4" w:space="4" w:color="auto"/>
              </w:pBdr>
              <w:spacing w:before="120" w:line="360" w:lineRule="auto"/>
              <w:rPr>
                <w:rFonts w:asciiTheme="minorHAnsi" w:hAnsiTheme="minorHAnsi" w:cstheme="minorHAnsi"/>
                <w:b/>
                <w:sz w:val="19"/>
                <w:szCs w:val="19"/>
              </w:rPr>
            </w:pPr>
            <w:r w:rsidRPr="00F26B4B">
              <w:rPr>
                <w:rFonts w:asciiTheme="minorHAnsi" w:hAnsiTheme="minorHAnsi" w:cstheme="minorHAnsi"/>
                <w:sz w:val="19"/>
                <w:szCs w:val="19"/>
              </w:rPr>
              <w:t>H</w:t>
            </w:r>
            <w:r w:rsidR="00A73193" w:rsidRPr="00F26B4B">
              <w:rPr>
                <w:rFonts w:asciiTheme="minorHAnsi" w:hAnsiTheme="minorHAnsi" w:cstheme="minorHAnsi"/>
                <w:sz w:val="19"/>
                <w:szCs w:val="19"/>
              </w:rPr>
              <w:t>igh strategic significance or opportunity</w:t>
            </w:r>
            <w:r w:rsidR="00A73193" w:rsidRPr="00F26B4B" w:rsidDel="00A73193">
              <w:rPr>
                <w:rFonts w:asciiTheme="minorHAnsi" w:hAnsiTheme="minorHAnsi" w:cstheme="minorHAnsi"/>
                <w:b/>
                <w:sz w:val="19"/>
                <w:szCs w:val="19"/>
              </w:rPr>
              <w:t xml:space="preserve"> </w:t>
            </w:r>
          </w:p>
          <w:p w14:paraId="5CDC17CE" w14:textId="2B2E918D" w:rsidR="00A73193" w:rsidRPr="00F26B4B" w:rsidRDefault="0064033C" w:rsidP="008865D7">
            <w:pPr>
              <w:pBdr>
                <w:left w:val="single" w:sz="4" w:space="4" w:color="auto"/>
              </w:pBdr>
              <w:spacing w:line="360" w:lineRule="auto"/>
              <w:rPr>
                <w:rFonts w:asciiTheme="minorHAnsi" w:hAnsiTheme="minorHAnsi" w:cstheme="minorHAnsi"/>
                <w:sz w:val="19"/>
                <w:szCs w:val="19"/>
              </w:rPr>
            </w:pPr>
            <w:r w:rsidRPr="00F26B4B">
              <w:rPr>
                <w:rFonts w:asciiTheme="minorHAnsi" w:hAnsiTheme="minorHAnsi" w:cstheme="minorHAnsi"/>
                <w:sz w:val="19"/>
                <w:szCs w:val="19"/>
              </w:rPr>
              <w:t>H</w:t>
            </w:r>
            <w:r w:rsidR="00A73193" w:rsidRPr="00F26B4B">
              <w:rPr>
                <w:rFonts w:asciiTheme="minorHAnsi" w:hAnsiTheme="minorHAnsi" w:cstheme="minorHAnsi"/>
                <w:sz w:val="19"/>
                <w:szCs w:val="19"/>
              </w:rPr>
              <w:t>igh level of funding</w:t>
            </w:r>
          </w:p>
          <w:p w14:paraId="0E9B8F2B" w14:textId="41129DD8" w:rsidR="00A73193" w:rsidRPr="00F26B4B" w:rsidRDefault="0064033C" w:rsidP="008865D7">
            <w:pPr>
              <w:pBdr>
                <w:left w:val="single" w:sz="4" w:space="4" w:color="auto"/>
              </w:pBdr>
              <w:spacing w:line="360" w:lineRule="auto"/>
              <w:rPr>
                <w:rFonts w:asciiTheme="minorHAnsi" w:hAnsiTheme="minorHAnsi" w:cstheme="minorHAnsi"/>
                <w:sz w:val="19"/>
                <w:szCs w:val="19"/>
              </w:rPr>
            </w:pPr>
            <w:r w:rsidRPr="00F26B4B">
              <w:rPr>
                <w:rFonts w:asciiTheme="minorHAnsi" w:hAnsiTheme="minorHAnsi" w:cstheme="minorHAnsi"/>
                <w:sz w:val="19"/>
                <w:szCs w:val="19"/>
              </w:rPr>
              <w:t>H</w:t>
            </w:r>
            <w:r w:rsidR="00A73193" w:rsidRPr="00F26B4B">
              <w:rPr>
                <w:rFonts w:asciiTheme="minorHAnsi" w:hAnsiTheme="minorHAnsi" w:cstheme="minorHAnsi"/>
                <w:sz w:val="19"/>
                <w:szCs w:val="19"/>
              </w:rPr>
              <w:t>igh risk</w:t>
            </w:r>
          </w:p>
          <w:p w14:paraId="3E2B2A37" w14:textId="54A37FB7" w:rsidR="00A73193" w:rsidRPr="00F26B4B" w:rsidRDefault="0064033C" w:rsidP="008865D7">
            <w:pPr>
              <w:pBdr>
                <w:left w:val="single" w:sz="4" w:space="4" w:color="auto"/>
              </w:pBdr>
              <w:spacing w:line="360" w:lineRule="auto"/>
              <w:rPr>
                <w:rFonts w:asciiTheme="minorHAnsi" w:hAnsiTheme="minorHAnsi" w:cstheme="minorHAnsi"/>
                <w:sz w:val="19"/>
                <w:szCs w:val="19"/>
              </w:rPr>
            </w:pPr>
            <w:r w:rsidRPr="00F26B4B">
              <w:rPr>
                <w:rFonts w:asciiTheme="minorHAnsi" w:hAnsiTheme="minorHAnsi" w:cstheme="minorHAnsi"/>
                <w:sz w:val="19"/>
                <w:szCs w:val="19"/>
              </w:rPr>
              <w:t>H</w:t>
            </w:r>
            <w:r w:rsidR="00A73193" w:rsidRPr="00F26B4B">
              <w:rPr>
                <w:rFonts w:asciiTheme="minorHAnsi" w:hAnsiTheme="minorHAnsi" w:cstheme="minorHAnsi"/>
                <w:sz w:val="19"/>
                <w:szCs w:val="19"/>
              </w:rPr>
              <w:t xml:space="preserve">igh </w:t>
            </w:r>
            <w:r w:rsidR="00786411" w:rsidRPr="00F26B4B">
              <w:rPr>
                <w:rFonts w:asciiTheme="minorHAnsi" w:hAnsiTheme="minorHAnsi" w:cstheme="minorHAnsi"/>
                <w:sz w:val="19"/>
                <w:szCs w:val="19"/>
              </w:rPr>
              <w:t>(</w:t>
            </w:r>
            <w:proofErr w:type="gramStart"/>
            <w:r w:rsidR="00786411" w:rsidRPr="00F26B4B">
              <w:rPr>
                <w:rFonts w:asciiTheme="minorHAnsi" w:hAnsiTheme="minorHAnsi" w:cstheme="minorHAnsi"/>
                <w:sz w:val="19"/>
                <w:szCs w:val="19"/>
              </w:rPr>
              <w:t>e.g.</w:t>
            </w:r>
            <w:proofErr w:type="gramEnd"/>
            <w:r w:rsidR="00786411" w:rsidRPr="00F26B4B">
              <w:rPr>
                <w:rFonts w:asciiTheme="minorHAnsi" w:hAnsiTheme="minorHAnsi" w:cstheme="minorHAnsi"/>
                <w:sz w:val="19"/>
                <w:szCs w:val="19"/>
              </w:rPr>
              <w:t xml:space="preserve"> </w:t>
            </w:r>
            <w:r w:rsidR="00A73193" w:rsidRPr="00F26B4B">
              <w:rPr>
                <w:rFonts w:asciiTheme="minorHAnsi" w:hAnsiTheme="minorHAnsi" w:cstheme="minorHAnsi"/>
                <w:sz w:val="19"/>
                <w:szCs w:val="19"/>
              </w:rPr>
              <w:t>health outcomes</w:t>
            </w:r>
            <w:r w:rsidR="00786411" w:rsidRPr="00F26B4B">
              <w:rPr>
                <w:rFonts w:asciiTheme="minorHAnsi" w:hAnsiTheme="minorHAnsi" w:cstheme="minorHAnsi"/>
                <w:sz w:val="19"/>
                <w:szCs w:val="19"/>
              </w:rPr>
              <w:t>)</w:t>
            </w:r>
          </w:p>
          <w:p w14:paraId="7D884D83" w14:textId="22E02969" w:rsidR="00A73193" w:rsidRPr="00F26B4B" w:rsidRDefault="0064033C" w:rsidP="008865D7">
            <w:pPr>
              <w:pBdr>
                <w:left w:val="single" w:sz="4" w:space="4" w:color="auto"/>
              </w:pBdr>
              <w:rPr>
                <w:rFonts w:asciiTheme="minorHAnsi" w:hAnsiTheme="minorHAnsi" w:cstheme="minorHAnsi"/>
                <w:sz w:val="19"/>
                <w:szCs w:val="19"/>
              </w:rPr>
            </w:pPr>
            <w:r w:rsidRPr="00F26B4B">
              <w:rPr>
                <w:rFonts w:asciiTheme="minorHAnsi" w:hAnsiTheme="minorHAnsi" w:cstheme="minorHAnsi"/>
                <w:sz w:val="19"/>
                <w:szCs w:val="19"/>
              </w:rPr>
              <w:t>L</w:t>
            </w:r>
            <w:r w:rsidR="00A73193" w:rsidRPr="00F26B4B">
              <w:rPr>
                <w:rFonts w:asciiTheme="minorHAnsi" w:hAnsiTheme="minorHAnsi" w:cstheme="minorHAnsi"/>
                <w:sz w:val="19"/>
                <w:szCs w:val="19"/>
              </w:rPr>
              <w:t>ack of current evidence base (</w:t>
            </w:r>
            <w:proofErr w:type="gramStart"/>
            <w:r w:rsidR="00A73193" w:rsidRPr="00F26B4B">
              <w:rPr>
                <w:rFonts w:asciiTheme="minorHAnsi" w:hAnsiTheme="minorHAnsi" w:cstheme="minorHAnsi"/>
                <w:sz w:val="19"/>
                <w:szCs w:val="19"/>
              </w:rPr>
              <w:t>e.g</w:t>
            </w:r>
            <w:r w:rsidR="00786411" w:rsidRPr="00F26B4B">
              <w:rPr>
                <w:rFonts w:asciiTheme="minorHAnsi" w:hAnsiTheme="minorHAnsi" w:cstheme="minorHAnsi"/>
                <w:sz w:val="19"/>
                <w:szCs w:val="19"/>
              </w:rPr>
              <w:t>.</w:t>
            </w:r>
            <w:proofErr w:type="gramEnd"/>
            <w:r w:rsidR="00786411" w:rsidRPr="00F26B4B">
              <w:rPr>
                <w:rFonts w:asciiTheme="minorHAnsi" w:hAnsiTheme="minorHAnsi" w:cstheme="minorHAnsi"/>
                <w:sz w:val="19"/>
                <w:szCs w:val="19"/>
              </w:rPr>
              <w:t xml:space="preserve"> emerging    </w:t>
            </w:r>
            <w:r w:rsidR="00A73193" w:rsidRPr="00F26B4B">
              <w:rPr>
                <w:rFonts w:asciiTheme="minorHAnsi" w:hAnsiTheme="minorHAnsi" w:cstheme="minorHAnsi"/>
                <w:sz w:val="19"/>
                <w:szCs w:val="19"/>
              </w:rPr>
              <w:t>policy area, new program)</w:t>
            </w:r>
          </w:p>
        </w:tc>
        <w:tc>
          <w:tcPr>
            <w:tcW w:w="3239" w:type="dxa"/>
            <w:vAlign w:val="center"/>
          </w:tcPr>
          <w:p w14:paraId="71129B2A" w14:textId="0CA1725F" w:rsidR="00A73193" w:rsidRPr="00F26B4B" w:rsidRDefault="00A73193" w:rsidP="002D4620">
            <w:pPr>
              <w:spacing w:after="103" w:line="259" w:lineRule="auto"/>
              <w:rPr>
                <w:rFonts w:asciiTheme="minorHAnsi" w:hAnsiTheme="minorHAnsi" w:cstheme="minorHAnsi"/>
                <w:sz w:val="19"/>
                <w:szCs w:val="19"/>
              </w:rPr>
            </w:pPr>
            <w:r w:rsidRPr="00F26B4B">
              <w:rPr>
                <w:rFonts w:asciiTheme="minorHAnsi" w:hAnsiTheme="minorHAnsi" w:cstheme="minorHAnsi"/>
                <w:sz w:val="19"/>
                <w:szCs w:val="19"/>
              </w:rPr>
              <w:t>Extensive consultation</w:t>
            </w:r>
          </w:p>
          <w:p w14:paraId="71D78EC5" w14:textId="28AD5618" w:rsidR="00A73193" w:rsidRPr="00F26B4B" w:rsidRDefault="00A73193" w:rsidP="002D4620">
            <w:pPr>
              <w:spacing w:after="103" w:line="259" w:lineRule="auto"/>
              <w:rPr>
                <w:rFonts w:asciiTheme="minorHAnsi" w:hAnsiTheme="minorHAnsi" w:cstheme="minorHAnsi"/>
                <w:sz w:val="19"/>
                <w:szCs w:val="19"/>
              </w:rPr>
            </w:pPr>
            <w:r w:rsidRPr="00F26B4B">
              <w:rPr>
                <w:rFonts w:asciiTheme="minorHAnsi" w:hAnsiTheme="minorHAnsi" w:cstheme="minorHAnsi"/>
                <w:sz w:val="19"/>
                <w:szCs w:val="19"/>
              </w:rPr>
              <w:t>High resource allocation</w:t>
            </w:r>
          </w:p>
          <w:p w14:paraId="758D06C9" w14:textId="1CCC974F" w:rsidR="00A73193" w:rsidRPr="00F26B4B" w:rsidRDefault="00A73193" w:rsidP="002D4620">
            <w:pPr>
              <w:spacing w:after="103" w:line="259" w:lineRule="auto"/>
              <w:rPr>
                <w:rFonts w:asciiTheme="minorHAnsi" w:hAnsiTheme="minorHAnsi" w:cstheme="minorHAnsi"/>
                <w:sz w:val="19"/>
                <w:szCs w:val="19"/>
              </w:rPr>
            </w:pPr>
            <w:r w:rsidRPr="00F26B4B">
              <w:rPr>
                <w:rFonts w:asciiTheme="minorHAnsi" w:hAnsiTheme="minorHAnsi" w:cstheme="minorHAnsi"/>
                <w:sz w:val="19"/>
                <w:szCs w:val="19"/>
              </w:rPr>
              <w:t>High quantitative data requirements</w:t>
            </w:r>
          </w:p>
          <w:p w14:paraId="3E4A4A86" w14:textId="6FD57B34" w:rsidR="00A73193" w:rsidRPr="00F26B4B" w:rsidRDefault="00A73193" w:rsidP="002D4620">
            <w:pPr>
              <w:spacing w:after="105" w:line="259" w:lineRule="auto"/>
              <w:rPr>
                <w:rFonts w:asciiTheme="minorHAnsi" w:hAnsiTheme="minorHAnsi" w:cstheme="minorHAnsi"/>
                <w:sz w:val="19"/>
                <w:szCs w:val="19"/>
              </w:rPr>
            </w:pPr>
            <w:r w:rsidRPr="00F26B4B">
              <w:rPr>
                <w:rFonts w:asciiTheme="minorHAnsi" w:hAnsiTheme="minorHAnsi" w:cstheme="minorHAnsi"/>
                <w:sz w:val="19"/>
                <w:szCs w:val="19"/>
              </w:rPr>
              <w:t>Comprehensive qualitative</w:t>
            </w:r>
          </w:p>
          <w:p w14:paraId="4319DA1C" w14:textId="6BE45AFF" w:rsidR="00A73193" w:rsidRPr="00F26B4B" w:rsidRDefault="00A73193" w:rsidP="002D4620">
            <w:pPr>
              <w:spacing w:line="259" w:lineRule="auto"/>
              <w:rPr>
                <w:rFonts w:asciiTheme="minorHAnsi" w:hAnsiTheme="minorHAnsi" w:cstheme="minorHAnsi"/>
                <w:sz w:val="19"/>
                <w:szCs w:val="19"/>
              </w:rPr>
            </w:pPr>
            <w:r w:rsidRPr="00F26B4B">
              <w:rPr>
                <w:rFonts w:asciiTheme="minorHAnsi" w:hAnsiTheme="minorHAnsi" w:cstheme="minorHAnsi"/>
                <w:sz w:val="19"/>
                <w:szCs w:val="19"/>
              </w:rPr>
              <w:t>Comprehensive evaluation reports</w:t>
            </w:r>
          </w:p>
        </w:tc>
      </w:tr>
      <w:tr w:rsidR="00145BD3" w:rsidRPr="00BD5D43" w14:paraId="499AB9D1" w14:textId="77777777" w:rsidTr="008865D7">
        <w:trPr>
          <w:trHeight w:val="1956"/>
        </w:trPr>
        <w:tc>
          <w:tcPr>
            <w:tcW w:w="846" w:type="dxa"/>
          </w:tcPr>
          <w:p w14:paraId="66D8BD82" w14:textId="77777777" w:rsidR="00145BD3" w:rsidRPr="00B65C97" w:rsidRDefault="00145BD3" w:rsidP="00B65C97">
            <w:pPr>
              <w:spacing w:before="120" w:after="120"/>
              <w:rPr>
                <w:rStyle w:val="Strong"/>
                <w:rFonts w:asciiTheme="minorHAnsi" w:hAnsiTheme="minorHAnsi" w:cstheme="minorHAnsi"/>
              </w:rPr>
            </w:pPr>
            <w:r w:rsidRPr="00B65C97">
              <w:rPr>
                <w:rStyle w:val="Strong"/>
                <w:rFonts w:asciiTheme="minorHAnsi" w:hAnsiTheme="minorHAnsi" w:cstheme="minorHAnsi"/>
              </w:rPr>
              <w:t xml:space="preserve">Two </w:t>
            </w:r>
          </w:p>
        </w:tc>
        <w:tc>
          <w:tcPr>
            <w:tcW w:w="992" w:type="dxa"/>
          </w:tcPr>
          <w:p w14:paraId="23EB2029" w14:textId="5A1B39CA" w:rsidR="00145BD3" w:rsidRPr="00F26B4B" w:rsidRDefault="00145BD3" w:rsidP="008865D7">
            <w:pPr>
              <w:pStyle w:val="TableText"/>
              <w:spacing w:after="0" w:line="360" w:lineRule="auto"/>
              <w:rPr>
                <w:rFonts w:asciiTheme="minorHAnsi" w:hAnsiTheme="minorHAnsi" w:cstheme="minorHAnsi"/>
                <w:b/>
                <w:sz w:val="19"/>
                <w:szCs w:val="19"/>
              </w:rPr>
            </w:pPr>
            <w:r w:rsidRPr="00F26B4B">
              <w:rPr>
                <w:rFonts w:asciiTheme="minorHAnsi" w:hAnsiTheme="minorHAnsi" w:cstheme="minorHAnsi"/>
                <w:b/>
                <w:sz w:val="19"/>
                <w:szCs w:val="19"/>
              </w:rPr>
              <w:t>Priority</w:t>
            </w:r>
          </w:p>
          <w:p w14:paraId="0E3D8902" w14:textId="43607741" w:rsidR="00145BD3" w:rsidRPr="00F26B4B" w:rsidRDefault="00145BD3" w:rsidP="008865D7">
            <w:pPr>
              <w:pStyle w:val="TableText"/>
              <w:spacing w:before="0" w:after="0" w:line="360" w:lineRule="auto"/>
              <w:rPr>
                <w:rFonts w:asciiTheme="minorHAnsi" w:hAnsiTheme="minorHAnsi" w:cstheme="minorHAnsi"/>
                <w:b/>
                <w:sz w:val="19"/>
                <w:szCs w:val="19"/>
              </w:rPr>
            </w:pPr>
            <w:r w:rsidRPr="00F26B4B">
              <w:rPr>
                <w:rFonts w:asciiTheme="minorHAnsi" w:hAnsiTheme="minorHAnsi" w:cstheme="minorHAnsi"/>
                <w:b/>
                <w:sz w:val="19"/>
                <w:szCs w:val="19"/>
              </w:rPr>
              <w:t xml:space="preserve">Funding </w:t>
            </w:r>
          </w:p>
          <w:p w14:paraId="0660FD48" w14:textId="33588932" w:rsidR="00145BD3" w:rsidRPr="00F26B4B" w:rsidRDefault="00145BD3" w:rsidP="008865D7">
            <w:pPr>
              <w:pStyle w:val="TableText"/>
              <w:spacing w:before="0" w:after="0" w:line="360" w:lineRule="auto"/>
              <w:rPr>
                <w:rFonts w:asciiTheme="minorHAnsi" w:hAnsiTheme="minorHAnsi" w:cstheme="minorHAnsi"/>
                <w:b/>
                <w:sz w:val="19"/>
                <w:szCs w:val="19"/>
              </w:rPr>
            </w:pPr>
            <w:r w:rsidRPr="00F26B4B">
              <w:rPr>
                <w:rFonts w:asciiTheme="minorHAnsi" w:hAnsiTheme="minorHAnsi" w:cstheme="minorHAnsi"/>
                <w:b/>
                <w:sz w:val="19"/>
                <w:szCs w:val="19"/>
              </w:rPr>
              <w:t>Risk</w:t>
            </w:r>
          </w:p>
          <w:p w14:paraId="01514134" w14:textId="5B56317E" w:rsidR="00145BD3" w:rsidRPr="00F26B4B" w:rsidRDefault="00145BD3" w:rsidP="008865D7">
            <w:pPr>
              <w:pStyle w:val="TableText"/>
              <w:spacing w:before="0" w:after="0" w:line="360" w:lineRule="auto"/>
              <w:rPr>
                <w:rFonts w:asciiTheme="minorHAnsi" w:hAnsiTheme="minorHAnsi" w:cstheme="minorHAnsi"/>
                <w:b/>
                <w:sz w:val="19"/>
                <w:szCs w:val="19"/>
              </w:rPr>
            </w:pPr>
            <w:r w:rsidRPr="00F26B4B">
              <w:rPr>
                <w:rFonts w:asciiTheme="minorHAnsi" w:hAnsiTheme="minorHAnsi" w:cstheme="minorHAnsi"/>
                <w:b/>
                <w:sz w:val="19"/>
                <w:szCs w:val="19"/>
              </w:rPr>
              <w:t>Impact</w:t>
            </w:r>
          </w:p>
          <w:p w14:paraId="6F97F8D7" w14:textId="6837BAAA" w:rsidR="00145BD3" w:rsidRPr="00F26B4B" w:rsidRDefault="00145BD3" w:rsidP="008865D7">
            <w:pPr>
              <w:pStyle w:val="TableText"/>
              <w:spacing w:before="0" w:after="0" w:line="360" w:lineRule="auto"/>
              <w:rPr>
                <w:rFonts w:asciiTheme="minorHAnsi" w:hAnsiTheme="minorHAnsi" w:cstheme="minorHAnsi"/>
                <w:b/>
                <w:sz w:val="19"/>
                <w:szCs w:val="19"/>
              </w:rPr>
            </w:pPr>
            <w:r w:rsidRPr="00F26B4B">
              <w:rPr>
                <w:rFonts w:asciiTheme="minorHAnsi" w:hAnsiTheme="minorHAnsi" w:cstheme="minorHAnsi"/>
                <w:b/>
                <w:sz w:val="19"/>
                <w:szCs w:val="19"/>
              </w:rPr>
              <w:t xml:space="preserve">Evidence </w:t>
            </w:r>
          </w:p>
        </w:tc>
        <w:tc>
          <w:tcPr>
            <w:tcW w:w="3827" w:type="dxa"/>
          </w:tcPr>
          <w:p w14:paraId="2A032CB9" w14:textId="77777777" w:rsidR="00145BD3" w:rsidRPr="00F26B4B" w:rsidRDefault="00145BD3" w:rsidP="008865D7">
            <w:pPr>
              <w:spacing w:before="120"/>
              <w:rPr>
                <w:rFonts w:asciiTheme="minorHAnsi" w:hAnsiTheme="minorHAnsi" w:cstheme="minorHAnsi"/>
                <w:sz w:val="19"/>
                <w:szCs w:val="19"/>
              </w:rPr>
            </w:pPr>
            <w:r w:rsidRPr="00F26B4B">
              <w:rPr>
                <w:rFonts w:asciiTheme="minorHAnsi" w:hAnsiTheme="minorHAnsi" w:cstheme="minorHAnsi"/>
                <w:sz w:val="19"/>
                <w:szCs w:val="19"/>
              </w:rPr>
              <w:t xml:space="preserve">Medium strategic importance or opportunity </w:t>
            </w:r>
          </w:p>
          <w:p w14:paraId="4CBAC20F" w14:textId="77777777" w:rsidR="00145BD3" w:rsidRPr="00F26B4B" w:rsidRDefault="00145BD3" w:rsidP="008865D7">
            <w:pPr>
              <w:spacing w:before="120"/>
              <w:rPr>
                <w:rFonts w:asciiTheme="minorHAnsi" w:hAnsiTheme="minorHAnsi" w:cstheme="minorHAnsi"/>
                <w:sz w:val="19"/>
                <w:szCs w:val="19"/>
              </w:rPr>
            </w:pPr>
            <w:r w:rsidRPr="00F26B4B">
              <w:rPr>
                <w:rFonts w:asciiTheme="minorHAnsi" w:hAnsiTheme="minorHAnsi" w:cstheme="minorHAnsi"/>
                <w:sz w:val="19"/>
                <w:szCs w:val="19"/>
              </w:rPr>
              <w:t xml:space="preserve">Moderate level of funding </w:t>
            </w:r>
          </w:p>
          <w:p w14:paraId="31603E85" w14:textId="2785A294" w:rsidR="00145BD3" w:rsidRPr="00F26B4B" w:rsidRDefault="00145BD3" w:rsidP="008865D7">
            <w:pPr>
              <w:spacing w:before="120"/>
              <w:rPr>
                <w:rFonts w:asciiTheme="minorHAnsi" w:hAnsiTheme="minorHAnsi" w:cstheme="minorHAnsi"/>
                <w:sz w:val="19"/>
                <w:szCs w:val="19"/>
              </w:rPr>
            </w:pPr>
            <w:r w:rsidRPr="00F26B4B">
              <w:rPr>
                <w:rFonts w:asciiTheme="minorHAnsi" w:hAnsiTheme="minorHAnsi" w:cstheme="minorHAnsi"/>
                <w:sz w:val="19"/>
                <w:szCs w:val="19"/>
              </w:rPr>
              <w:t xml:space="preserve">Medium risk </w:t>
            </w:r>
          </w:p>
          <w:p w14:paraId="0E9B1109" w14:textId="18400607" w:rsidR="00145BD3" w:rsidRPr="00F26B4B" w:rsidRDefault="00145BD3" w:rsidP="008865D7">
            <w:pPr>
              <w:spacing w:before="120"/>
              <w:rPr>
                <w:rFonts w:asciiTheme="minorHAnsi" w:hAnsiTheme="minorHAnsi" w:cstheme="minorHAnsi"/>
                <w:sz w:val="19"/>
                <w:szCs w:val="19"/>
              </w:rPr>
            </w:pPr>
            <w:r w:rsidRPr="00F26B4B">
              <w:rPr>
                <w:rFonts w:asciiTheme="minorHAnsi" w:hAnsiTheme="minorHAnsi" w:cstheme="minorHAnsi"/>
                <w:sz w:val="19"/>
                <w:szCs w:val="19"/>
              </w:rPr>
              <w:t>Moderate (</w:t>
            </w:r>
            <w:proofErr w:type="gramStart"/>
            <w:r w:rsidRPr="00F26B4B">
              <w:rPr>
                <w:rFonts w:asciiTheme="minorHAnsi" w:hAnsiTheme="minorHAnsi" w:cstheme="minorHAnsi"/>
                <w:sz w:val="19"/>
                <w:szCs w:val="19"/>
              </w:rPr>
              <w:t>e.g.</w:t>
            </w:r>
            <w:proofErr w:type="gramEnd"/>
            <w:r w:rsidRPr="00F26B4B">
              <w:rPr>
                <w:rFonts w:asciiTheme="minorHAnsi" w:hAnsiTheme="minorHAnsi" w:cstheme="minorHAnsi"/>
                <w:sz w:val="19"/>
                <w:szCs w:val="19"/>
              </w:rPr>
              <w:t xml:space="preserve"> health outcomes)</w:t>
            </w:r>
          </w:p>
          <w:p w14:paraId="29E55A79" w14:textId="47DAC7FB" w:rsidR="00145BD3" w:rsidRPr="00F26B4B" w:rsidRDefault="00145BD3" w:rsidP="008865D7">
            <w:pPr>
              <w:spacing w:before="120"/>
              <w:rPr>
                <w:rFonts w:asciiTheme="minorHAnsi" w:hAnsiTheme="minorHAnsi" w:cstheme="minorHAnsi"/>
                <w:sz w:val="19"/>
                <w:szCs w:val="19"/>
              </w:rPr>
            </w:pPr>
            <w:r w:rsidRPr="00F26B4B">
              <w:rPr>
                <w:rFonts w:asciiTheme="minorHAnsi" w:hAnsiTheme="minorHAnsi" w:cstheme="minorHAnsi"/>
                <w:sz w:val="19"/>
                <w:szCs w:val="19"/>
              </w:rPr>
              <w:t>Lack of current evidence base (</w:t>
            </w:r>
            <w:proofErr w:type="gramStart"/>
            <w:r w:rsidRPr="00F26B4B">
              <w:rPr>
                <w:rFonts w:asciiTheme="minorHAnsi" w:hAnsiTheme="minorHAnsi" w:cstheme="minorHAnsi"/>
                <w:sz w:val="19"/>
                <w:szCs w:val="19"/>
              </w:rPr>
              <w:t>e.g.</w:t>
            </w:r>
            <w:proofErr w:type="gramEnd"/>
            <w:r w:rsidRPr="00F26B4B">
              <w:rPr>
                <w:rFonts w:asciiTheme="minorHAnsi" w:hAnsiTheme="minorHAnsi" w:cstheme="minorHAnsi"/>
                <w:sz w:val="19"/>
                <w:szCs w:val="19"/>
              </w:rPr>
              <w:t xml:space="preserve"> new or untested program)</w:t>
            </w:r>
            <w:r w:rsidRPr="00F26B4B" w:rsidDel="00145BD3">
              <w:rPr>
                <w:rFonts w:asciiTheme="minorHAnsi" w:eastAsiaTheme="minorEastAsia" w:hAnsiTheme="minorHAnsi" w:cstheme="minorHAnsi"/>
                <w:b/>
                <w:sz w:val="19"/>
                <w:szCs w:val="19"/>
              </w:rPr>
              <w:t xml:space="preserve"> </w:t>
            </w:r>
          </w:p>
        </w:tc>
        <w:tc>
          <w:tcPr>
            <w:tcW w:w="3248" w:type="dxa"/>
            <w:gridSpan w:val="2"/>
          </w:tcPr>
          <w:p w14:paraId="6F67C52D" w14:textId="2F36CBB1" w:rsidR="00145BD3" w:rsidRPr="00F26B4B" w:rsidRDefault="00145BD3" w:rsidP="008865D7">
            <w:pPr>
              <w:spacing w:before="120" w:after="103" w:line="259" w:lineRule="auto"/>
              <w:rPr>
                <w:rFonts w:asciiTheme="minorHAnsi" w:hAnsiTheme="minorHAnsi" w:cstheme="minorHAnsi"/>
                <w:sz w:val="19"/>
                <w:szCs w:val="19"/>
              </w:rPr>
            </w:pPr>
            <w:r w:rsidRPr="00F26B4B">
              <w:rPr>
                <w:rFonts w:asciiTheme="minorHAnsi" w:hAnsiTheme="minorHAnsi" w:cstheme="minorHAnsi"/>
                <w:sz w:val="19"/>
                <w:szCs w:val="19"/>
              </w:rPr>
              <w:t>Moderate consultation</w:t>
            </w:r>
          </w:p>
          <w:p w14:paraId="68EA2E2E" w14:textId="6431012B" w:rsidR="00145BD3" w:rsidRPr="00F26B4B" w:rsidRDefault="00145BD3" w:rsidP="00394490">
            <w:pPr>
              <w:spacing w:after="103" w:line="259" w:lineRule="auto"/>
              <w:rPr>
                <w:rFonts w:asciiTheme="minorHAnsi" w:hAnsiTheme="minorHAnsi" w:cstheme="minorHAnsi"/>
                <w:sz w:val="19"/>
                <w:szCs w:val="19"/>
              </w:rPr>
            </w:pPr>
            <w:r w:rsidRPr="00F26B4B">
              <w:rPr>
                <w:rFonts w:asciiTheme="minorHAnsi" w:hAnsiTheme="minorHAnsi" w:cstheme="minorHAnsi"/>
                <w:sz w:val="19"/>
                <w:szCs w:val="19"/>
              </w:rPr>
              <w:t>Medium quantitative data requirements</w:t>
            </w:r>
          </w:p>
          <w:p w14:paraId="7AFA9BCF" w14:textId="4706AD7B" w:rsidR="00145BD3" w:rsidRPr="00F26B4B" w:rsidRDefault="00145BD3" w:rsidP="00394490">
            <w:pPr>
              <w:spacing w:after="103" w:line="259" w:lineRule="auto"/>
              <w:rPr>
                <w:rFonts w:asciiTheme="minorHAnsi" w:hAnsiTheme="minorHAnsi" w:cstheme="minorHAnsi"/>
                <w:sz w:val="19"/>
                <w:szCs w:val="19"/>
              </w:rPr>
            </w:pPr>
            <w:r w:rsidRPr="00F26B4B">
              <w:rPr>
                <w:rFonts w:asciiTheme="minorHAnsi" w:hAnsiTheme="minorHAnsi" w:cstheme="minorHAnsi"/>
                <w:sz w:val="19"/>
                <w:szCs w:val="19"/>
              </w:rPr>
              <w:t>Targeted qualitative</w:t>
            </w:r>
          </w:p>
          <w:p w14:paraId="7B385320" w14:textId="5EE5A632" w:rsidR="00145BD3" w:rsidRPr="00F26B4B" w:rsidRDefault="00145BD3" w:rsidP="008865D7">
            <w:pPr>
              <w:spacing w:after="103" w:line="259" w:lineRule="auto"/>
              <w:rPr>
                <w:rFonts w:asciiTheme="minorHAnsi" w:hAnsiTheme="minorHAnsi" w:cstheme="minorHAnsi"/>
                <w:sz w:val="19"/>
                <w:szCs w:val="19"/>
              </w:rPr>
            </w:pPr>
            <w:r w:rsidRPr="00F26B4B">
              <w:rPr>
                <w:rFonts w:asciiTheme="minorHAnsi" w:hAnsiTheme="minorHAnsi" w:cstheme="minorHAnsi"/>
                <w:sz w:val="19"/>
                <w:szCs w:val="19"/>
              </w:rPr>
              <w:t>Full evaluation reports</w:t>
            </w:r>
          </w:p>
        </w:tc>
      </w:tr>
      <w:tr w:rsidR="007E05DC" w:rsidRPr="00BD5D43" w14:paraId="5DD7100A" w14:textId="77777777" w:rsidTr="00105B4B">
        <w:trPr>
          <w:trHeight w:val="548"/>
        </w:trPr>
        <w:tc>
          <w:tcPr>
            <w:tcW w:w="846" w:type="dxa"/>
          </w:tcPr>
          <w:p w14:paraId="4FD764CF" w14:textId="77777777" w:rsidR="007E05DC" w:rsidRPr="00B65C97" w:rsidRDefault="007E05DC" w:rsidP="00B65C97">
            <w:pPr>
              <w:spacing w:before="120" w:after="120"/>
              <w:rPr>
                <w:rStyle w:val="Strong"/>
                <w:rFonts w:asciiTheme="minorHAnsi" w:hAnsiTheme="minorHAnsi" w:cstheme="minorHAnsi"/>
              </w:rPr>
            </w:pPr>
            <w:r w:rsidRPr="00B65C97">
              <w:rPr>
                <w:rStyle w:val="Strong"/>
                <w:rFonts w:asciiTheme="minorHAnsi" w:hAnsiTheme="minorHAnsi" w:cstheme="minorHAnsi"/>
              </w:rPr>
              <w:t xml:space="preserve">Three  </w:t>
            </w:r>
          </w:p>
        </w:tc>
        <w:tc>
          <w:tcPr>
            <w:tcW w:w="992" w:type="dxa"/>
          </w:tcPr>
          <w:p w14:paraId="5D3E3246" w14:textId="77777777" w:rsidR="0084520C" w:rsidRPr="00F26B4B" w:rsidRDefault="0084520C" w:rsidP="0084520C">
            <w:pPr>
              <w:pStyle w:val="TableText"/>
              <w:spacing w:after="0" w:line="360" w:lineRule="auto"/>
              <w:rPr>
                <w:rFonts w:asciiTheme="minorHAnsi" w:hAnsiTheme="minorHAnsi" w:cstheme="minorHAnsi"/>
                <w:b/>
                <w:sz w:val="19"/>
                <w:szCs w:val="19"/>
              </w:rPr>
            </w:pPr>
            <w:r w:rsidRPr="00F26B4B">
              <w:rPr>
                <w:rFonts w:asciiTheme="minorHAnsi" w:hAnsiTheme="minorHAnsi" w:cstheme="minorHAnsi"/>
                <w:b/>
                <w:sz w:val="19"/>
                <w:szCs w:val="19"/>
              </w:rPr>
              <w:t>Priority</w:t>
            </w:r>
          </w:p>
          <w:p w14:paraId="361B8F82" w14:textId="77777777" w:rsidR="0084520C" w:rsidRPr="00F26B4B" w:rsidRDefault="0084520C" w:rsidP="0084520C">
            <w:pPr>
              <w:pStyle w:val="TableText"/>
              <w:spacing w:before="0" w:after="0" w:line="360" w:lineRule="auto"/>
              <w:rPr>
                <w:rFonts w:asciiTheme="minorHAnsi" w:hAnsiTheme="minorHAnsi" w:cstheme="minorHAnsi"/>
                <w:b/>
                <w:sz w:val="19"/>
                <w:szCs w:val="19"/>
              </w:rPr>
            </w:pPr>
            <w:r w:rsidRPr="00F26B4B">
              <w:rPr>
                <w:rFonts w:asciiTheme="minorHAnsi" w:hAnsiTheme="minorHAnsi" w:cstheme="minorHAnsi"/>
                <w:b/>
                <w:sz w:val="19"/>
                <w:szCs w:val="19"/>
              </w:rPr>
              <w:t xml:space="preserve">Funding </w:t>
            </w:r>
          </w:p>
          <w:p w14:paraId="5A5D2D2A" w14:textId="77777777" w:rsidR="0084520C" w:rsidRPr="00F26B4B" w:rsidRDefault="0084520C" w:rsidP="0084520C">
            <w:pPr>
              <w:pStyle w:val="TableText"/>
              <w:spacing w:before="0" w:after="0" w:line="360" w:lineRule="auto"/>
              <w:rPr>
                <w:rFonts w:asciiTheme="minorHAnsi" w:hAnsiTheme="minorHAnsi" w:cstheme="minorHAnsi"/>
                <w:b/>
                <w:sz w:val="19"/>
                <w:szCs w:val="19"/>
              </w:rPr>
            </w:pPr>
            <w:r w:rsidRPr="00F26B4B">
              <w:rPr>
                <w:rFonts w:asciiTheme="minorHAnsi" w:hAnsiTheme="minorHAnsi" w:cstheme="minorHAnsi"/>
                <w:b/>
                <w:sz w:val="19"/>
                <w:szCs w:val="19"/>
              </w:rPr>
              <w:t>Risk</w:t>
            </w:r>
          </w:p>
          <w:p w14:paraId="439A9447" w14:textId="77777777" w:rsidR="0084520C" w:rsidRPr="00F26B4B" w:rsidRDefault="0084520C" w:rsidP="0084520C">
            <w:pPr>
              <w:pStyle w:val="TableText"/>
              <w:spacing w:before="0" w:after="0" w:line="360" w:lineRule="auto"/>
              <w:rPr>
                <w:rFonts w:asciiTheme="minorHAnsi" w:hAnsiTheme="minorHAnsi" w:cstheme="minorHAnsi"/>
                <w:b/>
                <w:sz w:val="19"/>
                <w:szCs w:val="19"/>
              </w:rPr>
            </w:pPr>
            <w:r w:rsidRPr="00F26B4B">
              <w:rPr>
                <w:rFonts w:asciiTheme="minorHAnsi" w:hAnsiTheme="minorHAnsi" w:cstheme="minorHAnsi"/>
                <w:b/>
                <w:sz w:val="19"/>
                <w:szCs w:val="19"/>
              </w:rPr>
              <w:t>Impact</w:t>
            </w:r>
          </w:p>
          <w:p w14:paraId="07429B40" w14:textId="7109DDF0" w:rsidR="007E05DC" w:rsidRPr="00F26B4B" w:rsidRDefault="0084520C" w:rsidP="00394490">
            <w:pPr>
              <w:pStyle w:val="TableText"/>
              <w:spacing w:before="0" w:after="0"/>
              <w:rPr>
                <w:rFonts w:asciiTheme="minorHAnsi" w:hAnsiTheme="minorHAnsi" w:cstheme="minorHAnsi"/>
                <w:sz w:val="19"/>
                <w:szCs w:val="19"/>
              </w:rPr>
            </w:pPr>
            <w:r w:rsidRPr="00F26B4B">
              <w:rPr>
                <w:rFonts w:asciiTheme="minorHAnsi" w:hAnsiTheme="minorHAnsi" w:cstheme="minorHAnsi"/>
                <w:b/>
                <w:sz w:val="19"/>
                <w:szCs w:val="19"/>
              </w:rPr>
              <w:t xml:space="preserve">Evidence </w:t>
            </w:r>
          </w:p>
        </w:tc>
        <w:tc>
          <w:tcPr>
            <w:tcW w:w="3827" w:type="dxa"/>
          </w:tcPr>
          <w:p w14:paraId="14AF9468" w14:textId="7B34F5AB" w:rsidR="0084520C" w:rsidRPr="00F26B4B" w:rsidRDefault="0084520C" w:rsidP="008865D7">
            <w:pPr>
              <w:spacing w:before="120"/>
              <w:rPr>
                <w:rFonts w:asciiTheme="minorHAnsi" w:hAnsiTheme="minorHAnsi" w:cstheme="minorHAnsi"/>
                <w:sz w:val="19"/>
                <w:szCs w:val="19"/>
              </w:rPr>
            </w:pPr>
            <w:r w:rsidRPr="00F26B4B">
              <w:rPr>
                <w:rFonts w:asciiTheme="minorHAnsi" w:hAnsiTheme="minorHAnsi" w:cstheme="minorHAnsi"/>
                <w:sz w:val="19"/>
                <w:szCs w:val="19"/>
              </w:rPr>
              <w:t>Low strategic importance or opportunity</w:t>
            </w:r>
          </w:p>
          <w:p w14:paraId="5EDE2912" w14:textId="231047DB" w:rsidR="0084520C" w:rsidRPr="00F26B4B" w:rsidRDefault="0084520C" w:rsidP="008865D7">
            <w:pPr>
              <w:spacing w:before="120"/>
              <w:rPr>
                <w:rFonts w:asciiTheme="minorHAnsi" w:hAnsiTheme="minorHAnsi" w:cstheme="minorHAnsi"/>
                <w:sz w:val="19"/>
                <w:szCs w:val="19"/>
              </w:rPr>
            </w:pPr>
            <w:r w:rsidRPr="00F26B4B">
              <w:rPr>
                <w:rFonts w:asciiTheme="minorHAnsi" w:hAnsiTheme="minorHAnsi" w:cstheme="minorHAnsi"/>
                <w:sz w:val="19"/>
                <w:szCs w:val="19"/>
              </w:rPr>
              <w:t>Small level of funding</w:t>
            </w:r>
          </w:p>
          <w:p w14:paraId="5B23BEB4" w14:textId="70E125E3" w:rsidR="0084520C" w:rsidRPr="00F26B4B" w:rsidRDefault="0084520C" w:rsidP="008865D7">
            <w:pPr>
              <w:spacing w:before="120"/>
              <w:rPr>
                <w:rFonts w:asciiTheme="minorHAnsi" w:hAnsiTheme="minorHAnsi" w:cstheme="minorHAnsi"/>
                <w:sz w:val="19"/>
                <w:szCs w:val="19"/>
              </w:rPr>
            </w:pPr>
            <w:r w:rsidRPr="00F26B4B">
              <w:rPr>
                <w:rFonts w:asciiTheme="minorHAnsi" w:hAnsiTheme="minorHAnsi" w:cstheme="minorHAnsi"/>
                <w:sz w:val="19"/>
                <w:szCs w:val="19"/>
              </w:rPr>
              <w:t>Low risk</w:t>
            </w:r>
          </w:p>
          <w:p w14:paraId="378698A4" w14:textId="6E6566FF" w:rsidR="007E05DC" w:rsidRPr="00F26B4B" w:rsidRDefault="0084520C" w:rsidP="008865D7">
            <w:pPr>
              <w:spacing w:before="120"/>
              <w:rPr>
                <w:rFonts w:asciiTheme="minorHAnsi" w:hAnsiTheme="minorHAnsi" w:cstheme="minorHAnsi"/>
                <w:sz w:val="19"/>
                <w:szCs w:val="19"/>
              </w:rPr>
            </w:pPr>
            <w:r w:rsidRPr="00F26B4B">
              <w:rPr>
                <w:rFonts w:asciiTheme="minorHAnsi" w:hAnsiTheme="minorHAnsi" w:cstheme="minorHAnsi"/>
                <w:sz w:val="19"/>
                <w:szCs w:val="19"/>
              </w:rPr>
              <w:t>L</w:t>
            </w:r>
            <w:r w:rsidR="007E05DC" w:rsidRPr="00F26B4B">
              <w:rPr>
                <w:rFonts w:asciiTheme="minorHAnsi" w:hAnsiTheme="minorHAnsi" w:cstheme="minorHAnsi"/>
                <w:sz w:val="19"/>
                <w:szCs w:val="19"/>
              </w:rPr>
              <w:t xml:space="preserve">ow </w:t>
            </w:r>
            <w:r w:rsidRPr="00F26B4B">
              <w:rPr>
                <w:rFonts w:asciiTheme="minorHAnsi" w:hAnsiTheme="minorHAnsi" w:cstheme="minorHAnsi"/>
                <w:sz w:val="19"/>
                <w:szCs w:val="19"/>
              </w:rPr>
              <w:t>(</w:t>
            </w:r>
            <w:proofErr w:type="gramStart"/>
            <w:r w:rsidRPr="00F26B4B">
              <w:rPr>
                <w:rFonts w:asciiTheme="minorHAnsi" w:hAnsiTheme="minorHAnsi" w:cstheme="minorHAnsi"/>
                <w:sz w:val="19"/>
                <w:szCs w:val="19"/>
              </w:rPr>
              <w:t>e.g.</w:t>
            </w:r>
            <w:proofErr w:type="gramEnd"/>
            <w:r w:rsidR="007E05DC" w:rsidRPr="00F26B4B">
              <w:rPr>
                <w:rFonts w:asciiTheme="minorHAnsi" w:hAnsiTheme="minorHAnsi" w:cstheme="minorHAnsi"/>
                <w:sz w:val="19"/>
                <w:szCs w:val="19"/>
              </w:rPr>
              <w:t xml:space="preserve"> health outcomes</w:t>
            </w:r>
            <w:r w:rsidRPr="00F26B4B">
              <w:rPr>
                <w:rFonts w:asciiTheme="minorHAnsi" w:hAnsiTheme="minorHAnsi" w:cstheme="minorHAnsi"/>
                <w:sz w:val="19"/>
                <w:szCs w:val="19"/>
              </w:rPr>
              <w:t>)</w:t>
            </w:r>
          </w:p>
          <w:p w14:paraId="419A9768" w14:textId="48AB2648" w:rsidR="007E05DC" w:rsidRPr="00F26B4B" w:rsidRDefault="0084520C" w:rsidP="008865D7">
            <w:pPr>
              <w:spacing w:before="120" w:after="120"/>
              <w:rPr>
                <w:rFonts w:asciiTheme="minorHAnsi" w:hAnsiTheme="minorHAnsi" w:cstheme="minorHAnsi"/>
                <w:sz w:val="19"/>
                <w:szCs w:val="19"/>
              </w:rPr>
            </w:pPr>
            <w:r w:rsidRPr="00F26B4B">
              <w:rPr>
                <w:rFonts w:asciiTheme="minorHAnsi" w:hAnsiTheme="minorHAnsi" w:cstheme="minorHAnsi"/>
                <w:sz w:val="19"/>
                <w:szCs w:val="19"/>
              </w:rPr>
              <w:t>E</w:t>
            </w:r>
            <w:r w:rsidR="007E05DC" w:rsidRPr="00F26B4B">
              <w:rPr>
                <w:rFonts w:asciiTheme="minorHAnsi" w:hAnsiTheme="minorHAnsi" w:cstheme="minorHAnsi"/>
                <w:sz w:val="19"/>
                <w:szCs w:val="19"/>
              </w:rPr>
              <w:t xml:space="preserve">xisting evidence base </w:t>
            </w:r>
            <w:r w:rsidRPr="00F26B4B">
              <w:rPr>
                <w:rFonts w:asciiTheme="minorHAnsi" w:hAnsiTheme="minorHAnsi" w:cstheme="minorHAnsi"/>
                <w:sz w:val="19"/>
                <w:szCs w:val="19"/>
              </w:rPr>
              <w:t>(</w:t>
            </w:r>
            <w:proofErr w:type="gramStart"/>
            <w:r w:rsidR="007E05DC" w:rsidRPr="00F26B4B">
              <w:rPr>
                <w:rFonts w:asciiTheme="minorHAnsi" w:hAnsiTheme="minorHAnsi" w:cstheme="minorHAnsi"/>
                <w:sz w:val="19"/>
                <w:szCs w:val="19"/>
              </w:rPr>
              <w:t>e.g.</w:t>
            </w:r>
            <w:proofErr w:type="gramEnd"/>
            <w:r w:rsidR="007E05DC" w:rsidRPr="00F26B4B">
              <w:rPr>
                <w:rFonts w:asciiTheme="minorHAnsi" w:hAnsiTheme="minorHAnsi" w:cstheme="minorHAnsi"/>
                <w:sz w:val="19"/>
                <w:szCs w:val="19"/>
              </w:rPr>
              <w:t xml:space="preserve"> similar to other policies/programs</w:t>
            </w:r>
            <w:r w:rsidRPr="00F26B4B">
              <w:rPr>
                <w:rFonts w:asciiTheme="minorHAnsi" w:hAnsiTheme="minorHAnsi" w:cstheme="minorHAnsi"/>
                <w:sz w:val="19"/>
                <w:szCs w:val="19"/>
              </w:rPr>
              <w:t>)</w:t>
            </w:r>
          </w:p>
        </w:tc>
        <w:tc>
          <w:tcPr>
            <w:tcW w:w="3248" w:type="dxa"/>
            <w:gridSpan w:val="2"/>
          </w:tcPr>
          <w:p w14:paraId="62AF43BA" w14:textId="68E86362" w:rsidR="007E05DC" w:rsidRPr="00F26B4B" w:rsidRDefault="007E05DC" w:rsidP="008865D7">
            <w:pPr>
              <w:spacing w:before="120" w:after="103" w:line="259" w:lineRule="auto"/>
              <w:rPr>
                <w:rFonts w:asciiTheme="minorHAnsi" w:hAnsiTheme="minorHAnsi" w:cstheme="minorHAnsi"/>
                <w:sz w:val="19"/>
                <w:szCs w:val="19"/>
              </w:rPr>
            </w:pPr>
            <w:r w:rsidRPr="00F26B4B">
              <w:rPr>
                <w:rFonts w:asciiTheme="minorHAnsi" w:hAnsiTheme="minorHAnsi" w:cstheme="minorHAnsi"/>
                <w:sz w:val="19"/>
                <w:szCs w:val="19"/>
              </w:rPr>
              <w:t>Primarily existing quantitative data</w:t>
            </w:r>
          </w:p>
          <w:p w14:paraId="78C61354" w14:textId="36398E87" w:rsidR="007E05DC" w:rsidRPr="00F26B4B" w:rsidRDefault="007E05DC" w:rsidP="008865D7">
            <w:pPr>
              <w:spacing w:before="120" w:after="103" w:line="259" w:lineRule="auto"/>
              <w:rPr>
                <w:rFonts w:asciiTheme="minorHAnsi" w:hAnsiTheme="minorHAnsi" w:cstheme="minorHAnsi"/>
                <w:sz w:val="19"/>
                <w:szCs w:val="19"/>
              </w:rPr>
            </w:pPr>
            <w:r w:rsidRPr="00F26B4B">
              <w:rPr>
                <w:rFonts w:asciiTheme="minorHAnsi" w:hAnsiTheme="minorHAnsi" w:cstheme="minorHAnsi"/>
                <w:sz w:val="19"/>
                <w:szCs w:val="19"/>
              </w:rPr>
              <w:t>Low resource allocation</w:t>
            </w:r>
          </w:p>
          <w:p w14:paraId="61E078C5" w14:textId="591DA868" w:rsidR="007E05DC" w:rsidRPr="00F26B4B" w:rsidRDefault="007E05DC" w:rsidP="008865D7">
            <w:pPr>
              <w:spacing w:before="120" w:after="103" w:line="259" w:lineRule="auto"/>
              <w:rPr>
                <w:rFonts w:asciiTheme="minorHAnsi" w:hAnsiTheme="minorHAnsi" w:cstheme="minorHAnsi"/>
                <w:sz w:val="19"/>
                <w:szCs w:val="19"/>
              </w:rPr>
            </w:pPr>
            <w:r w:rsidRPr="00F26B4B">
              <w:rPr>
                <w:rFonts w:asciiTheme="minorHAnsi" w:hAnsiTheme="minorHAnsi" w:cstheme="minorHAnsi"/>
                <w:sz w:val="19"/>
                <w:szCs w:val="19"/>
              </w:rPr>
              <w:t>Limited consultation</w:t>
            </w:r>
          </w:p>
          <w:p w14:paraId="620BAD6D" w14:textId="61D2960A" w:rsidR="007E05DC" w:rsidRPr="00F26B4B" w:rsidRDefault="007E05DC" w:rsidP="008865D7">
            <w:pPr>
              <w:spacing w:before="120" w:after="103" w:line="259" w:lineRule="auto"/>
              <w:rPr>
                <w:rFonts w:asciiTheme="minorHAnsi" w:hAnsiTheme="minorHAnsi" w:cstheme="minorHAnsi"/>
                <w:sz w:val="19"/>
                <w:szCs w:val="19"/>
              </w:rPr>
            </w:pPr>
            <w:r w:rsidRPr="00F26B4B">
              <w:rPr>
                <w:rFonts w:asciiTheme="minorHAnsi" w:hAnsiTheme="minorHAnsi" w:cstheme="minorHAnsi"/>
                <w:sz w:val="19"/>
                <w:szCs w:val="19"/>
              </w:rPr>
              <w:t>Simplified evaluation reports</w:t>
            </w:r>
          </w:p>
        </w:tc>
      </w:tr>
    </w:tbl>
    <w:p w14:paraId="1E8F47BF" w14:textId="79566FA7" w:rsidR="00C62CEA" w:rsidRPr="00B65C97" w:rsidRDefault="00C62CEA" w:rsidP="00B65C97">
      <w:pPr>
        <w:rPr>
          <w:rFonts w:asciiTheme="minorHAnsi" w:hAnsiTheme="minorHAnsi" w:cstheme="minorHAnsi"/>
          <w:sz w:val="18"/>
          <w:szCs w:val="18"/>
        </w:rPr>
      </w:pPr>
      <w:r w:rsidRPr="00B65C97">
        <w:rPr>
          <w:rFonts w:asciiTheme="minorHAnsi" w:hAnsiTheme="minorHAnsi" w:cstheme="minorHAnsi"/>
          <w:sz w:val="18"/>
          <w:szCs w:val="18"/>
        </w:rPr>
        <w:t>Source: Adapted from Department of Health Evaluation Strategy 201</w:t>
      </w:r>
      <w:r w:rsidR="00517028">
        <w:rPr>
          <w:rFonts w:asciiTheme="minorHAnsi" w:hAnsiTheme="minorHAnsi" w:cstheme="minorHAnsi"/>
          <w:sz w:val="18"/>
          <w:szCs w:val="18"/>
        </w:rPr>
        <w:t>6</w:t>
      </w:r>
      <w:r w:rsidRPr="00B65C97">
        <w:rPr>
          <w:rFonts w:asciiTheme="minorHAnsi" w:hAnsiTheme="minorHAnsi" w:cstheme="minorHAnsi"/>
          <w:sz w:val="18"/>
          <w:szCs w:val="18"/>
        </w:rPr>
        <w:t>-20</w:t>
      </w:r>
      <w:r w:rsidR="00517028">
        <w:rPr>
          <w:rFonts w:asciiTheme="minorHAnsi" w:hAnsiTheme="minorHAnsi" w:cstheme="minorHAnsi"/>
          <w:sz w:val="18"/>
          <w:szCs w:val="18"/>
        </w:rPr>
        <w:t>19</w:t>
      </w:r>
      <w:r w:rsidRPr="00B65C97">
        <w:rPr>
          <w:rFonts w:asciiTheme="minorHAnsi" w:hAnsiTheme="minorHAnsi" w:cstheme="minorHAnsi"/>
          <w:sz w:val="18"/>
          <w:szCs w:val="18"/>
        </w:rPr>
        <w:t xml:space="preserve"> and Department of Industry, Innovation and Science Evaluation Strategy 2017-2021.</w:t>
      </w:r>
    </w:p>
    <w:p w14:paraId="4B63BBF9" w14:textId="77777777" w:rsidR="00F26B4B" w:rsidRDefault="00F26B4B" w:rsidP="00265990">
      <w:pPr>
        <w:pStyle w:val="Paragraphtext"/>
        <w:rPr>
          <w:rFonts w:asciiTheme="minorHAnsi" w:hAnsiTheme="minorHAnsi" w:cstheme="minorHAnsi"/>
          <w:b/>
          <w:color w:val="358189" w:themeColor="accent2"/>
          <w:sz w:val="28"/>
        </w:rPr>
      </w:pPr>
    </w:p>
    <w:p w14:paraId="11AA79EE" w14:textId="1813D1C9" w:rsidR="00265990" w:rsidRDefault="00265990" w:rsidP="00265990">
      <w:pPr>
        <w:pStyle w:val="Paragraphtext"/>
        <w:rPr>
          <w:rFonts w:asciiTheme="minorHAnsi" w:hAnsiTheme="minorHAnsi" w:cstheme="minorHAnsi"/>
          <w:b/>
          <w:color w:val="358189" w:themeColor="accent2"/>
          <w:sz w:val="28"/>
        </w:rPr>
      </w:pPr>
      <w:r w:rsidRPr="00A27051">
        <w:rPr>
          <w:rFonts w:asciiTheme="minorHAnsi" w:hAnsiTheme="minorHAnsi" w:cstheme="minorHAnsi"/>
          <w:b/>
          <w:color w:val="358189" w:themeColor="accent2"/>
          <w:sz w:val="28"/>
        </w:rPr>
        <w:t>A Rolling Schedule of Evaluations</w:t>
      </w:r>
    </w:p>
    <w:p w14:paraId="2CBE4474" w14:textId="71B8F9E3" w:rsidR="00FE1491" w:rsidRDefault="00AA7D33" w:rsidP="00265990">
      <w:pPr>
        <w:pStyle w:val="Paragraphtext"/>
        <w:rPr>
          <w:rFonts w:asciiTheme="minorHAnsi" w:hAnsiTheme="minorHAnsi" w:cstheme="minorHAnsi"/>
          <w:sz w:val="22"/>
          <w:szCs w:val="22"/>
        </w:rPr>
      </w:pPr>
      <w:r w:rsidRPr="00856191">
        <w:rPr>
          <w:rFonts w:asciiTheme="minorHAnsi" w:hAnsiTheme="minorHAnsi" w:cstheme="minorHAnsi"/>
          <w:sz w:val="22"/>
          <w:szCs w:val="22"/>
        </w:rPr>
        <w:t xml:space="preserve">The department currently does not have an evaluation schedule to prioritise our evaluation efforts.  </w:t>
      </w:r>
      <w:r w:rsidR="00FE1491" w:rsidRPr="00856191">
        <w:rPr>
          <w:rFonts w:asciiTheme="minorHAnsi" w:hAnsiTheme="minorHAnsi" w:cstheme="minorHAnsi"/>
          <w:sz w:val="22"/>
          <w:szCs w:val="22"/>
        </w:rPr>
        <w:t xml:space="preserve">Our approach to </w:t>
      </w:r>
      <w:r w:rsidR="006020EB">
        <w:rPr>
          <w:rFonts w:asciiTheme="minorHAnsi" w:hAnsiTheme="minorHAnsi" w:cstheme="minorHAnsi"/>
          <w:sz w:val="22"/>
          <w:szCs w:val="22"/>
        </w:rPr>
        <w:t xml:space="preserve">an </w:t>
      </w:r>
      <w:r w:rsidR="00FE1491" w:rsidRPr="00856191">
        <w:rPr>
          <w:rFonts w:asciiTheme="minorHAnsi" w:hAnsiTheme="minorHAnsi" w:cstheme="minorHAnsi"/>
          <w:sz w:val="22"/>
          <w:szCs w:val="22"/>
        </w:rPr>
        <w:t>evaluation schedule is a rolling schedule model. Instead of shifting course every four years for a new schedule period, we will continuously assess and adjust our schedule with a more adaptive response to the department’s changing priorities.</w:t>
      </w:r>
      <w:r w:rsidR="00FE1491" w:rsidRPr="00FE1491">
        <w:rPr>
          <w:rFonts w:asciiTheme="minorHAnsi" w:hAnsiTheme="minorHAnsi" w:cstheme="minorHAnsi"/>
          <w:sz w:val="22"/>
          <w:szCs w:val="22"/>
        </w:rPr>
        <w:t xml:space="preserve"> </w:t>
      </w:r>
    </w:p>
    <w:p w14:paraId="54146777" w14:textId="455A1AAD" w:rsidR="00265990" w:rsidRPr="00A27051" w:rsidRDefault="007C22F5" w:rsidP="00265990">
      <w:pPr>
        <w:pStyle w:val="Paragraphtext"/>
        <w:rPr>
          <w:rFonts w:asciiTheme="minorHAnsi" w:hAnsiTheme="minorHAnsi" w:cstheme="minorHAnsi"/>
          <w:color w:val="FF0000"/>
          <w:sz w:val="22"/>
          <w:szCs w:val="22"/>
        </w:rPr>
      </w:pPr>
      <w:r w:rsidRPr="00A27051">
        <w:rPr>
          <w:rFonts w:asciiTheme="minorHAnsi" w:hAnsiTheme="minorHAnsi" w:cstheme="minorHAnsi"/>
          <w:sz w:val="22"/>
          <w:szCs w:val="22"/>
        </w:rPr>
        <w:t>The Schedule will be developed</w:t>
      </w:r>
      <w:r>
        <w:rPr>
          <w:rFonts w:asciiTheme="minorHAnsi" w:hAnsiTheme="minorHAnsi" w:cstheme="minorHAnsi"/>
          <w:sz w:val="22"/>
          <w:szCs w:val="22"/>
        </w:rPr>
        <w:t xml:space="preserve"> by the Evaluation Centre </w:t>
      </w:r>
      <w:r w:rsidRPr="00A27051">
        <w:rPr>
          <w:rFonts w:asciiTheme="minorHAnsi" w:hAnsiTheme="minorHAnsi" w:cstheme="minorHAnsi"/>
          <w:sz w:val="22"/>
          <w:szCs w:val="22"/>
        </w:rPr>
        <w:t>in consultation with divisions, as a guide to how and when evaluation should be conducted</w:t>
      </w:r>
      <w:r>
        <w:rPr>
          <w:rFonts w:asciiTheme="minorHAnsi" w:hAnsiTheme="minorHAnsi" w:cstheme="minorHAnsi"/>
          <w:sz w:val="22"/>
          <w:szCs w:val="22"/>
        </w:rPr>
        <w:t xml:space="preserve">. </w:t>
      </w:r>
      <w:r w:rsidR="00134918" w:rsidRPr="00134918">
        <w:rPr>
          <w:rFonts w:asciiTheme="minorHAnsi" w:hAnsiTheme="minorHAnsi" w:cstheme="minorHAnsi"/>
          <w:sz w:val="22"/>
          <w:szCs w:val="22"/>
        </w:rPr>
        <w:t>The Schedule covers a rolling four</w:t>
      </w:r>
      <w:r w:rsidR="00551FC0">
        <w:rPr>
          <w:rFonts w:asciiTheme="minorHAnsi" w:hAnsiTheme="minorHAnsi" w:cstheme="minorHAnsi"/>
          <w:sz w:val="22"/>
          <w:szCs w:val="22"/>
        </w:rPr>
        <w:t>-</w:t>
      </w:r>
      <w:r w:rsidR="00134918" w:rsidRPr="00134918">
        <w:rPr>
          <w:rFonts w:asciiTheme="minorHAnsi" w:hAnsiTheme="minorHAnsi" w:cstheme="minorHAnsi"/>
          <w:sz w:val="22"/>
          <w:szCs w:val="22"/>
        </w:rPr>
        <w:t xml:space="preserve">year period using the tiering system in Table 2 to identify evaluations of the highest priority and strategic importance. </w:t>
      </w:r>
      <w:r w:rsidR="007E68CA" w:rsidRPr="00B65C97">
        <w:rPr>
          <w:rFonts w:asciiTheme="minorHAnsi" w:hAnsiTheme="minorHAnsi" w:cstheme="minorHAnsi"/>
          <w:sz w:val="22"/>
          <w:szCs w:val="22"/>
        </w:rPr>
        <w:t xml:space="preserve">The </w:t>
      </w:r>
      <w:r w:rsidR="001D098D">
        <w:rPr>
          <w:rFonts w:asciiTheme="minorHAnsi" w:hAnsiTheme="minorHAnsi" w:cstheme="minorHAnsi"/>
          <w:sz w:val="22"/>
          <w:szCs w:val="22"/>
        </w:rPr>
        <w:t xml:space="preserve">development of the Schedule will adopt </w:t>
      </w:r>
      <w:r w:rsidR="007E68CA" w:rsidRPr="00B65C97">
        <w:rPr>
          <w:rFonts w:asciiTheme="minorHAnsi" w:hAnsiTheme="minorHAnsi" w:cstheme="minorHAnsi"/>
          <w:sz w:val="22"/>
          <w:szCs w:val="22"/>
        </w:rPr>
        <w:t xml:space="preserve">a strategic, risk-based, whole-of-department approach to prioritising evaluation effort. </w:t>
      </w:r>
      <w:r w:rsidR="00134918">
        <w:rPr>
          <w:rFonts w:asciiTheme="minorHAnsi" w:hAnsiTheme="minorHAnsi" w:cstheme="minorHAnsi"/>
          <w:sz w:val="22"/>
          <w:szCs w:val="22"/>
        </w:rPr>
        <w:t>T</w:t>
      </w:r>
      <w:r w:rsidR="00134918" w:rsidRPr="00134918">
        <w:rPr>
          <w:rFonts w:asciiTheme="minorHAnsi" w:hAnsiTheme="minorHAnsi" w:cstheme="minorHAnsi"/>
          <w:sz w:val="22"/>
          <w:szCs w:val="22"/>
        </w:rPr>
        <w:t xml:space="preserve">he </w:t>
      </w:r>
      <w:r w:rsidR="00134918">
        <w:rPr>
          <w:rFonts w:asciiTheme="minorHAnsi" w:hAnsiTheme="minorHAnsi" w:cstheme="minorHAnsi"/>
          <w:sz w:val="22"/>
          <w:szCs w:val="22"/>
        </w:rPr>
        <w:t>Evaluation Centre will</w:t>
      </w:r>
      <w:r w:rsidR="00134918" w:rsidRPr="00134918">
        <w:rPr>
          <w:rFonts w:asciiTheme="minorHAnsi" w:hAnsiTheme="minorHAnsi" w:cstheme="minorHAnsi"/>
          <w:sz w:val="22"/>
          <w:szCs w:val="22"/>
        </w:rPr>
        <w:t xml:space="preserve"> take account of existing audit and research activities when developing </w:t>
      </w:r>
      <w:r w:rsidR="00551FC0">
        <w:rPr>
          <w:rFonts w:asciiTheme="minorHAnsi" w:hAnsiTheme="minorHAnsi" w:cstheme="minorHAnsi"/>
          <w:sz w:val="22"/>
          <w:szCs w:val="22"/>
        </w:rPr>
        <w:t>the</w:t>
      </w:r>
      <w:r w:rsidR="00134918" w:rsidRPr="00134918">
        <w:rPr>
          <w:rFonts w:asciiTheme="minorHAnsi" w:hAnsiTheme="minorHAnsi" w:cstheme="minorHAnsi"/>
          <w:sz w:val="22"/>
          <w:szCs w:val="22"/>
        </w:rPr>
        <w:t xml:space="preserve"> Schedule. </w:t>
      </w:r>
    </w:p>
    <w:p w14:paraId="3CB0921B" w14:textId="32C5F5EA" w:rsidR="0078218B" w:rsidRDefault="00134918" w:rsidP="00C62CEA">
      <w:pPr>
        <w:pStyle w:val="Paragraphtext"/>
        <w:rPr>
          <w:rFonts w:asciiTheme="minorHAnsi" w:hAnsiTheme="minorHAnsi" w:cstheme="minorHAnsi"/>
          <w:sz w:val="22"/>
          <w:szCs w:val="22"/>
        </w:rPr>
      </w:pPr>
      <w:r>
        <w:rPr>
          <w:rFonts w:asciiTheme="minorHAnsi" w:hAnsiTheme="minorHAnsi" w:cstheme="minorHAnsi"/>
          <w:sz w:val="22"/>
          <w:szCs w:val="22"/>
        </w:rPr>
        <w:t xml:space="preserve">The Program Assurance Committee will endorse the Schedule. </w:t>
      </w:r>
      <w:r w:rsidR="00265990" w:rsidRPr="00A27051">
        <w:rPr>
          <w:rFonts w:asciiTheme="minorHAnsi" w:hAnsiTheme="minorHAnsi" w:cstheme="minorHAnsi"/>
          <w:sz w:val="22"/>
          <w:szCs w:val="22"/>
        </w:rPr>
        <w:t>The Schedule will be reviewed on an annual basis to ensure that the quality and relevance of evaluation requirements is maintained at a high-level.</w:t>
      </w:r>
      <w:r w:rsidR="007C22F5">
        <w:rPr>
          <w:rFonts w:asciiTheme="minorHAnsi" w:hAnsiTheme="minorHAnsi" w:cstheme="minorHAnsi"/>
          <w:sz w:val="22"/>
          <w:szCs w:val="22"/>
        </w:rPr>
        <w:t xml:space="preserve"> </w:t>
      </w:r>
    </w:p>
    <w:p w14:paraId="6F77F3C9" w14:textId="77777777" w:rsidR="0078218B" w:rsidRDefault="0078218B">
      <w:pPr>
        <w:rPr>
          <w:rFonts w:asciiTheme="minorHAnsi" w:hAnsiTheme="minorHAnsi" w:cstheme="minorHAnsi"/>
          <w:color w:val="000000" w:themeColor="text1"/>
          <w:szCs w:val="22"/>
        </w:rPr>
      </w:pPr>
      <w:r>
        <w:rPr>
          <w:rFonts w:asciiTheme="minorHAnsi" w:hAnsiTheme="minorHAnsi" w:cstheme="minorHAnsi"/>
          <w:szCs w:val="22"/>
        </w:rPr>
        <w:br w:type="page"/>
      </w:r>
    </w:p>
    <w:p w14:paraId="5B408DB4" w14:textId="6FF92B40" w:rsidR="00C62CEA" w:rsidRPr="00B65C97" w:rsidRDefault="00C62CEA" w:rsidP="00C62CEA">
      <w:pPr>
        <w:pStyle w:val="Heading1"/>
        <w:spacing w:before="0"/>
        <w:rPr>
          <w:rFonts w:asciiTheme="minorHAnsi" w:hAnsiTheme="minorHAnsi"/>
          <w:color w:val="37818A"/>
        </w:rPr>
      </w:pPr>
      <w:bookmarkStart w:id="13" w:name="_Toc140233984"/>
      <w:r w:rsidRPr="00B65C97">
        <w:rPr>
          <w:rFonts w:asciiTheme="minorHAnsi" w:hAnsiTheme="minorHAnsi"/>
          <w:color w:val="37818A"/>
        </w:rPr>
        <w:lastRenderedPageBreak/>
        <w:t xml:space="preserve">Strategic </w:t>
      </w:r>
      <w:r w:rsidR="00D72AF4">
        <w:rPr>
          <w:rFonts w:asciiTheme="minorHAnsi" w:hAnsiTheme="minorHAnsi"/>
          <w:color w:val="37818A"/>
        </w:rPr>
        <w:t xml:space="preserve">priority </w:t>
      </w:r>
      <w:r w:rsidRPr="00B65C97">
        <w:rPr>
          <w:rFonts w:asciiTheme="minorHAnsi" w:hAnsiTheme="minorHAnsi"/>
          <w:color w:val="37818A"/>
        </w:rPr>
        <w:t>areas</w:t>
      </w:r>
      <w:bookmarkEnd w:id="13"/>
      <w:r w:rsidRPr="00B65C97">
        <w:rPr>
          <w:rFonts w:asciiTheme="minorHAnsi" w:hAnsiTheme="minorHAnsi"/>
          <w:color w:val="37818A"/>
        </w:rPr>
        <w:t xml:space="preserve"> </w:t>
      </w:r>
    </w:p>
    <w:p w14:paraId="49D076D0" w14:textId="24FE2738" w:rsidR="00C62CEA" w:rsidRDefault="00700203" w:rsidP="00C62CEA">
      <w:pPr>
        <w:pStyle w:val="Paragraphtext"/>
        <w:rPr>
          <w:rFonts w:asciiTheme="minorHAnsi" w:hAnsiTheme="minorHAnsi" w:cstheme="minorHAnsi"/>
          <w:color w:val="auto"/>
          <w:sz w:val="22"/>
          <w:szCs w:val="22"/>
        </w:rPr>
      </w:pPr>
      <w:r w:rsidRPr="00564F20">
        <w:rPr>
          <w:rFonts w:asciiTheme="minorHAnsi" w:hAnsiTheme="minorHAnsi" w:cstheme="minorHAnsi"/>
          <w:sz w:val="22"/>
          <w:szCs w:val="22"/>
        </w:rPr>
        <w:t xml:space="preserve">Four </w:t>
      </w:r>
      <w:r w:rsidR="00C62CEA" w:rsidRPr="00564F20">
        <w:rPr>
          <w:rFonts w:asciiTheme="minorHAnsi" w:hAnsiTheme="minorHAnsi" w:cstheme="minorHAnsi"/>
          <w:sz w:val="22"/>
          <w:szCs w:val="22"/>
        </w:rPr>
        <w:t xml:space="preserve">initial </w:t>
      </w:r>
      <w:r w:rsidR="00044087">
        <w:rPr>
          <w:rFonts w:asciiTheme="minorHAnsi" w:hAnsiTheme="minorHAnsi" w:cstheme="minorHAnsi"/>
          <w:sz w:val="22"/>
          <w:szCs w:val="22"/>
        </w:rPr>
        <w:t xml:space="preserve">priority </w:t>
      </w:r>
      <w:r w:rsidR="00C62CEA" w:rsidRPr="00564F20">
        <w:rPr>
          <w:rFonts w:asciiTheme="minorHAnsi" w:hAnsiTheme="minorHAnsi" w:cstheme="minorHAnsi"/>
          <w:sz w:val="22"/>
          <w:szCs w:val="22"/>
        </w:rPr>
        <w:t>areas have been identified to implement the Strategy</w:t>
      </w:r>
      <w:r w:rsidR="00BE424B" w:rsidRPr="00564F20">
        <w:rPr>
          <w:rFonts w:asciiTheme="minorHAnsi" w:hAnsiTheme="minorHAnsi" w:cstheme="minorHAnsi"/>
          <w:sz w:val="22"/>
          <w:szCs w:val="22"/>
        </w:rPr>
        <w:t xml:space="preserve"> and</w:t>
      </w:r>
      <w:r w:rsidR="00C62CEA" w:rsidRPr="00564F20">
        <w:rPr>
          <w:rFonts w:asciiTheme="minorHAnsi" w:hAnsiTheme="minorHAnsi" w:cstheme="minorHAnsi"/>
          <w:sz w:val="22"/>
          <w:szCs w:val="22"/>
        </w:rPr>
        <w:t xml:space="preserve"> will be conducted through</w:t>
      </w:r>
      <w:r w:rsidR="00C61078" w:rsidRPr="00564F20">
        <w:rPr>
          <w:rFonts w:asciiTheme="minorHAnsi" w:hAnsiTheme="minorHAnsi" w:cstheme="minorHAnsi"/>
          <w:sz w:val="22"/>
          <w:szCs w:val="22"/>
        </w:rPr>
        <w:t>out</w:t>
      </w:r>
      <w:r w:rsidR="00C62CEA" w:rsidRPr="00564F20">
        <w:rPr>
          <w:rFonts w:asciiTheme="minorHAnsi" w:hAnsiTheme="minorHAnsi" w:cstheme="minorHAnsi"/>
          <w:sz w:val="22"/>
          <w:szCs w:val="22"/>
        </w:rPr>
        <w:t xml:space="preserve"> 202</w:t>
      </w:r>
      <w:r w:rsidR="0044217B" w:rsidRPr="00564F20">
        <w:rPr>
          <w:rFonts w:asciiTheme="minorHAnsi" w:hAnsiTheme="minorHAnsi" w:cstheme="minorHAnsi"/>
          <w:sz w:val="22"/>
          <w:szCs w:val="22"/>
        </w:rPr>
        <w:t>2</w:t>
      </w:r>
      <w:r w:rsidR="00C62CEA" w:rsidRPr="00564F20">
        <w:rPr>
          <w:rFonts w:asciiTheme="minorHAnsi" w:hAnsiTheme="minorHAnsi" w:cstheme="minorHAnsi"/>
          <w:sz w:val="22"/>
          <w:szCs w:val="22"/>
        </w:rPr>
        <w:t>-2</w:t>
      </w:r>
      <w:r w:rsidR="0044217B" w:rsidRPr="00564F20">
        <w:rPr>
          <w:rFonts w:asciiTheme="minorHAnsi" w:hAnsiTheme="minorHAnsi" w:cstheme="minorHAnsi"/>
          <w:sz w:val="22"/>
          <w:szCs w:val="22"/>
        </w:rPr>
        <w:t>3</w:t>
      </w:r>
      <w:r w:rsidR="00C62CEA" w:rsidRPr="00564F20">
        <w:rPr>
          <w:rFonts w:asciiTheme="minorHAnsi" w:hAnsiTheme="minorHAnsi" w:cstheme="minorHAnsi"/>
          <w:sz w:val="22"/>
          <w:szCs w:val="22"/>
        </w:rPr>
        <w:t xml:space="preserve"> and 202</w:t>
      </w:r>
      <w:r w:rsidR="0044217B" w:rsidRPr="00564F20">
        <w:rPr>
          <w:rFonts w:asciiTheme="minorHAnsi" w:hAnsiTheme="minorHAnsi" w:cstheme="minorHAnsi"/>
          <w:sz w:val="22"/>
          <w:szCs w:val="22"/>
        </w:rPr>
        <w:t>3</w:t>
      </w:r>
      <w:r w:rsidR="00C62CEA" w:rsidRPr="00564F20">
        <w:rPr>
          <w:rFonts w:asciiTheme="minorHAnsi" w:hAnsiTheme="minorHAnsi" w:cstheme="minorHAnsi"/>
          <w:sz w:val="22"/>
          <w:szCs w:val="22"/>
        </w:rPr>
        <w:t>-2</w:t>
      </w:r>
      <w:r w:rsidR="0044217B" w:rsidRPr="00564F20">
        <w:rPr>
          <w:rFonts w:asciiTheme="minorHAnsi" w:hAnsiTheme="minorHAnsi" w:cstheme="minorHAnsi"/>
          <w:sz w:val="22"/>
          <w:szCs w:val="22"/>
        </w:rPr>
        <w:t>4</w:t>
      </w:r>
      <w:r w:rsidR="00C62CEA" w:rsidRPr="00564F20">
        <w:rPr>
          <w:rFonts w:asciiTheme="minorHAnsi" w:hAnsiTheme="minorHAnsi" w:cstheme="minorHAnsi"/>
          <w:sz w:val="22"/>
          <w:szCs w:val="22"/>
        </w:rPr>
        <w:t>. A work plan will be developed for each action area that details the key activities, deliverables (outputs) and performance measures.</w:t>
      </w:r>
      <w:r w:rsidR="00C62CEA" w:rsidRPr="00B65C97">
        <w:rPr>
          <w:rFonts w:asciiTheme="minorHAnsi" w:hAnsiTheme="minorHAnsi" w:cstheme="minorHAnsi"/>
          <w:szCs w:val="22"/>
        </w:rPr>
        <w:t xml:space="preserve"> </w:t>
      </w:r>
      <w:r w:rsidR="00C62CEA" w:rsidRPr="00B65C97">
        <w:rPr>
          <w:rFonts w:asciiTheme="minorHAnsi" w:hAnsiTheme="minorHAnsi" w:cstheme="minorHAnsi"/>
          <w:color w:val="auto"/>
          <w:sz w:val="22"/>
          <w:szCs w:val="22"/>
        </w:rPr>
        <w:t xml:space="preserve">Through delivering on the action areas, the department will move towards a ‘developing’ state of evaluation maturity (see </w:t>
      </w:r>
      <w:r w:rsidR="00EE531B">
        <w:rPr>
          <w:rFonts w:asciiTheme="minorHAnsi" w:hAnsiTheme="minorHAnsi" w:cstheme="minorHAnsi"/>
          <w:color w:val="auto"/>
          <w:sz w:val="22"/>
          <w:szCs w:val="22"/>
        </w:rPr>
        <w:t>T</w:t>
      </w:r>
      <w:r w:rsidR="00C62CEA" w:rsidRPr="00B65C97">
        <w:rPr>
          <w:rFonts w:asciiTheme="minorHAnsi" w:hAnsiTheme="minorHAnsi" w:cstheme="minorHAnsi"/>
          <w:color w:val="auto"/>
          <w:sz w:val="22"/>
          <w:szCs w:val="22"/>
        </w:rPr>
        <w:t xml:space="preserve">able 3) that can be built upon in subsequent years.   </w:t>
      </w:r>
    </w:p>
    <w:p w14:paraId="6EA089F7" w14:textId="09740EA3" w:rsidR="001F1CB7" w:rsidRDefault="001F1CB7" w:rsidP="00C62CEA">
      <w:pPr>
        <w:pStyle w:val="Paragraphtext"/>
        <w:rPr>
          <w:rFonts w:asciiTheme="minorHAnsi" w:eastAsiaTheme="minorHAnsi" w:hAnsiTheme="minorHAnsi" w:cstheme="minorBidi"/>
          <w:color w:val="auto"/>
          <w:sz w:val="22"/>
          <w:szCs w:val="22"/>
        </w:rPr>
      </w:pPr>
      <w:r w:rsidRPr="008865D7">
        <w:rPr>
          <w:rFonts w:asciiTheme="minorHAnsi" w:eastAsiaTheme="minorHAnsi" w:hAnsiTheme="minorHAnsi" w:cstheme="minorBidi"/>
          <w:color w:val="auto"/>
          <w:sz w:val="22"/>
          <w:szCs w:val="22"/>
        </w:rPr>
        <w:t>The department supports the maturity approach outlined in the Strategy, recognising progressive improvement in evaluation planning and practices over time</w:t>
      </w:r>
      <w:r w:rsidR="005D7C65">
        <w:rPr>
          <w:rFonts w:asciiTheme="minorHAnsi" w:eastAsiaTheme="minorHAnsi" w:hAnsiTheme="minorHAnsi" w:cstheme="minorBidi"/>
          <w:color w:val="auto"/>
          <w:sz w:val="22"/>
          <w:szCs w:val="22"/>
        </w:rPr>
        <w:t>,</w:t>
      </w:r>
      <w:r w:rsidRPr="008865D7">
        <w:rPr>
          <w:rFonts w:asciiTheme="minorHAnsi" w:eastAsiaTheme="minorHAnsi" w:hAnsiTheme="minorHAnsi" w:cstheme="minorBidi"/>
          <w:color w:val="auto"/>
          <w:sz w:val="22"/>
          <w:szCs w:val="22"/>
        </w:rPr>
        <w:t xml:space="preserve"> and notes that progressive improvement requires both a strong focus on building evaluation capacity and ensuring that policy and program areas have access to, or </w:t>
      </w:r>
      <w:proofErr w:type="gramStart"/>
      <w:r w:rsidRPr="008865D7">
        <w:rPr>
          <w:rFonts w:asciiTheme="minorHAnsi" w:eastAsiaTheme="minorHAnsi" w:hAnsiTheme="minorHAnsi" w:cstheme="minorBidi"/>
          <w:color w:val="auto"/>
          <w:sz w:val="22"/>
          <w:szCs w:val="22"/>
        </w:rPr>
        <w:t>are able to</w:t>
      </w:r>
      <w:proofErr w:type="gramEnd"/>
      <w:r w:rsidRPr="008865D7">
        <w:rPr>
          <w:rFonts w:asciiTheme="minorHAnsi" w:eastAsiaTheme="minorHAnsi" w:hAnsiTheme="minorHAnsi" w:cstheme="minorBidi"/>
          <w:color w:val="auto"/>
          <w:sz w:val="22"/>
          <w:szCs w:val="22"/>
        </w:rPr>
        <w:t xml:space="preserve"> collect, the data they need to effectively undertake robust evaluations.</w:t>
      </w:r>
    </w:p>
    <w:p w14:paraId="06223ABC" w14:textId="77777777" w:rsidR="005D7C65" w:rsidRPr="003D590B" w:rsidRDefault="005D7C65">
      <w:pPr>
        <w:pStyle w:val="Paragraphtext"/>
        <w:rPr>
          <w:rFonts w:asciiTheme="minorHAnsi" w:hAnsiTheme="minorHAnsi" w:cstheme="minorHAnsi"/>
          <w:b/>
          <w:color w:val="358189" w:themeColor="accent2"/>
          <w:sz w:val="22"/>
          <w:szCs w:val="22"/>
        </w:rPr>
      </w:pPr>
    </w:p>
    <w:p w14:paraId="6B67482C" w14:textId="7EE3D9AA" w:rsidR="00C62CEA" w:rsidRPr="00B65C97" w:rsidRDefault="00D12A64">
      <w:pPr>
        <w:pStyle w:val="Paragraphtext"/>
        <w:rPr>
          <w:rFonts w:asciiTheme="minorHAnsi" w:hAnsiTheme="minorHAnsi" w:cstheme="minorHAnsi"/>
          <w:b/>
          <w:color w:val="358189" w:themeColor="accent2"/>
          <w:sz w:val="28"/>
        </w:rPr>
      </w:pPr>
      <w:r>
        <w:rPr>
          <w:rFonts w:asciiTheme="minorHAnsi" w:hAnsiTheme="minorHAnsi" w:cstheme="minorHAnsi"/>
          <w:b/>
          <w:color w:val="358189" w:themeColor="accent2"/>
          <w:sz w:val="28"/>
        </w:rPr>
        <w:t xml:space="preserve">Priority </w:t>
      </w:r>
      <w:r w:rsidR="00C62CEA" w:rsidRPr="00B65C97">
        <w:rPr>
          <w:rFonts w:asciiTheme="minorHAnsi" w:hAnsiTheme="minorHAnsi" w:cstheme="minorHAnsi"/>
          <w:b/>
          <w:color w:val="358189" w:themeColor="accent2"/>
          <w:sz w:val="28"/>
        </w:rPr>
        <w:t>Area 1</w:t>
      </w:r>
      <w:r w:rsidR="0074249D">
        <w:rPr>
          <w:rFonts w:asciiTheme="minorHAnsi" w:hAnsiTheme="minorHAnsi" w:cstheme="minorHAnsi"/>
          <w:b/>
          <w:color w:val="358189" w:themeColor="accent2"/>
          <w:sz w:val="28"/>
        </w:rPr>
        <w:t xml:space="preserve"> - </w:t>
      </w:r>
      <w:r w:rsidR="00C62CEA" w:rsidRPr="00B65C97">
        <w:rPr>
          <w:rFonts w:asciiTheme="minorHAnsi" w:hAnsiTheme="minorHAnsi" w:cstheme="minorHAnsi"/>
          <w:b/>
          <w:color w:val="358189" w:themeColor="accent2"/>
          <w:sz w:val="28"/>
        </w:rPr>
        <w:t xml:space="preserve">Ensure the most important policies and programs are evaluated  </w:t>
      </w:r>
    </w:p>
    <w:p w14:paraId="22A929BA" w14:textId="15BB0181" w:rsidR="00C62CEA" w:rsidRDefault="00D02E79" w:rsidP="00C62CEA">
      <w:pPr>
        <w:pStyle w:val="Paragraphtext"/>
        <w:rPr>
          <w:rFonts w:asciiTheme="minorHAnsi" w:hAnsiTheme="minorHAnsi" w:cstheme="minorHAnsi"/>
          <w:color w:val="auto"/>
          <w:sz w:val="22"/>
          <w:szCs w:val="22"/>
        </w:rPr>
      </w:pPr>
      <w:r w:rsidRPr="00D02E79">
        <w:rPr>
          <w:rFonts w:asciiTheme="minorHAnsi" w:hAnsiTheme="minorHAnsi" w:cstheme="minorHAnsi"/>
          <w:color w:val="auto"/>
          <w:sz w:val="22"/>
          <w:szCs w:val="22"/>
        </w:rPr>
        <w:t>Central to the Strategy is to conduct evaluations in areas that are most important to Heath</w:t>
      </w:r>
      <w:r w:rsidR="00EE531B">
        <w:rPr>
          <w:rFonts w:asciiTheme="minorHAnsi" w:hAnsiTheme="minorHAnsi" w:cstheme="minorHAnsi"/>
          <w:color w:val="auto"/>
          <w:sz w:val="22"/>
          <w:szCs w:val="22"/>
        </w:rPr>
        <w:t xml:space="preserve"> and Aged Care</w:t>
      </w:r>
      <w:r w:rsidRPr="00D02E79">
        <w:rPr>
          <w:rFonts w:asciiTheme="minorHAnsi" w:hAnsiTheme="minorHAnsi" w:cstheme="minorHAnsi"/>
          <w:color w:val="auto"/>
          <w:sz w:val="22"/>
          <w:szCs w:val="22"/>
        </w:rPr>
        <w:t xml:space="preserve"> and where there are gaps in the evidence base</w:t>
      </w:r>
      <w:r>
        <w:rPr>
          <w:rFonts w:asciiTheme="minorHAnsi" w:hAnsiTheme="minorHAnsi" w:cstheme="minorHAnsi"/>
          <w:color w:val="auto"/>
          <w:sz w:val="22"/>
          <w:szCs w:val="22"/>
        </w:rPr>
        <w:t xml:space="preserve">. The department also needs to ensure </w:t>
      </w:r>
      <w:r w:rsidR="00452769" w:rsidRPr="00452769">
        <w:rPr>
          <w:rFonts w:asciiTheme="minorHAnsi" w:hAnsiTheme="minorHAnsi" w:cstheme="minorHAnsi"/>
          <w:color w:val="auto"/>
          <w:sz w:val="22"/>
          <w:szCs w:val="22"/>
        </w:rPr>
        <w:t>evaluation becomes embedded within strategic planning, reporting and decision-making processes</w:t>
      </w:r>
      <w:r w:rsidR="00452769">
        <w:rPr>
          <w:rFonts w:asciiTheme="minorHAnsi" w:hAnsiTheme="minorHAnsi" w:cstheme="minorHAnsi"/>
          <w:color w:val="auto"/>
          <w:sz w:val="22"/>
          <w:szCs w:val="22"/>
        </w:rPr>
        <w:t>.</w:t>
      </w:r>
      <w:r w:rsidR="003E066F">
        <w:rPr>
          <w:rFonts w:asciiTheme="minorHAnsi" w:hAnsiTheme="minorHAnsi" w:cstheme="minorHAnsi"/>
          <w:color w:val="auto"/>
          <w:sz w:val="22"/>
          <w:szCs w:val="22"/>
        </w:rPr>
        <w:t xml:space="preserve"> </w:t>
      </w:r>
      <w:r w:rsidR="00C62CEA" w:rsidRPr="00B65C97">
        <w:rPr>
          <w:rFonts w:asciiTheme="minorHAnsi" w:hAnsiTheme="minorHAnsi" w:cstheme="minorHAnsi"/>
          <w:color w:val="auto"/>
          <w:sz w:val="22"/>
          <w:szCs w:val="22"/>
        </w:rPr>
        <w:t>T</w:t>
      </w:r>
      <w:r w:rsidR="006020EB">
        <w:rPr>
          <w:rFonts w:asciiTheme="minorHAnsi" w:hAnsiTheme="minorHAnsi" w:cstheme="minorHAnsi"/>
          <w:color w:val="auto"/>
          <w:sz w:val="22"/>
          <w:szCs w:val="22"/>
        </w:rPr>
        <w:t xml:space="preserve">his will </w:t>
      </w:r>
      <w:r w:rsidR="00C62CEA" w:rsidRPr="00B65C97">
        <w:rPr>
          <w:rFonts w:asciiTheme="minorHAnsi" w:hAnsiTheme="minorHAnsi" w:cstheme="minorHAnsi"/>
          <w:color w:val="auto"/>
          <w:sz w:val="22"/>
          <w:szCs w:val="22"/>
        </w:rPr>
        <w:t xml:space="preserve">be achieved through: </w:t>
      </w:r>
    </w:p>
    <w:tbl>
      <w:tblPr>
        <w:tblStyle w:val="TableGridLight"/>
        <w:tblW w:w="4952" w:type="pct"/>
        <w:tblInd w:w="5" w:type="dxa"/>
        <w:tblBorders>
          <w:top w:val="single" w:sz="8" w:space="0" w:color="358189"/>
          <w:left w:val="single" w:sz="8" w:space="0" w:color="358189"/>
          <w:bottom w:val="single" w:sz="8" w:space="0" w:color="358189"/>
          <w:right w:val="single" w:sz="8" w:space="0" w:color="358189"/>
          <w:insideH w:val="none" w:sz="0" w:space="0" w:color="auto"/>
          <w:insideV w:val="none" w:sz="0" w:space="0" w:color="auto"/>
        </w:tblBorders>
        <w:tblLook w:val="04A0" w:firstRow="1" w:lastRow="0" w:firstColumn="1" w:lastColumn="0" w:noHBand="0" w:noVBand="1"/>
      </w:tblPr>
      <w:tblGrid>
        <w:gridCol w:w="8964"/>
      </w:tblGrid>
      <w:tr w:rsidR="00B7306D" w:rsidRPr="00417402" w14:paraId="7AFA8D06" w14:textId="77777777" w:rsidTr="008865D7">
        <w:trPr>
          <w:trHeight w:val="20"/>
        </w:trPr>
        <w:tc>
          <w:tcPr>
            <w:tcW w:w="5000" w:type="pct"/>
          </w:tcPr>
          <w:p w14:paraId="75428414" w14:textId="5D18471F" w:rsidR="00B7306D" w:rsidRPr="00564F20" w:rsidRDefault="00B7306D" w:rsidP="005E1D51">
            <w:pPr>
              <w:pStyle w:val="ListBullet"/>
              <w:rPr>
                <w:rFonts w:asciiTheme="minorHAnsi" w:hAnsiTheme="minorHAnsi" w:cstheme="minorHAnsi"/>
                <w:sz w:val="22"/>
                <w:szCs w:val="22"/>
              </w:rPr>
            </w:pPr>
            <w:r w:rsidRPr="00564F20">
              <w:rPr>
                <w:rFonts w:asciiTheme="minorHAnsi" w:hAnsiTheme="minorHAnsi" w:cstheme="minorHAnsi"/>
                <w:b/>
                <w:sz w:val="22"/>
                <w:szCs w:val="22"/>
              </w:rPr>
              <w:t xml:space="preserve">Action 1.1: </w:t>
            </w:r>
            <w:r w:rsidR="00F745EE" w:rsidRPr="00564F20">
              <w:rPr>
                <w:rFonts w:asciiTheme="minorHAnsi" w:hAnsiTheme="minorHAnsi" w:cstheme="minorHAnsi"/>
                <w:sz w:val="22"/>
                <w:szCs w:val="22"/>
              </w:rPr>
              <w:t>Evaluation Centre</w:t>
            </w:r>
            <w:r w:rsidRPr="00564F20">
              <w:rPr>
                <w:rFonts w:asciiTheme="minorHAnsi" w:hAnsiTheme="minorHAnsi" w:cstheme="minorHAnsi"/>
                <w:sz w:val="22"/>
                <w:szCs w:val="22"/>
              </w:rPr>
              <w:t xml:space="preserve">, supported by </w:t>
            </w:r>
            <w:r w:rsidRPr="00EE531B">
              <w:rPr>
                <w:rFonts w:asciiTheme="minorHAnsi" w:hAnsiTheme="minorHAnsi"/>
                <w:sz w:val="22"/>
                <w:szCs w:val="22"/>
              </w:rPr>
              <w:t>divisions</w:t>
            </w:r>
            <w:r w:rsidRPr="00564F20">
              <w:rPr>
                <w:rFonts w:asciiTheme="minorHAnsi" w:hAnsiTheme="minorHAnsi" w:cstheme="minorHAnsi"/>
                <w:sz w:val="22"/>
                <w:szCs w:val="22"/>
              </w:rPr>
              <w:t xml:space="preserve">, should </w:t>
            </w:r>
            <w:r w:rsidR="00E4749F">
              <w:rPr>
                <w:rFonts w:asciiTheme="minorHAnsi" w:hAnsiTheme="minorHAnsi" w:cstheme="minorHAnsi"/>
                <w:sz w:val="22"/>
                <w:szCs w:val="22"/>
              </w:rPr>
              <w:t>develop,</w:t>
            </w:r>
            <w:r w:rsidR="005E0D48">
              <w:rPr>
                <w:rFonts w:asciiTheme="minorHAnsi" w:hAnsiTheme="minorHAnsi" w:cstheme="minorHAnsi"/>
                <w:sz w:val="22"/>
                <w:szCs w:val="22"/>
              </w:rPr>
              <w:t xml:space="preserve"> and </w:t>
            </w:r>
            <w:r w:rsidR="00342767">
              <w:rPr>
                <w:rFonts w:asciiTheme="minorHAnsi" w:hAnsiTheme="minorHAnsi" w:cstheme="minorHAnsi"/>
                <w:sz w:val="22"/>
                <w:szCs w:val="22"/>
              </w:rPr>
              <w:t xml:space="preserve">operationalise </w:t>
            </w:r>
            <w:r w:rsidRPr="00564F20">
              <w:rPr>
                <w:rFonts w:asciiTheme="minorHAnsi" w:hAnsiTheme="minorHAnsi" w:cstheme="minorHAnsi"/>
                <w:sz w:val="22"/>
                <w:szCs w:val="22"/>
              </w:rPr>
              <w:t>a tiering system to systematically identify evaluation priorities</w:t>
            </w:r>
            <w:r w:rsidR="005D7C65">
              <w:rPr>
                <w:rFonts w:asciiTheme="minorHAnsi" w:hAnsiTheme="minorHAnsi" w:cstheme="minorHAnsi"/>
                <w:sz w:val="22"/>
                <w:szCs w:val="22"/>
              </w:rPr>
              <w:t>.</w:t>
            </w:r>
          </w:p>
          <w:p w14:paraId="13D1F80B" w14:textId="30A30BB7" w:rsidR="00B7306D" w:rsidRPr="00564F20" w:rsidRDefault="00B7306D" w:rsidP="005E1D51">
            <w:pPr>
              <w:pStyle w:val="ListBullet"/>
              <w:rPr>
                <w:rFonts w:asciiTheme="minorHAnsi" w:hAnsiTheme="minorHAnsi" w:cstheme="minorHAnsi"/>
                <w:b/>
                <w:sz w:val="22"/>
                <w:szCs w:val="22"/>
              </w:rPr>
            </w:pPr>
            <w:r w:rsidRPr="00564F20">
              <w:rPr>
                <w:rFonts w:asciiTheme="minorHAnsi" w:hAnsiTheme="minorHAnsi" w:cstheme="minorHAnsi"/>
                <w:sz w:val="22"/>
                <w:szCs w:val="22"/>
              </w:rPr>
              <w:t xml:space="preserve">To identify evaluation priorities at the departmental level, the </w:t>
            </w:r>
            <w:r w:rsidR="002C749D" w:rsidRPr="00564F20">
              <w:rPr>
                <w:rFonts w:asciiTheme="minorHAnsi" w:hAnsiTheme="minorHAnsi" w:cstheme="minorHAnsi"/>
                <w:sz w:val="22"/>
                <w:szCs w:val="22"/>
              </w:rPr>
              <w:t xml:space="preserve">Evaluation Centre </w:t>
            </w:r>
            <w:r w:rsidRPr="00564F20">
              <w:rPr>
                <w:rFonts w:asciiTheme="minorHAnsi" w:hAnsiTheme="minorHAnsi" w:cstheme="minorHAnsi"/>
                <w:sz w:val="22"/>
                <w:szCs w:val="22"/>
              </w:rPr>
              <w:t>will assess all new policies and programs, and undertake a stocktake of existing policies and programs, to determine which policies and programs should be prioritised for evaluation under the Strategy. The stocktake will adopt a criteria-based tiering system outlined in Table 2.</w:t>
            </w:r>
          </w:p>
          <w:p w14:paraId="79256C60" w14:textId="61FFAD2A" w:rsidR="00B7306D" w:rsidRDefault="00B7306D" w:rsidP="005E1D51">
            <w:pPr>
              <w:pStyle w:val="ListBullet"/>
              <w:rPr>
                <w:rFonts w:asciiTheme="minorHAnsi" w:hAnsiTheme="minorHAnsi" w:cstheme="minorHAnsi"/>
                <w:sz w:val="22"/>
                <w:szCs w:val="22"/>
              </w:rPr>
            </w:pPr>
            <w:r w:rsidRPr="006F7406">
              <w:rPr>
                <w:rFonts w:asciiTheme="minorHAnsi" w:hAnsiTheme="minorHAnsi" w:cstheme="minorHAnsi"/>
                <w:b/>
                <w:sz w:val="22"/>
                <w:szCs w:val="22"/>
              </w:rPr>
              <w:t xml:space="preserve">Action 1.2: </w:t>
            </w:r>
            <w:r w:rsidR="00271845" w:rsidRPr="00271845">
              <w:rPr>
                <w:rFonts w:asciiTheme="minorHAnsi" w:hAnsiTheme="minorHAnsi" w:cstheme="minorHAnsi"/>
                <w:bCs/>
                <w:sz w:val="22"/>
                <w:szCs w:val="22"/>
              </w:rPr>
              <w:t>The Evaluation Centre, under the guidance of</w:t>
            </w:r>
            <w:r w:rsidR="002002E3">
              <w:rPr>
                <w:rFonts w:asciiTheme="minorHAnsi" w:hAnsiTheme="minorHAnsi" w:cstheme="minorHAnsi"/>
                <w:bCs/>
                <w:sz w:val="22"/>
                <w:szCs w:val="22"/>
              </w:rPr>
              <w:t xml:space="preserve"> the</w:t>
            </w:r>
            <w:r w:rsidR="00271845" w:rsidRPr="00271845">
              <w:rPr>
                <w:rFonts w:asciiTheme="minorHAnsi" w:hAnsiTheme="minorHAnsi" w:cstheme="minorHAnsi"/>
                <w:bCs/>
                <w:sz w:val="22"/>
                <w:szCs w:val="22"/>
              </w:rPr>
              <w:t xml:space="preserve"> PAC, should publish a rolling Schedule of Evaluations on the department’s website on an annual basis</w:t>
            </w:r>
            <w:r>
              <w:rPr>
                <w:rFonts w:asciiTheme="minorHAnsi" w:hAnsiTheme="minorHAnsi" w:cstheme="minorHAnsi"/>
                <w:sz w:val="22"/>
                <w:szCs w:val="22"/>
              </w:rPr>
              <w:t>, which details</w:t>
            </w:r>
            <w:r w:rsidR="00465B90">
              <w:rPr>
                <w:rFonts w:asciiTheme="minorHAnsi" w:hAnsiTheme="minorHAnsi" w:cstheme="minorHAnsi"/>
                <w:sz w:val="22"/>
                <w:szCs w:val="22"/>
              </w:rPr>
              <w:t>:</w:t>
            </w:r>
          </w:p>
          <w:p w14:paraId="2BBB896D" w14:textId="076D4B61" w:rsidR="00B7306D" w:rsidRDefault="00B7306D" w:rsidP="005E1D51">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p</w:t>
            </w:r>
            <w:r w:rsidRPr="00B65C97">
              <w:rPr>
                <w:rFonts w:asciiTheme="minorHAnsi" w:hAnsiTheme="minorHAnsi" w:cstheme="minorHAnsi"/>
                <w:color w:val="auto"/>
                <w:sz w:val="22"/>
                <w:szCs w:val="22"/>
              </w:rPr>
              <w:t xml:space="preserve">olicies and programs that contribute to department-wide evaluation priorities </w:t>
            </w:r>
          </w:p>
          <w:p w14:paraId="5493D976" w14:textId="06F176EC" w:rsidR="00B7306D" w:rsidRDefault="00B7306D" w:rsidP="005E1D51">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how the department identified high priority policies and programs</w:t>
            </w:r>
          </w:p>
          <w:p w14:paraId="191FFB5B" w14:textId="5CAB1B48" w:rsidR="00B7306D" w:rsidRPr="00417402" w:rsidRDefault="00B7306D" w:rsidP="008865D7">
            <w:pPr>
              <w:pStyle w:val="ListParagraph"/>
              <w:numPr>
                <w:ilvl w:val="0"/>
                <w:numId w:val="51"/>
              </w:numPr>
              <w:spacing w:before="60"/>
              <w:ind w:left="714" w:hanging="357"/>
              <w:rPr>
                <w:rFonts w:cs="Arial"/>
                <w:color w:val="000000"/>
                <w:sz w:val="21"/>
                <w:szCs w:val="21"/>
                <w:bdr w:val="nil"/>
                <w:lang w:val="en-US" w:eastAsia="en-AU"/>
              </w:rPr>
            </w:pPr>
            <w:r>
              <w:rPr>
                <w:rFonts w:asciiTheme="minorHAnsi" w:hAnsiTheme="minorHAnsi" w:cstheme="minorHAnsi"/>
                <w:szCs w:val="22"/>
              </w:rPr>
              <w:t>a</w:t>
            </w:r>
            <w:r w:rsidRPr="00872EFF">
              <w:rPr>
                <w:rFonts w:asciiTheme="minorHAnsi" w:hAnsiTheme="minorHAnsi" w:cstheme="minorHAnsi"/>
                <w:szCs w:val="22"/>
              </w:rPr>
              <w:t xml:space="preserve"> plan for how and when the department’s identified policies and programs will be evaluated over the next </w:t>
            </w:r>
            <w:r w:rsidR="00E717AA">
              <w:rPr>
                <w:rFonts w:asciiTheme="minorHAnsi" w:hAnsiTheme="minorHAnsi" w:cstheme="minorHAnsi"/>
                <w:szCs w:val="22"/>
              </w:rPr>
              <w:t xml:space="preserve">four </w:t>
            </w:r>
            <w:r w:rsidRPr="00872EFF">
              <w:rPr>
                <w:rFonts w:asciiTheme="minorHAnsi" w:hAnsiTheme="minorHAnsi" w:cstheme="minorHAnsi"/>
                <w:szCs w:val="22"/>
              </w:rPr>
              <w:t xml:space="preserve">years (or how they will become ready for evaluation). </w:t>
            </w:r>
          </w:p>
        </w:tc>
      </w:tr>
    </w:tbl>
    <w:p w14:paraId="64595B69" w14:textId="77777777" w:rsidR="005D7C65" w:rsidRPr="003D590B" w:rsidRDefault="005D7C65" w:rsidP="00B65C97">
      <w:pPr>
        <w:pStyle w:val="Paragraphtext"/>
        <w:rPr>
          <w:rFonts w:asciiTheme="minorHAnsi" w:hAnsiTheme="minorHAnsi" w:cstheme="minorHAnsi"/>
          <w:b/>
          <w:color w:val="358189" w:themeColor="accent2"/>
          <w:sz w:val="22"/>
          <w:szCs w:val="22"/>
        </w:rPr>
      </w:pPr>
    </w:p>
    <w:p w14:paraId="71848C13" w14:textId="6A33E808" w:rsidR="0074104D" w:rsidRPr="008865D7" w:rsidRDefault="00BB0AED" w:rsidP="00B65C97">
      <w:pPr>
        <w:pStyle w:val="Paragraphtext"/>
        <w:rPr>
          <w:rFonts w:asciiTheme="minorHAnsi" w:hAnsiTheme="minorHAnsi" w:cstheme="minorHAnsi"/>
          <w:b/>
          <w:color w:val="358189" w:themeColor="accent2"/>
          <w:sz w:val="28"/>
        </w:rPr>
      </w:pPr>
      <w:r>
        <w:rPr>
          <w:rFonts w:asciiTheme="minorHAnsi" w:hAnsiTheme="minorHAnsi" w:cstheme="minorHAnsi"/>
          <w:b/>
          <w:color w:val="358189" w:themeColor="accent2"/>
          <w:sz w:val="28"/>
        </w:rPr>
        <w:t xml:space="preserve">Priority </w:t>
      </w:r>
      <w:r w:rsidR="0074104D" w:rsidRPr="008865D7">
        <w:rPr>
          <w:rFonts w:asciiTheme="minorHAnsi" w:hAnsiTheme="minorHAnsi" w:cstheme="minorHAnsi"/>
          <w:b/>
          <w:color w:val="358189" w:themeColor="accent2"/>
          <w:sz w:val="28"/>
        </w:rPr>
        <w:t>Area 2 – Planning early for evaluation</w:t>
      </w:r>
    </w:p>
    <w:p w14:paraId="44E4392E" w14:textId="4235791F" w:rsidR="00C62CEA"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Evaluations should be planned early – ideally during policy and program development – to ensure that the right questions are asked, useful baseline and monitoring data are</w:t>
      </w:r>
      <w:r w:rsidR="00AB029D">
        <w:rPr>
          <w:rFonts w:asciiTheme="minorHAnsi" w:hAnsiTheme="minorHAnsi" w:cstheme="minorHAnsi"/>
          <w:color w:val="auto"/>
          <w:sz w:val="22"/>
          <w:szCs w:val="22"/>
        </w:rPr>
        <w:t xml:space="preserve"> identified and </w:t>
      </w:r>
      <w:r w:rsidRPr="00B65C97">
        <w:rPr>
          <w:rFonts w:asciiTheme="minorHAnsi" w:hAnsiTheme="minorHAnsi" w:cstheme="minorHAnsi"/>
          <w:color w:val="auto"/>
          <w:sz w:val="22"/>
          <w:szCs w:val="22"/>
        </w:rPr>
        <w:t xml:space="preserve">collected, opportunities for engaging stakeholders in the evaluation are identified, and adequate resources are available to undertake high-quality evaluations. </w:t>
      </w:r>
      <w:r w:rsidR="006020EB">
        <w:rPr>
          <w:rFonts w:asciiTheme="minorHAnsi" w:hAnsiTheme="minorHAnsi" w:cstheme="minorHAnsi"/>
          <w:color w:val="auto"/>
          <w:sz w:val="22"/>
          <w:szCs w:val="22"/>
        </w:rPr>
        <w:t>This will be</w:t>
      </w:r>
      <w:r w:rsidR="000869CB">
        <w:rPr>
          <w:rFonts w:asciiTheme="minorHAnsi" w:hAnsiTheme="minorHAnsi" w:cstheme="minorHAnsi"/>
          <w:color w:val="auto"/>
          <w:sz w:val="22"/>
          <w:szCs w:val="22"/>
        </w:rPr>
        <w:t xml:space="preserve"> </w:t>
      </w:r>
      <w:r w:rsidRPr="00B65C97">
        <w:rPr>
          <w:rFonts w:asciiTheme="minorHAnsi" w:hAnsiTheme="minorHAnsi" w:cstheme="minorHAnsi"/>
          <w:color w:val="auto"/>
          <w:sz w:val="22"/>
          <w:szCs w:val="22"/>
        </w:rPr>
        <w:t xml:space="preserve">achieved through: </w:t>
      </w:r>
    </w:p>
    <w:tbl>
      <w:tblPr>
        <w:tblStyle w:val="TableGridLight"/>
        <w:tblW w:w="4952" w:type="pct"/>
        <w:tblInd w:w="5" w:type="dxa"/>
        <w:tblBorders>
          <w:top w:val="single" w:sz="8" w:space="0" w:color="358189"/>
          <w:left w:val="single" w:sz="8" w:space="0" w:color="358189"/>
          <w:bottom w:val="single" w:sz="8" w:space="0" w:color="358189"/>
          <w:right w:val="single" w:sz="8" w:space="0" w:color="358189"/>
          <w:insideH w:val="none" w:sz="0" w:space="0" w:color="auto"/>
          <w:insideV w:val="none" w:sz="0" w:space="0" w:color="auto"/>
        </w:tblBorders>
        <w:tblLook w:val="04A0" w:firstRow="1" w:lastRow="0" w:firstColumn="1" w:lastColumn="0" w:noHBand="0" w:noVBand="1"/>
      </w:tblPr>
      <w:tblGrid>
        <w:gridCol w:w="8964"/>
      </w:tblGrid>
      <w:tr w:rsidR="00B7306D" w:rsidRPr="00417402" w14:paraId="5563C097" w14:textId="77777777" w:rsidTr="008865D7">
        <w:trPr>
          <w:trHeight w:val="20"/>
        </w:trPr>
        <w:tc>
          <w:tcPr>
            <w:tcW w:w="5000" w:type="pct"/>
          </w:tcPr>
          <w:p w14:paraId="1B304B3A" w14:textId="786BF56D" w:rsidR="00B7306D" w:rsidRPr="008865D7" w:rsidRDefault="00B7306D" w:rsidP="008865D7">
            <w:pPr>
              <w:rPr>
                <w:rFonts w:asciiTheme="minorHAnsi" w:hAnsiTheme="minorHAnsi" w:cstheme="minorHAnsi"/>
                <w:b/>
                <w:szCs w:val="22"/>
              </w:rPr>
            </w:pPr>
            <w:r w:rsidRPr="0071215E">
              <w:rPr>
                <w:rFonts w:asciiTheme="minorHAnsi" w:hAnsiTheme="minorHAnsi" w:cstheme="minorHAnsi"/>
                <w:b/>
                <w:szCs w:val="22"/>
              </w:rPr>
              <w:t>Action 2.1</w:t>
            </w:r>
            <w:r w:rsidRPr="008865D7">
              <w:rPr>
                <w:rFonts w:asciiTheme="minorHAnsi" w:hAnsiTheme="minorHAnsi" w:cstheme="minorHAnsi"/>
                <w:b/>
                <w:szCs w:val="22"/>
              </w:rPr>
              <w:t xml:space="preserve">: </w:t>
            </w:r>
            <w:r w:rsidRPr="0071215E">
              <w:rPr>
                <w:rFonts w:asciiTheme="minorHAnsi" w:hAnsiTheme="minorHAnsi" w:cstheme="minorHAnsi"/>
                <w:szCs w:val="22"/>
              </w:rPr>
              <w:t>Divisions should consider evaluation requirements of new policies and proposals in the ‘Policy Case’ of NPPs</w:t>
            </w:r>
            <w:r w:rsidR="00E4749F">
              <w:rPr>
                <w:rFonts w:asciiTheme="minorHAnsi" w:hAnsiTheme="minorHAnsi" w:cstheme="minorHAnsi"/>
                <w:szCs w:val="22"/>
              </w:rPr>
              <w:t>.</w:t>
            </w:r>
            <w:r w:rsidRPr="008865D7">
              <w:rPr>
                <w:rFonts w:asciiTheme="minorHAnsi" w:hAnsiTheme="minorHAnsi" w:cstheme="minorHAnsi"/>
                <w:b/>
                <w:szCs w:val="22"/>
              </w:rPr>
              <w:t xml:space="preserve"> </w:t>
            </w:r>
          </w:p>
          <w:p w14:paraId="26C2A472" w14:textId="6AF949C5" w:rsidR="00B7306D" w:rsidRPr="008865D7" w:rsidRDefault="00B7306D" w:rsidP="008865D7">
            <w:pPr>
              <w:rPr>
                <w:rFonts w:asciiTheme="minorHAnsi" w:hAnsiTheme="minorHAnsi" w:cstheme="minorHAnsi"/>
                <w:b/>
                <w:szCs w:val="22"/>
              </w:rPr>
            </w:pPr>
            <w:r w:rsidRPr="0071215E">
              <w:rPr>
                <w:rFonts w:asciiTheme="minorHAnsi" w:hAnsiTheme="minorHAnsi" w:cstheme="minorHAnsi"/>
                <w:b/>
                <w:szCs w:val="22"/>
              </w:rPr>
              <w:t>Action 2.2</w:t>
            </w:r>
            <w:r w:rsidRPr="008865D7">
              <w:rPr>
                <w:rFonts w:asciiTheme="minorHAnsi" w:hAnsiTheme="minorHAnsi" w:cstheme="minorHAnsi"/>
                <w:b/>
                <w:szCs w:val="22"/>
              </w:rPr>
              <w:t xml:space="preserve">: </w:t>
            </w:r>
            <w:r w:rsidRPr="0071215E">
              <w:rPr>
                <w:rFonts w:asciiTheme="minorHAnsi" w:hAnsiTheme="minorHAnsi" w:cstheme="minorHAnsi"/>
                <w:szCs w:val="22"/>
              </w:rPr>
              <w:t xml:space="preserve">Divisions, supported by the </w:t>
            </w:r>
            <w:r w:rsidR="00F745EE" w:rsidRPr="004C25E1">
              <w:rPr>
                <w:rFonts w:asciiTheme="minorHAnsi" w:hAnsiTheme="minorHAnsi" w:cstheme="minorHAnsi"/>
                <w:szCs w:val="22"/>
              </w:rPr>
              <w:t>Evaluation Centre</w:t>
            </w:r>
            <w:r w:rsidRPr="0071215E">
              <w:rPr>
                <w:rFonts w:asciiTheme="minorHAnsi" w:hAnsiTheme="minorHAnsi" w:cstheme="minorHAnsi"/>
                <w:szCs w:val="22"/>
              </w:rPr>
              <w:t>, should ensure new and existing policies and programs are evaluation ready by</w:t>
            </w:r>
            <w:r w:rsidR="00465B90">
              <w:rPr>
                <w:rFonts w:asciiTheme="minorHAnsi" w:hAnsiTheme="minorHAnsi" w:cstheme="minorHAnsi"/>
                <w:szCs w:val="22"/>
              </w:rPr>
              <w:t>:</w:t>
            </w:r>
          </w:p>
          <w:p w14:paraId="142B81FB" w14:textId="60B3518E" w:rsidR="00B7306D" w:rsidRPr="00B7306D" w:rsidRDefault="00B7306D" w:rsidP="0071215E">
            <w:pPr>
              <w:pStyle w:val="Paragraphtext"/>
              <w:numPr>
                <w:ilvl w:val="0"/>
                <w:numId w:val="51"/>
              </w:numPr>
              <w:spacing w:before="60"/>
              <w:ind w:left="714" w:hanging="357"/>
              <w:rPr>
                <w:rFonts w:asciiTheme="minorHAnsi" w:hAnsiTheme="minorHAnsi" w:cstheme="minorHAnsi"/>
                <w:color w:val="auto"/>
                <w:sz w:val="22"/>
                <w:szCs w:val="22"/>
              </w:rPr>
            </w:pPr>
            <w:r w:rsidRPr="00B7306D">
              <w:rPr>
                <w:rFonts w:asciiTheme="minorHAnsi" w:hAnsiTheme="minorHAnsi" w:cstheme="minorHAnsi"/>
                <w:color w:val="auto"/>
                <w:sz w:val="22"/>
                <w:szCs w:val="22"/>
              </w:rPr>
              <w:t>setting out the program’s logic model</w:t>
            </w:r>
          </w:p>
          <w:p w14:paraId="6426487B" w14:textId="5A4C9145" w:rsidR="00B7306D" w:rsidRPr="00B7306D" w:rsidRDefault="00B7306D" w:rsidP="0071215E">
            <w:pPr>
              <w:pStyle w:val="Paragraphtext"/>
              <w:numPr>
                <w:ilvl w:val="0"/>
                <w:numId w:val="51"/>
              </w:numPr>
              <w:spacing w:before="60"/>
              <w:ind w:left="714" w:hanging="357"/>
              <w:rPr>
                <w:rFonts w:asciiTheme="minorHAnsi" w:hAnsiTheme="minorHAnsi" w:cstheme="minorHAnsi"/>
                <w:color w:val="auto"/>
                <w:sz w:val="22"/>
                <w:szCs w:val="22"/>
              </w:rPr>
            </w:pPr>
            <w:r w:rsidRPr="00B7306D">
              <w:rPr>
                <w:rFonts w:asciiTheme="minorHAnsi" w:hAnsiTheme="minorHAnsi" w:cstheme="minorHAnsi"/>
                <w:color w:val="auto"/>
                <w:sz w:val="22"/>
                <w:szCs w:val="22"/>
              </w:rPr>
              <w:t xml:space="preserve">identifying key evaluation questions, </w:t>
            </w:r>
            <w:proofErr w:type="gramStart"/>
            <w:r w:rsidRPr="00B7306D">
              <w:rPr>
                <w:rFonts w:asciiTheme="minorHAnsi" w:hAnsiTheme="minorHAnsi" w:cstheme="minorHAnsi"/>
                <w:color w:val="auto"/>
                <w:sz w:val="22"/>
                <w:szCs w:val="22"/>
              </w:rPr>
              <w:t>indicators</w:t>
            </w:r>
            <w:proofErr w:type="gramEnd"/>
            <w:r w:rsidRPr="00B7306D">
              <w:rPr>
                <w:rFonts w:asciiTheme="minorHAnsi" w:hAnsiTheme="minorHAnsi" w:cstheme="minorHAnsi"/>
                <w:color w:val="auto"/>
                <w:sz w:val="22"/>
                <w:szCs w:val="22"/>
              </w:rPr>
              <w:t xml:space="preserve"> and data sources</w:t>
            </w:r>
          </w:p>
          <w:p w14:paraId="2BB78FC5" w14:textId="77777777" w:rsidR="00B7306D" w:rsidRPr="00B7306D" w:rsidRDefault="00B7306D" w:rsidP="0071215E">
            <w:pPr>
              <w:pStyle w:val="Paragraphtext"/>
              <w:numPr>
                <w:ilvl w:val="0"/>
                <w:numId w:val="51"/>
              </w:numPr>
              <w:spacing w:before="60"/>
              <w:ind w:left="714" w:hanging="357"/>
              <w:rPr>
                <w:rFonts w:asciiTheme="minorHAnsi" w:hAnsiTheme="minorHAnsi" w:cstheme="minorHAnsi"/>
                <w:color w:val="auto"/>
                <w:sz w:val="22"/>
                <w:szCs w:val="22"/>
              </w:rPr>
            </w:pPr>
            <w:r w:rsidRPr="00B7306D">
              <w:rPr>
                <w:rFonts w:asciiTheme="minorHAnsi" w:hAnsiTheme="minorHAnsi" w:cstheme="minorHAnsi"/>
                <w:color w:val="auto"/>
                <w:sz w:val="22"/>
                <w:szCs w:val="22"/>
              </w:rPr>
              <w:t>selecting appropriate types and timing of future evaluations.</w:t>
            </w:r>
          </w:p>
          <w:p w14:paraId="3D753AF6" w14:textId="37EEF0DC" w:rsidR="00B7306D" w:rsidRPr="00417402" w:rsidRDefault="00B7306D" w:rsidP="008865D7">
            <w:pPr>
              <w:rPr>
                <w:rFonts w:cs="Arial"/>
                <w:color w:val="000000"/>
                <w:sz w:val="21"/>
                <w:szCs w:val="21"/>
                <w:bdr w:val="nil"/>
                <w:lang w:val="en-US" w:eastAsia="en-AU"/>
              </w:rPr>
            </w:pPr>
            <w:r w:rsidRPr="004C25E1">
              <w:rPr>
                <w:rFonts w:asciiTheme="minorHAnsi" w:hAnsiTheme="minorHAnsi" w:cstheme="minorHAnsi"/>
                <w:b/>
                <w:szCs w:val="22"/>
              </w:rPr>
              <w:lastRenderedPageBreak/>
              <w:t>Action 2.3</w:t>
            </w:r>
            <w:r w:rsidRPr="008865D7">
              <w:rPr>
                <w:rFonts w:asciiTheme="minorHAnsi" w:hAnsiTheme="minorHAnsi" w:cstheme="minorHAnsi"/>
                <w:b/>
                <w:szCs w:val="22"/>
              </w:rPr>
              <w:t xml:space="preserve">: </w:t>
            </w:r>
            <w:r w:rsidRPr="0071215E">
              <w:rPr>
                <w:rFonts w:asciiTheme="minorHAnsi" w:hAnsiTheme="minorHAnsi" w:cstheme="minorHAnsi"/>
                <w:szCs w:val="22"/>
              </w:rPr>
              <w:t>Divisions should ensure adequate resources are available to undertake high-quality evaluations.</w:t>
            </w:r>
          </w:p>
        </w:tc>
      </w:tr>
    </w:tbl>
    <w:p w14:paraId="2B3FC57D" w14:textId="77777777" w:rsidR="00331CF0" w:rsidRPr="003D590B" w:rsidRDefault="00331CF0">
      <w:pPr>
        <w:pStyle w:val="Paragraphtext"/>
        <w:rPr>
          <w:rFonts w:asciiTheme="minorHAnsi" w:hAnsiTheme="minorHAnsi" w:cstheme="minorHAnsi"/>
          <w:b/>
          <w:color w:val="358189" w:themeColor="accent2"/>
          <w:sz w:val="22"/>
          <w:szCs w:val="22"/>
        </w:rPr>
      </w:pPr>
    </w:p>
    <w:p w14:paraId="150BFC7D" w14:textId="32881FFC" w:rsidR="00C62CEA" w:rsidRPr="00B65C97" w:rsidRDefault="00BB0AED">
      <w:pPr>
        <w:pStyle w:val="Paragraphtext"/>
        <w:rPr>
          <w:rFonts w:asciiTheme="minorHAnsi" w:hAnsiTheme="minorHAnsi" w:cstheme="minorHAnsi"/>
          <w:b/>
          <w:color w:val="358189" w:themeColor="accent2"/>
          <w:sz w:val="28"/>
        </w:rPr>
      </w:pPr>
      <w:r>
        <w:rPr>
          <w:rFonts w:asciiTheme="minorHAnsi" w:hAnsiTheme="minorHAnsi" w:cstheme="minorHAnsi"/>
          <w:b/>
          <w:color w:val="358189" w:themeColor="accent2"/>
          <w:sz w:val="28"/>
        </w:rPr>
        <w:t xml:space="preserve">Priority </w:t>
      </w:r>
      <w:r w:rsidR="00C62CEA" w:rsidRPr="00B65C97">
        <w:rPr>
          <w:rFonts w:asciiTheme="minorHAnsi" w:hAnsiTheme="minorHAnsi" w:cstheme="minorHAnsi"/>
          <w:b/>
          <w:color w:val="358189" w:themeColor="accent2"/>
          <w:sz w:val="28"/>
        </w:rPr>
        <w:t xml:space="preserve">Area </w:t>
      </w:r>
      <w:r w:rsidR="0074104D">
        <w:rPr>
          <w:rFonts w:asciiTheme="minorHAnsi" w:hAnsiTheme="minorHAnsi" w:cstheme="minorHAnsi"/>
          <w:b/>
          <w:color w:val="358189" w:themeColor="accent2"/>
          <w:sz w:val="28"/>
        </w:rPr>
        <w:t>3</w:t>
      </w:r>
      <w:r w:rsidR="00C62CEA" w:rsidRPr="00B65C97">
        <w:rPr>
          <w:rFonts w:asciiTheme="minorHAnsi" w:hAnsiTheme="minorHAnsi" w:cstheme="minorHAnsi"/>
          <w:b/>
          <w:color w:val="358189" w:themeColor="accent2"/>
          <w:sz w:val="28"/>
        </w:rPr>
        <w:t xml:space="preserve"> – Building capability to conduct and manage high-quality evaluations </w:t>
      </w:r>
    </w:p>
    <w:p w14:paraId="03150BA2" w14:textId="18746A23" w:rsidR="00C62CEA"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To undertake high-quality evaluations in line with the Strategy, the department needs to ensure that those designing, commissioning, </w:t>
      </w:r>
      <w:proofErr w:type="gramStart"/>
      <w:r w:rsidRPr="00B65C97">
        <w:rPr>
          <w:rFonts w:asciiTheme="minorHAnsi" w:hAnsiTheme="minorHAnsi" w:cstheme="minorHAnsi"/>
          <w:color w:val="auto"/>
          <w:sz w:val="22"/>
          <w:szCs w:val="22"/>
        </w:rPr>
        <w:t>managing</w:t>
      </w:r>
      <w:proofErr w:type="gramEnd"/>
      <w:r w:rsidRPr="00B65C97">
        <w:rPr>
          <w:rFonts w:asciiTheme="minorHAnsi" w:hAnsiTheme="minorHAnsi" w:cstheme="minorHAnsi"/>
          <w:color w:val="auto"/>
          <w:sz w:val="22"/>
          <w:szCs w:val="22"/>
        </w:rPr>
        <w:t xml:space="preserve"> and conducting evaluations have the capability – including the skills, experience and understanding – to comply with the Strategy. </w:t>
      </w:r>
      <w:r w:rsidR="003E066F">
        <w:rPr>
          <w:rFonts w:asciiTheme="minorHAnsi" w:hAnsiTheme="minorHAnsi" w:cstheme="minorHAnsi"/>
          <w:color w:val="auto"/>
          <w:sz w:val="22"/>
          <w:szCs w:val="22"/>
        </w:rPr>
        <w:t xml:space="preserve"> </w:t>
      </w:r>
      <w:r w:rsidR="006020EB">
        <w:rPr>
          <w:rFonts w:asciiTheme="minorHAnsi" w:hAnsiTheme="minorHAnsi" w:cstheme="minorHAnsi"/>
          <w:color w:val="auto"/>
          <w:sz w:val="22"/>
          <w:szCs w:val="22"/>
        </w:rPr>
        <w:t>This will</w:t>
      </w:r>
      <w:r w:rsidR="006020EB" w:rsidRPr="00B65C97">
        <w:rPr>
          <w:rFonts w:asciiTheme="minorHAnsi" w:hAnsiTheme="minorHAnsi" w:cstheme="minorHAnsi"/>
          <w:color w:val="auto"/>
          <w:sz w:val="22"/>
          <w:szCs w:val="22"/>
        </w:rPr>
        <w:t xml:space="preserve"> </w:t>
      </w:r>
      <w:r w:rsidRPr="00B65C97">
        <w:rPr>
          <w:rFonts w:asciiTheme="minorHAnsi" w:hAnsiTheme="minorHAnsi" w:cstheme="minorHAnsi"/>
          <w:color w:val="auto"/>
          <w:sz w:val="22"/>
          <w:szCs w:val="22"/>
        </w:rPr>
        <w:t xml:space="preserve">be achieved through: </w:t>
      </w:r>
    </w:p>
    <w:tbl>
      <w:tblPr>
        <w:tblStyle w:val="TableGridLight"/>
        <w:tblW w:w="4952" w:type="pct"/>
        <w:tblInd w:w="5" w:type="dxa"/>
        <w:tblBorders>
          <w:top w:val="single" w:sz="8" w:space="0" w:color="358189"/>
          <w:left w:val="single" w:sz="8" w:space="0" w:color="358189"/>
          <w:bottom w:val="single" w:sz="8" w:space="0" w:color="358189"/>
          <w:right w:val="single" w:sz="8" w:space="0" w:color="358189"/>
          <w:insideH w:val="none" w:sz="0" w:space="0" w:color="auto"/>
          <w:insideV w:val="none" w:sz="0" w:space="0" w:color="auto"/>
        </w:tblBorders>
        <w:tblLook w:val="04A0" w:firstRow="1" w:lastRow="0" w:firstColumn="1" w:lastColumn="0" w:noHBand="0" w:noVBand="1"/>
      </w:tblPr>
      <w:tblGrid>
        <w:gridCol w:w="8964"/>
      </w:tblGrid>
      <w:tr w:rsidR="00B7306D" w:rsidRPr="00417402" w14:paraId="6769477D" w14:textId="77777777" w:rsidTr="008865D7">
        <w:trPr>
          <w:trHeight w:val="20"/>
        </w:trPr>
        <w:tc>
          <w:tcPr>
            <w:tcW w:w="5000" w:type="pct"/>
          </w:tcPr>
          <w:p w14:paraId="08B1CC05" w14:textId="18F1810B" w:rsidR="00B7306D" w:rsidRDefault="00B7306D" w:rsidP="005E1D51">
            <w:pPr>
              <w:rPr>
                <w:rFonts w:asciiTheme="minorHAnsi" w:hAnsiTheme="minorHAnsi" w:cstheme="minorHAnsi"/>
                <w:szCs w:val="22"/>
              </w:rPr>
            </w:pPr>
            <w:r w:rsidRPr="00B65C97">
              <w:rPr>
                <w:rFonts w:asciiTheme="minorHAnsi" w:hAnsiTheme="minorHAnsi" w:cstheme="minorHAnsi"/>
                <w:b/>
                <w:szCs w:val="22"/>
              </w:rPr>
              <w:t xml:space="preserve">Action 3.1: </w:t>
            </w:r>
            <w:r>
              <w:rPr>
                <w:rFonts w:asciiTheme="minorHAnsi" w:hAnsiTheme="minorHAnsi"/>
              </w:rPr>
              <w:t>Divisions</w:t>
            </w:r>
            <w:r w:rsidRPr="00B65C97">
              <w:rPr>
                <w:rFonts w:asciiTheme="minorHAnsi" w:hAnsiTheme="minorHAnsi" w:cstheme="minorHAnsi"/>
                <w:szCs w:val="22"/>
              </w:rPr>
              <w:t xml:space="preserve">, supported by the </w:t>
            </w:r>
            <w:r w:rsidR="00F745EE" w:rsidRPr="004C25E1">
              <w:rPr>
                <w:rFonts w:asciiTheme="minorHAnsi" w:hAnsiTheme="minorHAnsi" w:cstheme="minorHAnsi"/>
                <w:szCs w:val="22"/>
              </w:rPr>
              <w:t>Evaluation Centre</w:t>
            </w:r>
            <w:r w:rsidRPr="00B65C97">
              <w:rPr>
                <w:rFonts w:asciiTheme="minorHAnsi" w:hAnsiTheme="minorHAnsi" w:cstheme="minorHAnsi"/>
                <w:szCs w:val="22"/>
              </w:rPr>
              <w:t>, should ensure they have access to the skills required to undertake or commission evaluations consistent with the Strategy.</w:t>
            </w:r>
          </w:p>
          <w:p w14:paraId="27EC8A0D" w14:textId="5840D247" w:rsidR="00B7306D" w:rsidRDefault="00932418" w:rsidP="005E1D51">
            <w:pPr>
              <w:rPr>
                <w:rFonts w:asciiTheme="minorHAnsi" w:hAnsiTheme="minorHAnsi" w:cstheme="minorHAnsi"/>
                <w:szCs w:val="22"/>
              </w:rPr>
            </w:pPr>
            <w:r w:rsidRPr="00932418">
              <w:rPr>
                <w:rFonts w:asciiTheme="minorHAnsi" w:hAnsiTheme="minorHAnsi" w:cstheme="minorHAnsi"/>
                <w:szCs w:val="22"/>
              </w:rPr>
              <w:t xml:space="preserve">Evaluation Centre </w:t>
            </w:r>
            <w:r w:rsidR="00B7306D">
              <w:rPr>
                <w:rFonts w:asciiTheme="minorHAnsi" w:hAnsiTheme="minorHAnsi" w:cstheme="minorHAnsi"/>
                <w:szCs w:val="22"/>
              </w:rPr>
              <w:t>’s support should include</w:t>
            </w:r>
            <w:r w:rsidR="00465B90">
              <w:rPr>
                <w:rFonts w:asciiTheme="minorHAnsi" w:hAnsiTheme="minorHAnsi" w:cstheme="minorHAnsi"/>
                <w:szCs w:val="22"/>
              </w:rPr>
              <w:t>:</w:t>
            </w:r>
            <w:r w:rsidR="00B7306D">
              <w:rPr>
                <w:rFonts w:asciiTheme="minorHAnsi" w:hAnsiTheme="minorHAnsi" w:cstheme="minorHAnsi"/>
                <w:szCs w:val="22"/>
              </w:rPr>
              <w:t xml:space="preserve">  </w:t>
            </w:r>
          </w:p>
          <w:p w14:paraId="3878CAF9" w14:textId="466DF85B" w:rsidR="00B7306D" w:rsidRPr="006F7406" w:rsidRDefault="00B7306D" w:rsidP="005E1D51">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d</w:t>
            </w:r>
            <w:r w:rsidRPr="006F7406">
              <w:rPr>
                <w:rFonts w:asciiTheme="minorHAnsi" w:hAnsiTheme="minorHAnsi" w:cstheme="minorHAnsi"/>
                <w:color w:val="auto"/>
                <w:sz w:val="22"/>
                <w:szCs w:val="22"/>
              </w:rPr>
              <w:t>eveloping departmental</w:t>
            </w:r>
            <w:r w:rsidR="00EE531B">
              <w:rPr>
                <w:rFonts w:asciiTheme="minorHAnsi" w:hAnsiTheme="minorHAnsi" w:cstheme="minorHAnsi"/>
                <w:color w:val="auto"/>
                <w:sz w:val="22"/>
                <w:szCs w:val="22"/>
              </w:rPr>
              <w:t>-</w:t>
            </w:r>
            <w:r w:rsidRPr="006F7406">
              <w:rPr>
                <w:rFonts w:asciiTheme="minorHAnsi" w:hAnsiTheme="minorHAnsi" w:cstheme="minorHAnsi"/>
                <w:color w:val="auto"/>
                <w:sz w:val="22"/>
                <w:szCs w:val="22"/>
              </w:rPr>
              <w:t xml:space="preserve">specific evaluation resources, </w:t>
            </w:r>
            <w:proofErr w:type="gramStart"/>
            <w:r w:rsidRPr="006F7406">
              <w:rPr>
                <w:rFonts w:asciiTheme="minorHAnsi" w:hAnsiTheme="minorHAnsi" w:cstheme="minorHAnsi"/>
                <w:color w:val="auto"/>
                <w:sz w:val="22"/>
                <w:szCs w:val="22"/>
              </w:rPr>
              <w:t>tools</w:t>
            </w:r>
            <w:proofErr w:type="gramEnd"/>
            <w:r w:rsidRPr="006F7406">
              <w:rPr>
                <w:rFonts w:asciiTheme="minorHAnsi" w:hAnsiTheme="minorHAnsi" w:cstheme="minorHAnsi"/>
                <w:color w:val="auto"/>
                <w:sz w:val="22"/>
                <w:szCs w:val="22"/>
              </w:rPr>
              <w:t xml:space="preserve"> and templates</w:t>
            </w:r>
          </w:p>
          <w:p w14:paraId="0D0F796B" w14:textId="03DD914E" w:rsidR="00B7306D" w:rsidRPr="006F7406" w:rsidRDefault="00B7306D" w:rsidP="005E1D51">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p</w:t>
            </w:r>
            <w:r w:rsidRPr="006F7406">
              <w:rPr>
                <w:rFonts w:asciiTheme="minorHAnsi" w:hAnsiTheme="minorHAnsi" w:cstheme="minorHAnsi"/>
                <w:color w:val="auto"/>
                <w:sz w:val="22"/>
                <w:szCs w:val="22"/>
              </w:rPr>
              <w:t>roviding online training for staff who commission, conduct and use evaluations</w:t>
            </w:r>
          </w:p>
          <w:p w14:paraId="25B1B1E0" w14:textId="661C136F" w:rsidR="00B7306D" w:rsidRPr="006F7406" w:rsidRDefault="00B7306D" w:rsidP="005E1D51">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e</w:t>
            </w:r>
            <w:r w:rsidRPr="006F7406">
              <w:rPr>
                <w:rFonts w:asciiTheme="minorHAnsi" w:hAnsiTheme="minorHAnsi" w:cstheme="minorHAnsi"/>
                <w:color w:val="auto"/>
                <w:sz w:val="22"/>
                <w:szCs w:val="22"/>
              </w:rPr>
              <w:t>stablishing an online community of practice for staff who are involved in evaluations</w:t>
            </w:r>
          </w:p>
          <w:p w14:paraId="2D01941A" w14:textId="5E2268B5" w:rsidR="00B7306D" w:rsidRPr="006F7406" w:rsidRDefault="00B7306D" w:rsidP="005E1D51">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e</w:t>
            </w:r>
            <w:r w:rsidRPr="006F7406">
              <w:rPr>
                <w:rFonts w:asciiTheme="minorHAnsi" w:hAnsiTheme="minorHAnsi" w:cstheme="minorHAnsi"/>
                <w:color w:val="auto"/>
                <w:sz w:val="22"/>
                <w:szCs w:val="22"/>
              </w:rPr>
              <w:t xml:space="preserve">stablishing processes through which staff can seek secondments or other opportunities to broaden or deepen their experience evaluating policies and programs  </w:t>
            </w:r>
          </w:p>
          <w:p w14:paraId="309B65FD" w14:textId="6917CA5B" w:rsidR="00B7306D" w:rsidRDefault="00B7306D" w:rsidP="005E1D51">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u</w:t>
            </w:r>
            <w:r w:rsidRPr="006F7406">
              <w:rPr>
                <w:rFonts w:asciiTheme="minorHAnsi" w:hAnsiTheme="minorHAnsi" w:cstheme="minorHAnsi"/>
                <w:color w:val="auto"/>
                <w:sz w:val="22"/>
                <w:szCs w:val="22"/>
              </w:rPr>
              <w:t xml:space="preserve">tilising the new Whole of Government evaluation panel to </w:t>
            </w:r>
            <w:r>
              <w:rPr>
                <w:rFonts w:asciiTheme="minorHAnsi" w:hAnsiTheme="minorHAnsi" w:cstheme="minorHAnsi"/>
                <w:color w:val="auto"/>
                <w:sz w:val="22"/>
                <w:szCs w:val="22"/>
              </w:rPr>
              <w:t>identify a cohort of evaluators for undertaking high-quality evaluations</w:t>
            </w:r>
          </w:p>
          <w:p w14:paraId="54A46BC2" w14:textId="77777777" w:rsidR="00B7306D" w:rsidRPr="006F7406" w:rsidRDefault="00B7306D" w:rsidP="005E1D51">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 xml:space="preserve">active use of the Evaluation Hub SharePoint site as a collaborative online platform. </w:t>
            </w:r>
          </w:p>
          <w:p w14:paraId="42C6CAF1" w14:textId="49CFCB01" w:rsidR="00B7306D" w:rsidRDefault="00B7306D" w:rsidP="005E1D51">
            <w:pPr>
              <w:rPr>
                <w:rFonts w:asciiTheme="minorHAnsi" w:hAnsiTheme="minorHAnsi" w:cstheme="minorHAnsi"/>
                <w:szCs w:val="22"/>
              </w:rPr>
            </w:pPr>
            <w:r w:rsidRPr="00B65C97">
              <w:rPr>
                <w:rFonts w:asciiTheme="minorHAnsi" w:hAnsiTheme="minorHAnsi" w:cstheme="minorHAnsi"/>
                <w:b/>
                <w:szCs w:val="22"/>
              </w:rPr>
              <w:t>Action 3.2:</w:t>
            </w:r>
            <w:r w:rsidRPr="00B65C97">
              <w:rPr>
                <w:rFonts w:asciiTheme="minorHAnsi" w:hAnsiTheme="minorHAnsi" w:cstheme="minorHAnsi"/>
                <w:szCs w:val="22"/>
              </w:rPr>
              <w:t xml:space="preserve"> </w:t>
            </w:r>
            <w:r>
              <w:rPr>
                <w:rFonts w:asciiTheme="minorHAnsi" w:hAnsiTheme="minorHAnsi"/>
              </w:rPr>
              <w:t>Divisions</w:t>
            </w:r>
            <w:r w:rsidRPr="00B65C97">
              <w:rPr>
                <w:rFonts w:asciiTheme="minorHAnsi" w:hAnsiTheme="minorHAnsi" w:cstheme="minorHAnsi"/>
                <w:szCs w:val="22"/>
              </w:rPr>
              <w:t xml:space="preserve">, supported by the </w:t>
            </w:r>
            <w:r w:rsidR="00F745EE" w:rsidRPr="004C25E1">
              <w:rPr>
                <w:rFonts w:asciiTheme="minorHAnsi" w:hAnsiTheme="minorHAnsi" w:cstheme="minorHAnsi"/>
                <w:szCs w:val="22"/>
              </w:rPr>
              <w:t>Evaluation Centre</w:t>
            </w:r>
            <w:r w:rsidRPr="00B65C97">
              <w:rPr>
                <w:rFonts w:asciiTheme="minorHAnsi" w:hAnsiTheme="minorHAnsi" w:cstheme="minorHAnsi"/>
                <w:szCs w:val="22"/>
              </w:rPr>
              <w:t>, should ensure that they have access to, or are able to collect, the data they need to effectively undertake evaluations under the Strategy.</w:t>
            </w:r>
            <w:r>
              <w:rPr>
                <w:rFonts w:asciiTheme="minorHAnsi" w:hAnsiTheme="minorHAnsi" w:cstheme="minorHAnsi"/>
                <w:szCs w:val="22"/>
              </w:rPr>
              <w:t xml:space="preserve"> Data planning should consider</w:t>
            </w:r>
            <w:r w:rsidR="00465B90">
              <w:rPr>
                <w:rFonts w:asciiTheme="minorHAnsi" w:hAnsiTheme="minorHAnsi" w:cstheme="minorHAnsi"/>
                <w:szCs w:val="22"/>
              </w:rPr>
              <w:t>:</w:t>
            </w:r>
          </w:p>
          <w:p w14:paraId="5F6454BE" w14:textId="50BB06C2" w:rsidR="00B7306D" w:rsidRPr="006F7406" w:rsidRDefault="00465B90" w:rsidP="005E1D51">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w</w:t>
            </w:r>
            <w:r w:rsidR="00B7306D" w:rsidRPr="006F7406">
              <w:rPr>
                <w:rFonts w:asciiTheme="minorHAnsi" w:hAnsiTheme="minorHAnsi" w:cstheme="minorHAnsi"/>
                <w:color w:val="auto"/>
                <w:sz w:val="22"/>
                <w:szCs w:val="22"/>
              </w:rPr>
              <w:t>hat data are needed to answer evaluation questions</w:t>
            </w:r>
          </w:p>
          <w:p w14:paraId="2713EB05" w14:textId="607F7E08" w:rsidR="00B7306D" w:rsidRPr="0071215E" w:rsidRDefault="00465B90" w:rsidP="0071215E">
            <w:pPr>
              <w:pStyle w:val="Paragraphtext"/>
              <w:numPr>
                <w:ilvl w:val="0"/>
                <w:numId w:val="51"/>
              </w:numPr>
              <w:spacing w:before="60"/>
              <w:ind w:left="714" w:hanging="357"/>
              <w:rPr>
                <w:rFonts w:asciiTheme="minorHAnsi" w:hAnsiTheme="minorHAnsi" w:cstheme="minorHAnsi"/>
                <w:color w:val="auto"/>
                <w:sz w:val="22"/>
                <w:szCs w:val="22"/>
              </w:rPr>
            </w:pPr>
            <w:r>
              <w:rPr>
                <w:rFonts w:asciiTheme="minorHAnsi" w:hAnsiTheme="minorHAnsi" w:cstheme="minorHAnsi"/>
                <w:color w:val="auto"/>
                <w:sz w:val="22"/>
                <w:szCs w:val="22"/>
              </w:rPr>
              <w:t>w</w:t>
            </w:r>
            <w:r w:rsidR="00B7306D" w:rsidRPr="006F7406">
              <w:rPr>
                <w:rFonts w:asciiTheme="minorHAnsi" w:hAnsiTheme="minorHAnsi" w:cstheme="minorHAnsi"/>
                <w:color w:val="auto"/>
                <w:sz w:val="22"/>
                <w:szCs w:val="22"/>
              </w:rPr>
              <w:t xml:space="preserve">hat existing data are available and suitable for the evaluation and what additional data </w:t>
            </w:r>
            <w:r w:rsidR="00B7306D" w:rsidRPr="0071215E">
              <w:rPr>
                <w:rFonts w:asciiTheme="minorHAnsi" w:hAnsiTheme="minorHAnsi" w:cstheme="minorHAnsi"/>
                <w:color w:val="auto"/>
                <w:sz w:val="22"/>
                <w:szCs w:val="22"/>
              </w:rPr>
              <w:t xml:space="preserve">should be collected and when. </w:t>
            </w:r>
          </w:p>
          <w:p w14:paraId="4DA8FFC7" w14:textId="4E0C2367" w:rsidR="00B7306D" w:rsidRPr="00417402" w:rsidRDefault="00B7306D" w:rsidP="00F745EE">
            <w:pPr>
              <w:rPr>
                <w:rFonts w:cs="Arial"/>
                <w:color w:val="000000"/>
                <w:sz w:val="21"/>
                <w:szCs w:val="21"/>
                <w:bdr w:val="nil"/>
                <w:lang w:val="en-US" w:eastAsia="en-AU"/>
              </w:rPr>
            </w:pPr>
            <w:r w:rsidRPr="006F7406">
              <w:rPr>
                <w:rFonts w:asciiTheme="minorHAnsi" w:hAnsiTheme="minorHAnsi" w:cstheme="minorHAnsi"/>
                <w:b/>
                <w:szCs w:val="22"/>
              </w:rPr>
              <w:t>Action 3.3:</w:t>
            </w:r>
            <w:r w:rsidRPr="008865D7">
              <w:rPr>
                <w:rFonts w:asciiTheme="minorHAnsi" w:hAnsiTheme="minorHAnsi" w:cstheme="minorHAnsi"/>
                <w:b/>
                <w:szCs w:val="22"/>
              </w:rPr>
              <w:t xml:space="preserve"> </w:t>
            </w:r>
            <w:r w:rsidR="00F745EE" w:rsidRPr="004C25E1">
              <w:rPr>
                <w:rFonts w:asciiTheme="minorHAnsi" w:hAnsiTheme="minorHAnsi" w:cstheme="minorHAnsi"/>
                <w:szCs w:val="22"/>
              </w:rPr>
              <w:t>Evaluation Centre</w:t>
            </w:r>
            <w:r w:rsidRPr="0071215E">
              <w:rPr>
                <w:rFonts w:asciiTheme="minorHAnsi" w:hAnsiTheme="minorHAnsi" w:cstheme="minorHAnsi"/>
                <w:szCs w:val="22"/>
              </w:rPr>
              <w:t>, supported by divisions, should develop</w:t>
            </w:r>
            <w:r w:rsidR="00EE531B">
              <w:rPr>
                <w:rFonts w:asciiTheme="minorHAnsi" w:hAnsiTheme="minorHAnsi" w:cstheme="minorHAnsi"/>
                <w:szCs w:val="22"/>
              </w:rPr>
              <w:t xml:space="preserve"> a</w:t>
            </w:r>
            <w:r w:rsidRPr="0071215E">
              <w:rPr>
                <w:rFonts w:asciiTheme="minorHAnsi" w:hAnsiTheme="minorHAnsi" w:cstheme="minorHAnsi"/>
                <w:szCs w:val="22"/>
              </w:rPr>
              <w:t xml:space="preserve"> catalogue of available data assets and guidance on how to use them for evaluations (</w:t>
            </w:r>
            <w:proofErr w:type="gramStart"/>
            <w:r w:rsidRPr="0071215E">
              <w:rPr>
                <w:rFonts w:asciiTheme="minorHAnsi" w:hAnsiTheme="minorHAnsi" w:cstheme="minorHAnsi"/>
                <w:szCs w:val="22"/>
              </w:rPr>
              <w:t>e.g.</w:t>
            </w:r>
            <w:proofErr w:type="gramEnd"/>
            <w:r w:rsidRPr="0071215E">
              <w:rPr>
                <w:rFonts w:asciiTheme="minorHAnsi" w:hAnsiTheme="minorHAnsi" w:cstheme="minorHAnsi"/>
                <w:szCs w:val="22"/>
              </w:rPr>
              <w:t xml:space="preserve"> administrative and public</w:t>
            </w:r>
            <w:r w:rsidR="00EE531B">
              <w:rPr>
                <w:rFonts w:asciiTheme="minorHAnsi" w:hAnsiTheme="minorHAnsi" w:cstheme="minorHAnsi"/>
                <w:szCs w:val="22"/>
              </w:rPr>
              <w:t>ly</w:t>
            </w:r>
            <w:r w:rsidRPr="0071215E">
              <w:rPr>
                <w:rFonts w:asciiTheme="minorHAnsi" w:hAnsiTheme="minorHAnsi" w:cstheme="minorHAnsi"/>
                <w:szCs w:val="22"/>
              </w:rPr>
              <w:t xml:space="preserve"> available longitudinal surveys).</w:t>
            </w:r>
          </w:p>
        </w:tc>
      </w:tr>
    </w:tbl>
    <w:p w14:paraId="27C352DC" w14:textId="77777777" w:rsidR="00331CF0" w:rsidRPr="003D590B" w:rsidRDefault="00331CF0">
      <w:pPr>
        <w:pStyle w:val="Paragraphtext"/>
        <w:rPr>
          <w:rFonts w:asciiTheme="minorHAnsi" w:hAnsiTheme="minorHAnsi" w:cstheme="minorHAnsi"/>
          <w:b/>
          <w:color w:val="358189" w:themeColor="accent2"/>
          <w:sz w:val="22"/>
          <w:szCs w:val="22"/>
        </w:rPr>
      </w:pPr>
    </w:p>
    <w:p w14:paraId="5B7D9597" w14:textId="48881611" w:rsidR="00C62CEA" w:rsidRPr="00B65C97" w:rsidRDefault="00BB0AED">
      <w:pPr>
        <w:pStyle w:val="Paragraphtext"/>
        <w:rPr>
          <w:rFonts w:asciiTheme="minorHAnsi" w:hAnsiTheme="minorHAnsi" w:cstheme="minorHAnsi"/>
          <w:b/>
          <w:color w:val="358189" w:themeColor="accent2"/>
          <w:sz w:val="28"/>
        </w:rPr>
      </w:pPr>
      <w:r>
        <w:rPr>
          <w:rFonts w:asciiTheme="minorHAnsi" w:hAnsiTheme="minorHAnsi" w:cstheme="minorHAnsi"/>
          <w:b/>
          <w:color w:val="358189" w:themeColor="accent2"/>
          <w:sz w:val="28"/>
        </w:rPr>
        <w:t xml:space="preserve">Priority </w:t>
      </w:r>
      <w:r w:rsidR="00C62CEA" w:rsidRPr="00B65C97">
        <w:rPr>
          <w:rFonts w:asciiTheme="minorHAnsi" w:hAnsiTheme="minorHAnsi" w:cstheme="minorHAnsi"/>
          <w:b/>
          <w:color w:val="358189" w:themeColor="accent2"/>
          <w:sz w:val="28"/>
        </w:rPr>
        <w:t xml:space="preserve">Area </w:t>
      </w:r>
      <w:r w:rsidR="00BB0F51">
        <w:rPr>
          <w:rFonts w:asciiTheme="minorHAnsi" w:hAnsiTheme="minorHAnsi" w:cstheme="minorHAnsi"/>
          <w:b/>
          <w:color w:val="358189" w:themeColor="accent2"/>
          <w:sz w:val="28"/>
        </w:rPr>
        <w:t>4</w:t>
      </w:r>
      <w:r w:rsidR="00C62CEA" w:rsidRPr="00B65C97">
        <w:rPr>
          <w:rFonts w:asciiTheme="minorHAnsi" w:hAnsiTheme="minorHAnsi" w:cstheme="minorHAnsi"/>
          <w:b/>
          <w:color w:val="358189" w:themeColor="accent2"/>
          <w:sz w:val="28"/>
        </w:rPr>
        <w:t xml:space="preserve"> – Enhancing the use of evaluations  </w:t>
      </w:r>
    </w:p>
    <w:p w14:paraId="724ED282" w14:textId="45188C51" w:rsidR="00C62CEA"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The use of evaluation evidence will be improved by having high-quality, timely and credible evaluations that answer questions that are relevant to policy makers. Policy makers and other users of evaluation evidence also need to be able to access evaluation findings in formats that are useful.</w:t>
      </w:r>
      <w:r w:rsidR="003E066F">
        <w:rPr>
          <w:rFonts w:asciiTheme="minorHAnsi" w:hAnsiTheme="minorHAnsi" w:cstheme="minorHAnsi"/>
          <w:color w:val="auto"/>
          <w:sz w:val="22"/>
          <w:szCs w:val="22"/>
        </w:rPr>
        <w:t xml:space="preserve"> </w:t>
      </w:r>
      <w:r w:rsidR="002109E9">
        <w:rPr>
          <w:rFonts w:asciiTheme="minorHAnsi" w:hAnsiTheme="minorHAnsi" w:cstheme="minorHAnsi"/>
          <w:color w:val="auto"/>
          <w:sz w:val="22"/>
          <w:szCs w:val="22"/>
        </w:rPr>
        <w:t>This will</w:t>
      </w:r>
      <w:r w:rsidR="002109E9" w:rsidRPr="00B65C97">
        <w:rPr>
          <w:rFonts w:asciiTheme="minorHAnsi" w:hAnsiTheme="minorHAnsi" w:cstheme="minorHAnsi"/>
          <w:color w:val="auto"/>
          <w:sz w:val="22"/>
          <w:szCs w:val="22"/>
        </w:rPr>
        <w:t xml:space="preserve"> </w:t>
      </w:r>
      <w:r w:rsidRPr="00B65C97">
        <w:rPr>
          <w:rFonts w:asciiTheme="minorHAnsi" w:hAnsiTheme="minorHAnsi" w:cstheme="minorHAnsi"/>
          <w:color w:val="auto"/>
          <w:sz w:val="22"/>
          <w:szCs w:val="22"/>
        </w:rPr>
        <w:t xml:space="preserve">be achieved through: </w:t>
      </w:r>
    </w:p>
    <w:tbl>
      <w:tblPr>
        <w:tblStyle w:val="TableGridLight"/>
        <w:tblW w:w="4952" w:type="pct"/>
        <w:tblInd w:w="5" w:type="dxa"/>
        <w:tblBorders>
          <w:top w:val="single" w:sz="8" w:space="0" w:color="358189"/>
          <w:left w:val="single" w:sz="8" w:space="0" w:color="358189"/>
          <w:bottom w:val="single" w:sz="8" w:space="0" w:color="358189"/>
          <w:right w:val="single" w:sz="8" w:space="0" w:color="358189"/>
          <w:insideH w:val="none" w:sz="0" w:space="0" w:color="auto"/>
          <w:insideV w:val="none" w:sz="0" w:space="0" w:color="auto"/>
        </w:tblBorders>
        <w:tblLook w:val="04A0" w:firstRow="1" w:lastRow="0" w:firstColumn="1" w:lastColumn="0" w:noHBand="0" w:noVBand="1"/>
      </w:tblPr>
      <w:tblGrid>
        <w:gridCol w:w="8964"/>
      </w:tblGrid>
      <w:tr w:rsidR="00B7306D" w:rsidRPr="00417402" w14:paraId="5FA583F9" w14:textId="77777777" w:rsidTr="008865D7">
        <w:trPr>
          <w:trHeight w:val="20"/>
        </w:trPr>
        <w:tc>
          <w:tcPr>
            <w:tcW w:w="5000" w:type="pct"/>
          </w:tcPr>
          <w:p w14:paraId="42A9D826" w14:textId="6DB83DB3" w:rsidR="00B7306D" w:rsidRPr="008865D7" w:rsidRDefault="00B7306D" w:rsidP="005E1D51">
            <w:pPr>
              <w:rPr>
                <w:rFonts w:asciiTheme="minorHAnsi" w:hAnsiTheme="minorHAnsi" w:cstheme="minorHAnsi"/>
                <w:b/>
                <w:szCs w:val="22"/>
              </w:rPr>
            </w:pPr>
            <w:r w:rsidRPr="00B65C97">
              <w:rPr>
                <w:rFonts w:asciiTheme="minorHAnsi" w:hAnsiTheme="minorHAnsi" w:cstheme="minorHAnsi"/>
                <w:b/>
                <w:szCs w:val="22"/>
              </w:rPr>
              <w:t xml:space="preserve">Action 4.1: </w:t>
            </w:r>
            <w:r w:rsidRPr="00B7306D">
              <w:rPr>
                <w:rFonts w:asciiTheme="minorHAnsi" w:hAnsiTheme="minorHAnsi" w:cstheme="minorHAnsi"/>
                <w:szCs w:val="22"/>
              </w:rPr>
              <w:t>Regular publication of important evaluation reports</w:t>
            </w:r>
            <w:r w:rsidR="00EE531B">
              <w:rPr>
                <w:rFonts w:asciiTheme="minorHAnsi" w:hAnsiTheme="minorHAnsi" w:cstheme="minorHAnsi"/>
                <w:szCs w:val="22"/>
              </w:rPr>
              <w:t xml:space="preserve"> either</w:t>
            </w:r>
            <w:r w:rsidRPr="00B7306D">
              <w:rPr>
                <w:rFonts w:asciiTheme="minorHAnsi" w:hAnsiTheme="minorHAnsi" w:cstheme="minorHAnsi"/>
                <w:szCs w:val="22"/>
              </w:rPr>
              <w:t xml:space="preserve"> in </w:t>
            </w:r>
            <w:r w:rsidR="00EE531B">
              <w:rPr>
                <w:rFonts w:asciiTheme="minorHAnsi" w:hAnsiTheme="minorHAnsi" w:cstheme="minorHAnsi"/>
                <w:szCs w:val="22"/>
              </w:rPr>
              <w:t>their</w:t>
            </w:r>
            <w:r w:rsidRPr="00B7306D">
              <w:rPr>
                <w:rFonts w:asciiTheme="minorHAnsi" w:hAnsiTheme="minorHAnsi" w:cstheme="minorHAnsi"/>
                <w:szCs w:val="22"/>
              </w:rPr>
              <w:t xml:space="preserve"> entirety or </w:t>
            </w:r>
            <w:r w:rsidR="00EE531B">
              <w:rPr>
                <w:rFonts w:asciiTheme="minorHAnsi" w:hAnsiTheme="minorHAnsi" w:cstheme="minorHAnsi"/>
                <w:szCs w:val="22"/>
              </w:rPr>
              <w:t xml:space="preserve">using </w:t>
            </w:r>
            <w:r w:rsidRPr="00B7306D">
              <w:rPr>
                <w:rFonts w:asciiTheme="minorHAnsi" w:hAnsiTheme="minorHAnsi" w:cstheme="minorHAnsi"/>
                <w:szCs w:val="22"/>
              </w:rPr>
              <w:t>executive summar</w:t>
            </w:r>
            <w:r w:rsidR="00EE531B">
              <w:rPr>
                <w:rFonts w:asciiTheme="minorHAnsi" w:hAnsiTheme="minorHAnsi" w:cstheme="minorHAnsi"/>
                <w:szCs w:val="22"/>
              </w:rPr>
              <w:t>ies</w:t>
            </w:r>
            <w:r w:rsidRPr="00B7306D">
              <w:rPr>
                <w:rFonts w:asciiTheme="minorHAnsi" w:hAnsiTheme="minorHAnsi" w:cstheme="minorHAnsi"/>
                <w:szCs w:val="22"/>
              </w:rPr>
              <w:t>.</w:t>
            </w:r>
          </w:p>
          <w:p w14:paraId="08D6145B" w14:textId="57255FD6" w:rsidR="00B7306D" w:rsidRPr="008865D7" w:rsidRDefault="00B7306D" w:rsidP="005E1D51">
            <w:pPr>
              <w:rPr>
                <w:rFonts w:asciiTheme="minorHAnsi" w:hAnsiTheme="minorHAnsi" w:cstheme="minorHAnsi"/>
                <w:b/>
                <w:szCs w:val="22"/>
              </w:rPr>
            </w:pPr>
            <w:r w:rsidRPr="00B65C97">
              <w:rPr>
                <w:rFonts w:asciiTheme="minorHAnsi" w:hAnsiTheme="minorHAnsi" w:cstheme="minorHAnsi"/>
                <w:b/>
                <w:szCs w:val="22"/>
              </w:rPr>
              <w:t xml:space="preserve">Action 4.2: </w:t>
            </w:r>
            <w:r w:rsidR="00F745EE" w:rsidRPr="004C25E1">
              <w:rPr>
                <w:rFonts w:asciiTheme="minorHAnsi" w:hAnsiTheme="minorHAnsi" w:cstheme="minorHAnsi"/>
                <w:szCs w:val="22"/>
              </w:rPr>
              <w:t>Evaluation Centre</w:t>
            </w:r>
            <w:r w:rsidRPr="00B7306D">
              <w:rPr>
                <w:rFonts w:asciiTheme="minorHAnsi" w:hAnsiTheme="minorHAnsi" w:cstheme="minorHAnsi"/>
                <w:szCs w:val="22"/>
              </w:rPr>
              <w:t>, supported by divisions, should establish an evaluation clearing house as a repository for reports of evaluations of departmental policies and programs on Evaluation Hub SharePoint Site.</w:t>
            </w:r>
          </w:p>
          <w:p w14:paraId="650F39A9" w14:textId="48FCB470" w:rsidR="00B7306D" w:rsidRDefault="00B7306D" w:rsidP="008865D7">
            <w:pPr>
              <w:rPr>
                <w:rFonts w:asciiTheme="minorHAnsi" w:hAnsiTheme="minorHAnsi" w:cstheme="minorHAnsi"/>
                <w:szCs w:val="22"/>
              </w:rPr>
            </w:pPr>
            <w:r w:rsidRPr="004C25E1">
              <w:rPr>
                <w:rFonts w:asciiTheme="minorHAnsi" w:hAnsiTheme="minorHAnsi" w:cstheme="minorHAnsi"/>
                <w:b/>
                <w:szCs w:val="22"/>
              </w:rPr>
              <w:t>Action 4.3:</w:t>
            </w:r>
            <w:r w:rsidRPr="008865D7">
              <w:rPr>
                <w:rFonts w:asciiTheme="minorHAnsi" w:hAnsiTheme="minorHAnsi" w:cstheme="minorHAnsi"/>
                <w:b/>
                <w:szCs w:val="22"/>
              </w:rPr>
              <w:t xml:space="preserve"> </w:t>
            </w:r>
            <w:r w:rsidRPr="0071215E">
              <w:rPr>
                <w:rFonts w:asciiTheme="minorHAnsi" w:hAnsiTheme="minorHAnsi" w:cstheme="minorHAnsi"/>
                <w:szCs w:val="22"/>
              </w:rPr>
              <w:t>Divisions, supported by the</w:t>
            </w:r>
            <w:r w:rsidR="00F745EE">
              <w:rPr>
                <w:rFonts w:asciiTheme="minorHAnsi" w:hAnsiTheme="minorHAnsi" w:cstheme="minorHAnsi"/>
                <w:szCs w:val="22"/>
              </w:rPr>
              <w:t xml:space="preserve"> </w:t>
            </w:r>
            <w:r w:rsidR="00F745EE" w:rsidRPr="004C25E1">
              <w:rPr>
                <w:rFonts w:asciiTheme="minorHAnsi" w:hAnsiTheme="minorHAnsi" w:cstheme="minorHAnsi"/>
                <w:szCs w:val="22"/>
              </w:rPr>
              <w:t>Evaluation Centre</w:t>
            </w:r>
            <w:r w:rsidRPr="0071215E">
              <w:rPr>
                <w:rFonts w:asciiTheme="minorHAnsi" w:hAnsiTheme="minorHAnsi" w:cstheme="minorHAnsi"/>
                <w:szCs w:val="22"/>
              </w:rPr>
              <w:t xml:space="preserve">, should refer </w:t>
            </w:r>
            <w:r w:rsidR="00EE531B">
              <w:rPr>
                <w:rFonts w:asciiTheme="minorHAnsi" w:hAnsiTheme="minorHAnsi" w:cstheme="minorHAnsi"/>
                <w:szCs w:val="22"/>
              </w:rPr>
              <w:t xml:space="preserve">to </w:t>
            </w:r>
            <w:r w:rsidRPr="0071215E">
              <w:rPr>
                <w:rFonts w:asciiTheme="minorHAnsi" w:hAnsiTheme="minorHAnsi" w:cstheme="minorHAnsi"/>
                <w:szCs w:val="22"/>
              </w:rPr>
              <w:t>past relevant evaluations when developing new policies or programs.</w:t>
            </w:r>
          </w:p>
          <w:p w14:paraId="13D4A408" w14:textId="420F2DEC" w:rsidR="0075194C" w:rsidRPr="00417402" w:rsidRDefault="0075194C" w:rsidP="008865D7">
            <w:pPr>
              <w:rPr>
                <w:rFonts w:cs="Arial"/>
                <w:color w:val="000000"/>
                <w:sz w:val="21"/>
                <w:szCs w:val="21"/>
                <w:bdr w:val="nil"/>
                <w:lang w:val="en-US" w:eastAsia="en-AU"/>
              </w:rPr>
            </w:pPr>
            <w:r w:rsidRPr="00364515">
              <w:rPr>
                <w:rFonts w:asciiTheme="minorHAnsi" w:hAnsiTheme="minorHAnsi" w:cstheme="minorHAnsi"/>
                <w:b/>
                <w:szCs w:val="22"/>
              </w:rPr>
              <w:t>Action 4.4:</w:t>
            </w:r>
            <w:r>
              <w:t xml:space="preserve"> </w:t>
            </w:r>
            <w:r w:rsidRPr="00364515">
              <w:rPr>
                <w:rFonts w:asciiTheme="minorHAnsi" w:hAnsiTheme="minorHAnsi" w:cstheme="minorHAnsi"/>
                <w:szCs w:val="22"/>
              </w:rPr>
              <w:t>Executive</w:t>
            </w:r>
            <w:r>
              <w:rPr>
                <w:rFonts w:asciiTheme="minorHAnsi" w:hAnsiTheme="minorHAnsi" w:cstheme="minorHAnsi"/>
                <w:szCs w:val="22"/>
              </w:rPr>
              <w:t>s c</w:t>
            </w:r>
            <w:r w:rsidRPr="00364515">
              <w:rPr>
                <w:rFonts w:asciiTheme="minorHAnsi" w:hAnsiTheme="minorHAnsi" w:cstheme="minorHAnsi"/>
                <w:szCs w:val="22"/>
              </w:rPr>
              <w:t>hampion</w:t>
            </w:r>
            <w:r>
              <w:rPr>
                <w:rFonts w:asciiTheme="minorHAnsi" w:hAnsiTheme="minorHAnsi" w:cstheme="minorHAnsi"/>
                <w:szCs w:val="22"/>
              </w:rPr>
              <w:t xml:space="preserve"> </w:t>
            </w:r>
            <w:r w:rsidRPr="00364515">
              <w:rPr>
                <w:rFonts w:asciiTheme="minorHAnsi" w:hAnsiTheme="minorHAnsi" w:cstheme="minorHAnsi"/>
                <w:szCs w:val="22"/>
              </w:rPr>
              <w:t>the use of evaluation to inform strategic decision-making</w:t>
            </w:r>
            <w:r>
              <w:rPr>
                <w:rFonts w:asciiTheme="minorHAnsi" w:hAnsiTheme="minorHAnsi" w:cstheme="minorHAnsi"/>
                <w:szCs w:val="22"/>
              </w:rPr>
              <w:t>.</w:t>
            </w:r>
          </w:p>
        </w:tc>
      </w:tr>
    </w:tbl>
    <w:p w14:paraId="5372537F" w14:textId="427BB4E1" w:rsidR="00250F18" w:rsidRDefault="00250F18" w:rsidP="00C62CEA">
      <w:pPr>
        <w:pStyle w:val="Paragraphtext"/>
        <w:rPr>
          <w:rFonts w:asciiTheme="minorHAnsi" w:hAnsiTheme="minorHAnsi" w:cstheme="minorHAnsi"/>
          <w:color w:val="auto"/>
          <w:sz w:val="22"/>
          <w:szCs w:val="22"/>
        </w:rPr>
      </w:pPr>
    </w:p>
    <w:p w14:paraId="288366D6" w14:textId="48410C30" w:rsidR="00C62CEA" w:rsidRPr="00B65C97" w:rsidRDefault="00C62CEA" w:rsidP="00C62CEA">
      <w:pPr>
        <w:pStyle w:val="Heading1"/>
        <w:spacing w:before="0"/>
        <w:rPr>
          <w:rFonts w:asciiTheme="minorHAnsi" w:hAnsiTheme="minorHAnsi"/>
          <w:color w:val="37818A"/>
        </w:rPr>
      </w:pPr>
      <w:bookmarkStart w:id="14" w:name="_Toc140233985"/>
      <w:r w:rsidRPr="00B65C97">
        <w:rPr>
          <w:rFonts w:asciiTheme="minorHAnsi" w:hAnsiTheme="minorHAnsi"/>
          <w:color w:val="37818A"/>
        </w:rPr>
        <w:lastRenderedPageBreak/>
        <w:t>Governance of evaluations</w:t>
      </w:r>
      <w:bookmarkEnd w:id="14"/>
      <w:r w:rsidRPr="00B65C97">
        <w:rPr>
          <w:rFonts w:asciiTheme="minorHAnsi" w:hAnsiTheme="minorHAnsi"/>
          <w:color w:val="37818A"/>
        </w:rPr>
        <w:t xml:space="preserve">  </w:t>
      </w:r>
    </w:p>
    <w:p w14:paraId="0B661924" w14:textId="57210725" w:rsidR="00C62CEA" w:rsidRPr="003D590B" w:rsidRDefault="00C62CEA" w:rsidP="00C62CEA">
      <w:pPr>
        <w:pStyle w:val="Paragraphtext"/>
        <w:rPr>
          <w:rFonts w:asciiTheme="minorHAnsi" w:hAnsiTheme="minorHAnsi" w:cstheme="minorHAnsi"/>
          <w:sz w:val="22"/>
          <w:szCs w:val="22"/>
        </w:rPr>
      </w:pPr>
      <w:r w:rsidRPr="008865D7">
        <w:rPr>
          <w:rFonts w:asciiTheme="minorHAnsi" w:hAnsiTheme="minorHAnsi" w:cstheme="minorHAnsi"/>
          <w:sz w:val="22"/>
          <w:szCs w:val="22"/>
        </w:rPr>
        <w:t>Delivering high</w:t>
      </w:r>
      <w:r w:rsidR="00E212BC">
        <w:rPr>
          <w:rFonts w:asciiTheme="minorHAnsi" w:hAnsiTheme="minorHAnsi" w:cstheme="minorHAnsi"/>
          <w:sz w:val="22"/>
          <w:szCs w:val="22"/>
        </w:rPr>
        <w:t>-</w:t>
      </w:r>
      <w:r w:rsidRPr="008865D7">
        <w:rPr>
          <w:rFonts w:asciiTheme="minorHAnsi" w:hAnsiTheme="minorHAnsi" w:cstheme="minorHAnsi"/>
          <w:sz w:val="22"/>
          <w:szCs w:val="22"/>
        </w:rPr>
        <w:t xml:space="preserve">quality and fit for purpose evaluations requires adherence to the evaluation principles (outlined in Table 1), and appropriate governance and quality assurance arrangements. </w:t>
      </w:r>
      <w:r w:rsidRPr="0084520C">
        <w:rPr>
          <w:rFonts w:asciiTheme="minorHAnsi" w:hAnsiTheme="minorHAnsi" w:cstheme="minorHAnsi"/>
          <w:color w:val="auto"/>
          <w:sz w:val="22"/>
          <w:szCs w:val="22"/>
        </w:rPr>
        <w:t>For evaluations within the department</w:t>
      </w:r>
      <w:r w:rsidR="002109E9">
        <w:rPr>
          <w:rFonts w:asciiTheme="minorHAnsi" w:hAnsiTheme="minorHAnsi" w:cstheme="minorHAnsi"/>
          <w:color w:val="auto"/>
          <w:sz w:val="22"/>
          <w:szCs w:val="22"/>
        </w:rPr>
        <w:t>,</w:t>
      </w:r>
      <w:r w:rsidRPr="0084520C">
        <w:rPr>
          <w:rFonts w:asciiTheme="minorHAnsi" w:hAnsiTheme="minorHAnsi" w:cstheme="minorHAnsi"/>
          <w:color w:val="auto"/>
          <w:sz w:val="22"/>
          <w:szCs w:val="22"/>
        </w:rPr>
        <w:t xml:space="preserve"> the following roles and responsibilities apply: </w:t>
      </w:r>
    </w:p>
    <w:p w14:paraId="4D96E197" w14:textId="77777777" w:rsidR="00DE745E" w:rsidRPr="003D590B" w:rsidRDefault="00DE745E" w:rsidP="00C62CEA">
      <w:pPr>
        <w:pStyle w:val="Paragraphtext"/>
        <w:rPr>
          <w:rFonts w:asciiTheme="minorHAnsi" w:hAnsiTheme="minorHAnsi" w:cstheme="minorHAnsi"/>
          <w:b/>
          <w:color w:val="358189" w:themeColor="accent2"/>
          <w:sz w:val="22"/>
          <w:szCs w:val="22"/>
        </w:rPr>
      </w:pPr>
    </w:p>
    <w:p w14:paraId="5AB60A09" w14:textId="0FF927E2" w:rsidR="00C62CEA" w:rsidRPr="00B65C97" w:rsidRDefault="00C62CEA">
      <w:pPr>
        <w:pStyle w:val="Paragraphtext"/>
        <w:rPr>
          <w:rFonts w:asciiTheme="minorHAnsi" w:hAnsiTheme="minorHAnsi" w:cstheme="minorHAnsi"/>
          <w:b/>
          <w:color w:val="358189" w:themeColor="accent2"/>
          <w:sz w:val="28"/>
        </w:rPr>
      </w:pPr>
      <w:r w:rsidRPr="00B65C97">
        <w:rPr>
          <w:rFonts w:asciiTheme="minorHAnsi" w:hAnsiTheme="minorHAnsi" w:cstheme="minorHAnsi"/>
          <w:b/>
          <w:color w:val="358189" w:themeColor="accent2"/>
          <w:sz w:val="28"/>
        </w:rPr>
        <w:t>Executive Committee</w:t>
      </w:r>
    </w:p>
    <w:p w14:paraId="14ABEB37" w14:textId="0D48AF5D" w:rsidR="00C62CEA" w:rsidRPr="00B65C97"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Chaired by the Secretary, the </w:t>
      </w:r>
      <w:r w:rsidR="00EE531B">
        <w:rPr>
          <w:rFonts w:asciiTheme="minorHAnsi" w:hAnsiTheme="minorHAnsi" w:cstheme="minorHAnsi"/>
          <w:color w:val="auto"/>
          <w:sz w:val="22"/>
          <w:szCs w:val="22"/>
        </w:rPr>
        <w:t>EC</w:t>
      </w:r>
      <w:r w:rsidRPr="00B65C97">
        <w:rPr>
          <w:rFonts w:asciiTheme="minorHAnsi" w:hAnsiTheme="minorHAnsi" w:cstheme="minorHAnsi"/>
          <w:color w:val="auto"/>
          <w:sz w:val="22"/>
          <w:szCs w:val="22"/>
        </w:rPr>
        <w:t xml:space="preserve"> is responsible for the overall governance, management, policy leadership and strategic direction of the department. It has responsibility for oversight of the department’s evaluation activity, including:</w:t>
      </w:r>
    </w:p>
    <w:p w14:paraId="226B5EB2" w14:textId="250B6B4B"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 xml:space="preserve">considering the implications for the department of Tier One and Tier Two evaluation findings, including whether the department will implement the recommendations </w:t>
      </w:r>
    </w:p>
    <w:p w14:paraId="0C1C919B" w14:textId="333DD0DB" w:rsidR="00C62CEA" w:rsidRPr="00B65C97" w:rsidRDefault="00BE6DCD" w:rsidP="00B65C97">
      <w:pPr>
        <w:pStyle w:val="ListBullet"/>
        <w:numPr>
          <w:ilvl w:val="0"/>
          <w:numId w:val="30"/>
        </w:numPr>
        <w:ind w:left="360"/>
        <w:rPr>
          <w:rFonts w:asciiTheme="minorHAnsi" w:hAnsiTheme="minorHAnsi"/>
          <w:sz w:val="22"/>
        </w:rPr>
      </w:pPr>
      <w:r w:rsidRPr="00BE6DCD">
        <w:rPr>
          <w:rFonts w:asciiTheme="minorHAnsi" w:hAnsiTheme="minorHAnsi"/>
          <w:sz w:val="22"/>
        </w:rPr>
        <w:t xml:space="preserve">determining whether an evaluation </w:t>
      </w:r>
      <w:r w:rsidR="00EB661C">
        <w:rPr>
          <w:rFonts w:asciiTheme="minorHAnsi" w:hAnsiTheme="minorHAnsi"/>
          <w:sz w:val="22"/>
        </w:rPr>
        <w:t>r</w:t>
      </w:r>
      <w:r w:rsidR="00EB661C" w:rsidRPr="00BE6DCD">
        <w:rPr>
          <w:rFonts w:asciiTheme="minorHAnsi" w:hAnsiTheme="minorHAnsi"/>
          <w:sz w:val="22"/>
        </w:rPr>
        <w:t>eport</w:t>
      </w:r>
      <w:r w:rsidRPr="00BE6DCD">
        <w:rPr>
          <w:rFonts w:asciiTheme="minorHAnsi" w:hAnsiTheme="minorHAnsi"/>
          <w:sz w:val="22"/>
        </w:rPr>
        <w:t xml:space="preserve"> will be published in its entirety or executive summary </w:t>
      </w:r>
      <w:r w:rsidR="00C62CEA" w:rsidRPr="00B65C97">
        <w:rPr>
          <w:rFonts w:asciiTheme="minorHAnsi" w:hAnsiTheme="minorHAnsi"/>
          <w:sz w:val="22"/>
        </w:rPr>
        <w:t>only.</w:t>
      </w:r>
    </w:p>
    <w:p w14:paraId="1ADB19ED" w14:textId="708D2E78" w:rsidR="00DE745E" w:rsidRPr="003D590B" w:rsidRDefault="00DE745E" w:rsidP="00B65C97">
      <w:pPr>
        <w:pStyle w:val="Paragraphtext"/>
        <w:rPr>
          <w:rFonts w:asciiTheme="minorHAnsi" w:hAnsiTheme="minorHAnsi" w:cstheme="minorHAnsi"/>
          <w:b/>
          <w:color w:val="358189" w:themeColor="accent2"/>
          <w:sz w:val="22"/>
          <w:szCs w:val="22"/>
        </w:rPr>
      </w:pPr>
    </w:p>
    <w:p w14:paraId="76F71976" w14:textId="77777777" w:rsidR="00E47BFC" w:rsidRPr="00B65C97" w:rsidRDefault="00E47BFC" w:rsidP="00E47BFC">
      <w:pPr>
        <w:pStyle w:val="Paragraphtext"/>
        <w:rPr>
          <w:rFonts w:asciiTheme="minorHAnsi" w:hAnsiTheme="minorHAnsi" w:cstheme="minorHAnsi"/>
          <w:b/>
          <w:color w:val="358189" w:themeColor="accent2"/>
          <w:sz w:val="28"/>
        </w:rPr>
      </w:pPr>
      <w:r w:rsidRPr="00B65C97">
        <w:rPr>
          <w:rFonts w:asciiTheme="minorHAnsi" w:hAnsiTheme="minorHAnsi" w:cstheme="minorHAnsi"/>
          <w:b/>
          <w:color w:val="358189" w:themeColor="accent2"/>
          <w:sz w:val="28"/>
        </w:rPr>
        <w:t xml:space="preserve">Program Assurance Committee </w:t>
      </w:r>
    </w:p>
    <w:p w14:paraId="0098C054" w14:textId="77777777" w:rsidR="00E47BFC" w:rsidRPr="00B65C97" w:rsidRDefault="00E47BFC" w:rsidP="00E47BFC">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The role of the PAC under this Strategy is to provide oversight of evaluation activity across the department and to utilise evaluation evidence to inform strategic policy and planning.   </w:t>
      </w:r>
    </w:p>
    <w:p w14:paraId="7F16FEC0" w14:textId="77777777" w:rsidR="00E47BFC" w:rsidRPr="00B65C97" w:rsidRDefault="00E47BFC" w:rsidP="00E47BFC">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Under this Strategy, the PAC will: </w:t>
      </w:r>
    </w:p>
    <w:p w14:paraId="3037FA59" w14:textId="421FF1F7" w:rsidR="00E47BFC" w:rsidRPr="00B65C97" w:rsidRDefault="00E47BFC" w:rsidP="00E47BFC">
      <w:pPr>
        <w:pStyle w:val="ListBullet"/>
        <w:numPr>
          <w:ilvl w:val="0"/>
          <w:numId w:val="30"/>
        </w:numPr>
        <w:ind w:left="360"/>
        <w:rPr>
          <w:rFonts w:asciiTheme="minorHAnsi" w:hAnsiTheme="minorHAnsi"/>
          <w:sz w:val="22"/>
        </w:rPr>
      </w:pPr>
      <w:r w:rsidRPr="00B65C97">
        <w:rPr>
          <w:rFonts w:asciiTheme="minorHAnsi" w:hAnsiTheme="minorHAnsi"/>
          <w:sz w:val="22"/>
        </w:rPr>
        <w:t xml:space="preserve">approve and monitor the application of the </w:t>
      </w:r>
      <w:r>
        <w:rPr>
          <w:rFonts w:asciiTheme="minorHAnsi" w:hAnsiTheme="minorHAnsi"/>
          <w:sz w:val="22"/>
        </w:rPr>
        <w:t>evaluation tiering system</w:t>
      </w:r>
    </w:p>
    <w:p w14:paraId="6E8BEB3E" w14:textId="5E9262C7" w:rsidR="00E47BFC" w:rsidRPr="00B65C97" w:rsidRDefault="00E47BFC" w:rsidP="00E47BFC">
      <w:pPr>
        <w:pStyle w:val="ListBullet"/>
        <w:numPr>
          <w:ilvl w:val="0"/>
          <w:numId w:val="30"/>
        </w:numPr>
        <w:ind w:left="360"/>
        <w:rPr>
          <w:rFonts w:asciiTheme="minorHAnsi" w:hAnsiTheme="minorHAnsi"/>
          <w:sz w:val="22"/>
        </w:rPr>
      </w:pPr>
      <w:r w:rsidRPr="00B65C97">
        <w:rPr>
          <w:rFonts w:asciiTheme="minorHAnsi" w:hAnsiTheme="minorHAnsi"/>
          <w:sz w:val="22"/>
        </w:rPr>
        <w:t xml:space="preserve">endorse a rolling Schedule of Evaluations which includes evaluations being or that will be conducted in the department, and to monitor evaluation progress and reporting (greater monitoring focus will be applied to programs and policies categorised as Tier One and Tier Two) </w:t>
      </w:r>
    </w:p>
    <w:p w14:paraId="08CC8B3C" w14:textId="30E44229" w:rsidR="00E47BFC" w:rsidRPr="00B65C97" w:rsidRDefault="00E47BFC" w:rsidP="00E47BFC">
      <w:pPr>
        <w:pStyle w:val="ListBullet"/>
        <w:numPr>
          <w:ilvl w:val="0"/>
          <w:numId w:val="30"/>
        </w:numPr>
        <w:ind w:left="360"/>
        <w:rPr>
          <w:rFonts w:asciiTheme="minorHAnsi" w:hAnsiTheme="minorHAnsi"/>
          <w:sz w:val="22"/>
        </w:rPr>
      </w:pPr>
      <w:r w:rsidRPr="00B65C97">
        <w:rPr>
          <w:rFonts w:asciiTheme="minorHAnsi" w:hAnsiTheme="minorHAnsi"/>
          <w:sz w:val="22"/>
        </w:rPr>
        <w:t>provide guidance on strategic and/or cross-cutting evaluations to be conducted</w:t>
      </w:r>
    </w:p>
    <w:p w14:paraId="2A062AE1" w14:textId="3FCAFEE1" w:rsidR="00E47BFC" w:rsidRPr="00B65C97" w:rsidRDefault="00E47BFC" w:rsidP="00E47BFC">
      <w:pPr>
        <w:pStyle w:val="ListBullet"/>
        <w:numPr>
          <w:ilvl w:val="0"/>
          <w:numId w:val="30"/>
        </w:numPr>
        <w:ind w:left="360"/>
        <w:rPr>
          <w:rFonts w:asciiTheme="minorHAnsi" w:hAnsiTheme="minorHAnsi"/>
          <w:sz w:val="22"/>
        </w:rPr>
      </w:pPr>
      <w:r w:rsidRPr="00B65C97">
        <w:rPr>
          <w:rFonts w:asciiTheme="minorHAnsi" w:hAnsiTheme="minorHAnsi"/>
          <w:sz w:val="22"/>
        </w:rPr>
        <w:t>ensure adequate resourcing of, and cooperation with</w:t>
      </w:r>
      <w:r w:rsidR="00E01348">
        <w:rPr>
          <w:rFonts w:asciiTheme="minorHAnsi" w:hAnsiTheme="minorHAnsi"/>
          <w:sz w:val="22"/>
        </w:rPr>
        <w:t>,</w:t>
      </w:r>
      <w:r w:rsidRPr="00B65C97">
        <w:rPr>
          <w:rFonts w:asciiTheme="minorHAnsi" w:hAnsiTheme="minorHAnsi"/>
          <w:sz w:val="22"/>
        </w:rPr>
        <w:t xml:space="preserve"> the Evaluation Centre</w:t>
      </w:r>
    </w:p>
    <w:p w14:paraId="49A7C86A" w14:textId="77777777" w:rsidR="00E47BFC" w:rsidRPr="00B65C97" w:rsidRDefault="00E47BFC" w:rsidP="00E47BFC">
      <w:pPr>
        <w:pStyle w:val="ListBullet"/>
        <w:numPr>
          <w:ilvl w:val="0"/>
          <w:numId w:val="30"/>
        </w:numPr>
        <w:ind w:left="360"/>
        <w:rPr>
          <w:rFonts w:asciiTheme="minorHAnsi" w:hAnsiTheme="minorHAnsi"/>
          <w:sz w:val="22"/>
        </w:rPr>
      </w:pPr>
      <w:r w:rsidRPr="00B65C97">
        <w:rPr>
          <w:rFonts w:asciiTheme="minorHAnsi" w:hAnsiTheme="minorHAnsi"/>
          <w:sz w:val="22"/>
        </w:rPr>
        <w:t>grant final approval of Tier One and Tier Two evaluation reports before internal publication.</w:t>
      </w:r>
    </w:p>
    <w:p w14:paraId="733C9A44" w14:textId="6D0C13B7" w:rsidR="00E47BFC" w:rsidRPr="003D590B" w:rsidRDefault="00E47BFC" w:rsidP="00B65C97">
      <w:pPr>
        <w:pStyle w:val="Paragraphtext"/>
        <w:rPr>
          <w:rFonts w:asciiTheme="minorHAnsi" w:hAnsiTheme="minorHAnsi" w:cstheme="minorHAnsi"/>
          <w:b/>
          <w:color w:val="358189" w:themeColor="accent2"/>
          <w:sz w:val="22"/>
          <w:szCs w:val="22"/>
        </w:rPr>
      </w:pPr>
    </w:p>
    <w:p w14:paraId="3F0AB0F7" w14:textId="623027C5" w:rsidR="00C62CEA" w:rsidRPr="00E47BFC" w:rsidRDefault="00C62CEA">
      <w:pPr>
        <w:pStyle w:val="Paragraphtext"/>
        <w:rPr>
          <w:rFonts w:asciiTheme="minorHAnsi" w:hAnsiTheme="minorHAnsi" w:cstheme="minorHAnsi"/>
          <w:b/>
          <w:color w:val="358189" w:themeColor="accent2"/>
          <w:sz w:val="28"/>
        </w:rPr>
      </w:pPr>
      <w:r w:rsidRPr="00E47BFC">
        <w:rPr>
          <w:rFonts w:asciiTheme="minorHAnsi" w:hAnsiTheme="minorHAnsi" w:cstheme="minorHAnsi"/>
          <w:b/>
          <w:color w:val="358189" w:themeColor="accent2"/>
          <w:sz w:val="28"/>
        </w:rPr>
        <w:t xml:space="preserve">Divisions </w:t>
      </w:r>
    </w:p>
    <w:p w14:paraId="1833BC6A" w14:textId="387C2E65" w:rsidR="00C62CEA" w:rsidRPr="00B65C97"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Each </w:t>
      </w:r>
      <w:r w:rsidR="00E01348">
        <w:rPr>
          <w:rFonts w:asciiTheme="minorHAnsi" w:hAnsiTheme="minorHAnsi" w:cstheme="minorHAnsi"/>
          <w:color w:val="auto"/>
          <w:sz w:val="22"/>
          <w:szCs w:val="22"/>
        </w:rPr>
        <w:t>d</w:t>
      </w:r>
      <w:r w:rsidRPr="00B65C97">
        <w:rPr>
          <w:rFonts w:asciiTheme="minorHAnsi" w:hAnsiTheme="minorHAnsi" w:cstheme="minorHAnsi"/>
          <w:color w:val="auto"/>
          <w:sz w:val="22"/>
          <w:szCs w:val="22"/>
        </w:rPr>
        <w:t xml:space="preserve">ivision is responsible for funding and conducting evaluations of their policies and programs. </w:t>
      </w:r>
    </w:p>
    <w:p w14:paraId="13CFE954" w14:textId="77777777" w:rsidR="00C62CEA" w:rsidRPr="00B65C97"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Divisions will: </w:t>
      </w:r>
    </w:p>
    <w:p w14:paraId="2A37058C" w14:textId="69A0CB5D"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 xml:space="preserve">provide advice on the stocktake of department-wide evaluation priorities and development of the rolling </w:t>
      </w:r>
      <w:r w:rsidR="00E212BC">
        <w:rPr>
          <w:rFonts w:asciiTheme="minorHAnsi" w:hAnsiTheme="minorHAnsi"/>
          <w:sz w:val="22"/>
        </w:rPr>
        <w:t>S</w:t>
      </w:r>
      <w:r w:rsidRPr="00B65C97">
        <w:rPr>
          <w:rFonts w:asciiTheme="minorHAnsi" w:hAnsiTheme="minorHAnsi"/>
          <w:sz w:val="22"/>
        </w:rPr>
        <w:t xml:space="preserve">chedule of </w:t>
      </w:r>
      <w:r w:rsidR="00E212BC">
        <w:rPr>
          <w:rFonts w:asciiTheme="minorHAnsi" w:hAnsiTheme="minorHAnsi"/>
          <w:sz w:val="22"/>
        </w:rPr>
        <w:t>E</w:t>
      </w:r>
      <w:r w:rsidRPr="00B65C97">
        <w:rPr>
          <w:rFonts w:asciiTheme="minorHAnsi" w:hAnsiTheme="minorHAnsi"/>
          <w:sz w:val="22"/>
        </w:rPr>
        <w:t>valuations</w:t>
      </w:r>
    </w:p>
    <w:p w14:paraId="1BDC9105" w14:textId="58A68F84"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consider evaluation requirements when developing NPPs</w:t>
      </w:r>
    </w:p>
    <w:p w14:paraId="77B43964" w14:textId="08DCA7E7"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ensure all new and existing policies and programs have a program logic and a monitoring and evaluation framework (evaluation ready)</w:t>
      </w:r>
    </w:p>
    <w:p w14:paraId="580AA398" w14:textId="14220071"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sign-off on the monitoring and evaluation framework and evaluation plans</w:t>
      </w:r>
    </w:p>
    <w:p w14:paraId="2B32D836" w14:textId="7777B960"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procure evaluation services and manage relationships with evaluators</w:t>
      </w:r>
    </w:p>
    <w:p w14:paraId="589D48DC" w14:textId="470F9F45"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 xml:space="preserve">manage evaluation deliverables </w:t>
      </w:r>
    </w:p>
    <w:p w14:paraId="2501176F" w14:textId="3D5DFC99"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consider and document the uptake of evaluation recommendations</w:t>
      </w:r>
    </w:p>
    <w:p w14:paraId="35ECCC4D" w14:textId="293A58FE"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 xml:space="preserve">as required, provide updates to </w:t>
      </w:r>
      <w:r w:rsidR="00E212BC">
        <w:rPr>
          <w:rFonts w:asciiTheme="minorHAnsi" w:hAnsiTheme="minorHAnsi"/>
          <w:sz w:val="22"/>
        </w:rPr>
        <w:t xml:space="preserve">the </w:t>
      </w:r>
      <w:r w:rsidRPr="00B65C97">
        <w:rPr>
          <w:rFonts w:asciiTheme="minorHAnsi" w:hAnsiTheme="minorHAnsi"/>
          <w:sz w:val="22"/>
        </w:rPr>
        <w:t xml:space="preserve">PAC </w:t>
      </w:r>
      <w:r w:rsidR="00764D6C">
        <w:rPr>
          <w:rFonts w:asciiTheme="minorHAnsi" w:hAnsiTheme="minorHAnsi"/>
          <w:sz w:val="22"/>
        </w:rPr>
        <w:t>and</w:t>
      </w:r>
      <w:r w:rsidR="00EE0C58">
        <w:rPr>
          <w:rFonts w:asciiTheme="minorHAnsi" w:hAnsiTheme="minorHAnsi"/>
          <w:sz w:val="22"/>
        </w:rPr>
        <w:t xml:space="preserve"> the</w:t>
      </w:r>
      <w:r w:rsidR="00764D6C">
        <w:rPr>
          <w:rFonts w:asciiTheme="minorHAnsi" w:hAnsiTheme="minorHAnsi"/>
          <w:sz w:val="22"/>
        </w:rPr>
        <w:t xml:space="preserve"> </w:t>
      </w:r>
      <w:r w:rsidR="00E212BC">
        <w:rPr>
          <w:rFonts w:asciiTheme="minorHAnsi" w:hAnsiTheme="minorHAnsi"/>
          <w:sz w:val="22"/>
        </w:rPr>
        <w:t>EC</w:t>
      </w:r>
      <w:r w:rsidR="00764D6C">
        <w:rPr>
          <w:rFonts w:asciiTheme="minorHAnsi" w:hAnsiTheme="minorHAnsi"/>
          <w:sz w:val="22"/>
        </w:rPr>
        <w:t xml:space="preserve"> </w:t>
      </w:r>
      <w:r w:rsidRPr="00B65C97">
        <w:rPr>
          <w:rFonts w:asciiTheme="minorHAnsi" w:hAnsiTheme="minorHAnsi"/>
          <w:sz w:val="22"/>
        </w:rPr>
        <w:t xml:space="preserve">on evaluation progress, </w:t>
      </w:r>
      <w:proofErr w:type="gramStart"/>
      <w:r w:rsidRPr="00B65C97">
        <w:rPr>
          <w:rFonts w:asciiTheme="minorHAnsi" w:hAnsiTheme="minorHAnsi"/>
          <w:sz w:val="22"/>
        </w:rPr>
        <w:t>findings</w:t>
      </w:r>
      <w:proofErr w:type="gramEnd"/>
      <w:r w:rsidRPr="00B65C97">
        <w:rPr>
          <w:rFonts w:asciiTheme="minorHAnsi" w:hAnsiTheme="minorHAnsi"/>
          <w:sz w:val="22"/>
        </w:rPr>
        <w:t xml:space="preserve"> and recommendations</w:t>
      </w:r>
      <w:r w:rsidR="008D0928">
        <w:rPr>
          <w:rFonts w:asciiTheme="minorHAnsi" w:hAnsiTheme="minorHAnsi"/>
          <w:sz w:val="22"/>
        </w:rPr>
        <w:t>,</w:t>
      </w:r>
      <w:r w:rsidRPr="00B65C97">
        <w:rPr>
          <w:rFonts w:asciiTheme="minorHAnsi" w:hAnsiTheme="minorHAnsi"/>
          <w:sz w:val="22"/>
        </w:rPr>
        <w:t xml:space="preserve"> coordinated through the Evaluation Centre.</w:t>
      </w:r>
    </w:p>
    <w:p w14:paraId="4B263486" w14:textId="77777777" w:rsidR="00C62CEA" w:rsidRPr="00B65C97" w:rsidRDefault="00C62CEA">
      <w:pPr>
        <w:pStyle w:val="Paragraphtext"/>
        <w:rPr>
          <w:rFonts w:asciiTheme="minorHAnsi" w:hAnsiTheme="minorHAnsi" w:cstheme="minorHAnsi"/>
          <w:b/>
          <w:color w:val="358189" w:themeColor="accent2"/>
          <w:sz w:val="28"/>
        </w:rPr>
      </w:pPr>
      <w:r w:rsidRPr="00B65C97">
        <w:rPr>
          <w:rFonts w:asciiTheme="minorHAnsi" w:hAnsiTheme="minorHAnsi" w:cstheme="minorHAnsi"/>
          <w:b/>
          <w:color w:val="358189" w:themeColor="accent2"/>
          <w:sz w:val="28"/>
        </w:rPr>
        <w:lastRenderedPageBreak/>
        <w:t xml:space="preserve">Evaluation Centre  </w:t>
      </w:r>
    </w:p>
    <w:p w14:paraId="13B9C629" w14:textId="31793ABB" w:rsidR="00C62CEA" w:rsidRPr="00B65C97"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The Evaluation Centre works in partnership with divisions to support the development and delivery of </w:t>
      </w:r>
      <w:r w:rsidR="00E01348" w:rsidRPr="00B65C97">
        <w:rPr>
          <w:rFonts w:asciiTheme="minorHAnsi" w:hAnsiTheme="minorHAnsi" w:cstheme="minorHAnsi"/>
          <w:color w:val="auto"/>
          <w:sz w:val="22"/>
          <w:szCs w:val="22"/>
        </w:rPr>
        <w:t>high-quality</w:t>
      </w:r>
      <w:r w:rsidRPr="00B65C97">
        <w:rPr>
          <w:rFonts w:asciiTheme="minorHAnsi" w:hAnsiTheme="minorHAnsi" w:cstheme="minorHAnsi"/>
          <w:color w:val="auto"/>
          <w:sz w:val="22"/>
          <w:szCs w:val="22"/>
        </w:rPr>
        <w:t xml:space="preserve"> evaluations. It will: </w:t>
      </w:r>
    </w:p>
    <w:p w14:paraId="58F3BF53" w14:textId="59B04DF3"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support the PAC’s role in evaluation, including collating and updating the rolling Schedule of Evaluations</w:t>
      </w:r>
    </w:p>
    <w:p w14:paraId="19FFC858" w14:textId="7733CD6C"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 xml:space="preserve">provide expert advice and guidance to divisions on planning and conducting evaluations </w:t>
      </w:r>
    </w:p>
    <w:p w14:paraId="04B58EBF" w14:textId="5BAB5158"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provide quality review and assurance on key evaluation documents, including monitoring and evaluation framework</w:t>
      </w:r>
      <w:r w:rsidR="00E212BC">
        <w:rPr>
          <w:rFonts w:asciiTheme="minorHAnsi" w:hAnsiTheme="minorHAnsi"/>
          <w:sz w:val="22"/>
        </w:rPr>
        <w:t>s</w:t>
      </w:r>
      <w:r w:rsidRPr="00B65C97">
        <w:rPr>
          <w:rFonts w:asciiTheme="minorHAnsi" w:hAnsiTheme="minorHAnsi"/>
          <w:sz w:val="22"/>
        </w:rPr>
        <w:t xml:space="preserve"> and evaluation plans</w:t>
      </w:r>
    </w:p>
    <w:p w14:paraId="4431E065" w14:textId="565C96A7"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 xml:space="preserve">provide expert advice and guidance on data needs for an evaluation including review of suitability of existing data for evaluation and </w:t>
      </w:r>
      <w:r w:rsidR="00C77698">
        <w:rPr>
          <w:rFonts w:asciiTheme="minorHAnsi" w:hAnsiTheme="minorHAnsi"/>
          <w:sz w:val="22"/>
        </w:rPr>
        <w:t xml:space="preserve">make </w:t>
      </w:r>
      <w:r w:rsidRPr="00B65C97">
        <w:rPr>
          <w:rFonts w:asciiTheme="minorHAnsi" w:hAnsiTheme="minorHAnsi"/>
          <w:sz w:val="22"/>
        </w:rPr>
        <w:t>recommendations on potential improvements</w:t>
      </w:r>
    </w:p>
    <w:p w14:paraId="487A6692" w14:textId="390C5DE9"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develop evaluation resources and tools to support this Strategy</w:t>
      </w:r>
    </w:p>
    <w:p w14:paraId="1ABDCDC0" w14:textId="7DF02523"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work to build departmental evaluation capability, including provision of seminars and workshops, facilitating secondments and on</w:t>
      </w:r>
      <w:r w:rsidR="0091694A">
        <w:rPr>
          <w:rFonts w:asciiTheme="minorHAnsi" w:hAnsiTheme="minorHAnsi"/>
          <w:sz w:val="22"/>
        </w:rPr>
        <w:t>-</w:t>
      </w:r>
      <w:r w:rsidRPr="00B65C97">
        <w:rPr>
          <w:rFonts w:asciiTheme="minorHAnsi" w:hAnsiTheme="minorHAnsi"/>
          <w:sz w:val="22"/>
        </w:rPr>
        <w:t>the</w:t>
      </w:r>
      <w:r w:rsidR="0091694A">
        <w:rPr>
          <w:rFonts w:asciiTheme="minorHAnsi" w:hAnsiTheme="minorHAnsi"/>
          <w:sz w:val="22"/>
        </w:rPr>
        <w:t>-</w:t>
      </w:r>
      <w:r w:rsidRPr="00B65C97">
        <w:rPr>
          <w:rFonts w:asciiTheme="minorHAnsi" w:hAnsiTheme="minorHAnsi"/>
          <w:sz w:val="22"/>
        </w:rPr>
        <w:t>job learning opportunities</w:t>
      </w:r>
    </w:p>
    <w:p w14:paraId="7E8B0900" w14:textId="72CFFC49" w:rsidR="00C62CEA" w:rsidRPr="00B65C97" w:rsidRDefault="00C62CEA" w:rsidP="00B65C97">
      <w:pPr>
        <w:pStyle w:val="ListBullet"/>
        <w:numPr>
          <w:ilvl w:val="0"/>
          <w:numId w:val="30"/>
        </w:numPr>
        <w:ind w:left="360"/>
        <w:rPr>
          <w:rFonts w:asciiTheme="minorHAnsi" w:hAnsiTheme="minorHAnsi"/>
          <w:sz w:val="22"/>
        </w:rPr>
      </w:pPr>
      <w:r w:rsidRPr="00B65C97">
        <w:rPr>
          <w:rFonts w:asciiTheme="minorHAnsi" w:hAnsiTheme="minorHAnsi"/>
          <w:sz w:val="22"/>
        </w:rPr>
        <w:t xml:space="preserve">manage strategic and/or cross-cutting evaluations identified by </w:t>
      </w:r>
      <w:r w:rsidR="00E212BC">
        <w:rPr>
          <w:rFonts w:asciiTheme="minorHAnsi" w:hAnsiTheme="minorHAnsi"/>
          <w:sz w:val="22"/>
        </w:rPr>
        <w:t xml:space="preserve">the </w:t>
      </w:r>
      <w:r w:rsidRPr="00B65C97">
        <w:rPr>
          <w:rFonts w:asciiTheme="minorHAnsi" w:hAnsiTheme="minorHAnsi"/>
          <w:sz w:val="22"/>
        </w:rPr>
        <w:t xml:space="preserve">PAC.  </w:t>
      </w:r>
    </w:p>
    <w:p w14:paraId="36E5456E" w14:textId="6F891065" w:rsidR="00C62CEA" w:rsidRDefault="00C62CEA" w:rsidP="0077254D">
      <w:pPr>
        <w:pStyle w:val="Paragraphtext"/>
        <w:rPr>
          <w:rFonts w:cs="Arial"/>
          <w:color w:val="auto"/>
          <w:sz w:val="22"/>
          <w:szCs w:val="22"/>
        </w:rPr>
      </w:pPr>
    </w:p>
    <w:p w14:paraId="7BC6D44F" w14:textId="5D1862D2" w:rsidR="0077254D" w:rsidRPr="00B65C97" w:rsidRDefault="0077254D" w:rsidP="0077254D">
      <w:pPr>
        <w:pStyle w:val="Paragraphtext"/>
        <w:rPr>
          <w:rFonts w:asciiTheme="minorHAnsi" w:hAnsiTheme="minorHAnsi" w:cstheme="minorHAnsi"/>
          <w:b/>
          <w:color w:val="358189" w:themeColor="accent2"/>
          <w:sz w:val="28"/>
        </w:rPr>
      </w:pPr>
      <w:r w:rsidRPr="00B65C97">
        <w:rPr>
          <w:rFonts w:asciiTheme="minorHAnsi" w:hAnsiTheme="minorHAnsi" w:cstheme="minorHAnsi"/>
          <w:b/>
          <w:color w:val="358189" w:themeColor="accent2"/>
          <w:sz w:val="28"/>
        </w:rPr>
        <w:t xml:space="preserve">Evaluation Reference Groups </w:t>
      </w:r>
    </w:p>
    <w:p w14:paraId="15CBE1F3" w14:textId="77777777" w:rsidR="0077254D" w:rsidRPr="00B65C97" w:rsidRDefault="0077254D" w:rsidP="0077254D">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Evaluations, particularly Tier One evaluations, conducted by the department may be overseen by a Steering Committee or Reference Group. Depending on their role, they may: </w:t>
      </w:r>
    </w:p>
    <w:p w14:paraId="49A7D582" w14:textId="5D1B6BD1" w:rsidR="0077254D" w:rsidRPr="00B65C97" w:rsidRDefault="0077254D" w:rsidP="0077254D">
      <w:pPr>
        <w:pStyle w:val="ListBullet"/>
        <w:numPr>
          <w:ilvl w:val="0"/>
          <w:numId w:val="30"/>
        </w:numPr>
        <w:ind w:left="360"/>
        <w:rPr>
          <w:rFonts w:asciiTheme="minorHAnsi" w:hAnsiTheme="minorHAnsi"/>
          <w:sz w:val="22"/>
        </w:rPr>
      </w:pPr>
      <w:r w:rsidRPr="00B65C97">
        <w:rPr>
          <w:rFonts w:asciiTheme="minorHAnsi" w:hAnsiTheme="minorHAnsi"/>
          <w:sz w:val="22"/>
        </w:rPr>
        <w:t>provide advice and guidance to responsible sections and evaluators on the design and conduct of an evaluation</w:t>
      </w:r>
    </w:p>
    <w:p w14:paraId="46B6B8D6" w14:textId="77777777" w:rsidR="0077254D" w:rsidRPr="00B65C97" w:rsidRDefault="0077254D" w:rsidP="0077254D">
      <w:pPr>
        <w:pStyle w:val="ListBullet"/>
        <w:numPr>
          <w:ilvl w:val="0"/>
          <w:numId w:val="30"/>
        </w:numPr>
        <w:ind w:left="360"/>
        <w:rPr>
          <w:rFonts w:asciiTheme="minorHAnsi" w:hAnsiTheme="minorHAnsi"/>
          <w:sz w:val="22"/>
        </w:rPr>
      </w:pPr>
      <w:r w:rsidRPr="00B65C97">
        <w:rPr>
          <w:rFonts w:asciiTheme="minorHAnsi" w:hAnsiTheme="minorHAnsi"/>
          <w:sz w:val="22"/>
        </w:rPr>
        <w:t xml:space="preserve">sign-off key evaluation plans and deliverables. </w:t>
      </w:r>
    </w:p>
    <w:p w14:paraId="6ADDD70F" w14:textId="7CCCFBDE" w:rsidR="0077254D" w:rsidRDefault="0077254D" w:rsidP="0077254D">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Generally, a Steering Committee has some form of sign-off function, while a Reference Group would only have an advisory role.  </w:t>
      </w:r>
    </w:p>
    <w:p w14:paraId="5EE774E6" w14:textId="77777777" w:rsidR="00E4749F" w:rsidRDefault="00E4749F" w:rsidP="0077254D">
      <w:pPr>
        <w:pStyle w:val="Paragraphtext"/>
        <w:rPr>
          <w:rFonts w:asciiTheme="minorHAnsi" w:hAnsiTheme="minorHAnsi" w:cstheme="minorHAnsi"/>
          <w:color w:val="auto"/>
          <w:sz w:val="22"/>
          <w:szCs w:val="22"/>
        </w:rPr>
      </w:pPr>
    </w:p>
    <w:p w14:paraId="36D4BAE3" w14:textId="6666B0D3" w:rsidR="0077254D" w:rsidRPr="00AA6870" w:rsidRDefault="00C920A4" w:rsidP="0077254D">
      <w:pPr>
        <w:pStyle w:val="Paragraphtext"/>
        <w:rPr>
          <w:rFonts w:asciiTheme="minorHAnsi" w:hAnsiTheme="minorHAnsi" w:cstheme="minorHAnsi"/>
          <w:b/>
          <w:color w:val="358189" w:themeColor="accent2"/>
          <w:sz w:val="28"/>
        </w:rPr>
      </w:pPr>
      <w:bookmarkStart w:id="15" w:name="_Toc422492256"/>
      <w:r>
        <w:rPr>
          <w:rFonts w:asciiTheme="minorHAnsi" w:hAnsiTheme="minorHAnsi" w:cstheme="minorHAnsi"/>
          <w:b/>
          <w:color w:val="358189" w:themeColor="accent2"/>
          <w:sz w:val="28"/>
        </w:rPr>
        <w:t xml:space="preserve">Audit and Risk </w:t>
      </w:r>
      <w:r w:rsidR="0077254D" w:rsidRPr="00AA6870">
        <w:rPr>
          <w:rFonts w:asciiTheme="minorHAnsi" w:hAnsiTheme="minorHAnsi" w:cstheme="minorHAnsi"/>
          <w:b/>
          <w:color w:val="358189" w:themeColor="accent2"/>
          <w:sz w:val="28"/>
        </w:rPr>
        <w:t>Committee</w:t>
      </w:r>
      <w:bookmarkEnd w:id="15"/>
    </w:p>
    <w:p w14:paraId="2ECA55D2" w14:textId="00CDA9DA" w:rsidR="0066007E" w:rsidRPr="00AA6870" w:rsidRDefault="0059437C" w:rsidP="0066007E">
      <w:pPr>
        <w:rPr>
          <w:rFonts w:asciiTheme="minorHAnsi" w:eastAsiaTheme="minorEastAsia" w:hAnsiTheme="minorHAnsi" w:cstheme="minorHAnsi"/>
          <w:szCs w:val="22"/>
        </w:rPr>
      </w:pPr>
      <w:r w:rsidRPr="00AA6870">
        <w:rPr>
          <w:rFonts w:asciiTheme="minorHAnsi" w:eastAsiaTheme="minorEastAsia" w:hAnsiTheme="minorHAnsi" w:cstheme="minorHAnsi"/>
          <w:szCs w:val="22"/>
        </w:rPr>
        <w:t xml:space="preserve">The roles of evaluators and auditors are quite </w:t>
      </w:r>
      <w:proofErr w:type="gramStart"/>
      <w:r w:rsidRPr="00AA6870">
        <w:rPr>
          <w:rFonts w:asciiTheme="minorHAnsi" w:eastAsiaTheme="minorEastAsia" w:hAnsiTheme="minorHAnsi" w:cstheme="minorHAnsi"/>
          <w:szCs w:val="22"/>
        </w:rPr>
        <w:t>different</w:t>
      </w:r>
      <w:proofErr w:type="gramEnd"/>
      <w:r w:rsidRPr="00AA6870">
        <w:rPr>
          <w:rFonts w:asciiTheme="minorHAnsi" w:eastAsiaTheme="minorEastAsia" w:hAnsiTheme="minorHAnsi" w:cstheme="minorHAnsi"/>
          <w:szCs w:val="22"/>
        </w:rPr>
        <w:t xml:space="preserve"> but they have similar outputs</w:t>
      </w:r>
      <w:r w:rsidR="00E4749F">
        <w:rPr>
          <w:rFonts w:asciiTheme="minorHAnsi" w:eastAsiaTheme="minorEastAsia" w:hAnsiTheme="minorHAnsi" w:cstheme="minorHAnsi"/>
          <w:szCs w:val="22"/>
        </w:rPr>
        <w:t xml:space="preserve"> – </w:t>
      </w:r>
      <w:r w:rsidRPr="00AA6870">
        <w:rPr>
          <w:rFonts w:asciiTheme="minorHAnsi" w:eastAsiaTheme="minorEastAsia" w:hAnsiTheme="minorHAnsi" w:cstheme="minorHAnsi"/>
          <w:szCs w:val="22"/>
        </w:rPr>
        <w:t xml:space="preserve">both inform performance reporting and address public accountability requirements. There are strategic linkages and synergies between the two functions. When planning an evaluation or audit and identifying lessons learned to inform policy development and programme delivery, evaluation and audit activity should be considered and coordinated. </w:t>
      </w:r>
      <w:r w:rsidR="0066007E" w:rsidRPr="00AA6870">
        <w:rPr>
          <w:rFonts w:asciiTheme="minorHAnsi" w:eastAsiaTheme="minorEastAsia" w:hAnsiTheme="minorHAnsi" w:cstheme="minorHAnsi"/>
          <w:szCs w:val="22"/>
        </w:rPr>
        <w:t>The responsibilities of the</w:t>
      </w:r>
      <w:r w:rsidR="0066007E">
        <w:rPr>
          <w:rFonts w:asciiTheme="minorHAnsi" w:eastAsiaTheme="minorEastAsia" w:hAnsiTheme="minorHAnsi" w:cstheme="minorHAnsi"/>
          <w:szCs w:val="22"/>
        </w:rPr>
        <w:t xml:space="preserve"> department’s</w:t>
      </w:r>
      <w:r w:rsidR="0066007E" w:rsidRPr="00AA6870">
        <w:rPr>
          <w:rFonts w:asciiTheme="minorHAnsi" w:eastAsiaTheme="minorEastAsia" w:hAnsiTheme="minorHAnsi" w:cstheme="minorHAnsi"/>
          <w:szCs w:val="22"/>
        </w:rPr>
        <w:t xml:space="preserve"> Audit </w:t>
      </w:r>
      <w:r w:rsidR="0066007E">
        <w:rPr>
          <w:rFonts w:asciiTheme="minorHAnsi" w:eastAsiaTheme="minorEastAsia" w:hAnsiTheme="minorHAnsi" w:cstheme="minorHAnsi"/>
          <w:szCs w:val="22"/>
        </w:rPr>
        <w:t xml:space="preserve">and Risk </w:t>
      </w:r>
      <w:r w:rsidR="0066007E" w:rsidRPr="00AA6870">
        <w:rPr>
          <w:rFonts w:asciiTheme="minorHAnsi" w:eastAsiaTheme="minorEastAsia" w:hAnsiTheme="minorHAnsi" w:cstheme="minorHAnsi"/>
          <w:szCs w:val="22"/>
        </w:rPr>
        <w:t>Committee are outlined below.</w:t>
      </w:r>
    </w:p>
    <w:p w14:paraId="6C0248C8" w14:textId="77777777" w:rsidR="0059437C" w:rsidRDefault="0059437C" w:rsidP="0077254D">
      <w:pPr>
        <w:rPr>
          <w:rFonts w:asciiTheme="minorHAnsi" w:eastAsiaTheme="minorEastAsia" w:hAnsiTheme="minorHAnsi" w:cstheme="minorHAnsi"/>
          <w:szCs w:val="22"/>
        </w:rPr>
      </w:pPr>
    </w:p>
    <w:p w14:paraId="1A1258A1" w14:textId="3E60D41B" w:rsidR="0077254D" w:rsidRPr="00AA6870" w:rsidRDefault="0066007E" w:rsidP="0077254D">
      <w:pPr>
        <w:rPr>
          <w:rFonts w:asciiTheme="minorHAnsi" w:eastAsiaTheme="minorEastAsia" w:hAnsiTheme="minorHAnsi" w:cstheme="minorHAnsi"/>
          <w:szCs w:val="22"/>
        </w:rPr>
      </w:pPr>
      <w:r w:rsidRPr="00AA6870">
        <w:rPr>
          <w:rFonts w:asciiTheme="minorHAnsi" w:eastAsiaTheme="minorEastAsia" w:hAnsiTheme="minorHAnsi" w:cstheme="minorHAnsi"/>
          <w:szCs w:val="22"/>
        </w:rPr>
        <w:t>The</w:t>
      </w:r>
      <w:r>
        <w:rPr>
          <w:rFonts w:asciiTheme="minorHAnsi" w:eastAsiaTheme="minorEastAsia" w:hAnsiTheme="minorHAnsi" w:cstheme="minorHAnsi"/>
          <w:szCs w:val="22"/>
        </w:rPr>
        <w:t xml:space="preserve"> </w:t>
      </w:r>
      <w:r w:rsidRPr="00AA6870">
        <w:rPr>
          <w:rFonts w:asciiTheme="minorHAnsi" w:eastAsiaTheme="minorEastAsia" w:hAnsiTheme="minorHAnsi" w:cstheme="minorHAnsi"/>
          <w:szCs w:val="22"/>
        </w:rPr>
        <w:t xml:space="preserve">Audit </w:t>
      </w:r>
      <w:r>
        <w:rPr>
          <w:rFonts w:asciiTheme="minorHAnsi" w:eastAsiaTheme="minorEastAsia" w:hAnsiTheme="minorHAnsi" w:cstheme="minorHAnsi"/>
          <w:szCs w:val="22"/>
        </w:rPr>
        <w:t xml:space="preserve">and Risk </w:t>
      </w:r>
      <w:r w:rsidRPr="00AA6870">
        <w:rPr>
          <w:rFonts w:asciiTheme="minorHAnsi" w:eastAsiaTheme="minorEastAsia" w:hAnsiTheme="minorHAnsi" w:cstheme="minorHAnsi"/>
          <w:szCs w:val="22"/>
        </w:rPr>
        <w:t>Committee</w:t>
      </w:r>
      <w:r w:rsidR="00E4749F">
        <w:rPr>
          <w:rFonts w:asciiTheme="minorHAnsi" w:eastAsiaTheme="minorEastAsia" w:hAnsiTheme="minorHAnsi" w:cstheme="minorHAnsi"/>
          <w:szCs w:val="22"/>
        </w:rPr>
        <w:t xml:space="preserve"> – </w:t>
      </w:r>
      <w:r w:rsidRPr="00AA6870">
        <w:rPr>
          <w:rFonts w:asciiTheme="minorHAnsi" w:eastAsiaTheme="minorEastAsia" w:hAnsiTheme="minorHAnsi" w:cstheme="minorHAnsi"/>
          <w:szCs w:val="22"/>
        </w:rPr>
        <w:t xml:space="preserve">established in accordance with the </w:t>
      </w:r>
      <w:r w:rsidRPr="00564F20">
        <w:rPr>
          <w:rFonts w:asciiTheme="minorHAnsi" w:eastAsiaTheme="minorEastAsia" w:hAnsiTheme="minorHAnsi" w:cstheme="minorHAnsi"/>
          <w:szCs w:val="22"/>
        </w:rPr>
        <w:t>PGPA Act</w:t>
      </w:r>
      <w:r w:rsidR="00E4749F">
        <w:rPr>
          <w:rFonts w:asciiTheme="minorHAnsi" w:eastAsiaTheme="minorEastAsia" w:hAnsiTheme="minorHAnsi" w:cstheme="minorHAnsi"/>
          <w:szCs w:val="22"/>
        </w:rPr>
        <w:t xml:space="preserve"> – </w:t>
      </w:r>
      <w:r w:rsidRPr="00AA6870">
        <w:rPr>
          <w:rFonts w:asciiTheme="minorHAnsi" w:eastAsiaTheme="minorEastAsia" w:hAnsiTheme="minorHAnsi" w:cstheme="minorHAnsi"/>
          <w:szCs w:val="22"/>
        </w:rPr>
        <w:t xml:space="preserve">provides independent advice and assurance to the </w:t>
      </w:r>
      <w:r>
        <w:rPr>
          <w:rFonts w:asciiTheme="minorHAnsi" w:eastAsiaTheme="minorEastAsia" w:hAnsiTheme="minorHAnsi" w:cstheme="minorHAnsi"/>
          <w:szCs w:val="22"/>
        </w:rPr>
        <w:t>department’s e</w:t>
      </w:r>
      <w:r w:rsidRPr="00AA6870">
        <w:rPr>
          <w:rFonts w:asciiTheme="minorHAnsi" w:eastAsiaTheme="minorEastAsia" w:hAnsiTheme="minorHAnsi" w:cstheme="minorHAnsi"/>
          <w:szCs w:val="22"/>
        </w:rPr>
        <w:t>xecutive on the appropriateness of the department’s accountability and control framework, independently verifying and safeguarding the integrity of the department’s financial and performance reporting</w:t>
      </w:r>
      <w:r w:rsidR="0077254D" w:rsidRPr="00AA6870">
        <w:rPr>
          <w:rFonts w:asciiTheme="minorHAnsi" w:eastAsiaTheme="minorEastAsia" w:hAnsiTheme="minorHAnsi" w:cstheme="minorHAnsi"/>
          <w:szCs w:val="22"/>
        </w:rPr>
        <w:t xml:space="preserve">. </w:t>
      </w:r>
    </w:p>
    <w:p w14:paraId="04593E00" w14:textId="77777777" w:rsidR="00B4126E" w:rsidRDefault="00B4126E" w:rsidP="00C62CEA">
      <w:pPr>
        <w:pStyle w:val="Heading1"/>
        <w:spacing w:before="0"/>
        <w:rPr>
          <w:rFonts w:asciiTheme="minorHAnsi" w:hAnsiTheme="minorHAnsi"/>
          <w:color w:val="37818A"/>
        </w:rPr>
      </w:pPr>
    </w:p>
    <w:p w14:paraId="14A54D54" w14:textId="675D60D8" w:rsidR="00C62CEA" w:rsidRPr="00C601B3" w:rsidRDefault="00C62CEA" w:rsidP="00C62CEA">
      <w:pPr>
        <w:pStyle w:val="Heading1"/>
        <w:spacing w:before="0"/>
      </w:pPr>
      <w:bookmarkStart w:id="16" w:name="_Toc140233986"/>
      <w:r w:rsidRPr="00B65C97">
        <w:rPr>
          <w:rFonts w:asciiTheme="minorHAnsi" w:hAnsiTheme="minorHAnsi"/>
          <w:color w:val="37818A"/>
        </w:rPr>
        <w:t>Monitoring and reviewing the Strategy</w:t>
      </w:r>
      <w:bookmarkEnd w:id="16"/>
      <w:r w:rsidRPr="00C601B3">
        <w:t xml:space="preserve">  </w:t>
      </w:r>
    </w:p>
    <w:p w14:paraId="2494441E" w14:textId="77777777" w:rsidR="00C62CEA" w:rsidRPr="00B65C97"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 xml:space="preserve">The Evaluation Centre will monitor and report on the performance of the department against the Strategy using an evaluation maturity framework (see Table 3). </w:t>
      </w:r>
    </w:p>
    <w:p w14:paraId="6705FA01" w14:textId="77777777" w:rsidR="00C62CEA" w:rsidRPr="00B65C97"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t>The monitoring process will provide incentives for the department to implement the Strategy’s principles and actions and allow good practice to be identified and lessons shared.</w:t>
      </w:r>
    </w:p>
    <w:p w14:paraId="6B54E0A9" w14:textId="77777777" w:rsidR="00C62CEA" w:rsidRPr="00B65C97" w:rsidRDefault="00C62CEA" w:rsidP="00C62CEA">
      <w:pPr>
        <w:pStyle w:val="Paragraphtext"/>
        <w:rPr>
          <w:rFonts w:asciiTheme="minorHAnsi" w:hAnsiTheme="minorHAnsi" w:cstheme="minorHAnsi"/>
          <w:color w:val="auto"/>
          <w:sz w:val="22"/>
          <w:szCs w:val="22"/>
        </w:rPr>
      </w:pPr>
      <w:r w:rsidRPr="00B65C97">
        <w:rPr>
          <w:rFonts w:asciiTheme="minorHAnsi" w:hAnsiTheme="minorHAnsi" w:cstheme="minorHAnsi"/>
          <w:color w:val="auto"/>
          <w:sz w:val="22"/>
          <w:szCs w:val="22"/>
        </w:rPr>
        <w:lastRenderedPageBreak/>
        <w:t>The Evaluation Centre will produce regular reports that outline findings and recommendations based on their monitoring of the Strategy’s implementation. The first report will be released two years after the Strategy is endorsed, then annually thereafter. This report will:</w:t>
      </w:r>
    </w:p>
    <w:p w14:paraId="323BAD9B" w14:textId="07B14587" w:rsidR="00C62CEA" w:rsidRPr="00B65C97" w:rsidRDefault="001C00D4" w:rsidP="00B65C97">
      <w:pPr>
        <w:pStyle w:val="ListBullet"/>
        <w:numPr>
          <w:ilvl w:val="0"/>
          <w:numId w:val="30"/>
        </w:numPr>
        <w:ind w:left="360"/>
        <w:rPr>
          <w:rFonts w:asciiTheme="minorHAnsi" w:hAnsiTheme="minorHAnsi"/>
          <w:sz w:val="22"/>
        </w:rPr>
      </w:pPr>
      <w:r>
        <w:rPr>
          <w:rFonts w:asciiTheme="minorHAnsi" w:hAnsiTheme="minorHAnsi"/>
          <w:sz w:val="22"/>
        </w:rPr>
        <w:t>a</w:t>
      </w:r>
      <w:r w:rsidR="00C62CEA" w:rsidRPr="00B65C97">
        <w:rPr>
          <w:rFonts w:asciiTheme="minorHAnsi" w:hAnsiTheme="minorHAnsi"/>
          <w:sz w:val="22"/>
        </w:rPr>
        <w:t>ssess the extent to which the department has complied with the Strategy and have implemented the Strategy effectively</w:t>
      </w:r>
    </w:p>
    <w:p w14:paraId="367FD0AD" w14:textId="36C4FAE0" w:rsidR="00C62CEA" w:rsidRPr="00B65C97" w:rsidRDefault="001C00D4" w:rsidP="00B65C97">
      <w:pPr>
        <w:pStyle w:val="ListBullet"/>
        <w:numPr>
          <w:ilvl w:val="0"/>
          <w:numId w:val="30"/>
        </w:numPr>
        <w:ind w:left="360"/>
        <w:rPr>
          <w:rFonts w:asciiTheme="minorHAnsi" w:hAnsiTheme="minorHAnsi"/>
          <w:sz w:val="22"/>
        </w:rPr>
      </w:pPr>
      <w:r>
        <w:rPr>
          <w:rFonts w:asciiTheme="minorHAnsi" w:hAnsiTheme="minorHAnsi"/>
          <w:sz w:val="22"/>
        </w:rPr>
        <w:t>i</w:t>
      </w:r>
      <w:r w:rsidR="00C62CEA" w:rsidRPr="00B65C97">
        <w:rPr>
          <w:rFonts w:asciiTheme="minorHAnsi" w:hAnsiTheme="minorHAnsi"/>
          <w:sz w:val="22"/>
        </w:rPr>
        <w:t>dentify good and or/innovative practice in the evaluation of policies and programs</w:t>
      </w:r>
    </w:p>
    <w:p w14:paraId="60754D9E" w14:textId="3DD92B02" w:rsidR="00C62CEA" w:rsidRPr="00B65C97" w:rsidRDefault="001C00D4" w:rsidP="00B65C97">
      <w:pPr>
        <w:pStyle w:val="ListBullet"/>
        <w:numPr>
          <w:ilvl w:val="0"/>
          <w:numId w:val="30"/>
        </w:numPr>
        <w:ind w:left="360"/>
        <w:rPr>
          <w:rFonts w:asciiTheme="minorHAnsi" w:hAnsiTheme="minorHAnsi"/>
          <w:sz w:val="22"/>
        </w:rPr>
      </w:pPr>
      <w:r>
        <w:rPr>
          <w:rFonts w:asciiTheme="minorHAnsi" w:hAnsiTheme="minorHAnsi"/>
          <w:sz w:val="22"/>
        </w:rPr>
        <w:t>a</w:t>
      </w:r>
      <w:r w:rsidR="00C62CEA" w:rsidRPr="00B65C97">
        <w:rPr>
          <w:rFonts w:asciiTheme="minorHAnsi" w:hAnsiTheme="minorHAnsi"/>
          <w:sz w:val="22"/>
        </w:rPr>
        <w:t>ssess the extent to which the Strategy has been effective in encouraging high-quality and useful evaluations</w:t>
      </w:r>
    </w:p>
    <w:p w14:paraId="0F2F9F43" w14:textId="04A74D16" w:rsidR="00C62CEA" w:rsidRPr="00B65C97" w:rsidRDefault="001C00D4" w:rsidP="00B65C97">
      <w:pPr>
        <w:pStyle w:val="ListBullet"/>
        <w:numPr>
          <w:ilvl w:val="0"/>
          <w:numId w:val="30"/>
        </w:numPr>
        <w:ind w:left="360"/>
        <w:rPr>
          <w:rFonts w:asciiTheme="minorHAnsi" w:hAnsiTheme="minorHAnsi"/>
          <w:sz w:val="22"/>
        </w:rPr>
      </w:pPr>
      <w:r>
        <w:rPr>
          <w:rFonts w:asciiTheme="minorHAnsi" w:hAnsiTheme="minorHAnsi"/>
          <w:sz w:val="22"/>
        </w:rPr>
        <w:t>f</w:t>
      </w:r>
      <w:r w:rsidR="00C62CEA" w:rsidRPr="00B65C97">
        <w:rPr>
          <w:rFonts w:asciiTheme="minorHAnsi" w:hAnsiTheme="minorHAnsi"/>
          <w:sz w:val="22"/>
        </w:rPr>
        <w:t>ormalise evaluation priorities, including identifying areas for cross-agency evaluations</w:t>
      </w:r>
    </w:p>
    <w:p w14:paraId="30FD804B" w14:textId="0E225029" w:rsidR="00C62CEA" w:rsidRDefault="001C00D4" w:rsidP="00B65C97">
      <w:pPr>
        <w:pStyle w:val="ListBullet"/>
        <w:numPr>
          <w:ilvl w:val="0"/>
          <w:numId w:val="30"/>
        </w:numPr>
        <w:ind w:left="360"/>
        <w:rPr>
          <w:rFonts w:asciiTheme="minorHAnsi" w:hAnsiTheme="minorHAnsi"/>
          <w:sz w:val="22"/>
        </w:rPr>
      </w:pPr>
      <w:r>
        <w:rPr>
          <w:rFonts w:asciiTheme="minorHAnsi" w:hAnsiTheme="minorHAnsi"/>
          <w:sz w:val="22"/>
        </w:rPr>
        <w:t>p</w:t>
      </w:r>
      <w:r w:rsidR="00C62CEA" w:rsidRPr="00B65C97">
        <w:rPr>
          <w:rFonts w:asciiTheme="minorHAnsi" w:hAnsiTheme="minorHAnsi"/>
          <w:sz w:val="22"/>
        </w:rPr>
        <w:t xml:space="preserve">rovide recommendations on how the implementation of the Strategy could be improved. </w:t>
      </w:r>
    </w:p>
    <w:p w14:paraId="46E1AE27" w14:textId="77777777" w:rsidR="00E22911" w:rsidRDefault="00E22911">
      <w:pPr>
        <w:rPr>
          <w:rFonts w:asciiTheme="minorHAnsi" w:hAnsiTheme="minorHAnsi" w:cstheme="minorHAnsi"/>
          <w:szCs w:val="22"/>
        </w:rPr>
      </w:pPr>
    </w:p>
    <w:p w14:paraId="3D9F925D" w14:textId="6CF9C6AA" w:rsidR="00465B90" w:rsidRDefault="00E22911">
      <w:pPr>
        <w:rPr>
          <w:rFonts w:asciiTheme="minorHAnsi" w:hAnsiTheme="minorHAnsi" w:cstheme="minorHAnsi"/>
          <w:b/>
          <w:i/>
          <w:color w:val="358189" w:themeColor="accent2"/>
          <w:szCs w:val="22"/>
        </w:rPr>
      </w:pPr>
      <w:r>
        <w:rPr>
          <w:rFonts w:asciiTheme="minorHAnsi" w:hAnsiTheme="minorHAnsi" w:cstheme="minorHAnsi"/>
          <w:szCs w:val="22"/>
        </w:rPr>
        <w:t>The Evaluation Centre will undertake a</w:t>
      </w:r>
      <w:r w:rsidR="00612F4C">
        <w:rPr>
          <w:rFonts w:asciiTheme="minorHAnsi" w:hAnsiTheme="minorHAnsi" w:cstheme="minorHAnsi"/>
          <w:szCs w:val="22"/>
        </w:rPr>
        <w:t xml:space="preserve"> comprehensive </w:t>
      </w:r>
      <w:r w:rsidRPr="00E22911">
        <w:rPr>
          <w:rFonts w:asciiTheme="minorHAnsi" w:hAnsiTheme="minorHAnsi" w:cstheme="minorHAnsi"/>
          <w:szCs w:val="22"/>
        </w:rPr>
        <w:t>review of th</w:t>
      </w:r>
      <w:r>
        <w:rPr>
          <w:rFonts w:asciiTheme="minorHAnsi" w:hAnsiTheme="minorHAnsi" w:cstheme="minorHAnsi"/>
          <w:szCs w:val="22"/>
        </w:rPr>
        <w:t>e</w:t>
      </w:r>
      <w:r w:rsidRPr="00E22911">
        <w:rPr>
          <w:rFonts w:asciiTheme="minorHAnsi" w:hAnsiTheme="minorHAnsi" w:cstheme="minorHAnsi"/>
          <w:szCs w:val="22"/>
        </w:rPr>
        <w:t xml:space="preserve"> </w:t>
      </w:r>
      <w:r w:rsidR="0091694A">
        <w:rPr>
          <w:rFonts w:asciiTheme="minorHAnsi" w:hAnsiTheme="minorHAnsi" w:cstheme="minorHAnsi"/>
          <w:szCs w:val="22"/>
        </w:rPr>
        <w:t>S</w:t>
      </w:r>
      <w:r w:rsidRPr="00E22911">
        <w:rPr>
          <w:rFonts w:asciiTheme="minorHAnsi" w:hAnsiTheme="minorHAnsi" w:cstheme="minorHAnsi"/>
          <w:szCs w:val="22"/>
        </w:rPr>
        <w:t>trategy</w:t>
      </w:r>
      <w:r>
        <w:rPr>
          <w:rFonts w:asciiTheme="minorHAnsi" w:hAnsiTheme="minorHAnsi" w:cstheme="minorHAnsi"/>
          <w:szCs w:val="22"/>
        </w:rPr>
        <w:t xml:space="preserve"> by 1 January 2026 </w:t>
      </w:r>
      <w:r w:rsidRPr="00E22911">
        <w:rPr>
          <w:rFonts w:asciiTheme="minorHAnsi" w:hAnsiTheme="minorHAnsi" w:cstheme="minorHAnsi"/>
          <w:szCs w:val="22"/>
        </w:rPr>
        <w:t xml:space="preserve">before </w:t>
      </w:r>
      <w:r>
        <w:rPr>
          <w:rFonts w:asciiTheme="minorHAnsi" w:hAnsiTheme="minorHAnsi" w:cstheme="minorHAnsi"/>
          <w:szCs w:val="22"/>
        </w:rPr>
        <w:t>developing the next one.</w:t>
      </w:r>
      <w:r w:rsidR="00465B90">
        <w:rPr>
          <w:rFonts w:asciiTheme="minorHAnsi" w:hAnsiTheme="minorHAnsi" w:cstheme="minorHAnsi"/>
          <w:b/>
          <w:i/>
          <w:color w:val="358189" w:themeColor="accent2"/>
          <w:szCs w:val="22"/>
        </w:rPr>
        <w:br w:type="page"/>
      </w:r>
    </w:p>
    <w:p w14:paraId="21FB18BD" w14:textId="7457A227" w:rsidR="00C62CEA" w:rsidRPr="00B65C97" w:rsidRDefault="00C62CEA" w:rsidP="00B65C97">
      <w:pPr>
        <w:rPr>
          <w:rFonts w:asciiTheme="minorHAnsi" w:hAnsiTheme="minorHAnsi" w:cstheme="minorHAnsi"/>
          <w:b/>
          <w:i/>
          <w:color w:val="358189" w:themeColor="accent2"/>
          <w:szCs w:val="22"/>
        </w:rPr>
      </w:pPr>
      <w:r w:rsidRPr="00B65C97">
        <w:rPr>
          <w:rFonts w:asciiTheme="minorHAnsi" w:hAnsiTheme="minorHAnsi" w:cstheme="minorHAnsi"/>
          <w:b/>
          <w:i/>
          <w:color w:val="358189" w:themeColor="accent2"/>
          <w:szCs w:val="22"/>
        </w:rPr>
        <w:lastRenderedPageBreak/>
        <w:t xml:space="preserve">Table 3: Measuring </w:t>
      </w:r>
      <w:r w:rsidR="0091694A">
        <w:rPr>
          <w:rFonts w:asciiTheme="minorHAnsi" w:hAnsiTheme="minorHAnsi" w:cstheme="minorHAnsi"/>
          <w:b/>
          <w:i/>
          <w:color w:val="358189" w:themeColor="accent2"/>
          <w:szCs w:val="22"/>
        </w:rPr>
        <w:t>e</w:t>
      </w:r>
      <w:r w:rsidRPr="00B65C97">
        <w:rPr>
          <w:rFonts w:asciiTheme="minorHAnsi" w:hAnsiTheme="minorHAnsi" w:cstheme="minorHAnsi"/>
          <w:b/>
          <w:i/>
          <w:color w:val="358189" w:themeColor="accent2"/>
          <w:szCs w:val="22"/>
        </w:rPr>
        <w:t xml:space="preserve">valuation </w:t>
      </w:r>
      <w:r w:rsidR="0091694A">
        <w:rPr>
          <w:rFonts w:asciiTheme="minorHAnsi" w:hAnsiTheme="minorHAnsi" w:cstheme="minorHAnsi"/>
          <w:b/>
          <w:i/>
          <w:color w:val="358189" w:themeColor="accent2"/>
          <w:szCs w:val="22"/>
        </w:rPr>
        <w:t>m</w:t>
      </w:r>
      <w:r w:rsidRPr="00B65C97">
        <w:rPr>
          <w:rFonts w:asciiTheme="minorHAnsi" w:hAnsiTheme="minorHAnsi" w:cstheme="minorHAnsi"/>
          <w:b/>
          <w:i/>
          <w:color w:val="358189" w:themeColor="accent2"/>
          <w:szCs w:val="22"/>
        </w:rPr>
        <w:t xml:space="preserve">aturity over the </w:t>
      </w:r>
      <w:r w:rsidR="0091694A">
        <w:rPr>
          <w:rFonts w:asciiTheme="minorHAnsi" w:hAnsiTheme="minorHAnsi" w:cstheme="minorHAnsi"/>
          <w:b/>
          <w:i/>
          <w:color w:val="358189" w:themeColor="accent2"/>
          <w:szCs w:val="22"/>
        </w:rPr>
        <w:t>p</w:t>
      </w:r>
      <w:r w:rsidRPr="00B65C97">
        <w:rPr>
          <w:rFonts w:asciiTheme="minorHAnsi" w:hAnsiTheme="minorHAnsi" w:cstheme="minorHAnsi"/>
          <w:b/>
          <w:i/>
          <w:color w:val="358189" w:themeColor="accent2"/>
          <w:szCs w:val="22"/>
        </w:rPr>
        <w:t xml:space="preserve">eriod of the Strategy </w:t>
      </w:r>
    </w:p>
    <w:tbl>
      <w:tblPr>
        <w:tblStyle w:val="TableGrid2"/>
        <w:tblW w:w="9356" w:type="dxa"/>
        <w:tblInd w:w="-5" w:type="dxa"/>
        <w:tblBorders>
          <w:top w:val="single" w:sz="8" w:space="0" w:color="358189"/>
          <w:left w:val="single" w:sz="8" w:space="0" w:color="358189"/>
          <w:bottom w:val="single" w:sz="8" w:space="0" w:color="358189"/>
          <w:right w:val="single" w:sz="8" w:space="0" w:color="358189"/>
          <w:insideH w:val="single" w:sz="8" w:space="0" w:color="358189"/>
          <w:insideV w:val="single" w:sz="8" w:space="0" w:color="358189"/>
        </w:tblBorders>
        <w:tblLook w:val="04A0" w:firstRow="1" w:lastRow="0" w:firstColumn="1" w:lastColumn="0" w:noHBand="0" w:noVBand="1"/>
      </w:tblPr>
      <w:tblGrid>
        <w:gridCol w:w="1276"/>
        <w:gridCol w:w="2693"/>
        <w:gridCol w:w="2693"/>
        <w:gridCol w:w="2694"/>
      </w:tblGrid>
      <w:tr w:rsidR="00C62CEA" w14:paraId="6D8E8316" w14:textId="77777777" w:rsidTr="008865D7">
        <w:trPr>
          <w:trHeight w:val="403"/>
        </w:trPr>
        <w:tc>
          <w:tcPr>
            <w:tcW w:w="1276" w:type="dxa"/>
            <w:shd w:val="clear" w:color="auto" w:fill="009999"/>
          </w:tcPr>
          <w:p w14:paraId="38F0D643" w14:textId="77777777" w:rsidR="00C62CEA" w:rsidRPr="00B65C97" w:rsidRDefault="00C62CEA" w:rsidP="00B65C97">
            <w:pPr>
              <w:spacing w:before="120" w:after="120"/>
              <w:rPr>
                <w:rStyle w:val="Strong"/>
                <w:rFonts w:asciiTheme="minorHAnsi" w:hAnsiTheme="minorHAnsi" w:cstheme="minorHAnsi"/>
                <w:color w:val="FFFFFF" w:themeColor="background1"/>
              </w:rPr>
            </w:pPr>
            <w:r w:rsidRPr="00B65C97">
              <w:rPr>
                <w:rStyle w:val="Strong"/>
                <w:rFonts w:asciiTheme="minorHAnsi" w:hAnsiTheme="minorHAnsi" w:cstheme="minorHAnsi"/>
                <w:color w:val="FFFFFF" w:themeColor="background1"/>
              </w:rPr>
              <w:t>Action Area</w:t>
            </w:r>
          </w:p>
        </w:tc>
        <w:tc>
          <w:tcPr>
            <w:tcW w:w="2693" w:type="dxa"/>
            <w:shd w:val="clear" w:color="auto" w:fill="009999"/>
          </w:tcPr>
          <w:p w14:paraId="0A58ACBF" w14:textId="77777777" w:rsidR="00C62CEA" w:rsidRPr="008865D7" w:rsidRDefault="00C62CEA" w:rsidP="00B65C97">
            <w:pPr>
              <w:tabs>
                <w:tab w:val="center" w:pos="1960"/>
              </w:tabs>
              <w:spacing w:before="120" w:after="120"/>
              <w:rPr>
                <w:rStyle w:val="Strong"/>
                <w:rFonts w:asciiTheme="minorHAnsi" w:hAnsiTheme="minorHAnsi" w:cstheme="minorHAnsi"/>
                <w:color w:val="FFFFFF" w:themeColor="background1"/>
                <w:sz w:val="19"/>
                <w:szCs w:val="19"/>
              </w:rPr>
            </w:pPr>
            <w:r w:rsidRPr="008865D7">
              <w:rPr>
                <w:rStyle w:val="Strong"/>
                <w:rFonts w:asciiTheme="minorHAnsi" w:hAnsiTheme="minorHAnsi" w:cstheme="minorHAnsi"/>
                <w:color w:val="FFFFFF" w:themeColor="background1"/>
                <w:sz w:val="19"/>
                <w:szCs w:val="19"/>
              </w:rPr>
              <w:t>Where we are now</w:t>
            </w:r>
          </w:p>
        </w:tc>
        <w:tc>
          <w:tcPr>
            <w:tcW w:w="2693" w:type="dxa"/>
            <w:shd w:val="clear" w:color="auto" w:fill="009999"/>
          </w:tcPr>
          <w:p w14:paraId="06E7DE27" w14:textId="77777777" w:rsidR="00C62CEA" w:rsidRPr="008865D7" w:rsidRDefault="00C62CEA" w:rsidP="00B65C97">
            <w:pPr>
              <w:tabs>
                <w:tab w:val="center" w:pos="1818"/>
              </w:tabs>
              <w:spacing w:before="120" w:after="120"/>
              <w:rPr>
                <w:rStyle w:val="Strong"/>
                <w:rFonts w:asciiTheme="minorHAnsi" w:hAnsiTheme="minorHAnsi" w:cstheme="minorHAnsi"/>
                <w:color w:val="FFFFFF" w:themeColor="background1"/>
                <w:sz w:val="19"/>
                <w:szCs w:val="19"/>
              </w:rPr>
            </w:pPr>
            <w:r w:rsidRPr="008865D7">
              <w:rPr>
                <w:rStyle w:val="Strong"/>
                <w:rFonts w:asciiTheme="minorHAnsi" w:hAnsiTheme="minorHAnsi" w:cstheme="minorHAnsi"/>
                <w:color w:val="FFFFFF" w:themeColor="background1"/>
                <w:sz w:val="19"/>
                <w:szCs w:val="19"/>
              </w:rPr>
              <w:t>Developing</w:t>
            </w:r>
          </w:p>
        </w:tc>
        <w:tc>
          <w:tcPr>
            <w:tcW w:w="2694" w:type="dxa"/>
            <w:shd w:val="clear" w:color="auto" w:fill="009999"/>
          </w:tcPr>
          <w:p w14:paraId="08422B94" w14:textId="77777777" w:rsidR="00C62CEA" w:rsidRPr="008865D7" w:rsidRDefault="00C62CEA" w:rsidP="00B65C97">
            <w:pPr>
              <w:tabs>
                <w:tab w:val="center" w:pos="1817"/>
              </w:tabs>
              <w:spacing w:before="120" w:after="120"/>
              <w:rPr>
                <w:rStyle w:val="Strong"/>
                <w:rFonts w:asciiTheme="minorHAnsi" w:hAnsiTheme="minorHAnsi" w:cstheme="minorHAnsi"/>
                <w:color w:val="FFFFFF" w:themeColor="background1"/>
                <w:sz w:val="19"/>
                <w:szCs w:val="19"/>
              </w:rPr>
            </w:pPr>
            <w:r w:rsidRPr="008865D7">
              <w:rPr>
                <w:rStyle w:val="Strong"/>
                <w:rFonts w:asciiTheme="minorHAnsi" w:hAnsiTheme="minorHAnsi" w:cstheme="minorHAnsi"/>
                <w:color w:val="FFFFFF" w:themeColor="background1"/>
                <w:sz w:val="19"/>
                <w:szCs w:val="19"/>
              </w:rPr>
              <w:t>Mature</w:t>
            </w:r>
          </w:p>
        </w:tc>
      </w:tr>
      <w:tr w:rsidR="00C62CEA" w14:paraId="5DB92EBB" w14:textId="77777777" w:rsidTr="008865D7">
        <w:trPr>
          <w:trHeight w:val="1222"/>
        </w:trPr>
        <w:tc>
          <w:tcPr>
            <w:tcW w:w="1276" w:type="dxa"/>
            <w:vAlign w:val="center"/>
          </w:tcPr>
          <w:p w14:paraId="0F47D749" w14:textId="5201DC71" w:rsidR="00C62CEA" w:rsidRPr="003D590B" w:rsidRDefault="00C62CEA" w:rsidP="003D590B">
            <w:pPr>
              <w:tabs>
                <w:tab w:val="center" w:pos="1960"/>
              </w:tabs>
              <w:spacing w:before="120" w:after="60"/>
              <w:rPr>
                <w:rFonts w:asciiTheme="minorHAnsi" w:hAnsiTheme="minorHAnsi" w:cstheme="minorHAnsi"/>
                <w:b/>
                <w:bCs/>
                <w:sz w:val="19"/>
                <w:szCs w:val="19"/>
              </w:rPr>
            </w:pPr>
            <w:r w:rsidRPr="00E4749F">
              <w:rPr>
                <w:rFonts w:asciiTheme="minorHAnsi" w:hAnsiTheme="minorHAnsi" w:cstheme="minorHAnsi"/>
                <w:b/>
                <w:bCs/>
                <w:sz w:val="19"/>
                <w:szCs w:val="19"/>
              </w:rPr>
              <w:t xml:space="preserve">1. Ensure important policies and programs are evaluated  </w:t>
            </w:r>
          </w:p>
        </w:tc>
        <w:tc>
          <w:tcPr>
            <w:tcW w:w="2693" w:type="dxa"/>
          </w:tcPr>
          <w:p w14:paraId="7807D866" w14:textId="071A9699" w:rsidR="00C62CEA"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 xml:space="preserve">The department does not publish </w:t>
            </w:r>
            <w:r w:rsidR="00F16714" w:rsidRPr="00A70EFF">
              <w:rPr>
                <w:rFonts w:asciiTheme="minorHAnsi" w:hAnsiTheme="minorHAnsi" w:cstheme="minorHAnsi"/>
                <w:sz w:val="19"/>
                <w:szCs w:val="19"/>
              </w:rPr>
              <w:t xml:space="preserve">agency-wide </w:t>
            </w:r>
            <w:r w:rsidRPr="00A70EFF">
              <w:rPr>
                <w:rFonts w:asciiTheme="minorHAnsi" w:hAnsiTheme="minorHAnsi" w:cstheme="minorHAnsi"/>
                <w:sz w:val="19"/>
                <w:szCs w:val="19"/>
              </w:rPr>
              <w:t>evaluation planning documents, such as a rolling Schedule of Evaluations</w:t>
            </w:r>
            <w:r w:rsidR="00465B90">
              <w:rPr>
                <w:rFonts w:asciiTheme="minorHAnsi" w:hAnsiTheme="minorHAnsi" w:cstheme="minorHAnsi"/>
                <w:sz w:val="19"/>
                <w:szCs w:val="19"/>
              </w:rPr>
              <w:t>.</w:t>
            </w:r>
            <w:r w:rsidRPr="00A70EFF">
              <w:rPr>
                <w:rFonts w:asciiTheme="minorHAnsi" w:hAnsiTheme="minorHAnsi" w:cstheme="minorHAnsi"/>
                <w:sz w:val="19"/>
                <w:szCs w:val="19"/>
              </w:rPr>
              <w:t xml:space="preserve"> </w:t>
            </w:r>
          </w:p>
          <w:p w14:paraId="59E3EB56" w14:textId="32546095" w:rsidR="0060534C" w:rsidRPr="00A70EFF" w:rsidRDefault="0060534C" w:rsidP="003D590B">
            <w:pPr>
              <w:pBdr>
                <w:top w:val="nil"/>
                <w:left w:val="nil"/>
                <w:bottom w:val="nil"/>
                <w:right w:val="nil"/>
                <w:between w:val="nil"/>
                <w:bar w:val="nil"/>
              </w:pBdr>
              <w:tabs>
                <w:tab w:val="center" w:pos="1960"/>
              </w:tabs>
              <w:spacing w:before="120" w:after="60"/>
              <w:rPr>
                <w:rFonts w:asciiTheme="minorHAnsi" w:hAnsiTheme="minorHAnsi" w:cstheme="minorHAnsi"/>
                <w:sz w:val="19"/>
                <w:szCs w:val="19"/>
              </w:rPr>
            </w:pPr>
            <w:r w:rsidRPr="0060534C">
              <w:rPr>
                <w:rFonts w:asciiTheme="minorHAnsi" w:hAnsiTheme="minorHAnsi" w:cstheme="minorHAnsi"/>
                <w:sz w:val="19"/>
                <w:szCs w:val="19"/>
              </w:rPr>
              <w:t xml:space="preserve">Evaluation awareness is low and is as a response to identified problems. </w:t>
            </w:r>
          </w:p>
        </w:tc>
        <w:tc>
          <w:tcPr>
            <w:tcW w:w="2693" w:type="dxa"/>
          </w:tcPr>
          <w:p w14:paraId="1C820EE4" w14:textId="221031B8" w:rsidR="00C62CEA"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A Schedule of Evaluations is established and monitored</w:t>
            </w:r>
            <w:r w:rsidR="00465B90">
              <w:rPr>
                <w:rFonts w:asciiTheme="minorHAnsi" w:hAnsiTheme="minorHAnsi" w:cstheme="minorHAnsi"/>
                <w:sz w:val="19"/>
                <w:szCs w:val="19"/>
              </w:rPr>
              <w:t>.</w:t>
            </w:r>
          </w:p>
          <w:p w14:paraId="34CCD3BF" w14:textId="625013EB" w:rsidR="0060534C" w:rsidRPr="00A70EFF" w:rsidRDefault="0060534C" w:rsidP="003D590B">
            <w:pPr>
              <w:tabs>
                <w:tab w:val="center" w:pos="1960"/>
              </w:tabs>
              <w:spacing w:before="120" w:after="60"/>
              <w:rPr>
                <w:rFonts w:asciiTheme="minorHAnsi" w:hAnsiTheme="minorHAnsi" w:cstheme="minorHAnsi"/>
                <w:sz w:val="19"/>
                <w:szCs w:val="19"/>
              </w:rPr>
            </w:pPr>
            <w:r w:rsidRPr="0060534C">
              <w:rPr>
                <w:rFonts w:asciiTheme="minorHAnsi" w:hAnsiTheme="minorHAnsi" w:cstheme="minorHAnsi"/>
                <w:sz w:val="19"/>
                <w:szCs w:val="19"/>
              </w:rPr>
              <w:t>Widespread awareness of the benefits of evaluation</w:t>
            </w:r>
            <w:r w:rsidR="00465B90">
              <w:rPr>
                <w:rFonts w:asciiTheme="minorHAnsi" w:hAnsiTheme="minorHAnsi" w:cstheme="minorHAnsi"/>
                <w:sz w:val="19"/>
                <w:szCs w:val="19"/>
              </w:rPr>
              <w:t>.</w:t>
            </w:r>
          </w:p>
        </w:tc>
        <w:tc>
          <w:tcPr>
            <w:tcW w:w="2694" w:type="dxa"/>
          </w:tcPr>
          <w:p w14:paraId="374CB696" w14:textId="77777777" w:rsidR="00C62CEA"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The department publishe</w:t>
            </w:r>
            <w:r w:rsidR="00CE0E00" w:rsidRPr="00A70EFF">
              <w:rPr>
                <w:rFonts w:asciiTheme="minorHAnsi" w:hAnsiTheme="minorHAnsi" w:cstheme="minorHAnsi"/>
                <w:sz w:val="19"/>
                <w:szCs w:val="19"/>
              </w:rPr>
              <w:t>s</w:t>
            </w:r>
            <w:r w:rsidRPr="00A70EFF">
              <w:rPr>
                <w:rFonts w:asciiTheme="minorHAnsi" w:hAnsiTheme="minorHAnsi" w:cstheme="minorHAnsi"/>
                <w:sz w:val="19"/>
                <w:szCs w:val="19"/>
              </w:rPr>
              <w:t xml:space="preserve"> </w:t>
            </w:r>
            <w:r w:rsidR="00F16714" w:rsidRPr="00A70EFF">
              <w:rPr>
                <w:rFonts w:asciiTheme="minorHAnsi" w:hAnsiTheme="minorHAnsi" w:cstheme="minorHAnsi"/>
                <w:sz w:val="19"/>
                <w:szCs w:val="19"/>
              </w:rPr>
              <w:t>key</w:t>
            </w:r>
            <w:r w:rsidRPr="00A70EFF">
              <w:rPr>
                <w:rFonts w:asciiTheme="minorHAnsi" w:hAnsiTheme="minorHAnsi" w:cstheme="minorHAnsi"/>
                <w:sz w:val="19"/>
                <w:szCs w:val="19"/>
              </w:rPr>
              <w:t xml:space="preserve"> evaluation planning documents.</w:t>
            </w:r>
          </w:p>
          <w:p w14:paraId="058BC2B4" w14:textId="7A1E2EC9" w:rsidR="0060534C" w:rsidRPr="00A70EFF" w:rsidRDefault="0060534C" w:rsidP="003D590B">
            <w:pPr>
              <w:tabs>
                <w:tab w:val="center" w:pos="1960"/>
              </w:tabs>
              <w:spacing w:before="120" w:after="60"/>
              <w:rPr>
                <w:rFonts w:asciiTheme="minorHAnsi" w:hAnsiTheme="minorHAnsi" w:cstheme="minorHAnsi"/>
                <w:sz w:val="19"/>
                <w:szCs w:val="19"/>
              </w:rPr>
            </w:pPr>
            <w:r w:rsidRPr="0060534C">
              <w:rPr>
                <w:rFonts w:asciiTheme="minorHAnsi" w:hAnsiTheme="minorHAnsi" w:cstheme="minorHAnsi"/>
                <w:sz w:val="19"/>
                <w:szCs w:val="19"/>
              </w:rPr>
              <w:t>Evaluation perceived as an integral component of sound performance management.</w:t>
            </w:r>
          </w:p>
        </w:tc>
      </w:tr>
      <w:tr w:rsidR="00483B90" w14:paraId="32AE204D" w14:textId="77777777" w:rsidTr="008865D7">
        <w:trPr>
          <w:trHeight w:val="987"/>
        </w:trPr>
        <w:tc>
          <w:tcPr>
            <w:tcW w:w="1276" w:type="dxa"/>
          </w:tcPr>
          <w:p w14:paraId="2D8177B3" w14:textId="6B88EF7F" w:rsidR="00483B90" w:rsidRPr="003D590B" w:rsidRDefault="00483B90" w:rsidP="003D590B">
            <w:pPr>
              <w:tabs>
                <w:tab w:val="center" w:pos="1960"/>
              </w:tabs>
              <w:spacing w:before="120" w:after="60"/>
              <w:rPr>
                <w:rFonts w:asciiTheme="minorHAnsi" w:hAnsiTheme="minorHAnsi" w:cstheme="minorHAnsi"/>
                <w:b/>
                <w:bCs/>
                <w:sz w:val="19"/>
                <w:szCs w:val="19"/>
              </w:rPr>
            </w:pPr>
            <w:r w:rsidRPr="00E4749F">
              <w:rPr>
                <w:rFonts w:asciiTheme="minorHAnsi" w:hAnsiTheme="minorHAnsi" w:cstheme="minorHAnsi"/>
                <w:b/>
                <w:bCs/>
                <w:sz w:val="19"/>
                <w:szCs w:val="19"/>
              </w:rPr>
              <w:t>2.Planning early for evaluation</w:t>
            </w:r>
          </w:p>
        </w:tc>
        <w:tc>
          <w:tcPr>
            <w:tcW w:w="2693" w:type="dxa"/>
          </w:tcPr>
          <w:p w14:paraId="604DDBFB" w14:textId="3519016D" w:rsidR="00483B90" w:rsidRDefault="00483B90"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 xml:space="preserve">Evaluation is </w:t>
            </w:r>
            <w:r w:rsidR="00A70EFF">
              <w:rPr>
                <w:rFonts w:asciiTheme="minorHAnsi" w:hAnsiTheme="minorHAnsi" w:cstheme="minorHAnsi"/>
                <w:sz w:val="19"/>
                <w:szCs w:val="19"/>
              </w:rPr>
              <w:t xml:space="preserve">often </w:t>
            </w:r>
            <w:r w:rsidRPr="00A70EFF">
              <w:rPr>
                <w:rFonts w:asciiTheme="minorHAnsi" w:hAnsiTheme="minorHAnsi" w:cstheme="minorHAnsi"/>
                <w:sz w:val="19"/>
                <w:szCs w:val="19"/>
              </w:rPr>
              <w:t>disconnected from planning and decision-making</w:t>
            </w:r>
            <w:r w:rsidR="00465B90">
              <w:rPr>
                <w:rFonts w:asciiTheme="minorHAnsi" w:hAnsiTheme="minorHAnsi" w:cstheme="minorHAnsi"/>
                <w:sz w:val="19"/>
                <w:szCs w:val="19"/>
              </w:rPr>
              <w:t>.</w:t>
            </w:r>
          </w:p>
          <w:p w14:paraId="5AD9E6E4" w14:textId="6F45B56C" w:rsidR="0060534C" w:rsidRPr="00A70EFF" w:rsidRDefault="0060534C" w:rsidP="003D590B">
            <w:pPr>
              <w:tabs>
                <w:tab w:val="center" w:pos="1960"/>
              </w:tabs>
              <w:spacing w:before="120" w:after="60"/>
              <w:rPr>
                <w:rFonts w:asciiTheme="minorHAnsi" w:hAnsiTheme="minorHAnsi" w:cstheme="minorHAnsi"/>
                <w:sz w:val="19"/>
                <w:szCs w:val="19"/>
              </w:rPr>
            </w:pPr>
          </w:p>
        </w:tc>
        <w:tc>
          <w:tcPr>
            <w:tcW w:w="2693" w:type="dxa"/>
          </w:tcPr>
          <w:p w14:paraId="333DD798" w14:textId="1B589162" w:rsidR="00483B90" w:rsidRPr="00A70EFF" w:rsidRDefault="00483B90"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NPPs</w:t>
            </w:r>
            <w:r w:rsidR="00A70EFF">
              <w:rPr>
                <w:rFonts w:asciiTheme="minorHAnsi" w:hAnsiTheme="minorHAnsi" w:cstheme="minorHAnsi"/>
                <w:sz w:val="19"/>
                <w:szCs w:val="19"/>
              </w:rPr>
              <w:t xml:space="preserve"> routinely</w:t>
            </w:r>
            <w:r w:rsidRPr="00A70EFF">
              <w:rPr>
                <w:rFonts w:asciiTheme="minorHAnsi" w:hAnsiTheme="minorHAnsi" w:cstheme="minorHAnsi"/>
                <w:sz w:val="19"/>
                <w:szCs w:val="19"/>
              </w:rPr>
              <w:t xml:space="preserve"> include evaluation requirements (where</w:t>
            </w:r>
            <w:r w:rsidR="00A70EFF" w:rsidRPr="00A70EFF">
              <w:rPr>
                <w:rFonts w:asciiTheme="minorHAnsi" w:hAnsiTheme="minorHAnsi" w:cstheme="minorHAnsi"/>
                <w:sz w:val="19"/>
                <w:szCs w:val="19"/>
              </w:rPr>
              <w:t xml:space="preserve"> a</w:t>
            </w:r>
            <w:r w:rsidRPr="00A70EFF">
              <w:rPr>
                <w:rFonts w:asciiTheme="minorHAnsi" w:hAnsiTheme="minorHAnsi" w:cstheme="minorHAnsi"/>
                <w:sz w:val="19"/>
                <w:szCs w:val="19"/>
              </w:rPr>
              <w:t>pplicable)</w:t>
            </w:r>
            <w:r w:rsidR="00465B90">
              <w:rPr>
                <w:rFonts w:asciiTheme="minorHAnsi" w:hAnsiTheme="minorHAnsi" w:cstheme="minorHAnsi"/>
                <w:sz w:val="19"/>
                <w:szCs w:val="19"/>
              </w:rPr>
              <w:t>.</w:t>
            </w:r>
          </w:p>
          <w:p w14:paraId="747BA300" w14:textId="2FCE2DD3" w:rsidR="00483B90" w:rsidRPr="00A70EFF" w:rsidRDefault="00483B90"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A growing proportion of policies and programs are evaluation ready</w:t>
            </w:r>
            <w:r w:rsidR="00465B90">
              <w:rPr>
                <w:rFonts w:asciiTheme="minorHAnsi" w:hAnsiTheme="minorHAnsi" w:cstheme="minorHAnsi"/>
                <w:sz w:val="19"/>
                <w:szCs w:val="19"/>
              </w:rPr>
              <w:t>.</w:t>
            </w:r>
          </w:p>
        </w:tc>
        <w:tc>
          <w:tcPr>
            <w:tcW w:w="2694" w:type="dxa"/>
          </w:tcPr>
          <w:p w14:paraId="0B16AB91" w14:textId="13C0CD99" w:rsidR="00483B90" w:rsidRPr="00A70EFF" w:rsidRDefault="00483B90"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Evaluation is embedded in strategic planning, reporting and decision-making processes</w:t>
            </w:r>
            <w:r w:rsidR="00465B90">
              <w:rPr>
                <w:rFonts w:asciiTheme="minorHAnsi" w:hAnsiTheme="minorHAnsi" w:cstheme="minorHAnsi"/>
                <w:sz w:val="19"/>
                <w:szCs w:val="19"/>
              </w:rPr>
              <w:t>.</w:t>
            </w:r>
          </w:p>
          <w:p w14:paraId="46291F9A" w14:textId="669C272B" w:rsidR="00483B90" w:rsidRPr="00A70EFF" w:rsidRDefault="00483B90"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Evaluation practice is embedded in the department’s performance planning and reporting framework and policy/program cycle</w:t>
            </w:r>
            <w:r w:rsidR="00465B90">
              <w:rPr>
                <w:rFonts w:asciiTheme="minorHAnsi" w:hAnsiTheme="minorHAnsi" w:cstheme="minorHAnsi"/>
                <w:sz w:val="19"/>
                <w:szCs w:val="19"/>
              </w:rPr>
              <w:t>.</w:t>
            </w:r>
          </w:p>
        </w:tc>
      </w:tr>
      <w:tr w:rsidR="00C62CEA" w14:paraId="7E9B528B" w14:textId="77777777" w:rsidTr="008865D7">
        <w:trPr>
          <w:trHeight w:val="1449"/>
        </w:trPr>
        <w:tc>
          <w:tcPr>
            <w:tcW w:w="1276" w:type="dxa"/>
          </w:tcPr>
          <w:p w14:paraId="2442B6BE" w14:textId="61871E81" w:rsidR="00C62CEA" w:rsidRPr="003D590B" w:rsidRDefault="00483B90" w:rsidP="003D590B">
            <w:pPr>
              <w:tabs>
                <w:tab w:val="center" w:pos="1960"/>
              </w:tabs>
              <w:spacing w:before="120" w:after="60"/>
              <w:rPr>
                <w:rFonts w:asciiTheme="minorHAnsi" w:hAnsiTheme="minorHAnsi" w:cstheme="minorHAnsi"/>
                <w:b/>
                <w:bCs/>
                <w:sz w:val="19"/>
                <w:szCs w:val="19"/>
              </w:rPr>
            </w:pPr>
            <w:r w:rsidRPr="00E4749F">
              <w:rPr>
                <w:rFonts w:asciiTheme="minorHAnsi" w:hAnsiTheme="minorHAnsi" w:cstheme="minorHAnsi"/>
                <w:b/>
                <w:bCs/>
                <w:sz w:val="19"/>
                <w:szCs w:val="19"/>
              </w:rPr>
              <w:t>3.</w:t>
            </w:r>
            <w:r w:rsidR="00C62CEA" w:rsidRPr="00E4749F">
              <w:rPr>
                <w:rFonts w:asciiTheme="minorHAnsi" w:hAnsiTheme="minorHAnsi" w:cstheme="minorHAnsi"/>
                <w:b/>
                <w:bCs/>
                <w:sz w:val="19"/>
                <w:szCs w:val="19"/>
              </w:rPr>
              <w:t xml:space="preserve"> Building capability to conduct and manage high-quality evaluations</w:t>
            </w:r>
          </w:p>
        </w:tc>
        <w:tc>
          <w:tcPr>
            <w:tcW w:w="2693" w:type="dxa"/>
          </w:tcPr>
          <w:p w14:paraId="2E6965B3" w14:textId="0F978C7E" w:rsidR="00C62CEA" w:rsidRPr="00A70EFF"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Evaluation knowledge and skills are limited, despite pockets of expertise</w:t>
            </w:r>
            <w:r w:rsidR="00465B90">
              <w:rPr>
                <w:rFonts w:asciiTheme="minorHAnsi" w:hAnsiTheme="minorHAnsi" w:cstheme="minorHAnsi"/>
                <w:sz w:val="19"/>
                <w:szCs w:val="19"/>
              </w:rPr>
              <w:t>.</w:t>
            </w:r>
          </w:p>
          <w:p w14:paraId="75D8B1AE" w14:textId="43F57884" w:rsidR="00C62CEA" w:rsidRPr="00A70EFF"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Data needs for evaluation are not</w:t>
            </w:r>
            <w:r w:rsidR="00A70EFF">
              <w:rPr>
                <w:rFonts w:asciiTheme="minorHAnsi" w:hAnsiTheme="minorHAnsi" w:cstheme="minorHAnsi"/>
                <w:sz w:val="19"/>
                <w:szCs w:val="19"/>
              </w:rPr>
              <w:t xml:space="preserve"> routinely</w:t>
            </w:r>
            <w:r w:rsidRPr="00A70EFF">
              <w:rPr>
                <w:rFonts w:asciiTheme="minorHAnsi" w:hAnsiTheme="minorHAnsi" w:cstheme="minorHAnsi"/>
                <w:sz w:val="19"/>
                <w:szCs w:val="19"/>
              </w:rPr>
              <w:t xml:space="preserve"> identified early</w:t>
            </w:r>
            <w:r w:rsidR="00465B90">
              <w:rPr>
                <w:rFonts w:asciiTheme="minorHAnsi" w:hAnsiTheme="minorHAnsi" w:cstheme="minorHAnsi"/>
                <w:sz w:val="19"/>
                <w:szCs w:val="19"/>
              </w:rPr>
              <w:t>.</w:t>
            </w:r>
          </w:p>
        </w:tc>
        <w:tc>
          <w:tcPr>
            <w:tcW w:w="2693" w:type="dxa"/>
          </w:tcPr>
          <w:p w14:paraId="152569B5" w14:textId="3B1D4961" w:rsidR="00C62CEA" w:rsidRPr="00A70EFF" w:rsidRDefault="00C62CEA" w:rsidP="003D590B">
            <w:pPr>
              <w:tabs>
                <w:tab w:val="center" w:pos="1818"/>
              </w:tabs>
              <w:spacing w:before="120" w:after="60"/>
              <w:rPr>
                <w:rFonts w:asciiTheme="minorHAnsi" w:hAnsiTheme="minorHAnsi" w:cstheme="minorHAnsi"/>
                <w:sz w:val="19"/>
                <w:szCs w:val="19"/>
              </w:rPr>
            </w:pPr>
            <w:r w:rsidRPr="00A70EFF">
              <w:rPr>
                <w:rFonts w:asciiTheme="minorHAnsi" w:hAnsiTheme="minorHAnsi" w:cstheme="minorHAnsi"/>
                <w:sz w:val="19"/>
                <w:szCs w:val="19"/>
              </w:rPr>
              <w:t>Evaluation capability building initiatives are developed and rolled out</w:t>
            </w:r>
            <w:r w:rsidR="00465B90">
              <w:rPr>
                <w:rFonts w:asciiTheme="minorHAnsi" w:hAnsiTheme="minorHAnsi" w:cstheme="minorHAnsi"/>
                <w:sz w:val="19"/>
                <w:szCs w:val="19"/>
              </w:rPr>
              <w:t>.</w:t>
            </w:r>
          </w:p>
          <w:p w14:paraId="738FAC69" w14:textId="6D94D784" w:rsidR="00C62CEA" w:rsidRPr="00A70EFF"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Guidance for data planning is</w:t>
            </w:r>
            <w:r w:rsidR="00CE0E00" w:rsidRPr="00A70EFF">
              <w:rPr>
                <w:rFonts w:asciiTheme="minorHAnsi" w:hAnsiTheme="minorHAnsi" w:cstheme="minorHAnsi"/>
                <w:sz w:val="19"/>
                <w:szCs w:val="19"/>
              </w:rPr>
              <w:t xml:space="preserve"> being</w:t>
            </w:r>
            <w:r w:rsidRPr="00A70EFF">
              <w:rPr>
                <w:rFonts w:asciiTheme="minorHAnsi" w:hAnsiTheme="minorHAnsi" w:cstheme="minorHAnsi"/>
                <w:sz w:val="19"/>
                <w:szCs w:val="19"/>
              </w:rPr>
              <w:t xml:space="preserve"> developed</w:t>
            </w:r>
            <w:r w:rsidR="00465B90">
              <w:rPr>
                <w:rFonts w:asciiTheme="minorHAnsi" w:hAnsiTheme="minorHAnsi" w:cstheme="minorHAnsi"/>
                <w:sz w:val="19"/>
                <w:szCs w:val="19"/>
              </w:rPr>
              <w:t>.</w:t>
            </w:r>
          </w:p>
        </w:tc>
        <w:tc>
          <w:tcPr>
            <w:tcW w:w="2694" w:type="dxa"/>
          </w:tcPr>
          <w:p w14:paraId="69D630B4" w14:textId="021CD586" w:rsidR="00C62CEA" w:rsidRPr="00A70EFF"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Staff understand and apply evaluative thinking across policies and programs</w:t>
            </w:r>
            <w:r w:rsidR="00465B90">
              <w:rPr>
                <w:rFonts w:asciiTheme="minorHAnsi" w:hAnsiTheme="minorHAnsi" w:cstheme="minorHAnsi"/>
                <w:sz w:val="19"/>
                <w:szCs w:val="19"/>
              </w:rPr>
              <w:t>.</w:t>
            </w:r>
          </w:p>
          <w:p w14:paraId="6DFC2EC6" w14:textId="27381ED1" w:rsidR="00C62CEA" w:rsidRPr="00A70EFF"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Good data</w:t>
            </w:r>
            <w:r w:rsidR="00BF4B6E">
              <w:rPr>
                <w:rFonts w:asciiTheme="minorHAnsi" w:hAnsiTheme="minorHAnsi" w:cstheme="minorHAnsi"/>
                <w:sz w:val="19"/>
                <w:szCs w:val="19"/>
              </w:rPr>
              <w:t xml:space="preserve"> available and enables</w:t>
            </w:r>
            <w:r w:rsidRPr="00A70EFF">
              <w:rPr>
                <w:rFonts w:asciiTheme="minorHAnsi" w:hAnsiTheme="minorHAnsi" w:cstheme="minorHAnsi"/>
                <w:sz w:val="19"/>
                <w:szCs w:val="19"/>
              </w:rPr>
              <w:t xml:space="preserve"> high-quality evaluation</w:t>
            </w:r>
            <w:r w:rsidR="00465B90">
              <w:rPr>
                <w:rFonts w:asciiTheme="minorHAnsi" w:hAnsiTheme="minorHAnsi" w:cstheme="minorHAnsi"/>
                <w:sz w:val="19"/>
                <w:szCs w:val="19"/>
              </w:rPr>
              <w:t>.</w:t>
            </w:r>
          </w:p>
        </w:tc>
      </w:tr>
      <w:tr w:rsidR="00C62CEA" w14:paraId="62583323" w14:textId="77777777" w:rsidTr="008865D7">
        <w:trPr>
          <w:trHeight w:val="2174"/>
        </w:trPr>
        <w:tc>
          <w:tcPr>
            <w:tcW w:w="1276" w:type="dxa"/>
          </w:tcPr>
          <w:p w14:paraId="27BA9F00" w14:textId="17AA2AF5" w:rsidR="00C62CEA" w:rsidRPr="003D590B" w:rsidRDefault="00483B90" w:rsidP="003D590B">
            <w:pPr>
              <w:tabs>
                <w:tab w:val="center" w:pos="1960"/>
              </w:tabs>
              <w:spacing w:before="120" w:after="60"/>
              <w:rPr>
                <w:rFonts w:asciiTheme="minorHAnsi" w:hAnsiTheme="minorHAnsi" w:cstheme="minorHAnsi"/>
                <w:b/>
                <w:bCs/>
                <w:sz w:val="19"/>
                <w:szCs w:val="19"/>
              </w:rPr>
            </w:pPr>
            <w:r w:rsidRPr="00E4749F">
              <w:rPr>
                <w:rFonts w:asciiTheme="minorHAnsi" w:hAnsiTheme="minorHAnsi" w:cstheme="minorHAnsi"/>
                <w:b/>
                <w:bCs/>
                <w:sz w:val="19"/>
                <w:szCs w:val="19"/>
              </w:rPr>
              <w:t>4</w:t>
            </w:r>
            <w:r w:rsidR="00C62CEA" w:rsidRPr="00E4749F">
              <w:rPr>
                <w:rFonts w:asciiTheme="minorHAnsi" w:hAnsiTheme="minorHAnsi" w:cstheme="minorHAnsi"/>
                <w:b/>
                <w:bCs/>
                <w:sz w:val="19"/>
                <w:szCs w:val="19"/>
              </w:rPr>
              <w:t xml:space="preserve">. Enhancing the use of evaluations  </w:t>
            </w:r>
          </w:p>
        </w:tc>
        <w:tc>
          <w:tcPr>
            <w:tcW w:w="2693" w:type="dxa"/>
          </w:tcPr>
          <w:p w14:paraId="3D728A42" w14:textId="2F03070E" w:rsidR="00C62CEA" w:rsidRPr="00A70EFF"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 xml:space="preserve">Evaluation reports are not </w:t>
            </w:r>
            <w:r w:rsidR="00A70EFF">
              <w:rPr>
                <w:rFonts w:asciiTheme="minorHAnsi" w:hAnsiTheme="minorHAnsi" w:cstheme="minorHAnsi"/>
                <w:sz w:val="19"/>
                <w:szCs w:val="19"/>
              </w:rPr>
              <w:t xml:space="preserve">routinely </w:t>
            </w:r>
            <w:r w:rsidRPr="00A70EFF">
              <w:rPr>
                <w:rFonts w:asciiTheme="minorHAnsi" w:hAnsiTheme="minorHAnsi" w:cstheme="minorHAnsi"/>
                <w:sz w:val="19"/>
                <w:szCs w:val="19"/>
              </w:rPr>
              <w:t>published</w:t>
            </w:r>
            <w:r w:rsidR="00465B90">
              <w:rPr>
                <w:rFonts w:asciiTheme="minorHAnsi" w:hAnsiTheme="minorHAnsi" w:cstheme="minorHAnsi"/>
                <w:sz w:val="19"/>
                <w:szCs w:val="19"/>
              </w:rPr>
              <w:t>.</w:t>
            </w:r>
          </w:p>
          <w:p w14:paraId="15CED7CD" w14:textId="77777777" w:rsidR="00C62CEA" w:rsidRPr="00A70EFF" w:rsidRDefault="00C62CEA" w:rsidP="003D590B">
            <w:pPr>
              <w:tabs>
                <w:tab w:val="center" w:pos="1960"/>
              </w:tabs>
              <w:spacing w:before="120" w:after="60"/>
              <w:rPr>
                <w:rFonts w:asciiTheme="minorHAnsi" w:hAnsiTheme="minorHAnsi" w:cstheme="minorHAnsi"/>
                <w:sz w:val="19"/>
                <w:szCs w:val="19"/>
              </w:rPr>
            </w:pPr>
            <w:r w:rsidRPr="00A70EFF">
              <w:rPr>
                <w:rFonts w:asciiTheme="minorHAnsi" w:hAnsiTheme="minorHAnsi" w:cstheme="minorHAnsi"/>
                <w:sz w:val="19"/>
                <w:szCs w:val="19"/>
              </w:rPr>
              <w:t>No repository of good practice and lessons learned.</w:t>
            </w:r>
          </w:p>
        </w:tc>
        <w:tc>
          <w:tcPr>
            <w:tcW w:w="2693" w:type="dxa"/>
          </w:tcPr>
          <w:p w14:paraId="3B399197" w14:textId="22326760" w:rsidR="00C62CEA" w:rsidRPr="00A70EFF" w:rsidRDefault="00C62CEA" w:rsidP="003D590B">
            <w:pPr>
              <w:tabs>
                <w:tab w:val="center" w:pos="1818"/>
              </w:tabs>
              <w:spacing w:before="120" w:after="60"/>
              <w:rPr>
                <w:rFonts w:asciiTheme="minorHAnsi" w:hAnsiTheme="minorHAnsi" w:cstheme="minorHAnsi"/>
                <w:sz w:val="19"/>
                <w:szCs w:val="19"/>
              </w:rPr>
            </w:pPr>
            <w:r w:rsidRPr="00A70EFF">
              <w:rPr>
                <w:rFonts w:asciiTheme="minorHAnsi" w:hAnsiTheme="minorHAnsi" w:cstheme="minorHAnsi"/>
                <w:sz w:val="19"/>
                <w:szCs w:val="19"/>
              </w:rPr>
              <w:t xml:space="preserve">Regular publication of Tier </w:t>
            </w:r>
            <w:r w:rsidR="00F16714" w:rsidRPr="00A70EFF">
              <w:rPr>
                <w:rFonts w:asciiTheme="minorHAnsi" w:hAnsiTheme="minorHAnsi" w:cstheme="minorHAnsi"/>
                <w:sz w:val="19"/>
                <w:szCs w:val="19"/>
              </w:rPr>
              <w:t>O</w:t>
            </w:r>
            <w:r w:rsidRPr="00A70EFF">
              <w:rPr>
                <w:rFonts w:asciiTheme="minorHAnsi" w:hAnsiTheme="minorHAnsi" w:cstheme="minorHAnsi"/>
                <w:sz w:val="19"/>
                <w:szCs w:val="19"/>
              </w:rPr>
              <w:t xml:space="preserve">ne and Tier </w:t>
            </w:r>
            <w:r w:rsidR="00F16714" w:rsidRPr="00A70EFF">
              <w:rPr>
                <w:rFonts w:asciiTheme="minorHAnsi" w:hAnsiTheme="minorHAnsi" w:cstheme="minorHAnsi"/>
                <w:sz w:val="19"/>
                <w:szCs w:val="19"/>
              </w:rPr>
              <w:t>T</w:t>
            </w:r>
            <w:r w:rsidRPr="00A70EFF">
              <w:rPr>
                <w:rFonts w:asciiTheme="minorHAnsi" w:hAnsiTheme="minorHAnsi" w:cstheme="minorHAnsi"/>
                <w:sz w:val="19"/>
                <w:szCs w:val="19"/>
              </w:rPr>
              <w:t>wo evaluation reports on</w:t>
            </w:r>
            <w:r w:rsidR="00BF4B6E">
              <w:rPr>
                <w:rFonts w:asciiTheme="minorHAnsi" w:hAnsiTheme="minorHAnsi" w:cstheme="minorHAnsi"/>
                <w:sz w:val="19"/>
                <w:szCs w:val="19"/>
              </w:rPr>
              <w:t xml:space="preserve"> the</w:t>
            </w:r>
            <w:r w:rsidRPr="00A70EFF">
              <w:rPr>
                <w:rFonts w:asciiTheme="minorHAnsi" w:hAnsiTheme="minorHAnsi" w:cstheme="minorHAnsi"/>
                <w:sz w:val="19"/>
                <w:szCs w:val="19"/>
              </w:rPr>
              <w:t xml:space="preserve"> Evaluation Hub</w:t>
            </w:r>
            <w:r w:rsidR="00F16714" w:rsidRPr="00A70EFF">
              <w:rPr>
                <w:rFonts w:asciiTheme="minorHAnsi" w:hAnsiTheme="minorHAnsi" w:cstheme="minorHAnsi"/>
                <w:sz w:val="19"/>
                <w:szCs w:val="19"/>
              </w:rPr>
              <w:t>, where appropriate</w:t>
            </w:r>
            <w:r w:rsidR="00465B90">
              <w:rPr>
                <w:rFonts w:asciiTheme="minorHAnsi" w:hAnsiTheme="minorHAnsi" w:cstheme="minorHAnsi"/>
                <w:sz w:val="19"/>
                <w:szCs w:val="19"/>
              </w:rPr>
              <w:t>.</w:t>
            </w:r>
          </w:p>
          <w:p w14:paraId="2A931796" w14:textId="61A48BBA" w:rsidR="00C62CEA" w:rsidRPr="00A70EFF" w:rsidRDefault="00C62CEA" w:rsidP="003D590B">
            <w:pPr>
              <w:tabs>
                <w:tab w:val="center" w:pos="1818"/>
              </w:tabs>
              <w:spacing w:before="120" w:after="60"/>
              <w:rPr>
                <w:rFonts w:asciiTheme="minorHAnsi" w:hAnsiTheme="minorHAnsi" w:cstheme="minorHAnsi"/>
                <w:sz w:val="19"/>
                <w:szCs w:val="19"/>
              </w:rPr>
            </w:pPr>
          </w:p>
        </w:tc>
        <w:tc>
          <w:tcPr>
            <w:tcW w:w="2694" w:type="dxa"/>
          </w:tcPr>
          <w:p w14:paraId="5976F91E" w14:textId="02B485B3" w:rsidR="00695A50" w:rsidRPr="00A70EFF" w:rsidRDefault="00695A50" w:rsidP="003D590B">
            <w:pPr>
              <w:spacing w:before="120" w:after="60"/>
              <w:rPr>
                <w:rFonts w:asciiTheme="minorHAnsi" w:hAnsiTheme="minorHAnsi" w:cstheme="minorHAnsi"/>
                <w:sz w:val="19"/>
                <w:szCs w:val="19"/>
              </w:rPr>
            </w:pPr>
            <w:r w:rsidRPr="00A70EFF">
              <w:rPr>
                <w:rFonts w:asciiTheme="minorHAnsi" w:hAnsiTheme="minorHAnsi" w:cstheme="minorHAnsi"/>
                <w:sz w:val="19"/>
                <w:szCs w:val="19"/>
              </w:rPr>
              <w:t>The department synthesises evaluation findings and an evaluation clearing house is established</w:t>
            </w:r>
            <w:r w:rsidR="00465B90">
              <w:rPr>
                <w:rFonts w:asciiTheme="minorHAnsi" w:hAnsiTheme="minorHAnsi" w:cstheme="minorHAnsi"/>
                <w:sz w:val="19"/>
                <w:szCs w:val="19"/>
              </w:rPr>
              <w:t>.</w:t>
            </w:r>
          </w:p>
          <w:p w14:paraId="67FCA524" w14:textId="6279E3DD" w:rsidR="00C62CEA" w:rsidRPr="00A70EFF" w:rsidRDefault="00C62CEA" w:rsidP="003D590B">
            <w:pPr>
              <w:spacing w:before="120" w:after="60"/>
              <w:rPr>
                <w:rFonts w:asciiTheme="minorHAnsi" w:hAnsiTheme="minorHAnsi" w:cstheme="minorHAnsi"/>
                <w:sz w:val="19"/>
                <w:szCs w:val="19"/>
              </w:rPr>
            </w:pPr>
            <w:r w:rsidRPr="00A70EFF">
              <w:rPr>
                <w:rFonts w:asciiTheme="minorHAnsi" w:hAnsiTheme="minorHAnsi" w:cstheme="minorHAnsi"/>
                <w:sz w:val="19"/>
                <w:szCs w:val="19"/>
              </w:rPr>
              <w:t>Evaluation findings are increasingly shared and inform continuous improvement across policies</w:t>
            </w:r>
            <w:r w:rsidR="00BF4B6E">
              <w:rPr>
                <w:rFonts w:asciiTheme="minorHAnsi" w:hAnsiTheme="minorHAnsi" w:cstheme="minorHAnsi"/>
                <w:sz w:val="19"/>
                <w:szCs w:val="19"/>
              </w:rPr>
              <w:t xml:space="preserve"> and </w:t>
            </w:r>
            <w:r w:rsidRPr="00A70EFF">
              <w:rPr>
                <w:rFonts w:asciiTheme="minorHAnsi" w:hAnsiTheme="minorHAnsi" w:cstheme="minorHAnsi"/>
                <w:sz w:val="19"/>
                <w:szCs w:val="19"/>
              </w:rPr>
              <w:t>programs</w:t>
            </w:r>
            <w:r w:rsidR="00465B90">
              <w:rPr>
                <w:rFonts w:asciiTheme="minorHAnsi" w:hAnsiTheme="minorHAnsi" w:cstheme="minorHAnsi"/>
                <w:sz w:val="19"/>
                <w:szCs w:val="19"/>
              </w:rPr>
              <w:t>.</w:t>
            </w:r>
          </w:p>
        </w:tc>
      </w:tr>
    </w:tbl>
    <w:p w14:paraId="6CAEB67B" w14:textId="77777777" w:rsidR="00C62CEA" w:rsidRPr="00240668" w:rsidRDefault="00C62CEA" w:rsidP="00C62CEA">
      <w:pPr>
        <w:rPr>
          <w:sz w:val="36"/>
          <w:szCs w:val="36"/>
        </w:rPr>
      </w:pPr>
    </w:p>
    <w:p w14:paraId="059B74B0" w14:textId="5F1ABA72" w:rsidR="00C62CEA" w:rsidRPr="00B65C97" w:rsidRDefault="00C62CEA" w:rsidP="00C62CEA">
      <w:pPr>
        <w:pStyle w:val="Heading1"/>
        <w:spacing w:before="0"/>
        <w:rPr>
          <w:rFonts w:asciiTheme="minorHAnsi" w:hAnsiTheme="minorHAnsi"/>
          <w:color w:val="37818A"/>
        </w:rPr>
      </w:pPr>
      <w:bookmarkStart w:id="17" w:name="_Toc140233987"/>
      <w:r w:rsidRPr="00B65C97">
        <w:rPr>
          <w:rFonts w:asciiTheme="minorHAnsi" w:hAnsiTheme="minorHAnsi"/>
          <w:color w:val="37818A"/>
        </w:rPr>
        <w:t xml:space="preserve">Implementation </w:t>
      </w:r>
      <w:r w:rsidR="000820B8">
        <w:rPr>
          <w:rFonts w:asciiTheme="minorHAnsi" w:hAnsiTheme="minorHAnsi"/>
          <w:color w:val="37818A"/>
        </w:rPr>
        <w:t xml:space="preserve">plan </w:t>
      </w:r>
      <w:r w:rsidRPr="00B65C97">
        <w:rPr>
          <w:rFonts w:asciiTheme="minorHAnsi" w:hAnsiTheme="minorHAnsi"/>
          <w:color w:val="37818A"/>
        </w:rPr>
        <w:t xml:space="preserve">  </w:t>
      </w:r>
      <w:bookmarkEnd w:id="17"/>
    </w:p>
    <w:p w14:paraId="4791AB54" w14:textId="663859DD" w:rsidR="000820B8" w:rsidRPr="00093B41" w:rsidRDefault="000820B8" w:rsidP="006E22FA">
      <w:pPr>
        <w:pStyle w:val="Paragraphtext"/>
        <w:rPr>
          <w:rFonts w:asciiTheme="minorHAnsi" w:hAnsiTheme="minorHAnsi" w:cstheme="minorHAnsi"/>
          <w:color w:val="auto"/>
          <w:sz w:val="22"/>
          <w:szCs w:val="22"/>
        </w:rPr>
      </w:pPr>
      <w:r w:rsidRPr="00093B41">
        <w:rPr>
          <w:rFonts w:asciiTheme="minorHAnsi" w:hAnsiTheme="minorHAnsi" w:cstheme="minorHAnsi"/>
          <w:color w:val="auto"/>
          <w:sz w:val="22"/>
          <w:szCs w:val="22"/>
        </w:rPr>
        <w:t xml:space="preserve">The implementation plan will </w:t>
      </w:r>
      <w:r w:rsidR="00D10DA0">
        <w:rPr>
          <w:rFonts w:asciiTheme="minorHAnsi" w:hAnsiTheme="minorHAnsi" w:cstheme="minorHAnsi"/>
          <w:color w:val="auto"/>
          <w:sz w:val="22"/>
          <w:szCs w:val="22"/>
        </w:rPr>
        <w:t>focus on supporting the delivery of</w:t>
      </w:r>
      <w:r w:rsidR="00D10DA0" w:rsidRPr="00D10DA0">
        <w:rPr>
          <w:rFonts w:asciiTheme="minorHAnsi" w:hAnsiTheme="minorHAnsi" w:cstheme="minorHAnsi"/>
          <w:color w:val="auto"/>
          <w:sz w:val="22"/>
          <w:szCs w:val="22"/>
        </w:rPr>
        <w:t xml:space="preserve"> </w:t>
      </w:r>
      <w:r w:rsidR="00B66DA0">
        <w:rPr>
          <w:rFonts w:asciiTheme="minorHAnsi" w:hAnsiTheme="minorHAnsi" w:cstheme="minorHAnsi"/>
          <w:color w:val="auto"/>
          <w:sz w:val="22"/>
          <w:szCs w:val="22"/>
        </w:rPr>
        <w:t xml:space="preserve">the </w:t>
      </w:r>
      <w:r w:rsidR="00D10DA0" w:rsidRPr="00D10DA0">
        <w:rPr>
          <w:rFonts w:asciiTheme="minorHAnsi" w:hAnsiTheme="minorHAnsi" w:cstheme="minorHAnsi"/>
          <w:color w:val="auto"/>
          <w:sz w:val="22"/>
          <w:szCs w:val="22"/>
        </w:rPr>
        <w:t xml:space="preserve">“Reinvesting in Health and Aged Care Programs” </w:t>
      </w:r>
      <w:r w:rsidR="00D10DA0">
        <w:rPr>
          <w:rFonts w:asciiTheme="minorHAnsi" w:hAnsiTheme="minorHAnsi" w:cstheme="minorHAnsi"/>
          <w:color w:val="auto"/>
          <w:sz w:val="22"/>
          <w:szCs w:val="22"/>
        </w:rPr>
        <w:t xml:space="preserve">2023-24 </w:t>
      </w:r>
      <w:r w:rsidR="00D10DA0" w:rsidRPr="00D10DA0">
        <w:rPr>
          <w:rFonts w:asciiTheme="minorHAnsi" w:hAnsiTheme="minorHAnsi" w:cstheme="minorHAnsi"/>
          <w:color w:val="auto"/>
          <w:sz w:val="22"/>
          <w:szCs w:val="22"/>
        </w:rPr>
        <w:t>Budget measure.</w:t>
      </w:r>
      <w:r w:rsidR="00D10DA0">
        <w:rPr>
          <w:rFonts w:asciiTheme="minorHAnsi" w:hAnsiTheme="minorHAnsi" w:cstheme="minorHAnsi"/>
          <w:color w:val="auto"/>
          <w:sz w:val="22"/>
          <w:szCs w:val="22"/>
        </w:rPr>
        <w:t xml:space="preserve"> A key element of this measure is to design and implement an</w:t>
      </w:r>
      <w:r w:rsidR="00D10DA0" w:rsidRPr="00D10DA0">
        <w:rPr>
          <w:rFonts w:asciiTheme="minorHAnsi" w:hAnsiTheme="minorHAnsi" w:cstheme="minorHAnsi"/>
          <w:color w:val="auto"/>
          <w:sz w:val="22"/>
          <w:szCs w:val="22"/>
        </w:rPr>
        <w:t xml:space="preserve"> enhanced evaluation framework to ensure decision making on funding is evidence-based</w:t>
      </w:r>
      <w:r w:rsidR="00013999">
        <w:rPr>
          <w:rFonts w:asciiTheme="minorHAnsi" w:hAnsiTheme="minorHAnsi" w:cstheme="minorHAnsi"/>
          <w:color w:val="auto"/>
          <w:sz w:val="22"/>
          <w:szCs w:val="22"/>
        </w:rPr>
        <w:t>.</w:t>
      </w:r>
      <w:r w:rsidR="00D10DA0" w:rsidRPr="00D10DA0">
        <w:rPr>
          <w:rFonts w:asciiTheme="minorHAnsi" w:hAnsiTheme="minorHAnsi" w:cstheme="minorHAnsi"/>
          <w:color w:val="auto"/>
          <w:sz w:val="22"/>
          <w:szCs w:val="22"/>
        </w:rPr>
        <w:t xml:space="preserve"> </w:t>
      </w:r>
      <w:r w:rsidR="0086644C" w:rsidRPr="0086644C">
        <w:rPr>
          <w:rFonts w:asciiTheme="minorHAnsi" w:hAnsiTheme="minorHAnsi" w:cstheme="minorHAnsi"/>
          <w:color w:val="auto"/>
          <w:sz w:val="22"/>
          <w:szCs w:val="22"/>
        </w:rPr>
        <w:t>This Strategy will guide the design and implementation of this framework.</w:t>
      </w:r>
      <w:r w:rsidR="0086644C">
        <w:rPr>
          <w:rFonts w:asciiTheme="minorHAnsi" w:hAnsiTheme="minorHAnsi" w:cstheme="minorHAnsi"/>
          <w:color w:val="auto"/>
          <w:sz w:val="22"/>
          <w:szCs w:val="22"/>
        </w:rPr>
        <w:t xml:space="preserve"> </w:t>
      </w:r>
      <w:r w:rsidRPr="00093B41">
        <w:rPr>
          <w:rFonts w:asciiTheme="minorHAnsi" w:hAnsiTheme="minorHAnsi" w:cstheme="minorHAnsi"/>
          <w:color w:val="auto"/>
          <w:sz w:val="22"/>
          <w:szCs w:val="22"/>
        </w:rPr>
        <w:t>It will include:</w:t>
      </w:r>
    </w:p>
    <w:p w14:paraId="6B4CA94A" w14:textId="3CC04092" w:rsidR="000820B8" w:rsidRPr="00093B41" w:rsidRDefault="000820B8" w:rsidP="000820B8">
      <w:pPr>
        <w:pStyle w:val="Paragraphtext"/>
        <w:numPr>
          <w:ilvl w:val="0"/>
          <w:numId w:val="63"/>
        </w:numPr>
        <w:rPr>
          <w:rFonts w:asciiTheme="minorHAnsi" w:hAnsiTheme="minorHAnsi" w:cstheme="minorHAnsi"/>
          <w:color w:val="auto"/>
          <w:sz w:val="22"/>
          <w:szCs w:val="22"/>
        </w:rPr>
      </w:pPr>
      <w:r w:rsidRPr="00093B41">
        <w:rPr>
          <w:rFonts w:asciiTheme="minorHAnsi" w:hAnsiTheme="minorHAnsi" w:cstheme="minorHAnsi"/>
          <w:color w:val="auto"/>
          <w:sz w:val="22"/>
          <w:szCs w:val="22"/>
        </w:rPr>
        <w:t>A description of each activity to be delivered under the Strategy, aligned with the strategic objectives and priorities.</w:t>
      </w:r>
    </w:p>
    <w:p w14:paraId="367A08AA" w14:textId="5766328C" w:rsidR="000820B8" w:rsidRPr="00093B41" w:rsidRDefault="000820B8" w:rsidP="000820B8">
      <w:pPr>
        <w:pStyle w:val="Paragraphtext"/>
        <w:numPr>
          <w:ilvl w:val="0"/>
          <w:numId w:val="63"/>
        </w:numPr>
        <w:rPr>
          <w:rFonts w:asciiTheme="minorHAnsi" w:hAnsiTheme="minorHAnsi" w:cstheme="minorHAnsi"/>
          <w:color w:val="auto"/>
          <w:sz w:val="22"/>
          <w:szCs w:val="22"/>
        </w:rPr>
      </w:pPr>
      <w:r w:rsidRPr="00093B41">
        <w:rPr>
          <w:rFonts w:asciiTheme="minorHAnsi" w:hAnsiTheme="minorHAnsi" w:cstheme="minorHAnsi"/>
          <w:color w:val="auto"/>
          <w:sz w:val="22"/>
          <w:szCs w:val="22"/>
        </w:rPr>
        <w:t xml:space="preserve">The timing for each activity, </w:t>
      </w:r>
      <w:proofErr w:type="gramStart"/>
      <w:r w:rsidRPr="00093B41">
        <w:rPr>
          <w:rFonts w:asciiTheme="minorHAnsi" w:hAnsiTheme="minorHAnsi" w:cstheme="minorHAnsi"/>
          <w:color w:val="auto"/>
          <w:sz w:val="22"/>
          <w:szCs w:val="22"/>
        </w:rPr>
        <w:t>taking into account</w:t>
      </w:r>
      <w:proofErr w:type="gramEnd"/>
      <w:r w:rsidRPr="00093B41">
        <w:rPr>
          <w:rFonts w:asciiTheme="minorHAnsi" w:hAnsiTheme="minorHAnsi" w:cstheme="minorHAnsi"/>
          <w:color w:val="auto"/>
          <w:sz w:val="22"/>
          <w:szCs w:val="22"/>
        </w:rPr>
        <w:t xml:space="preserve"> sequencing of activities between 2023 and 2026.</w:t>
      </w:r>
    </w:p>
    <w:p w14:paraId="1FE3EB34" w14:textId="1888C753" w:rsidR="000820B8" w:rsidRPr="00093B41" w:rsidRDefault="004D33D5" w:rsidP="000820B8">
      <w:pPr>
        <w:pStyle w:val="Paragraphtext"/>
        <w:numPr>
          <w:ilvl w:val="0"/>
          <w:numId w:val="63"/>
        </w:numPr>
        <w:rPr>
          <w:rFonts w:asciiTheme="minorHAnsi" w:hAnsiTheme="minorHAnsi" w:cstheme="minorHAnsi"/>
          <w:color w:val="auto"/>
          <w:sz w:val="22"/>
          <w:szCs w:val="22"/>
        </w:rPr>
      </w:pPr>
      <w:r w:rsidRPr="00093B41">
        <w:rPr>
          <w:rFonts w:asciiTheme="minorHAnsi" w:hAnsiTheme="minorHAnsi" w:cstheme="minorHAnsi"/>
          <w:color w:val="auto"/>
          <w:sz w:val="22"/>
          <w:szCs w:val="22"/>
        </w:rPr>
        <w:t xml:space="preserve">Executive </w:t>
      </w:r>
      <w:r w:rsidR="000424CD" w:rsidRPr="00093B41">
        <w:rPr>
          <w:rFonts w:asciiTheme="minorHAnsi" w:hAnsiTheme="minorHAnsi" w:cstheme="minorHAnsi"/>
          <w:color w:val="auto"/>
          <w:sz w:val="22"/>
          <w:szCs w:val="22"/>
        </w:rPr>
        <w:t xml:space="preserve">evaluation champions from divisions </w:t>
      </w:r>
      <w:r w:rsidR="000820B8" w:rsidRPr="00093B41">
        <w:rPr>
          <w:rFonts w:asciiTheme="minorHAnsi" w:hAnsiTheme="minorHAnsi" w:cstheme="minorHAnsi"/>
          <w:color w:val="auto"/>
          <w:sz w:val="22"/>
          <w:szCs w:val="22"/>
        </w:rPr>
        <w:t>who will lead each activity, and any key delivery partners.</w:t>
      </w:r>
      <w:r w:rsidRPr="00093B41">
        <w:rPr>
          <w:rFonts w:asciiTheme="minorHAnsi" w:hAnsiTheme="minorHAnsi" w:cstheme="minorHAnsi"/>
          <w:color w:val="auto"/>
          <w:sz w:val="22"/>
          <w:szCs w:val="22"/>
        </w:rPr>
        <w:t xml:space="preserve"> </w:t>
      </w:r>
    </w:p>
    <w:p w14:paraId="02410E16" w14:textId="0EBEA927" w:rsidR="000820B8" w:rsidRPr="00093B41" w:rsidRDefault="000820B8" w:rsidP="000820B8">
      <w:pPr>
        <w:pStyle w:val="Paragraphtext"/>
        <w:numPr>
          <w:ilvl w:val="0"/>
          <w:numId w:val="63"/>
        </w:numPr>
        <w:rPr>
          <w:rFonts w:asciiTheme="minorHAnsi" w:hAnsiTheme="minorHAnsi" w:cstheme="minorHAnsi"/>
          <w:color w:val="auto"/>
          <w:sz w:val="22"/>
          <w:szCs w:val="22"/>
        </w:rPr>
      </w:pPr>
      <w:r w:rsidRPr="00093B41">
        <w:rPr>
          <w:rFonts w:asciiTheme="minorHAnsi" w:hAnsiTheme="minorHAnsi" w:cstheme="minorHAnsi"/>
          <w:color w:val="auto"/>
          <w:sz w:val="22"/>
          <w:szCs w:val="22"/>
        </w:rPr>
        <w:t xml:space="preserve">Measures of success, to help understand how implementation is progressing and whether outcomes are being achieved. </w:t>
      </w:r>
    </w:p>
    <w:p w14:paraId="436BFEE1" w14:textId="7751DDAC" w:rsidR="000820B8" w:rsidRPr="00093B41" w:rsidRDefault="000820B8" w:rsidP="000820B8">
      <w:pPr>
        <w:pStyle w:val="Paragraphtext"/>
        <w:rPr>
          <w:rFonts w:asciiTheme="minorHAnsi" w:hAnsiTheme="minorHAnsi" w:cstheme="minorHAnsi"/>
          <w:color w:val="auto"/>
          <w:sz w:val="22"/>
          <w:szCs w:val="22"/>
        </w:rPr>
      </w:pPr>
      <w:r w:rsidRPr="00093B41">
        <w:rPr>
          <w:rFonts w:asciiTheme="minorHAnsi" w:hAnsiTheme="minorHAnsi" w:cstheme="minorHAnsi"/>
          <w:color w:val="auto"/>
          <w:sz w:val="22"/>
          <w:szCs w:val="22"/>
        </w:rPr>
        <w:lastRenderedPageBreak/>
        <w:t xml:space="preserve">The implementation plan will be developed in close consultation with </w:t>
      </w:r>
      <w:r w:rsidR="008A6686" w:rsidRPr="00093B41">
        <w:rPr>
          <w:rFonts w:asciiTheme="minorHAnsi" w:hAnsiTheme="minorHAnsi" w:cstheme="minorHAnsi"/>
          <w:color w:val="auto"/>
          <w:sz w:val="22"/>
          <w:szCs w:val="22"/>
        </w:rPr>
        <w:t xml:space="preserve">Executive evaluation champions </w:t>
      </w:r>
      <w:r w:rsidRPr="00093B41">
        <w:rPr>
          <w:rFonts w:asciiTheme="minorHAnsi" w:hAnsiTheme="minorHAnsi" w:cstheme="minorHAnsi"/>
          <w:color w:val="auto"/>
          <w:sz w:val="22"/>
          <w:szCs w:val="22"/>
        </w:rPr>
        <w:t>and other key stakeholders. This will ensure that:</w:t>
      </w:r>
    </w:p>
    <w:p w14:paraId="0B877B3A" w14:textId="2980D6A2" w:rsidR="000820B8" w:rsidRPr="00093B41" w:rsidRDefault="004D33D5" w:rsidP="000820B8">
      <w:pPr>
        <w:pStyle w:val="Paragraphtext"/>
        <w:numPr>
          <w:ilvl w:val="0"/>
          <w:numId w:val="64"/>
        </w:numPr>
        <w:rPr>
          <w:rFonts w:asciiTheme="minorHAnsi" w:hAnsiTheme="minorHAnsi" w:cstheme="minorHAnsi"/>
          <w:color w:val="auto"/>
          <w:sz w:val="22"/>
          <w:szCs w:val="22"/>
        </w:rPr>
      </w:pPr>
      <w:r w:rsidRPr="00093B41">
        <w:rPr>
          <w:rFonts w:asciiTheme="minorHAnsi" w:hAnsiTheme="minorHAnsi" w:cstheme="minorHAnsi"/>
          <w:color w:val="auto"/>
          <w:sz w:val="22"/>
          <w:szCs w:val="22"/>
        </w:rPr>
        <w:t xml:space="preserve">Executive </w:t>
      </w:r>
      <w:r w:rsidR="000424CD" w:rsidRPr="00093B41">
        <w:rPr>
          <w:rFonts w:asciiTheme="minorHAnsi" w:hAnsiTheme="minorHAnsi" w:cstheme="minorHAnsi"/>
          <w:color w:val="auto"/>
          <w:sz w:val="22"/>
          <w:szCs w:val="22"/>
        </w:rPr>
        <w:t>evaluation champions from divisions</w:t>
      </w:r>
      <w:r w:rsidR="000820B8" w:rsidRPr="00093B41">
        <w:rPr>
          <w:rFonts w:asciiTheme="minorHAnsi" w:hAnsiTheme="minorHAnsi" w:cstheme="minorHAnsi"/>
          <w:color w:val="auto"/>
          <w:sz w:val="22"/>
          <w:szCs w:val="22"/>
        </w:rPr>
        <w:t xml:space="preserve"> agree on the activities that need to be delivered, and the sequence of these activities. </w:t>
      </w:r>
    </w:p>
    <w:p w14:paraId="0A4336FF" w14:textId="409C01DC" w:rsidR="000820B8" w:rsidRPr="00093B41" w:rsidRDefault="000820B8" w:rsidP="00F13825">
      <w:pPr>
        <w:pStyle w:val="Paragraphtext"/>
        <w:numPr>
          <w:ilvl w:val="0"/>
          <w:numId w:val="64"/>
        </w:numPr>
        <w:rPr>
          <w:rFonts w:asciiTheme="minorHAnsi" w:hAnsiTheme="minorHAnsi" w:cstheme="minorHAnsi"/>
          <w:color w:val="auto"/>
          <w:sz w:val="22"/>
          <w:szCs w:val="22"/>
        </w:rPr>
      </w:pPr>
      <w:r w:rsidRPr="00093B41">
        <w:rPr>
          <w:rFonts w:asciiTheme="minorHAnsi" w:hAnsiTheme="minorHAnsi" w:cstheme="minorHAnsi"/>
          <w:color w:val="auto"/>
          <w:sz w:val="22"/>
          <w:szCs w:val="22"/>
        </w:rPr>
        <w:t xml:space="preserve">The implementation plan does not duplicate activities that are contained in other strategies and plans. </w:t>
      </w:r>
    </w:p>
    <w:p w14:paraId="37D83BE9" w14:textId="60F49C0A" w:rsidR="00C62CEA" w:rsidRDefault="003A0FEA" w:rsidP="00C62CEA">
      <w:pPr>
        <w:pStyle w:val="Paragraphtext"/>
        <w:rPr>
          <w:rFonts w:asciiTheme="minorHAnsi" w:hAnsiTheme="minorHAnsi" w:cstheme="minorHAnsi"/>
          <w:color w:val="auto"/>
          <w:sz w:val="22"/>
          <w:szCs w:val="22"/>
        </w:rPr>
      </w:pPr>
      <w:r w:rsidRPr="00093B41">
        <w:rPr>
          <w:rFonts w:asciiTheme="minorHAnsi" w:hAnsiTheme="minorHAnsi" w:cstheme="minorHAnsi"/>
          <w:color w:val="auto"/>
          <w:sz w:val="22"/>
          <w:szCs w:val="22"/>
        </w:rPr>
        <w:t>Implementing the Strategy’s principles and actions and putting in place the governance arrangements to support the Strategy should be undertaken within tw</w:t>
      </w:r>
      <w:r w:rsidR="00492B05" w:rsidRPr="00093B41">
        <w:rPr>
          <w:rFonts w:asciiTheme="minorHAnsi" w:hAnsiTheme="minorHAnsi" w:cstheme="minorHAnsi"/>
          <w:color w:val="auto"/>
          <w:sz w:val="22"/>
          <w:szCs w:val="22"/>
        </w:rPr>
        <w:t>o</w:t>
      </w:r>
      <w:r w:rsidRPr="00093B41">
        <w:rPr>
          <w:rFonts w:asciiTheme="minorHAnsi" w:hAnsiTheme="minorHAnsi" w:cstheme="minorHAnsi"/>
          <w:color w:val="auto"/>
          <w:sz w:val="22"/>
          <w:szCs w:val="22"/>
        </w:rPr>
        <w:t xml:space="preserve"> years of the </w:t>
      </w:r>
      <w:r w:rsidR="00CA69B0">
        <w:rPr>
          <w:rFonts w:asciiTheme="minorHAnsi" w:hAnsiTheme="minorHAnsi" w:cstheme="minorHAnsi"/>
          <w:color w:val="auto"/>
          <w:sz w:val="22"/>
          <w:szCs w:val="22"/>
        </w:rPr>
        <w:t>EC</w:t>
      </w:r>
      <w:r w:rsidRPr="00093B41">
        <w:rPr>
          <w:rFonts w:asciiTheme="minorHAnsi" w:hAnsiTheme="minorHAnsi" w:cstheme="minorHAnsi"/>
          <w:color w:val="auto"/>
          <w:sz w:val="22"/>
          <w:szCs w:val="22"/>
        </w:rPr>
        <w:t xml:space="preserve"> endorsing the Strategy (</w:t>
      </w:r>
      <w:r w:rsidR="0091694A">
        <w:rPr>
          <w:rFonts w:asciiTheme="minorHAnsi" w:hAnsiTheme="minorHAnsi" w:cstheme="minorHAnsi"/>
          <w:color w:val="auto"/>
          <w:sz w:val="22"/>
          <w:szCs w:val="22"/>
        </w:rPr>
        <w:t>T</w:t>
      </w:r>
      <w:r w:rsidRPr="00093B41">
        <w:rPr>
          <w:rFonts w:asciiTheme="minorHAnsi" w:hAnsiTheme="minorHAnsi" w:cstheme="minorHAnsi"/>
          <w:color w:val="auto"/>
          <w:sz w:val="22"/>
          <w:szCs w:val="22"/>
        </w:rPr>
        <w:t xml:space="preserve">able </w:t>
      </w:r>
      <w:r w:rsidR="00D936EE" w:rsidRPr="00093B41">
        <w:rPr>
          <w:rFonts w:asciiTheme="minorHAnsi" w:hAnsiTheme="minorHAnsi" w:cstheme="minorHAnsi"/>
          <w:color w:val="auto"/>
          <w:sz w:val="22"/>
          <w:szCs w:val="22"/>
        </w:rPr>
        <w:t>4</w:t>
      </w:r>
      <w:r w:rsidRPr="00093B41">
        <w:rPr>
          <w:rFonts w:asciiTheme="minorHAnsi" w:hAnsiTheme="minorHAnsi" w:cstheme="minorHAnsi"/>
          <w:color w:val="auto"/>
          <w:sz w:val="22"/>
          <w:szCs w:val="22"/>
        </w:rPr>
        <w:t xml:space="preserve">). </w:t>
      </w:r>
      <w:r w:rsidR="00C62CEA" w:rsidRPr="00093B41">
        <w:rPr>
          <w:rFonts w:asciiTheme="minorHAnsi" w:hAnsiTheme="minorHAnsi" w:cstheme="minorHAnsi"/>
          <w:color w:val="auto"/>
          <w:sz w:val="22"/>
          <w:szCs w:val="22"/>
        </w:rPr>
        <w:t xml:space="preserve">The initial focus (within the first six months) </w:t>
      </w:r>
      <w:r w:rsidR="00EE0726">
        <w:rPr>
          <w:rFonts w:asciiTheme="minorHAnsi" w:hAnsiTheme="minorHAnsi" w:cstheme="minorHAnsi"/>
          <w:color w:val="auto"/>
          <w:sz w:val="22"/>
          <w:szCs w:val="22"/>
        </w:rPr>
        <w:t>will be</w:t>
      </w:r>
      <w:r w:rsidR="00EE0726" w:rsidRPr="00093B41">
        <w:rPr>
          <w:rFonts w:asciiTheme="minorHAnsi" w:hAnsiTheme="minorHAnsi" w:cstheme="minorHAnsi"/>
          <w:color w:val="auto"/>
          <w:sz w:val="22"/>
          <w:szCs w:val="22"/>
        </w:rPr>
        <w:t xml:space="preserve"> </w:t>
      </w:r>
      <w:r w:rsidR="00C62CEA" w:rsidRPr="00093B41">
        <w:rPr>
          <w:rFonts w:asciiTheme="minorHAnsi" w:hAnsiTheme="minorHAnsi" w:cstheme="minorHAnsi"/>
          <w:color w:val="auto"/>
          <w:sz w:val="22"/>
          <w:szCs w:val="22"/>
        </w:rPr>
        <w:t xml:space="preserve">on </w:t>
      </w:r>
      <w:r w:rsidR="004D33D5" w:rsidRPr="00093B41">
        <w:rPr>
          <w:rFonts w:asciiTheme="minorHAnsi" w:hAnsiTheme="minorHAnsi" w:cstheme="minorHAnsi"/>
          <w:color w:val="auto"/>
          <w:sz w:val="22"/>
          <w:szCs w:val="22"/>
        </w:rPr>
        <w:t xml:space="preserve">nominating Executive evaluation champions and </w:t>
      </w:r>
      <w:r w:rsidR="00C62CEA" w:rsidRPr="00093B41">
        <w:rPr>
          <w:rFonts w:asciiTheme="minorHAnsi" w:hAnsiTheme="minorHAnsi" w:cstheme="minorHAnsi"/>
          <w:color w:val="auto"/>
          <w:sz w:val="22"/>
          <w:szCs w:val="22"/>
        </w:rPr>
        <w:t>establishing the governance arrangements and tools for implementing the Strategy.</w:t>
      </w:r>
      <w:r w:rsidR="00E4749F">
        <w:rPr>
          <w:rFonts w:asciiTheme="minorHAnsi" w:hAnsiTheme="minorHAnsi" w:cstheme="minorHAnsi"/>
          <w:color w:val="auto"/>
          <w:sz w:val="22"/>
          <w:szCs w:val="22"/>
        </w:rPr>
        <w:t xml:space="preserve"> </w:t>
      </w:r>
      <w:r w:rsidR="004D33D5" w:rsidRPr="00093B41">
        <w:rPr>
          <w:rFonts w:asciiTheme="minorHAnsi" w:hAnsiTheme="minorHAnsi" w:cstheme="minorHAnsi"/>
          <w:color w:val="auto"/>
          <w:sz w:val="22"/>
          <w:szCs w:val="22"/>
        </w:rPr>
        <w:t>Executive champion</w:t>
      </w:r>
      <w:r w:rsidR="00387E0D">
        <w:rPr>
          <w:rFonts w:asciiTheme="minorHAnsi" w:hAnsiTheme="minorHAnsi" w:cstheme="minorHAnsi"/>
          <w:color w:val="auto"/>
          <w:sz w:val="22"/>
          <w:szCs w:val="22"/>
        </w:rPr>
        <w:t xml:space="preserve">s </w:t>
      </w:r>
      <w:r w:rsidR="00F179D3">
        <w:rPr>
          <w:rFonts w:asciiTheme="minorHAnsi" w:hAnsiTheme="minorHAnsi" w:cstheme="minorHAnsi"/>
          <w:color w:val="auto"/>
          <w:sz w:val="22"/>
          <w:szCs w:val="22"/>
        </w:rPr>
        <w:t>will be key in</w:t>
      </w:r>
      <w:r w:rsidR="00EB661C" w:rsidRPr="00093B41">
        <w:rPr>
          <w:rFonts w:asciiTheme="minorHAnsi" w:hAnsiTheme="minorHAnsi" w:cstheme="minorHAnsi"/>
          <w:color w:val="auto"/>
          <w:sz w:val="22"/>
          <w:szCs w:val="22"/>
        </w:rPr>
        <w:t xml:space="preserve"> promot</w:t>
      </w:r>
      <w:r w:rsidR="00F179D3">
        <w:rPr>
          <w:rFonts w:asciiTheme="minorHAnsi" w:hAnsiTheme="minorHAnsi" w:cstheme="minorHAnsi"/>
          <w:color w:val="auto"/>
          <w:sz w:val="22"/>
          <w:szCs w:val="22"/>
        </w:rPr>
        <w:t>ing</w:t>
      </w:r>
      <w:r w:rsidR="004D33D5" w:rsidRPr="00093B41">
        <w:rPr>
          <w:rFonts w:asciiTheme="minorHAnsi" w:hAnsiTheme="minorHAnsi" w:cstheme="minorHAnsi"/>
          <w:color w:val="auto"/>
          <w:sz w:val="22"/>
          <w:szCs w:val="22"/>
        </w:rPr>
        <w:t xml:space="preserve"> and </w:t>
      </w:r>
      <w:r w:rsidR="00EB661C" w:rsidRPr="00093B41">
        <w:rPr>
          <w:rFonts w:asciiTheme="minorHAnsi" w:hAnsiTheme="minorHAnsi" w:cstheme="minorHAnsi"/>
          <w:color w:val="auto"/>
          <w:sz w:val="22"/>
          <w:szCs w:val="22"/>
        </w:rPr>
        <w:t>advocat</w:t>
      </w:r>
      <w:r w:rsidR="00F179D3">
        <w:rPr>
          <w:rFonts w:asciiTheme="minorHAnsi" w:hAnsiTheme="minorHAnsi" w:cstheme="minorHAnsi"/>
          <w:color w:val="auto"/>
          <w:sz w:val="22"/>
          <w:szCs w:val="22"/>
        </w:rPr>
        <w:t>ing</w:t>
      </w:r>
      <w:r w:rsidR="00EB661C" w:rsidRPr="00093B41">
        <w:rPr>
          <w:rFonts w:asciiTheme="minorHAnsi" w:hAnsiTheme="minorHAnsi" w:cstheme="minorHAnsi"/>
          <w:color w:val="auto"/>
          <w:sz w:val="22"/>
          <w:szCs w:val="22"/>
        </w:rPr>
        <w:t xml:space="preserve"> for</w:t>
      </w:r>
      <w:r w:rsidR="004D33D5" w:rsidRPr="00093B41">
        <w:rPr>
          <w:rFonts w:asciiTheme="minorHAnsi" w:hAnsiTheme="minorHAnsi" w:cstheme="minorHAnsi"/>
          <w:color w:val="auto"/>
          <w:sz w:val="22"/>
          <w:szCs w:val="22"/>
        </w:rPr>
        <w:t xml:space="preserve"> evaluation in their</w:t>
      </w:r>
      <w:r w:rsidR="004B7604">
        <w:rPr>
          <w:rFonts w:asciiTheme="minorHAnsi" w:hAnsiTheme="minorHAnsi" w:cstheme="minorHAnsi"/>
          <w:color w:val="auto"/>
          <w:sz w:val="22"/>
          <w:szCs w:val="22"/>
        </w:rPr>
        <w:t xml:space="preserve"> respective</w:t>
      </w:r>
      <w:r w:rsidR="004D33D5" w:rsidRPr="00093B41">
        <w:rPr>
          <w:rFonts w:asciiTheme="minorHAnsi" w:hAnsiTheme="minorHAnsi" w:cstheme="minorHAnsi"/>
          <w:color w:val="auto"/>
          <w:sz w:val="22"/>
          <w:szCs w:val="22"/>
        </w:rPr>
        <w:t xml:space="preserve"> divisions. </w:t>
      </w:r>
      <w:r w:rsidR="00C62CEA" w:rsidRPr="00093B41">
        <w:rPr>
          <w:rFonts w:asciiTheme="minorHAnsi" w:hAnsiTheme="minorHAnsi" w:cstheme="minorHAnsi"/>
          <w:color w:val="auto"/>
          <w:sz w:val="22"/>
          <w:szCs w:val="22"/>
        </w:rPr>
        <w:t xml:space="preserve">Within the first year, the department </w:t>
      </w:r>
      <w:r w:rsidR="00441277">
        <w:rPr>
          <w:rFonts w:asciiTheme="minorHAnsi" w:hAnsiTheme="minorHAnsi" w:cstheme="minorHAnsi"/>
          <w:color w:val="auto"/>
          <w:sz w:val="22"/>
          <w:szCs w:val="22"/>
        </w:rPr>
        <w:t>will start</w:t>
      </w:r>
      <w:r w:rsidR="00441277" w:rsidRPr="00093B41">
        <w:rPr>
          <w:rFonts w:asciiTheme="minorHAnsi" w:hAnsiTheme="minorHAnsi" w:cstheme="minorHAnsi"/>
          <w:color w:val="auto"/>
          <w:sz w:val="22"/>
          <w:szCs w:val="22"/>
        </w:rPr>
        <w:t xml:space="preserve"> </w:t>
      </w:r>
      <w:r w:rsidR="00C62CEA" w:rsidRPr="00093B41">
        <w:rPr>
          <w:rFonts w:asciiTheme="minorHAnsi" w:hAnsiTheme="minorHAnsi" w:cstheme="minorHAnsi"/>
          <w:color w:val="auto"/>
          <w:sz w:val="22"/>
          <w:szCs w:val="22"/>
        </w:rPr>
        <w:t>planning for and conducting evaluations in line with the Strategy’s principles and actions. The focus then moves to sharing evaluation findings and lessons from implementation and establishing transparent accountability mechanisms.</w:t>
      </w:r>
      <w:r w:rsidR="00C62CEA" w:rsidRPr="00B65C97">
        <w:rPr>
          <w:rFonts w:asciiTheme="minorHAnsi" w:hAnsiTheme="minorHAnsi" w:cstheme="minorHAnsi"/>
          <w:color w:val="auto"/>
          <w:sz w:val="22"/>
          <w:szCs w:val="22"/>
        </w:rPr>
        <w:t xml:space="preserve"> </w:t>
      </w:r>
    </w:p>
    <w:p w14:paraId="5D144F0D" w14:textId="13960ADE" w:rsidR="00331CF0" w:rsidRDefault="00331CF0">
      <w:pPr>
        <w:rPr>
          <w:rFonts w:asciiTheme="minorHAnsi" w:hAnsiTheme="minorHAnsi" w:cstheme="minorHAnsi"/>
          <w:b/>
          <w:i/>
          <w:color w:val="358189" w:themeColor="accent2"/>
          <w:szCs w:val="22"/>
        </w:rPr>
      </w:pPr>
    </w:p>
    <w:p w14:paraId="1218228B" w14:textId="0B4E7CBE" w:rsidR="00C62CEA" w:rsidRPr="00B65C97" w:rsidRDefault="00C62CEA" w:rsidP="00B65C97">
      <w:pPr>
        <w:rPr>
          <w:rFonts w:asciiTheme="minorHAnsi" w:hAnsiTheme="minorHAnsi" w:cstheme="minorHAnsi"/>
          <w:b/>
          <w:i/>
          <w:color w:val="358189" w:themeColor="accent2"/>
          <w:szCs w:val="22"/>
        </w:rPr>
      </w:pPr>
      <w:r w:rsidRPr="00B65C97">
        <w:rPr>
          <w:rFonts w:asciiTheme="minorHAnsi" w:hAnsiTheme="minorHAnsi" w:cstheme="minorHAnsi"/>
          <w:b/>
          <w:i/>
          <w:color w:val="358189" w:themeColor="accent2"/>
          <w:szCs w:val="22"/>
        </w:rPr>
        <w:t xml:space="preserve">Table 4: Proposed implementation timeline for the Strategy </w:t>
      </w:r>
    </w:p>
    <w:tbl>
      <w:tblPr>
        <w:tblW w:w="9346" w:type="dxa"/>
        <w:tblInd w:w="-10" w:type="dxa"/>
        <w:tblBorders>
          <w:top w:val="single" w:sz="8" w:space="0" w:color="358189"/>
          <w:left w:val="single" w:sz="8" w:space="0" w:color="358189"/>
          <w:bottom w:val="single" w:sz="8" w:space="0" w:color="358189"/>
          <w:right w:val="single" w:sz="8" w:space="0" w:color="358189"/>
          <w:insideH w:val="single" w:sz="8" w:space="0" w:color="358189"/>
          <w:insideV w:val="single" w:sz="8" w:space="0" w:color="358189"/>
        </w:tblBorders>
        <w:shd w:val="clear" w:color="auto" w:fill="FFFFFF"/>
        <w:tblCellMar>
          <w:left w:w="0" w:type="dxa"/>
          <w:right w:w="0" w:type="dxa"/>
        </w:tblCellMar>
        <w:tblLook w:val="04A0" w:firstRow="1" w:lastRow="0" w:firstColumn="1" w:lastColumn="0" w:noHBand="0" w:noVBand="1"/>
      </w:tblPr>
      <w:tblGrid>
        <w:gridCol w:w="4673"/>
        <w:gridCol w:w="4673"/>
      </w:tblGrid>
      <w:tr w:rsidR="00C62CEA" w:rsidRPr="006D561E" w14:paraId="5383326A" w14:textId="77777777" w:rsidTr="008865D7">
        <w:tc>
          <w:tcPr>
            <w:tcW w:w="4673" w:type="dxa"/>
            <w:shd w:val="clear" w:color="auto" w:fill="009999"/>
            <w:tcMar>
              <w:top w:w="0" w:type="dxa"/>
              <w:left w:w="108" w:type="dxa"/>
              <w:bottom w:w="0" w:type="dxa"/>
              <w:right w:w="108" w:type="dxa"/>
            </w:tcMar>
            <w:vAlign w:val="center"/>
          </w:tcPr>
          <w:p w14:paraId="79ED766D" w14:textId="77777777" w:rsidR="000424CD" w:rsidRDefault="00C62CEA" w:rsidP="00B65C97">
            <w:pPr>
              <w:spacing w:before="120" w:after="120"/>
              <w:jc w:val="center"/>
              <w:rPr>
                <w:rStyle w:val="Strong"/>
                <w:rFonts w:asciiTheme="minorHAnsi" w:hAnsiTheme="minorHAnsi" w:cstheme="minorHAnsi"/>
                <w:color w:val="FFFFFF" w:themeColor="background1"/>
              </w:rPr>
            </w:pPr>
            <w:r w:rsidRPr="008865D7">
              <w:rPr>
                <w:rStyle w:val="Strong"/>
                <w:rFonts w:asciiTheme="minorHAnsi" w:hAnsiTheme="minorHAnsi" w:cstheme="minorHAnsi"/>
                <w:color w:val="FFFFFF" w:themeColor="background1"/>
              </w:rPr>
              <w:t xml:space="preserve">Actions by </w:t>
            </w:r>
            <w:r w:rsidR="0081763A">
              <w:rPr>
                <w:rStyle w:val="Strong"/>
                <w:rFonts w:asciiTheme="minorHAnsi" w:hAnsiTheme="minorHAnsi" w:cstheme="minorHAnsi"/>
                <w:color w:val="FFFFFF" w:themeColor="background1"/>
              </w:rPr>
              <w:t>d</w:t>
            </w:r>
            <w:r w:rsidR="00A20805" w:rsidRPr="000772B6">
              <w:rPr>
                <w:rStyle w:val="Strong"/>
                <w:rFonts w:asciiTheme="minorHAnsi" w:hAnsiTheme="minorHAnsi" w:cstheme="minorHAnsi"/>
                <w:color w:val="FFFFFF" w:themeColor="background1"/>
              </w:rPr>
              <w:t xml:space="preserve">ivisions </w:t>
            </w:r>
          </w:p>
          <w:p w14:paraId="42F1ECE9" w14:textId="4B1D8450" w:rsidR="00C62CEA" w:rsidRPr="008865D7" w:rsidRDefault="000424CD" w:rsidP="00B65C97">
            <w:pPr>
              <w:spacing w:before="120" w:after="120"/>
              <w:jc w:val="center"/>
              <w:rPr>
                <w:rStyle w:val="Strong"/>
                <w:rFonts w:asciiTheme="minorHAnsi" w:eastAsiaTheme="minorHAnsi" w:hAnsiTheme="minorHAnsi" w:cstheme="minorHAnsi"/>
                <w:color w:val="FFFFFF" w:themeColor="background1"/>
              </w:rPr>
            </w:pPr>
            <w:r>
              <w:rPr>
                <w:rStyle w:val="Strong"/>
                <w:rFonts w:asciiTheme="minorHAnsi" w:hAnsiTheme="minorHAnsi" w:cstheme="minorHAnsi"/>
                <w:color w:val="FFFFFF" w:themeColor="background1"/>
              </w:rPr>
              <w:t xml:space="preserve">Through nominated </w:t>
            </w:r>
            <w:r w:rsidR="004D33D5" w:rsidRPr="004D33D5">
              <w:rPr>
                <w:rStyle w:val="Strong"/>
                <w:rFonts w:asciiTheme="minorHAnsi" w:hAnsiTheme="minorHAnsi" w:cstheme="minorHAnsi"/>
                <w:color w:val="FFFFFF" w:themeColor="background1"/>
              </w:rPr>
              <w:t xml:space="preserve">Executive </w:t>
            </w:r>
            <w:r w:rsidRPr="000424CD">
              <w:rPr>
                <w:rStyle w:val="Strong"/>
                <w:rFonts w:asciiTheme="minorHAnsi" w:hAnsiTheme="minorHAnsi" w:cstheme="minorHAnsi"/>
                <w:color w:val="FFFFFF" w:themeColor="background1"/>
              </w:rPr>
              <w:t>evaluation champions</w:t>
            </w:r>
          </w:p>
        </w:tc>
        <w:tc>
          <w:tcPr>
            <w:tcW w:w="4673" w:type="dxa"/>
            <w:shd w:val="clear" w:color="auto" w:fill="009999"/>
            <w:tcMar>
              <w:top w:w="0" w:type="dxa"/>
              <w:left w:w="108" w:type="dxa"/>
              <w:bottom w:w="0" w:type="dxa"/>
              <w:right w:w="108" w:type="dxa"/>
            </w:tcMar>
            <w:vAlign w:val="center"/>
          </w:tcPr>
          <w:p w14:paraId="561A8C3F" w14:textId="77777777" w:rsidR="00C62CEA" w:rsidRPr="008865D7" w:rsidRDefault="00C62CEA" w:rsidP="00B65C97">
            <w:pPr>
              <w:spacing w:before="120" w:after="120"/>
              <w:jc w:val="center"/>
              <w:rPr>
                <w:rStyle w:val="Strong"/>
                <w:rFonts w:asciiTheme="minorHAnsi" w:eastAsiaTheme="minorHAnsi" w:hAnsiTheme="minorHAnsi" w:cstheme="minorHAnsi"/>
                <w:color w:val="FFFFFF" w:themeColor="background1"/>
              </w:rPr>
            </w:pPr>
            <w:r w:rsidRPr="008865D7">
              <w:rPr>
                <w:rStyle w:val="Strong"/>
                <w:rFonts w:asciiTheme="minorHAnsi" w:hAnsiTheme="minorHAnsi" w:cstheme="minorHAnsi"/>
                <w:color w:val="FFFFFF" w:themeColor="background1"/>
              </w:rPr>
              <w:t>Actions by Evaluation Centre</w:t>
            </w:r>
          </w:p>
        </w:tc>
      </w:tr>
      <w:tr w:rsidR="00C62CEA" w:rsidRPr="00417402" w14:paraId="7513CDDA" w14:textId="77777777" w:rsidTr="008865D7">
        <w:tc>
          <w:tcPr>
            <w:tcW w:w="9346" w:type="dxa"/>
            <w:gridSpan w:val="2"/>
            <w:shd w:val="clear" w:color="auto" w:fill="CBE9ED"/>
            <w:tcMar>
              <w:top w:w="0" w:type="dxa"/>
              <w:left w:w="108" w:type="dxa"/>
              <w:bottom w:w="0" w:type="dxa"/>
              <w:right w:w="108" w:type="dxa"/>
            </w:tcMar>
            <w:vAlign w:val="center"/>
          </w:tcPr>
          <w:p w14:paraId="6B31EB11" w14:textId="23131ECD" w:rsidR="00C62CEA" w:rsidRPr="00B65C97" w:rsidRDefault="00C62CEA" w:rsidP="003D590B">
            <w:pPr>
              <w:spacing w:after="60"/>
              <w:jc w:val="center"/>
              <w:rPr>
                <w:rFonts w:asciiTheme="minorHAnsi" w:hAnsiTheme="minorHAnsi" w:cstheme="minorHAnsi"/>
                <w:b/>
                <w:bCs/>
                <w:sz w:val="19"/>
                <w:szCs w:val="19"/>
                <w:lang w:eastAsia="en-AU"/>
              </w:rPr>
            </w:pPr>
            <w:r w:rsidRPr="00B65C97">
              <w:rPr>
                <w:rFonts w:asciiTheme="minorHAnsi" w:hAnsiTheme="minorHAnsi" w:cstheme="minorHAnsi"/>
                <w:b/>
                <w:bCs/>
                <w:sz w:val="19"/>
                <w:szCs w:val="19"/>
                <w:lang w:eastAsia="en-AU"/>
              </w:rPr>
              <w:t xml:space="preserve">Within first </w:t>
            </w:r>
            <w:r w:rsidR="001602F8">
              <w:rPr>
                <w:rFonts w:asciiTheme="minorHAnsi" w:hAnsiTheme="minorHAnsi" w:cstheme="minorHAnsi"/>
                <w:b/>
                <w:bCs/>
                <w:sz w:val="19"/>
                <w:szCs w:val="19"/>
                <w:lang w:eastAsia="en-AU"/>
              </w:rPr>
              <w:t>six</w:t>
            </w:r>
            <w:r w:rsidRPr="00B65C97">
              <w:rPr>
                <w:rFonts w:asciiTheme="minorHAnsi" w:hAnsiTheme="minorHAnsi" w:cstheme="minorHAnsi"/>
                <w:b/>
                <w:bCs/>
                <w:sz w:val="19"/>
                <w:szCs w:val="19"/>
                <w:lang w:eastAsia="en-AU"/>
              </w:rPr>
              <w:t xml:space="preserve"> months</w:t>
            </w:r>
            <w:r w:rsidR="00467757">
              <w:rPr>
                <w:rFonts w:asciiTheme="minorHAnsi" w:hAnsiTheme="minorHAnsi" w:cstheme="minorHAnsi"/>
                <w:b/>
                <w:bCs/>
                <w:sz w:val="19"/>
                <w:szCs w:val="19"/>
                <w:lang w:eastAsia="en-AU"/>
              </w:rPr>
              <w:t xml:space="preserve"> </w:t>
            </w:r>
          </w:p>
        </w:tc>
      </w:tr>
      <w:tr w:rsidR="00C62CEA" w:rsidRPr="00417402" w14:paraId="40803223" w14:textId="77777777" w:rsidTr="008865D7">
        <w:tc>
          <w:tcPr>
            <w:tcW w:w="4673" w:type="dxa"/>
            <w:shd w:val="clear" w:color="auto" w:fill="FFFFFF"/>
            <w:tcMar>
              <w:top w:w="0" w:type="dxa"/>
              <w:left w:w="108" w:type="dxa"/>
              <w:bottom w:w="0" w:type="dxa"/>
              <w:right w:w="108" w:type="dxa"/>
            </w:tcMar>
          </w:tcPr>
          <w:p w14:paraId="6CA6DA31" w14:textId="1746E7CA" w:rsidR="00F52DAD" w:rsidRDefault="00F52DAD" w:rsidP="003D590B">
            <w:pPr>
              <w:spacing w:before="120" w:after="60"/>
              <w:rPr>
                <w:rFonts w:asciiTheme="minorHAnsi" w:eastAsiaTheme="minorHAnsi" w:hAnsiTheme="minorHAnsi" w:cstheme="minorHAnsi"/>
                <w:sz w:val="19"/>
                <w:szCs w:val="19"/>
              </w:rPr>
            </w:pPr>
            <w:r>
              <w:rPr>
                <w:rFonts w:asciiTheme="minorHAnsi" w:eastAsiaTheme="minorHAnsi" w:hAnsiTheme="minorHAnsi" w:cstheme="minorHAnsi"/>
                <w:sz w:val="19"/>
                <w:szCs w:val="19"/>
              </w:rPr>
              <w:t xml:space="preserve">Nominate </w:t>
            </w:r>
            <w:r w:rsidR="004D33D5" w:rsidRPr="004D33D5">
              <w:rPr>
                <w:rFonts w:asciiTheme="minorHAnsi" w:eastAsiaTheme="minorHAnsi" w:hAnsiTheme="minorHAnsi" w:cstheme="minorHAnsi"/>
                <w:sz w:val="19"/>
                <w:szCs w:val="19"/>
              </w:rPr>
              <w:t xml:space="preserve">Executive </w:t>
            </w:r>
            <w:r>
              <w:rPr>
                <w:rFonts w:asciiTheme="minorHAnsi" w:eastAsiaTheme="minorHAnsi" w:hAnsiTheme="minorHAnsi" w:cstheme="minorHAnsi"/>
                <w:sz w:val="19"/>
                <w:szCs w:val="19"/>
              </w:rPr>
              <w:t xml:space="preserve">evaluation </w:t>
            </w:r>
            <w:r w:rsidR="000424CD">
              <w:rPr>
                <w:rFonts w:asciiTheme="minorHAnsi" w:eastAsiaTheme="minorHAnsi" w:hAnsiTheme="minorHAnsi" w:cstheme="minorHAnsi"/>
                <w:sz w:val="19"/>
                <w:szCs w:val="19"/>
              </w:rPr>
              <w:t>c</w:t>
            </w:r>
            <w:r>
              <w:rPr>
                <w:rFonts w:asciiTheme="minorHAnsi" w:eastAsiaTheme="minorHAnsi" w:hAnsiTheme="minorHAnsi" w:cstheme="minorHAnsi"/>
                <w:sz w:val="19"/>
                <w:szCs w:val="19"/>
              </w:rPr>
              <w:t xml:space="preserve">hampions </w:t>
            </w:r>
          </w:p>
          <w:p w14:paraId="558EAE1E" w14:textId="668B0125" w:rsidR="00C62CEA" w:rsidRPr="008865D7" w:rsidRDefault="00C62CEA"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 xml:space="preserve">Assist </w:t>
            </w:r>
            <w:r w:rsidR="0049382D">
              <w:rPr>
                <w:rFonts w:asciiTheme="minorHAnsi" w:eastAsiaTheme="minorHAnsi" w:hAnsiTheme="minorHAnsi" w:cstheme="minorHAnsi"/>
                <w:sz w:val="19"/>
                <w:szCs w:val="19"/>
              </w:rPr>
              <w:t>with</w:t>
            </w:r>
            <w:r w:rsidRPr="008865D7">
              <w:rPr>
                <w:rFonts w:asciiTheme="minorHAnsi" w:eastAsiaTheme="minorHAnsi" w:hAnsiTheme="minorHAnsi" w:cstheme="minorHAnsi"/>
                <w:sz w:val="19"/>
                <w:szCs w:val="19"/>
              </w:rPr>
              <w:t xml:space="preserve"> stocktake</w:t>
            </w:r>
            <w:r w:rsidR="004C72F5">
              <w:rPr>
                <w:rFonts w:asciiTheme="minorHAnsi" w:eastAsiaTheme="minorHAnsi" w:hAnsiTheme="minorHAnsi" w:cstheme="minorHAnsi"/>
                <w:sz w:val="19"/>
                <w:szCs w:val="19"/>
              </w:rPr>
              <w:t xml:space="preserve"> </w:t>
            </w:r>
            <w:r w:rsidR="004C72F5" w:rsidRPr="004C72F5">
              <w:rPr>
                <w:rFonts w:asciiTheme="minorHAnsi" w:hAnsiTheme="minorHAnsi"/>
                <w:sz w:val="19"/>
                <w:szCs w:val="19"/>
              </w:rPr>
              <w:t>of department-wide evaluation priorities</w:t>
            </w:r>
            <w:r w:rsidRPr="004C72F5">
              <w:rPr>
                <w:rFonts w:asciiTheme="minorHAnsi" w:eastAsiaTheme="minorHAnsi" w:hAnsiTheme="minorHAnsi" w:cstheme="minorHAnsi"/>
                <w:sz w:val="19"/>
                <w:szCs w:val="19"/>
              </w:rPr>
              <w:t xml:space="preserve"> </w:t>
            </w:r>
            <w:r w:rsidRPr="008865D7">
              <w:rPr>
                <w:rFonts w:asciiTheme="minorHAnsi" w:eastAsiaTheme="minorHAnsi" w:hAnsiTheme="minorHAnsi" w:cstheme="minorHAnsi"/>
                <w:sz w:val="19"/>
                <w:szCs w:val="19"/>
              </w:rPr>
              <w:t>(</w:t>
            </w:r>
            <w:r w:rsidRPr="008865D7">
              <w:rPr>
                <w:rFonts w:asciiTheme="minorHAnsi" w:eastAsiaTheme="minorHAnsi" w:hAnsiTheme="minorHAnsi" w:cstheme="minorHAnsi"/>
                <w:b/>
                <w:sz w:val="19"/>
                <w:szCs w:val="19"/>
              </w:rPr>
              <w:t>Action 1.</w:t>
            </w:r>
            <w:r w:rsidR="005A5F30" w:rsidRPr="008865D7">
              <w:rPr>
                <w:rFonts w:asciiTheme="minorHAnsi" w:eastAsiaTheme="minorHAnsi" w:hAnsiTheme="minorHAnsi" w:cstheme="minorHAnsi"/>
                <w:b/>
                <w:sz w:val="19"/>
                <w:szCs w:val="19"/>
              </w:rPr>
              <w:t>1</w:t>
            </w:r>
            <w:r w:rsidRPr="008865D7">
              <w:rPr>
                <w:rFonts w:asciiTheme="minorHAnsi" w:eastAsiaTheme="minorHAnsi" w:hAnsiTheme="minorHAnsi" w:cstheme="minorHAnsi"/>
                <w:sz w:val="19"/>
                <w:szCs w:val="19"/>
              </w:rPr>
              <w:t>)</w:t>
            </w:r>
          </w:p>
          <w:p w14:paraId="4141E00F" w14:textId="668293A4" w:rsidR="000F2655" w:rsidRPr="008865D7" w:rsidRDefault="000F2655"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Provide input to the rolling Evaluation Schedule</w:t>
            </w:r>
            <w:r w:rsidR="00E01348">
              <w:rPr>
                <w:rFonts w:asciiTheme="minorHAnsi" w:eastAsiaTheme="minorHAnsi" w:hAnsiTheme="minorHAnsi" w:cstheme="minorHAnsi"/>
                <w:sz w:val="19"/>
                <w:szCs w:val="19"/>
              </w:rPr>
              <w:t xml:space="preserve"> of Evaluations</w:t>
            </w:r>
            <w:r w:rsidRPr="008865D7">
              <w:rPr>
                <w:rFonts w:asciiTheme="minorHAnsi" w:eastAsiaTheme="minorHAnsi" w:hAnsiTheme="minorHAnsi" w:cstheme="minorHAnsi"/>
                <w:sz w:val="19"/>
                <w:szCs w:val="19"/>
              </w:rPr>
              <w:t xml:space="preserve"> (</w:t>
            </w:r>
            <w:r w:rsidRPr="008865D7">
              <w:rPr>
                <w:rFonts w:asciiTheme="minorHAnsi" w:eastAsiaTheme="minorHAnsi" w:hAnsiTheme="minorHAnsi" w:cstheme="minorHAnsi"/>
                <w:b/>
                <w:sz w:val="19"/>
                <w:szCs w:val="19"/>
              </w:rPr>
              <w:t>Action 1.2</w:t>
            </w:r>
            <w:r w:rsidRPr="008865D7">
              <w:rPr>
                <w:rFonts w:asciiTheme="minorHAnsi" w:eastAsiaTheme="minorHAnsi" w:hAnsiTheme="minorHAnsi" w:cstheme="minorHAnsi"/>
                <w:sz w:val="19"/>
                <w:szCs w:val="19"/>
              </w:rPr>
              <w:t>)</w:t>
            </w:r>
          </w:p>
        </w:tc>
        <w:tc>
          <w:tcPr>
            <w:tcW w:w="4673" w:type="dxa"/>
            <w:shd w:val="clear" w:color="auto" w:fill="FFFFFF"/>
            <w:tcMar>
              <w:top w:w="0" w:type="dxa"/>
              <w:left w:w="108" w:type="dxa"/>
              <w:bottom w:w="0" w:type="dxa"/>
              <w:right w:w="108" w:type="dxa"/>
            </w:tcMar>
          </w:tcPr>
          <w:p w14:paraId="635179D1" w14:textId="5B56B077" w:rsidR="009349EB" w:rsidRDefault="009349EB" w:rsidP="003D590B">
            <w:pPr>
              <w:spacing w:before="120" w:after="60"/>
              <w:rPr>
                <w:rFonts w:asciiTheme="minorHAnsi" w:hAnsiTheme="minorHAnsi" w:cstheme="minorHAnsi"/>
                <w:sz w:val="19"/>
                <w:szCs w:val="19"/>
              </w:rPr>
            </w:pPr>
            <w:r>
              <w:rPr>
                <w:rFonts w:asciiTheme="minorHAnsi" w:hAnsiTheme="minorHAnsi" w:cstheme="minorHAnsi"/>
                <w:sz w:val="19"/>
                <w:szCs w:val="19"/>
              </w:rPr>
              <w:t>Develop a communication plan</w:t>
            </w:r>
          </w:p>
          <w:p w14:paraId="173D765E" w14:textId="2E39B6E9" w:rsidR="00C62CEA" w:rsidRPr="008865D7" w:rsidRDefault="00C62CEA" w:rsidP="003D590B">
            <w:pPr>
              <w:spacing w:before="120" w:after="60"/>
              <w:rPr>
                <w:rFonts w:asciiTheme="minorHAnsi" w:hAnsiTheme="minorHAnsi" w:cstheme="minorHAnsi"/>
                <w:sz w:val="19"/>
                <w:szCs w:val="19"/>
              </w:rPr>
            </w:pPr>
            <w:r w:rsidRPr="008865D7">
              <w:rPr>
                <w:rFonts w:asciiTheme="minorHAnsi" w:hAnsiTheme="minorHAnsi" w:cstheme="minorHAnsi"/>
                <w:sz w:val="19"/>
                <w:szCs w:val="19"/>
              </w:rPr>
              <w:t xml:space="preserve">Develop prioritisation tools and undertake stocktake </w:t>
            </w:r>
            <w:r w:rsidR="004C72F5" w:rsidRPr="004C72F5">
              <w:rPr>
                <w:rFonts w:asciiTheme="minorHAnsi" w:hAnsiTheme="minorHAnsi"/>
                <w:sz w:val="19"/>
                <w:szCs w:val="19"/>
              </w:rPr>
              <w:t>of department-wide evaluation priorities</w:t>
            </w:r>
            <w:r w:rsidR="004C72F5" w:rsidRPr="008865D7">
              <w:rPr>
                <w:rFonts w:asciiTheme="minorHAnsi" w:hAnsiTheme="minorHAnsi" w:cstheme="minorHAnsi"/>
                <w:sz w:val="19"/>
                <w:szCs w:val="19"/>
              </w:rPr>
              <w:t xml:space="preserve"> </w:t>
            </w:r>
            <w:r w:rsidRPr="008865D7">
              <w:rPr>
                <w:rFonts w:asciiTheme="minorHAnsi" w:hAnsiTheme="minorHAnsi" w:cstheme="minorHAnsi"/>
                <w:sz w:val="19"/>
                <w:szCs w:val="19"/>
              </w:rPr>
              <w:t>(</w:t>
            </w:r>
            <w:r w:rsidRPr="008865D7">
              <w:rPr>
                <w:rFonts w:asciiTheme="minorHAnsi" w:hAnsiTheme="minorHAnsi" w:cstheme="minorHAnsi"/>
                <w:b/>
                <w:sz w:val="19"/>
                <w:szCs w:val="19"/>
              </w:rPr>
              <w:t>Action 1.1</w:t>
            </w:r>
            <w:r w:rsidRPr="008865D7">
              <w:rPr>
                <w:rFonts w:asciiTheme="minorHAnsi" w:hAnsiTheme="minorHAnsi" w:cstheme="minorHAnsi"/>
                <w:sz w:val="19"/>
                <w:szCs w:val="19"/>
              </w:rPr>
              <w:t xml:space="preserve">) </w:t>
            </w:r>
          </w:p>
          <w:p w14:paraId="1B20483E" w14:textId="22F32E9A" w:rsidR="00C62CEA" w:rsidRPr="008865D7" w:rsidRDefault="00C62CEA" w:rsidP="003D590B">
            <w:pPr>
              <w:spacing w:before="120" w:after="60"/>
              <w:rPr>
                <w:rFonts w:asciiTheme="minorHAnsi" w:hAnsiTheme="minorHAnsi" w:cstheme="minorHAnsi"/>
                <w:sz w:val="19"/>
                <w:szCs w:val="19"/>
              </w:rPr>
            </w:pPr>
            <w:r w:rsidRPr="008865D7">
              <w:rPr>
                <w:rFonts w:asciiTheme="minorHAnsi" w:hAnsiTheme="minorHAnsi" w:cstheme="minorHAnsi"/>
                <w:sz w:val="19"/>
                <w:szCs w:val="19"/>
              </w:rPr>
              <w:t>Relaunch Evaluation Hub (</w:t>
            </w:r>
            <w:r w:rsidRPr="008865D7">
              <w:rPr>
                <w:rFonts w:asciiTheme="minorHAnsi" w:hAnsiTheme="minorHAnsi" w:cstheme="minorHAnsi"/>
                <w:b/>
                <w:sz w:val="19"/>
                <w:szCs w:val="19"/>
              </w:rPr>
              <w:t xml:space="preserve">Action </w:t>
            </w:r>
            <w:r w:rsidR="00F83D3D" w:rsidRPr="008865D7">
              <w:rPr>
                <w:rFonts w:asciiTheme="minorHAnsi" w:hAnsiTheme="minorHAnsi" w:cstheme="minorHAnsi"/>
                <w:b/>
                <w:sz w:val="19"/>
                <w:szCs w:val="19"/>
              </w:rPr>
              <w:t>3.1</w:t>
            </w:r>
            <w:r w:rsidRPr="008865D7">
              <w:rPr>
                <w:rFonts w:asciiTheme="minorHAnsi" w:hAnsiTheme="minorHAnsi" w:cstheme="minorHAnsi"/>
                <w:sz w:val="19"/>
                <w:szCs w:val="19"/>
              </w:rPr>
              <w:t>)</w:t>
            </w:r>
          </w:p>
        </w:tc>
      </w:tr>
      <w:tr w:rsidR="00C62CEA" w:rsidRPr="00417402" w14:paraId="390F6529" w14:textId="77777777" w:rsidTr="008865D7">
        <w:tc>
          <w:tcPr>
            <w:tcW w:w="9346" w:type="dxa"/>
            <w:gridSpan w:val="2"/>
            <w:shd w:val="clear" w:color="auto" w:fill="CBE9ED"/>
            <w:tcMar>
              <w:top w:w="0" w:type="dxa"/>
              <w:left w:w="108" w:type="dxa"/>
              <w:bottom w:w="0" w:type="dxa"/>
              <w:right w:w="108" w:type="dxa"/>
            </w:tcMar>
          </w:tcPr>
          <w:p w14:paraId="11104AB9" w14:textId="3D974D13" w:rsidR="00C62CEA" w:rsidRPr="00B65C97" w:rsidRDefault="00C62CEA" w:rsidP="003D590B">
            <w:pPr>
              <w:spacing w:after="60"/>
              <w:jc w:val="center"/>
              <w:rPr>
                <w:rFonts w:asciiTheme="minorHAnsi" w:hAnsiTheme="minorHAnsi" w:cstheme="minorHAnsi"/>
                <w:b/>
                <w:sz w:val="19"/>
                <w:szCs w:val="19"/>
              </w:rPr>
            </w:pPr>
            <w:r w:rsidRPr="00B65C97">
              <w:rPr>
                <w:rFonts w:asciiTheme="minorHAnsi" w:eastAsiaTheme="minorHAnsi" w:hAnsiTheme="minorHAnsi" w:cstheme="minorHAnsi"/>
                <w:b/>
                <w:sz w:val="19"/>
                <w:szCs w:val="19"/>
              </w:rPr>
              <w:t>Within one year</w:t>
            </w:r>
            <w:r w:rsidR="00467757">
              <w:rPr>
                <w:rFonts w:asciiTheme="minorHAnsi" w:eastAsiaTheme="minorHAnsi" w:hAnsiTheme="minorHAnsi" w:cstheme="minorHAnsi"/>
                <w:b/>
                <w:sz w:val="19"/>
                <w:szCs w:val="19"/>
              </w:rPr>
              <w:t xml:space="preserve"> </w:t>
            </w:r>
          </w:p>
        </w:tc>
      </w:tr>
      <w:tr w:rsidR="00C62CEA" w:rsidRPr="00417402" w14:paraId="53C333D5" w14:textId="77777777" w:rsidTr="008865D7">
        <w:trPr>
          <w:trHeight w:val="1380"/>
        </w:trPr>
        <w:tc>
          <w:tcPr>
            <w:tcW w:w="4673" w:type="dxa"/>
            <w:shd w:val="clear" w:color="auto" w:fill="FFFFFF"/>
            <w:tcMar>
              <w:top w:w="0" w:type="dxa"/>
              <w:left w:w="108" w:type="dxa"/>
              <w:bottom w:w="0" w:type="dxa"/>
              <w:right w:w="108" w:type="dxa"/>
            </w:tcMar>
          </w:tcPr>
          <w:p w14:paraId="1EA8BA73" w14:textId="122B81B7" w:rsidR="00C62CEA" w:rsidRPr="008865D7" w:rsidRDefault="00C62CEA"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 xml:space="preserve">Begin to develop capability and </w:t>
            </w:r>
            <w:r w:rsidR="00441460">
              <w:rPr>
                <w:rFonts w:asciiTheme="minorHAnsi" w:eastAsiaTheme="minorHAnsi" w:hAnsiTheme="minorHAnsi" w:cstheme="minorHAnsi"/>
                <w:sz w:val="19"/>
                <w:szCs w:val="19"/>
              </w:rPr>
              <w:t>awareness of</w:t>
            </w:r>
            <w:r w:rsidR="00441460" w:rsidRPr="008865D7">
              <w:rPr>
                <w:rFonts w:asciiTheme="minorHAnsi" w:eastAsiaTheme="minorHAnsi" w:hAnsiTheme="minorHAnsi" w:cstheme="minorHAnsi"/>
                <w:sz w:val="19"/>
                <w:szCs w:val="19"/>
              </w:rPr>
              <w:t xml:space="preserve"> </w:t>
            </w:r>
            <w:r w:rsidRPr="008865D7">
              <w:rPr>
                <w:rFonts w:asciiTheme="minorHAnsi" w:eastAsiaTheme="minorHAnsi" w:hAnsiTheme="minorHAnsi" w:cstheme="minorHAnsi"/>
                <w:sz w:val="19"/>
                <w:szCs w:val="19"/>
              </w:rPr>
              <w:t>available</w:t>
            </w:r>
            <w:r w:rsidR="00441460">
              <w:rPr>
                <w:rFonts w:asciiTheme="minorHAnsi" w:eastAsiaTheme="minorHAnsi" w:hAnsiTheme="minorHAnsi" w:cstheme="minorHAnsi"/>
                <w:sz w:val="19"/>
                <w:szCs w:val="19"/>
              </w:rPr>
              <w:t xml:space="preserve"> data</w:t>
            </w:r>
            <w:r w:rsidRPr="008865D7">
              <w:rPr>
                <w:rFonts w:asciiTheme="minorHAnsi" w:eastAsiaTheme="minorHAnsi" w:hAnsiTheme="minorHAnsi" w:cstheme="minorHAnsi"/>
                <w:sz w:val="19"/>
                <w:szCs w:val="19"/>
              </w:rPr>
              <w:t xml:space="preserve"> for</w:t>
            </w:r>
            <w:r w:rsidR="00074D54">
              <w:rPr>
                <w:rFonts w:asciiTheme="minorHAnsi" w:eastAsiaTheme="minorHAnsi" w:hAnsiTheme="minorHAnsi" w:cstheme="minorHAnsi"/>
                <w:sz w:val="19"/>
                <w:szCs w:val="19"/>
              </w:rPr>
              <w:t xml:space="preserve"> undertaking</w:t>
            </w:r>
            <w:r w:rsidRPr="008865D7">
              <w:rPr>
                <w:rFonts w:asciiTheme="minorHAnsi" w:eastAsiaTheme="minorHAnsi" w:hAnsiTheme="minorHAnsi" w:cstheme="minorHAnsi"/>
                <w:sz w:val="19"/>
                <w:szCs w:val="19"/>
              </w:rPr>
              <w:t xml:space="preserve"> evaluation</w:t>
            </w:r>
            <w:r w:rsidR="00074D54">
              <w:rPr>
                <w:rFonts w:asciiTheme="minorHAnsi" w:eastAsiaTheme="minorHAnsi" w:hAnsiTheme="minorHAnsi" w:cstheme="minorHAnsi"/>
                <w:sz w:val="19"/>
                <w:szCs w:val="19"/>
              </w:rPr>
              <w:t>s</w:t>
            </w:r>
            <w:r w:rsidRPr="008865D7">
              <w:rPr>
                <w:rFonts w:asciiTheme="minorHAnsi" w:eastAsiaTheme="minorHAnsi" w:hAnsiTheme="minorHAnsi" w:cstheme="minorHAnsi"/>
                <w:sz w:val="19"/>
                <w:szCs w:val="19"/>
              </w:rPr>
              <w:t xml:space="preserve"> (</w:t>
            </w:r>
            <w:r w:rsidRPr="008865D7">
              <w:rPr>
                <w:rFonts w:asciiTheme="minorHAnsi" w:eastAsiaTheme="minorHAnsi" w:hAnsiTheme="minorHAnsi" w:cstheme="minorHAnsi"/>
                <w:b/>
                <w:sz w:val="19"/>
                <w:szCs w:val="19"/>
              </w:rPr>
              <w:t xml:space="preserve">Action </w:t>
            </w:r>
            <w:r w:rsidR="00F83D3D" w:rsidRPr="008865D7">
              <w:rPr>
                <w:rFonts w:asciiTheme="minorHAnsi" w:eastAsiaTheme="minorHAnsi" w:hAnsiTheme="minorHAnsi" w:cstheme="minorHAnsi"/>
                <w:b/>
                <w:sz w:val="19"/>
                <w:szCs w:val="19"/>
              </w:rPr>
              <w:t>3.1</w:t>
            </w:r>
            <w:r w:rsidRPr="008865D7">
              <w:rPr>
                <w:rFonts w:asciiTheme="minorHAnsi" w:eastAsiaTheme="minorHAnsi" w:hAnsiTheme="minorHAnsi" w:cstheme="minorHAnsi"/>
                <w:b/>
                <w:sz w:val="19"/>
                <w:szCs w:val="19"/>
              </w:rPr>
              <w:t xml:space="preserve"> and </w:t>
            </w:r>
            <w:r w:rsidR="00F83D3D" w:rsidRPr="008865D7">
              <w:rPr>
                <w:rFonts w:asciiTheme="minorHAnsi" w:eastAsiaTheme="minorHAnsi" w:hAnsiTheme="minorHAnsi" w:cstheme="minorHAnsi"/>
                <w:b/>
                <w:sz w:val="19"/>
                <w:szCs w:val="19"/>
              </w:rPr>
              <w:t>3.2</w:t>
            </w:r>
            <w:r w:rsidRPr="008865D7">
              <w:rPr>
                <w:rFonts w:asciiTheme="minorHAnsi" w:eastAsiaTheme="minorHAnsi" w:hAnsiTheme="minorHAnsi" w:cstheme="minorHAnsi"/>
                <w:sz w:val="19"/>
                <w:szCs w:val="19"/>
              </w:rPr>
              <w:t>)</w:t>
            </w:r>
          </w:p>
          <w:p w14:paraId="4A059E7A" w14:textId="2C72B5B7" w:rsidR="00C62CEA" w:rsidRPr="008865D7" w:rsidRDefault="00C62CEA"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Begin to develop programs and policies</w:t>
            </w:r>
            <w:r w:rsidR="00FB28F5">
              <w:rPr>
                <w:rFonts w:asciiTheme="minorHAnsi" w:eastAsiaTheme="minorHAnsi" w:hAnsiTheme="minorHAnsi" w:cstheme="minorHAnsi"/>
                <w:sz w:val="19"/>
                <w:szCs w:val="19"/>
              </w:rPr>
              <w:t xml:space="preserve"> to be evaluation ready</w:t>
            </w:r>
            <w:r w:rsidRPr="008865D7">
              <w:rPr>
                <w:rFonts w:asciiTheme="minorHAnsi" w:eastAsiaTheme="minorHAnsi" w:hAnsiTheme="minorHAnsi" w:cstheme="minorHAnsi"/>
                <w:sz w:val="19"/>
                <w:szCs w:val="19"/>
              </w:rPr>
              <w:t xml:space="preserve"> (</w:t>
            </w:r>
            <w:r w:rsidRPr="008865D7">
              <w:rPr>
                <w:rFonts w:asciiTheme="minorHAnsi" w:eastAsiaTheme="minorHAnsi" w:hAnsiTheme="minorHAnsi" w:cstheme="minorHAnsi"/>
                <w:b/>
                <w:sz w:val="19"/>
                <w:szCs w:val="19"/>
              </w:rPr>
              <w:t xml:space="preserve">Action </w:t>
            </w:r>
            <w:r w:rsidR="00F83D3D" w:rsidRPr="008865D7">
              <w:rPr>
                <w:rFonts w:asciiTheme="minorHAnsi" w:eastAsiaTheme="minorHAnsi" w:hAnsiTheme="minorHAnsi" w:cstheme="minorHAnsi"/>
                <w:b/>
                <w:sz w:val="19"/>
                <w:szCs w:val="19"/>
              </w:rPr>
              <w:t>2.2</w:t>
            </w:r>
            <w:r w:rsidRPr="008865D7">
              <w:rPr>
                <w:rFonts w:asciiTheme="minorHAnsi" w:eastAsiaTheme="minorHAnsi" w:hAnsiTheme="minorHAnsi" w:cstheme="minorHAnsi"/>
                <w:sz w:val="19"/>
                <w:szCs w:val="19"/>
              </w:rPr>
              <w:t>)</w:t>
            </w:r>
          </w:p>
          <w:p w14:paraId="549D79D9" w14:textId="5B245907" w:rsidR="00C62CEA" w:rsidRPr="008865D7" w:rsidRDefault="00C62CEA"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 xml:space="preserve">Participate in </w:t>
            </w:r>
            <w:r w:rsidRPr="008865D7">
              <w:rPr>
                <w:rFonts w:asciiTheme="minorHAnsi" w:hAnsiTheme="minorHAnsi" w:cstheme="minorHAnsi"/>
                <w:sz w:val="19"/>
                <w:szCs w:val="19"/>
              </w:rPr>
              <w:t>capability building activities (</w:t>
            </w:r>
            <w:r w:rsidRPr="008865D7">
              <w:rPr>
                <w:rFonts w:asciiTheme="minorHAnsi" w:hAnsiTheme="minorHAnsi" w:cstheme="minorHAnsi"/>
                <w:b/>
                <w:sz w:val="19"/>
                <w:szCs w:val="19"/>
              </w:rPr>
              <w:t xml:space="preserve">Action </w:t>
            </w:r>
            <w:r w:rsidR="00F83D3D" w:rsidRPr="008865D7">
              <w:rPr>
                <w:rFonts w:asciiTheme="minorHAnsi" w:hAnsiTheme="minorHAnsi" w:cstheme="minorHAnsi"/>
                <w:b/>
                <w:sz w:val="19"/>
                <w:szCs w:val="19"/>
              </w:rPr>
              <w:t>3.1</w:t>
            </w:r>
            <w:r w:rsidRPr="008865D7">
              <w:rPr>
                <w:rFonts w:asciiTheme="minorHAnsi" w:hAnsiTheme="minorHAnsi" w:cstheme="minorHAnsi"/>
                <w:sz w:val="19"/>
                <w:szCs w:val="19"/>
              </w:rPr>
              <w:t>)</w:t>
            </w:r>
          </w:p>
        </w:tc>
        <w:tc>
          <w:tcPr>
            <w:tcW w:w="4673" w:type="dxa"/>
            <w:shd w:val="clear" w:color="auto" w:fill="FFFFFF"/>
            <w:tcMar>
              <w:top w:w="0" w:type="dxa"/>
              <w:left w:w="108" w:type="dxa"/>
              <w:bottom w:w="0" w:type="dxa"/>
              <w:right w:w="108" w:type="dxa"/>
            </w:tcMar>
          </w:tcPr>
          <w:p w14:paraId="38585745" w14:textId="2F9158EB" w:rsidR="00C62CEA" w:rsidRPr="008865D7" w:rsidRDefault="008C4BA5"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Develop guidance</w:t>
            </w:r>
            <w:r w:rsidR="00F54A38" w:rsidRPr="008865D7">
              <w:rPr>
                <w:rFonts w:asciiTheme="minorHAnsi" w:eastAsiaTheme="minorHAnsi" w:hAnsiTheme="minorHAnsi" w:cstheme="minorHAnsi"/>
                <w:sz w:val="19"/>
                <w:szCs w:val="19"/>
              </w:rPr>
              <w:t xml:space="preserve">, </w:t>
            </w:r>
            <w:proofErr w:type="gramStart"/>
            <w:r w:rsidRPr="008865D7">
              <w:rPr>
                <w:rFonts w:asciiTheme="minorHAnsi" w:eastAsiaTheme="minorHAnsi" w:hAnsiTheme="minorHAnsi" w:cstheme="minorHAnsi"/>
                <w:sz w:val="19"/>
                <w:szCs w:val="19"/>
              </w:rPr>
              <w:t>to</w:t>
            </w:r>
            <w:r w:rsidR="00FB28F5">
              <w:rPr>
                <w:rFonts w:asciiTheme="minorHAnsi" w:eastAsiaTheme="minorHAnsi" w:hAnsiTheme="minorHAnsi" w:cstheme="minorHAnsi"/>
                <w:sz w:val="19"/>
                <w:szCs w:val="19"/>
              </w:rPr>
              <w:t>o</w:t>
            </w:r>
            <w:r w:rsidRPr="008865D7">
              <w:rPr>
                <w:rFonts w:asciiTheme="minorHAnsi" w:eastAsiaTheme="minorHAnsi" w:hAnsiTheme="minorHAnsi" w:cstheme="minorHAnsi"/>
                <w:sz w:val="19"/>
                <w:szCs w:val="19"/>
              </w:rPr>
              <w:t>ls</w:t>
            </w:r>
            <w:proofErr w:type="gramEnd"/>
            <w:r w:rsidRPr="008865D7">
              <w:rPr>
                <w:rFonts w:asciiTheme="minorHAnsi" w:eastAsiaTheme="minorHAnsi" w:hAnsiTheme="minorHAnsi" w:cstheme="minorHAnsi"/>
                <w:sz w:val="19"/>
                <w:szCs w:val="19"/>
              </w:rPr>
              <w:t xml:space="preserve"> </w:t>
            </w:r>
            <w:r w:rsidR="00F54A38" w:rsidRPr="008865D7">
              <w:rPr>
                <w:rFonts w:asciiTheme="minorHAnsi" w:eastAsiaTheme="minorHAnsi" w:hAnsiTheme="minorHAnsi" w:cstheme="minorHAnsi"/>
                <w:sz w:val="19"/>
                <w:szCs w:val="19"/>
              </w:rPr>
              <w:t xml:space="preserve">and training </w:t>
            </w:r>
            <w:r w:rsidRPr="008865D7">
              <w:rPr>
                <w:rFonts w:asciiTheme="minorHAnsi" w:eastAsiaTheme="minorHAnsi" w:hAnsiTheme="minorHAnsi" w:cstheme="minorHAnsi"/>
                <w:sz w:val="19"/>
                <w:szCs w:val="19"/>
              </w:rPr>
              <w:t>to s</w:t>
            </w:r>
            <w:r w:rsidR="00C62CEA" w:rsidRPr="008865D7">
              <w:rPr>
                <w:rFonts w:asciiTheme="minorHAnsi" w:eastAsiaTheme="minorHAnsi" w:hAnsiTheme="minorHAnsi" w:cstheme="minorHAnsi"/>
                <w:sz w:val="19"/>
                <w:szCs w:val="19"/>
              </w:rPr>
              <w:t>upport capability building (</w:t>
            </w:r>
            <w:r w:rsidR="00C62CEA" w:rsidRPr="008865D7">
              <w:rPr>
                <w:rFonts w:asciiTheme="minorHAnsi" w:eastAsiaTheme="minorHAnsi" w:hAnsiTheme="minorHAnsi" w:cstheme="minorHAnsi"/>
                <w:b/>
                <w:sz w:val="19"/>
                <w:szCs w:val="19"/>
              </w:rPr>
              <w:t xml:space="preserve">Action </w:t>
            </w:r>
            <w:r w:rsidR="0062043C" w:rsidRPr="008865D7">
              <w:rPr>
                <w:rFonts w:asciiTheme="minorHAnsi" w:eastAsiaTheme="minorHAnsi" w:hAnsiTheme="minorHAnsi" w:cstheme="minorHAnsi"/>
                <w:b/>
                <w:sz w:val="19"/>
                <w:szCs w:val="19"/>
              </w:rPr>
              <w:t>3.1</w:t>
            </w:r>
            <w:r w:rsidR="00C62CEA" w:rsidRPr="008865D7">
              <w:rPr>
                <w:rFonts w:asciiTheme="minorHAnsi" w:eastAsiaTheme="minorHAnsi" w:hAnsiTheme="minorHAnsi" w:cstheme="minorHAnsi"/>
                <w:sz w:val="19"/>
                <w:szCs w:val="19"/>
              </w:rPr>
              <w:t>)</w:t>
            </w:r>
          </w:p>
          <w:p w14:paraId="3018B8F3" w14:textId="129374B1" w:rsidR="00C62CEA" w:rsidRPr="008865D7" w:rsidRDefault="00C62CEA"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Department</w:t>
            </w:r>
            <w:r w:rsidR="00FB28F5">
              <w:rPr>
                <w:rFonts w:asciiTheme="minorHAnsi" w:eastAsiaTheme="minorHAnsi" w:hAnsiTheme="minorHAnsi" w:cstheme="minorHAnsi"/>
                <w:sz w:val="19"/>
                <w:szCs w:val="19"/>
              </w:rPr>
              <w:t>-</w:t>
            </w:r>
            <w:r w:rsidRPr="008865D7">
              <w:rPr>
                <w:rFonts w:asciiTheme="minorHAnsi" w:eastAsiaTheme="minorHAnsi" w:hAnsiTheme="minorHAnsi" w:cstheme="minorHAnsi"/>
                <w:sz w:val="19"/>
                <w:szCs w:val="19"/>
              </w:rPr>
              <w:t xml:space="preserve">wide evaluation priorities reviewed and </w:t>
            </w:r>
            <w:r w:rsidR="00F54A38" w:rsidRPr="008865D7">
              <w:rPr>
                <w:rFonts w:asciiTheme="minorHAnsi" w:eastAsiaTheme="minorHAnsi" w:hAnsiTheme="minorHAnsi" w:cstheme="minorHAnsi"/>
                <w:sz w:val="19"/>
                <w:szCs w:val="19"/>
              </w:rPr>
              <w:t xml:space="preserve">published </w:t>
            </w:r>
            <w:r w:rsidRPr="008865D7">
              <w:rPr>
                <w:rFonts w:asciiTheme="minorHAnsi" w:eastAsiaTheme="minorHAnsi" w:hAnsiTheme="minorHAnsi" w:cstheme="minorHAnsi"/>
                <w:sz w:val="19"/>
                <w:szCs w:val="19"/>
              </w:rPr>
              <w:t>(</w:t>
            </w:r>
            <w:r w:rsidRPr="008865D7">
              <w:rPr>
                <w:rFonts w:asciiTheme="minorHAnsi" w:eastAsiaTheme="minorHAnsi" w:hAnsiTheme="minorHAnsi" w:cstheme="minorHAnsi"/>
                <w:b/>
                <w:sz w:val="19"/>
                <w:szCs w:val="19"/>
              </w:rPr>
              <w:t>Action 1.</w:t>
            </w:r>
            <w:r w:rsidR="0062043C" w:rsidRPr="008865D7">
              <w:rPr>
                <w:rFonts w:asciiTheme="minorHAnsi" w:eastAsiaTheme="minorHAnsi" w:hAnsiTheme="minorHAnsi" w:cstheme="minorHAnsi"/>
                <w:b/>
                <w:sz w:val="19"/>
                <w:szCs w:val="19"/>
              </w:rPr>
              <w:t>2</w:t>
            </w:r>
            <w:r w:rsidRPr="008865D7">
              <w:rPr>
                <w:rFonts w:asciiTheme="minorHAnsi" w:eastAsiaTheme="minorHAnsi" w:hAnsiTheme="minorHAnsi" w:cstheme="minorHAnsi"/>
                <w:sz w:val="19"/>
                <w:szCs w:val="19"/>
              </w:rPr>
              <w:t>)</w:t>
            </w:r>
          </w:p>
          <w:p w14:paraId="3F7C15AC" w14:textId="762F66F8" w:rsidR="00C62CEA" w:rsidRPr="008865D7" w:rsidRDefault="00C62CEA"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Evaluation clearing house established (</w:t>
            </w:r>
            <w:r w:rsidRPr="008865D7">
              <w:rPr>
                <w:rFonts w:asciiTheme="minorHAnsi" w:eastAsiaTheme="minorHAnsi" w:hAnsiTheme="minorHAnsi" w:cstheme="minorHAnsi"/>
                <w:b/>
                <w:sz w:val="19"/>
                <w:szCs w:val="19"/>
              </w:rPr>
              <w:t xml:space="preserve">Action </w:t>
            </w:r>
            <w:r w:rsidR="00F83D3D" w:rsidRPr="008865D7">
              <w:rPr>
                <w:rFonts w:asciiTheme="minorHAnsi" w:eastAsiaTheme="minorHAnsi" w:hAnsiTheme="minorHAnsi" w:cstheme="minorHAnsi"/>
                <w:b/>
                <w:sz w:val="19"/>
                <w:szCs w:val="19"/>
              </w:rPr>
              <w:t>4</w:t>
            </w:r>
            <w:r w:rsidRPr="008865D7">
              <w:rPr>
                <w:rFonts w:asciiTheme="minorHAnsi" w:eastAsiaTheme="minorHAnsi" w:hAnsiTheme="minorHAnsi" w:cstheme="minorHAnsi"/>
                <w:b/>
                <w:sz w:val="19"/>
                <w:szCs w:val="19"/>
              </w:rPr>
              <w:t>.2</w:t>
            </w:r>
            <w:r w:rsidRPr="008865D7">
              <w:rPr>
                <w:rFonts w:asciiTheme="minorHAnsi" w:eastAsiaTheme="minorHAnsi" w:hAnsiTheme="minorHAnsi" w:cstheme="minorHAnsi"/>
                <w:sz w:val="19"/>
                <w:szCs w:val="19"/>
              </w:rPr>
              <w:t>)</w:t>
            </w:r>
          </w:p>
          <w:p w14:paraId="165847B2" w14:textId="0D096898" w:rsidR="00C62CEA" w:rsidRPr="008865D7" w:rsidRDefault="00C62CEA" w:rsidP="003D590B">
            <w:pPr>
              <w:spacing w:before="120" w:after="60"/>
              <w:rPr>
                <w:rFonts w:asciiTheme="minorHAnsi" w:hAnsiTheme="minorHAnsi" w:cstheme="minorHAnsi"/>
                <w:sz w:val="19"/>
                <w:szCs w:val="19"/>
              </w:rPr>
            </w:pPr>
            <w:r w:rsidRPr="008865D7">
              <w:rPr>
                <w:rFonts w:asciiTheme="minorHAnsi" w:eastAsiaTheme="minorHAnsi" w:hAnsiTheme="minorHAnsi" w:cstheme="minorHAnsi"/>
                <w:sz w:val="19"/>
                <w:szCs w:val="19"/>
              </w:rPr>
              <w:t>Monitoring Strategy</w:t>
            </w:r>
            <w:r w:rsidR="00A46482">
              <w:rPr>
                <w:rFonts w:asciiTheme="minorHAnsi" w:eastAsiaTheme="minorHAnsi" w:hAnsiTheme="minorHAnsi" w:cstheme="minorHAnsi"/>
                <w:sz w:val="19"/>
                <w:szCs w:val="19"/>
              </w:rPr>
              <w:t xml:space="preserve"> </w:t>
            </w:r>
            <w:r w:rsidR="00675089">
              <w:rPr>
                <w:rFonts w:asciiTheme="minorHAnsi" w:eastAsiaTheme="minorHAnsi" w:hAnsiTheme="minorHAnsi" w:cstheme="minorHAnsi"/>
                <w:sz w:val="19"/>
                <w:szCs w:val="19"/>
              </w:rPr>
              <w:t>implementation</w:t>
            </w:r>
            <w:r w:rsidR="00171D20">
              <w:rPr>
                <w:rFonts w:asciiTheme="minorHAnsi" w:eastAsiaTheme="minorHAnsi" w:hAnsiTheme="minorHAnsi" w:cstheme="minorHAnsi"/>
                <w:sz w:val="19"/>
                <w:szCs w:val="19"/>
              </w:rPr>
              <w:t xml:space="preserve"> and reporting to</w:t>
            </w:r>
            <w:r w:rsidR="00BA034C">
              <w:rPr>
                <w:rFonts w:asciiTheme="minorHAnsi" w:eastAsiaTheme="minorHAnsi" w:hAnsiTheme="minorHAnsi" w:cstheme="minorHAnsi"/>
                <w:sz w:val="19"/>
                <w:szCs w:val="19"/>
              </w:rPr>
              <w:t xml:space="preserve"> the</w:t>
            </w:r>
            <w:r w:rsidR="00171D20">
              <w:rPr>
                <w:rFonts w:asciiTheme="minorHAnsi" w:eastAsiaTheme="minorHAnsi" w:hAnsiTheme="minorHAnsi" w:cstheme="minorHAnsi"/>
                <w:sz w:val="19"/>
                <w:szCs w:val="19"/>
              </w:rPr>
              <w:t xml:space="preserve"> PAC</w:t>
            </w:r>
          </w:p>
        </w:tc>
      </w:tr>
      <w:tr w:rsidR="00C62CEA" w:rsidRPr="00417402" w14:paraId="0CAEFB76" w14:textId="77777777" w:rsidTr="008865D7">
        <w:tc>
          <w:tcPr>
            <w:tcW w:w="9346" w:type="dxa"/>
            <w:gridSpan w:val="2"/>
            <w:shd w:val="clear" w:color="auto" w:fill="CBE9ED"/>
            <w:tcMar>
              <w:top w:w="0" w:type="dxa"/>
              <w:left w:w="108" w:type="dxa"/>
              <w:bottom w:w="0" w:type="dxa"/>
              <w:right w:w="108" w:type="dxa"/>
            </w:tcMar>
          </w:tcPr>
          <w:p w14:paraId="02A846C1" w14:textId="70749676" w:rsidR="00C62CEA" w:rsidRPr="00B65C97" w:rsidRDefault="00C62CEA" w:rsidP="003D590B">
            <w:pPr>
              <w:spacing w:after="60"/>
              <w:jc w:val="center"/>
              <w:rPr>
                <w:rFonts w:asciiTheme="minorHAnsi" w:hAnsiTheme="minorHAnsi" w:cstheme="minorHAnsi"/>
                <w:b/>
                <w:sz w:val="19"/>
                <w:szCs w:val="19"/>
              </w:rPr>
            </w:pPr>
            <w:r w:rsidRPr="00B65C97">
              <w:rPr>
                <w:rFonts w:asciiTheme="minorHAnsi" w:eastAsiaTheme="minorHAnsi" w:hAnsiTheme="minorHAnsi" w:cstheme="minorHAnsi"/>
                <w:b/>
                <w:sz w:val="19"/>
                <w:szCs w:val="19"/>
              </w:rPr>
              <w:t xml:space="preserve">Within two years </w:t>
            </w:r>
          </w:p>
        </w:tc>
      </w:tr>
      <w:tr w:rsidR="00C62CEA" w:rsidRPr="00417402" w14:paraId="7CB31BD2" w14:textId="77777777" w:rsidTr="008865D7">
        <w:tc>
          <w:tcPr>
            <w:tcW w:w="4673" w:type="dxa"/>
            <w:shd w:val="clear" w:color="auto" w:fill="FFFFFF"/>
            <w:tcMar>
              <w:top w:w="0" w:type="dxa"/>
              <w:left w:w="108" w:type="dxa"/>
              <w:bottom w:w="0" w:type="dxa"/>
              <w:right w:w="108" w:type="dxa"/>
            </w:tcMar>
          </w:tcPr>
          <w:p w14:paraId="2FF18AD4" w14:textId="5F126032" w:rsidR="00C62CEA" w:rsidRPr="008865D7" w:rsidRDefault="00C62CEA"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Publish evaluation reports and summaries internally (</w:t>
            </w:r>
            <w:r w:rsidRPr="008865D7">
              <w:rPr>
                <w:rFonts w:asciiTheme="minorHAnsi" w:eastAsiaTheme="minorHAnsi" w:hAnsiTheme="minorHAnsi" w:cstheme="minorHAnsi"/>
                <w:b/>
                <w:sz w:val="19"/>
                <w:szCs w:val="19"/>
              </w:rPr>
              <w:t xml:space="preserve">Action </w:t>
            </w:r>
            <w:r w:rsidR="00F83D3D" w:rsidRPr="008865D7">
              <w:rPr>
                <w:rFonts w:asciiTheme="minorHAnsi" w:eastAsiaTheme="minorHAnsi" w:hAnsiTheme="minorHAnsi" w:cstheme="minorHAnsi"/>
                <w:b/>
                <w:sz w:val="19"/>
                <w:szCs w:val="19"/>
              </w:rPr>
              <w:t>4</w:t>
            </w:r>
            <w:r w:rsidRPr="008865D7">
              <w:rPr>
                <w:rFonts w:asciiTheme="minorHAnsi" w:eastAsiaTheme="minorHAnsi" w:hAnsiTheme="minorHAnsi" w:cstheme="minorHAnsi"/>
                <w:b/>
                <w:sz w:val="19"/>
                <w:szCs w:val="19"/>
              </w:rPr>
              <w:t>.1</w:t>
            </w:r>
            <w:r w:rsidRPr="008865D7">
              <w:rPr>
                <w:rFonts w:asciiTheme="minorHAnsi" w:eastAsiaTheme="minorHAnsi" w:hAnsiTheme="minorHAnsi" w:cstheme="minorHAnsi"/>
                <w:sz w:val="19"/>
                <w:szCs w:val="19"/>
              </w:rPr>
              <w:t>)</w:t>
            </w:r>
          </w:p>
          <w:p w14:paraId="6067B0E2" w14:textId="1C7844FA" w:rsidR="00C62CEA" w:rsidRPr="008865D7" w:rsidRDefault="00C62CEA"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Share evaluation reports with the Evaluation Clearing house internally (</w:t>
            </w:r>
            <w:r w:rsidRPr="008865D7">
              <w:rPr>
                <w:rFonts w:asciiTheme="minorHAnsi" w:eastAsiaTheme="minorHAnsi" w:hAnsiTheme="minorHAnsi" w:cstheme="minorHAnsi"/>
                <w:b/>
                <w:sz w:val="19"/>
                <w:szCs w:val="19"/>
              </w:rPr>
              <w:t xml:space="preserve">Action </w:t>
            </w:r>
            <w:r w:rsidR="00F83D3D" w:rsidRPr="008865D7">
              <w:rPr>
                <w:rFonts w:asciiTheme="minorHAnsi" w:eastAsiaTheme="minorHAnsi" w:hAnsiTheme="minorHAnsi" w:cstheme="minorHAnsi"/>
                <w:b/>
                <w:sz w:val="19"/>
                <w:szCs w:val="19"/>
              </w:rPr>
              <w:t>4</w:t>
            </w:r>
            <w:r w:rsidRPr="008865D7">
              <w:rPr>
                <w:rFonts w:asciiTheme="minorHAnsi" w:eastAsiaTheme="minorHAnsi" w:hAnsiTheme="minorHAnsi" w:cstheme="minorHAnsi"/>
                <w:b/>
                <w:sz w:val="19"/>
                <w:szCs w:val="19"/>
              </w:rPr>
              <w:t>.2</w:t>
            </w:r>
            <w:r w:rsidRPr="008865D7">
              <w:rPr>
                <w:rFonts w:asciiTheme="minorHAnsi" w:eastAsiaTheme="minorHAnsi" w:hAnsiTheme="minorHAnsi" w:cstheme="minorHAnsi"/>
                <w:sz w:val="19"/>
                <w:szCs w:val="19"/>
              </w:rPr>
              <w:t xml:space="preserve">) </w:t>
            </w:r>
          </w:p>
        </w:tc>
        <w:tc>
          <w:tcPr>
            <w:tcW w:w="4673" w:type="dxa"/>
            <w:shd w:val="clear" w:color="auto" w:fill="FFFFFF"/>
            <w:tcMar>
              <w:top w:w="0" w:type="dxa"/>
              <w:left w:w="108" w:type="dxa"/>
              <w:bottom w:w="0" w:type="dxa"/>
              <w:right w:w="108" w:type="dxa"/>
            </w:tcMar>
          </w:tcPr>
          <w:p w14:paraId="04F9C2CE" w14:textId="6A6C335B" w:rsidR="00C62CEA" w:rsidRPr="008865D7" w:rsidRDefault="00C62CEA" w:rsidP="003D590B">
            <w:pPr>
              <w:spacing w:before="120" w:after="60"/>
              <w:rPr>
                <w:rFonts w:asciiTheme="minorHAnsi" w:eastAsiaTheme="minorHAnsi" w:hAnsiTheme="minorHAnsi" w:cstheme="minorHAnsi"/>
                <w:sz w:val="19"/>
                <w:szCs w:val="19"/>
              </w:rPr>
            </w:pPr>
            <w:r w:rsidRPr="008865D7">
              <w:rPr>
                <w:rFonts w:asciiTheme="minorHAnsi" w:eastAsiaTheme="minorHAnsi" w:hAnsiTheme="minorHAnsi" w:cstheme="minorHAnsi"/>
                <w:sz w:val="19"/>
                <w:szCs w:val="19"/>
              </w:rPr>
              <w:t xml:space="preserve">First State of Evaluation report published (and every year subsequently) </w:t>
            </w:r>
          </w:p>
        </w:tc>
      </w:tr>
    </w:tbl>
    <w:p w14:paraId="08640E4D" w14:textId="7CDA5636" w:rsidR="00467757" w:rsidRPr="00467757" w:rsidRDefault="00467757" w:rsidP="00467757">
      <w:pPr>
        <w:tabs>
          <w:tab w:val="left" w:pos="1431"/>
        </w:tabs>
        <w:rPr>
          <w:rFonts w:asciiTheme="minorHAnsi" w:eastAsiaTheme="minorHAnsi" w:hAnsiTheme="minorHAnsi" w:cstheme="minorHAnsi"/>
          <w:sz w:val="19"/>
          <w:szCs w:val="19"/>
        </w:rPr>
      </w:pPr>
      <w:r w:rsidRPr="00467757">
        <w:rPr>
          <w:rFonts w:asciiTheme="minorHAnsi" w:eastAsiaTheme="minorHAnsi" w:hAnsiTheme="minorHAnsi" w:cstheme="minorHAnsi"/>
          <w:sz w:val="19"/>
          <w:szCs w:val="19"/>
        </w:rPr>
        <w:t>Note: timeline is indicative</w:t>
      </w:r>
      <w:r>
        <w:rPr>
          <w:rFonts w:asciiTheme="minorHAnsi" w:eastAsiaTheme="minorHAnsi" w:hAnsiTheme="minorHAnsi" w:cstheme="minorHAnsi"/>
          <w:sz w:val="19"/>
          <w:szCs w:val="19"/>
        </w:rPr>
        <w:t xml:space="preserve"> and </w:t>
      </w:r>
      <w:r w:rsidRPr="00467757">
        <w:rPr>
          <w:rFonts w:asciiTheme="minorHAnsi" w:eastAsiaTheme="minorHAnsi" w:hAnsiTheme="minorHAnsi" w:cstheme="minorHAnsi"/>
          <w:sz w:val="19"/>
          <w:szCs w:val="19"/>
        </w:rPr>
        <w:t>subject to changes</w:t>
      </w:r>
      <w:r>
        <w:rPr>
          <w:rFonts w:asciiTheme="minorHAnsi" w:eastAsiaTheme="minorHAnsi" w:hAnsiTheme="minorHAnsi" w:cstheme="minorHAnsi"/>
          <w:sz w:val="19"/>
          <w:szCs w:val="19"/>
        </w:rPr>
        <w:t>.</w:t>
      </w:r>
    </w:p>
    <w:p w14:paraId="7E3F2FF6" w14:textId="6B491326" w:rsidR="00467757" w:rsidRPr="00467757" w:rsidRDefault="00467757" w:rsidP="00467757">
      <w:pPr>
        <w:tabs>
          <w:tab w:val="left" w:pos="1665"/>
        </w:tabs>
        <w:rPr>
          <w:rFonts w:cs="Arial"/>
        </w:rPr>
        <w:sectPr w:rsidR="00467757" w:rsidRPr="00467757" w:rsidSect="00EC0FE3">
          <w:pgSz w:w="11907" w:h="16840" w:code="9"/>
          <w:pgMar w:top="1701" w:right="1418" w:bottom="1418" w:left="1418" w:header="709" w:footer="709" w:gutter="0"/>
          <w:cols w:space="708"/>
          <w:docGrid w:linePitch="360"/>
        </w:sectPr>
      </w:pPr>
      <w:r>
        <w:rPr>
          <w:rFonts w:cs="Arial"/>
        </w:rPr>
        <w:tab/>
      </w:r>
    </w:p>
    <w:p w14:paraId="591FE721" w14:textId="5B76A21F" w:rsidR="00C62CEA" w:rsidRPr="00B65C97" w:rsidRDefault="00C62CEA" w:rsidP="00C62CEA">
      <w:pPr>
        <w:pStyle w:val="Heading1"/>
        <w:rPr>
          <w:rFonts w:asciiTheme="minorHAnsi" w:hAnsiTheme="minorHAnsi"/>
          <w:color w:val="37818A"/>
        </w:rPr>
      </w:pPr>
      <w:bookmarkStart w:id="18" w:name="_Toc140233988"/>
      <w:r w:rsidRPr="00B65C97">
        <w:rPr>
          <w:rFonts w:asciiTheme="minorHAnsi" w:hAnsiTheme="minorHAnsi"/>
          <w:color w:val="37818A"/>
        </w:rPr>
        <w:lastRenderedPageBreak/>
        <w:t>Glossary</w:t>
      </w:r>
      <w:r w:rsidR="00564F20" w:rsidRPr="00564F20">
        <w:rPr>
          <w:rFonts w:asciiTheme="minorHAnsi" w:hAnsiTheme="minorHAnsi"/>
          <w:color w:val="37818A"/>
        </w:rPr>
        <w:t xml:space="preserve"> of useful evaluation </w:t>
      </w:r>
      <w:r w:rsidR="00564F20">
        <w:rPr>
          <w:rFonts w:asciiTheme="minorHAnsi" w:hAnsiTheme="minorHAnsi"/>
          <w:color w:val="37818A"/>
        </w:rPr>
        <w:t>t</w:t>
      </w:r>
      <w:r w:rsidR="00564F20" w:rsidRPr="00564F20">
        <w:rPr>
          <w:rFonts w:asciiTheme="minorHAnsi" w:hAnsiTheme="minorHAnsi"/>
          <w:color w:val="37818A"/>
        </w:rPr>
        <w:t>erms</w:t>
      </w:r>
      <w:bookmarkEnd w:id="18"/>
    </w:p>
    <w:tbl>
      <w:tblPr>
        <w:tblStyle w:val="TableGrid"/>
        <w:tblW w:w="13716" w:type="dxa"/>
        <w:tblBorders>
          <w:top w:val="single" w:sz="4" w:space="0" w:color="358189"/>
          <w:left w:val="single" w:sz="4" w:space="0" w:color="358189"/>
          <w:bottom w:val="single" w:sz="4" w:space="0" w:color="358189"/>
          <w:right w:val="single" w:sz="4" w:space="0" w:color="358189"/>
          <w:insideH w:val="single" w:sz="4" w:space="0" w:color="358189"/>
          <w:insideV w:val="single" w:sz="4" w:space="0" w:color="358189"/>
        </w:tblBorders>
        <w:tblLayout w:type="fixed"/>
        <w:tblLook w:val="04A0" w:firstRow="1" w:lastRow="0" w:firstColumn="1" w:lastColumn="0" w:noHBand="0" w:noVBand="1"/>
        <w:tblDescription w:val="Glossary &#10;&#10;Administrative data: Information collected routinely from the patient’s medical record, primarily for administrative (not research) purposes. This type of data is collected by hospitals, government departments and other organisations for the purposes of registration, transaction and record keeping, usually during the delivery of a service.&#10;&#10;Benchmark: A measurement taken at the outset of a series of measurements of the same variable, sometimes meaning the best or most desirable value of the variable.  A standard or point of reference.&#10;&#10;Clinical quality registry (also see Virtual registry): A CQR systematically monitors the quality (appropriateness and effectiveness) of health care, within specific clinical domains, by routinely collecting, analysing and reporting health-related information. The information is used to identify benchmarks and significant outcome variance, and inform improvements in healthcare quality.   &#10;&#10;Clinical register: A clinical register aims to recruit all patients with the disease or condition, or undergoing the procedure. A clinical register is observational in nature. It observes practice in the real world without dictating the care to be given. &#10;&#10;Clinician: A health professional whose practice is based on direct observation and treatment of a patient, as distinguished for other types of health workers, such as laboratory technicians and those employed for research.&#10;&#10;Clinical trial: Any research project that prospectively assigns human participants or groups, in highly controlled setting, to one or more health-related interventions to evaluate the effects on health outcomes.&#10;&#10;Consumer representative: A health consumer who has taken up a specific role to provide advice on behalf of consumers, with the overall aim of improving health care. A consumer representative is often a consumer member of a committee, project or event who voices consumer perspectives and takes part in co-design and/or decision making on behalf of consumers. &#10;&#10;High functioning, mature CQR: A CQR with strong governance arrangements in place; with a data management system that complies with privacy and security requirements associated with personal health information; with a high level of coverage of the relevant patient population; that provides regular risk adjusted, benchmarked feedback to clinicians; publicly reports fit-for-purpose information; and with policies in place to guide the identification and management of outliers and to respond to requests for access to CQR data. &#10;&#10;Minimum data set: A minimum data set is a minimum set of data elements agreed for mandatory collection and reporting. &#10;&#10;Outliers: Extreme, or atypical data value(s) that are notably different from the rest of the data. &#10;&#10;Patient Reported Experience measures (PREMs): PREMs are tools for capturing a patient’s views of their experience of the care they received. &#10;Patient Reported Outcome Measures (PROMs) PROMs ‘…are questionnaires which collect patients’ assessments of how health services and interventions have, over time, affected their quality of life, daily functioning, symptom severity, and other dimensions of health…[PROMs]…fill a vital gap in our knowledge about outcomes and about whether healthcare interventions actually make a difference to people’s lives’.  &#10;Quality assurance System of procedures, checks, audits, and corrective actions to ensure that all research, testing, monitoring, sampling, analysis, and other technical and reporting activities are of the highest achievable quality. The term is used in health services with the same meaning.&#10;Quality of care The degree to which health services for individuals and populations increase the likelihood of desired health outcomes and are consistent with current professional knowledge. &#10;Quality of life The degree to which persons perceive themselves able to function physically, emotionally, mentally, and socially.&#10;Register The file of data concerning all cases of a particular disease or other health-relevant condition in a defined population such that the cases can be related to a population base. &#10;Registry The system of ongoing registration for individuals entered into a register.&#10;Research A class of activities designed to develop or contribute to knowledge. In applied science, the goal is generalisable knowledge, where the latter consists of theories, principles, relationships, products, or the accumulation of information on which these are based that can be corroborated by acceptable scientific methods of observation, inference, or experiment. When humans are the subjects of epidemiological research, ethical review is mandatory. However, while CQRs are required to seek ethics approvals via NHMRC - ethics committees, they are not considered research activities by the NHMRC.&#10;Risk Adjustment A statistical process that accounts for factors beyond the control of the health care team, such as patient related and disease related factors (e.g. disease stage). These factors can be statistically adjusted for when benchmarking CQIs to allow more accurate comparisons of care and outcomes between patients with the same disease/condition.&#10;Value based health care Health outcomes achieved that matter to patients relative to the cost of achieving those outcomes. Improving value requires either improving one or more outcomes without raising costs or lowering costs without compromising outcomes, or both.  &#10;Virtual registry A registry which virtually integrates one or more of its components (governance, data analysis, data hosting, data collection). The governance function is central, as it oversees registry operation and resource application, ensures accountability, establishes the data set required to meet the needs and objectives of the CQR, and establishes key policies around, for example, the identification and management of outliers.&#10;"/>
      </w:tblPr>
      <w:tblGrid>
        <w:gridCol w:w="2660"/>
        <w:gridCol w:w="11056"/>
      </w:tblGrid>
      <w:tr w:rsidR="00C62CEA" w:rsidRPr="0011353B" w14:paraId="76CBEECA" w14:textId="77777777" w:rsidTr="008865D7">
        <w:trPr>
          <w:trHeight w:val="274"/>
          <w:tblHeader/>
        </w:trPr>
        <w:tc>
          <w:tcPr>
            <w:tcW w:w="2660" w:type="dxa"/>
            <w:shd w:val="clear" w:color="auto" w:fill="009999"/>
          </w:tcPr>
          <w:p w14:paraId="37F2B315" w14:textId="56DA4F1C" w:rsidR="00C62CEA" w:rsidRPr="00B65C97" w:rsidRDefault="003C2E9A" w:rsidP="00B65C97">
            <w:pPr>
              <w:spacing w:before="120" w:after="120"/>
              <w:rPr>
                <w:rStyle w:val="Strong"/>
                <w:rFonts w:asciiTheme="minorHAnsi" w:eastAsiaTheme="minorHAnsi" w:hAnsiTheme="minorHAnsi" w:cstheme="minorBidi"/>
              </w:rPr>
            </w:pPr>
            <w:r w:rsidRPr="003C2E9A">
              <w:rPr>
                <w:rStyle w:val="Strong"/>
                <w:rFonts w:asciiTheme="minorHAnsi" w:eastAsiaTheme="minorHAnsi" w:hAnsiTheme="minorHAnsi" w:cstheme="minorBidi"/>
                <w:color w:val="FFFFFF" w:themeColor="background1"/>
              </w:rPr>
              <w:t>TERMINOLOGY</w:t>
            </w:r>
          </w:p>
        </w:tc>
        <w:tc>
          <w:tcPr>
            <w:tcW w:w="11056" w:type="dxa"/>
            <w:shd w:val="clear" w:color="auto" w:fill="009999"/>
          </w:tcPr>
          <w:p w14:paraId="74CCFB27" w14:textId="49CCA4B7" w:rsidR="00C62CEA" w:rsidRPr="00B65C97" w:rsidRDefault="003C2E9A" w:rsidP="00B65C97">
            <w:pPr>
              <w:spacing w:before="120" w:after="120"/>
              <w:rPr>
                <w:rStyle w:val="Strong"/>
                <w:rFonts w:asciiTheme="minorHAnsi" w:eastAsiaTheme="minorHAnsi" w:hAnsiTheme="minorHAnsi" w:cstheme="minorBidi"/>
              </w:rPr>
            </w:pPr>
            <w:r w:rsidRPr="003C2E9A">
              <w:rPr>
                <w:rStyle w:val="Strong"/>
                <w:rFonts w:asciiTheme="minorHAnsi" w:eastAsiaTheme="minorHAnsi" w:hAnsiTheme="minorHAnsi" w:cstheme="minorBidi"/>
                <w:color w:val="FFFFFF" w:themeColor="background1"/>
              </w:rPr>
              <w:t>DEFINITION</w:t>
            </w:r>
          </w:p>
        </w:tc>
      </w:tr>
      <w:tr w:rsidR="00C62CEA" w:rsidRPr="00417402" w14:paraId="2ABC5552" w14:textId="77777777" w:rsidTr="008865D7">
        <w:trPr>
          <w:trHeight w:val="552"/>
        </w:trPr>
        <w:tc>
          <w:tcPr>
            <w:tcW w:w="2660" w:type="dxa"/>
          </w:tcPr>
          <w:p w14:paraId="0894C3AE"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t xml:space="preserve">Appropriateness </w:t>
            </w:r>
          </w:p>
        </w:tc>
        <w:tc>
          <w:tcPr>
            <w:tcW w:w="11056" w:type="dxa"/>
          </w:tcPr>
          <w:p w14:paraId="49BB1FB6" w14:textId="54C023A3"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The extent that a policy/program responds to an identified need, aligns with overarching Health</w:t>
            </w:r>
            <w:r w:rsidR="00073A8B">
              <w:rPr>
                <w:rFonts w:asciiTheme="minorHAnsi" w:eastAsiaTheme="minorHAnsi" w:hAnsiTheme="minorHAnsi" w:cstheme="minorBidi"/>
              </w:rPr>
              <w:t xml:space="preserve"> and Aged Care</w:t>
            </w:r>
            <w:r w:rsidRPr="00B65C97">
              <w:rPr>
                <w:rFonts w:asciiTheme="minorHAnsi" w:eastAsiaTheme="minorHAnsi" w:hAnsiTheme="minorHAnsi" w:cstheme="minorBidi"/>
              </w:rPr>
              <w:t xml:space="preserve"> </w:t>
            </w:r>
            <w:proofErr w:type="gramStart"/>
            <w:r w:rsidRPr="00B65C97">
              <w:rPr>
                <w:rFonts w:asciiTheme="minorHAnsi" w:eastAsiaTheme="minorHAnsi" w:hAnsiTheme="minorHAnsi" w:cstheme="minorBidi"/>
              </w:rPr>
              <w:t>priorities</w:t>
            </w:r>
            <w:proofErr w:type="gramEnd"/>
            <w:r w:rsidRPr="00B65C97">
              <w:rPr>
                <w:rFonts w:asciiTheme="minorHAnsi" w:eastAsiaTheme="minorHAnsi" w:hAnsiTheme="minorHAnsi" w:cstheme="minorBidi"/>
              </w:rPr>
              <w:t xml:space="preserve"> and has a strong causal link between strategies chosen and desired outcomes.  </w:t>
            </w:r>
          </w:p>
        </w:tc>
      </w:tr>
      <w:tr w:rsidR="00EA5CD9" w:rsidRPr="00417402" w14:paraId="7787D621" w14:textId="77777777" w:rsidTr="008865D7">
        <w:trPr>
          <w:trHeight w:val="552"/>
        </w:trPr>
        <w:tc>
          <w:tcPr>
            <w:tcW w:w="2660" w:type="dxa"/>
          </w:tcPr>
          <w:p w14:paraId="6E16D633" w14:textId="79D67EAB" w:rsidR="00EA5CD9" w:rsidRPr="00B65C97" w:rsidRDefault="00EA5CD9" w:rsidP="00B65C97">
            <w:pPr>
              <w:spacing w:before="120" w:after="120"/>
              <w:rPr>
                <w:rStyle w:val="Strong"/>
                <w:rFonts w:asciiTheme="minorHAnsi" w:eastAsiaTheme="minorHAnsi" w:hAnsiTheme="minorHAnsi" w:cstheme="minorBidi"/>
              </w:rPr>
            </w:pPr>
            <w:r>
              <w:rPr>
                <w:rStyle w:val="Strong"/>
                <w:rFonts w:asciiTheme="minorHAnsi" w:eastAsiaTheme="minorHAnsi" w:hAnsiTheme="minorHAnsi" w:cstheme="minorBidi"/>
              </w:rPr>
              <w:t>Audit</w:t>
            </w:r>
          </w:p>
        </w:tc>
        <w:tc>
          <w:tcPr>
            <w:tcW w:w="11056" w:type="dxa"/>
          </w:tcPr>
          <w:p w14:paraId="7D24601B" w14:textId="0C4A2827" w:rsidR="00EA5CD9" w:rsidRPr="00B65C97" w:rsidRDefault="00875C72" w:rsidP="00B65C97">
            <w:pPr>
              <w:spacing w:before="120" w:after="120"/>
              <w:rPr>
                <w:rFonts w:asciiTheme="minorHAnsi" w:eastAsiaTheme="minorHAnsi" w:hAnsiTheme="minorHAnsi" w:cstheme="minorBidi"/>
              </w:rPr>
            </w:pPr>
            <w:r>
              <w:rPr>
                <w:rFonts w:asciiTheme="minorHAnsi" w:eastAsiaTheme="minorHAnsi" w:hAnsiTheme="minorHAnsi" w:cstheme="minorBidi"/>
              </w:rPr>
              <w:t>A</w:t>
            </w:r>
            <w:r w:rsidRPr="00875C72">
              <w:rPr>
                <w:rFonts w:asciiTheme="minorHAnsi" w:eastAsiaTheme="minorHAnsi" w:hAnsiTheme="minorHAnsi" w:cstheme="minorBidi"/>
              </w:rPr>
              <w:t>udits involve the independent and objective assessment of all or part of an entity’s operations and administrative support systems – they do not extend to assessing the policy merit of a program or activity.</w:t>
            </w:r>
          </w:p>
        </w:tc>
      </w:tr>
      <w:tr w:rsidR="00724552" w:rsidRPr="00417402" w14:paraId="0A9EA1CC" w14:textId="77777777" w:rsidTr="008865D7">
        <w:trPr>
          <w:trHeight w:val="552"/>
        </w:trPr>
        <w:tc>
          <w:tcPr>
            <w:tcW w:w="2660" w:type="dxa"/>
          </w:tcPr>
          <w:p w14:paraId="0BAA8714" w14:textId="1C4AA9AD" w:rsidR="00724552" w:rsidRDefault="00724552" w:rsidP="00B65C97">
            <w:pPr>
              <w:spacing w:before="120" w:after="120"/>
              <w:rPr>
                <w:rStyle w:val="Strong"/>
                <w:rFonts w:asciiTheme="minorHAnsi" w:eastAsiaTheme="minorHAnsi" w:hAnsiTheme="minorHAnsi" w:cstheme="minorBidi"/>
              </w:rPr>
            </w:pPr>
            <w:r>
              <w:rPr>
                <w:rStyle w:val="Strong"/>
                <w:rFonts w:asciiTheme="minorHAnsi" w:eastAsiaTheme="minorHAnsi" w:hAnsiTheme="minorHAnsi" w:cstheme="minorBidi"/>
              </w:rPr>
              <w:t xml:space="preserve">Assurance </w:t>
            </w:r>
          </w:p>
        </w:tc>
        <w:tc>
          <w:tcPr>
            <w:tcW w:w="11056" w:type="dxa"/>
          </w:tcPr>
          <w:p w14:paraId="280CB593" w14:textId="6A6880B1" w:rsidR="00724552" w:rsidRDefault="00724552">
            <w:pPr>
              <w:spacing w:before="120" w:after="120"/>
              <w:rPr>
                <w:rFonts w:asciiTheme="minorHAnsi" w:eastAsiaTheme="minorHAnsi" w:hAnsiTheme="minorHAnsi" w:cstheme="minorBidi"/>
              </w:rPr>
            </w:pPr>
            <w:r w:rsidRPr="00724552">
              <w:rPr>
                <w:rFonts w:asciiTheme="minorHAnsi" w:eastAsiaTheme="minorHAnsi" w:hAnsiTheme="minorHAnsi" w:cstheme="minorBidi"/>
              </w:rPr>
              <w:t>A discipline that provides a level of confidence that outcomes will be achieved within an acceptable level of risk by ensuring a flow of relevant information throughout the organisation.</w:t>
            </w:r>
          </w:p>
        </w:tc>
      </w:tr>
      <w:tr w:rsidR="004F7D02" w:rsidRPr="00417402" w14:paraId="6643A298" w14:textId="77777777" w:rsidTr="008865D7">
        <w:trPr>
          <w:trHeight w:val="387"/>
        </w:trPr>
        <w:tc>
          <w:tcPr>
            <w:tcW w:w="2660" w:type="dxa"/>
          </w:tcPr>
          <w:p w14:paraId="1B7D6F30" w14:textId="561B8F4B" w:rsidR="004F7D02" w:rsidRPr="00B65C97" w:rsidRDefault="004F7D02" w:rsidP="00B65C97">
            <w:pPr>
              <w:spacing w:before="120" w:after="120"/>
              <w:rPr>
                <w:rStyle w:val="Strong"/>
                <w:rFonts w:asciiTheme="minorHAnsi" w:eastAsiaTheme="minorHAnsi" w:hAnsiTheme="minorHAnsi" w:cstheme="minorBidi"/>
              </w:rPr>
            </w:pPr>
            <w:r>
              <w:rPr>
                <w:rStyle w:val="Strong"/>
                <w:rFonts w:asciiTheme="minorHAnsi" w:eastAsiaTheme="minorHAnsi" w:hAnsiTheme="minorHAnsi" w:cstheme="minorBidi"/>
              </w:rPr>
              <w:t xml:space="preserve">Benefit management </w:t>
            </w:r>
          </w:p>
        </w:tc>
        <w:tc>
          <w:tcPr>
            <w:tcW w:w="11056" w:type="dxa"/>
          </w:tcPr>
          <w:p w14:paraId="361F3511" w14:textId="6E194067" w:rsidR="004F7D02" w:rsidRPr="00B65C97" w:rsidRDefault="004F7D02">
            <w:pPr>
              <w:spacing w:before="120" w:after="120"/>
              <w:rPr>
                <w:rFonts w:asciiTheme="minorHAnsi" w:eastAsiaTheme="minorHAnsi" w:hAnsiTheme="minorHAnsi" w:cstheme="minorBidi"/>
              </w:rPr>
            </w:pPr>
            <w:r>
              <w:rPr>
                <w:rFonts w:asciiTheme="minorHAnsi" w:eastAsiaTheme="minorHAnsi" w:hAnsiTheme="minorHAnsi" w:cstheme="minorBidi"/>
              </w:rPr>
              <w:t xml:space="preserve">An iterative process that includes the identification, definition, tracking, </w:t>
            </w:r>
            <w:proofErr w:type="gramStart"/>
            <w:r>
              <w:rPr>
                <w:rFonts w:asciiTheme="minorHAnsi" w:eastAsiaTheme="minorHAnsi" w:hAnsiTheme="minorHAnsi" w:cstheme="minorBidi"/>
              </w:rPr>
              <w:t>realisation</w:t>
            </w:r>
            <w:proofErr w:type="gramEnd"/>
            <w:r>
              <w:rPr>
                <w:rFonts w:asciiTheme="minorHAnsi" w:eastAsiaTheme="minorHAnsi" w:hAnsiTheme="minorHAnsi" w:cstheme="minorBidi"/>
              </w:rPr>
              <w:t xml:space="preserve"> and optimisation of benefits. </w:t>
            </w:r>
            <w:r w:rsidR="007C2286" w:rsidRPr="007C2286">
              <w:rPr>
                <w:rFonts w:asciiTheme="minorHAnsi" w:eastAsiaTheme="minorHAnsi" w:hAnsiTheme="minorHAnsi" w:cstheme="minorBidi"/>
              </w:rPr>
              <w:t>To avoid duplication,</w:t>
            </w:r>
            <w:r w:rsidR="007C2286">
              <w:rPr>
                <w:rFonts w:asciiTheme="minorHAnsi" w:eastAsiaTheme="minorHAnsi" w:hAnsiTheme="minorHAnsi" w:cstheme="minorBidi"/>
              </w:rPr>
              <w:t xml:space="preserve"> evaluation </w:t>
            </w:r>
            <w:r w:rsidR="007C2286" w:rsidRPr="007C2286">
              <w:rPr>
                <w:rFonts w:asciiTheme="minorHAnsi" w:eastAsiaTheme="minorHAnsi" w:hAnsiTheme="minorHAnsi" w:cstheme="minorBidi"/>
              </w:rPr>
              <w:t>terminology can be adjusted to reflect benefits management</w:t>
            </w:r>
            <w:r w:rsidR="007C2286">
              <w:rPr>
                <w:rFonts w:asciiTheme="minorHAnsi" w:eastAsiaTheme="minorHAnsi" w:hAnsiTheme="minorHAnsi" w:cstheme="minorBidi"/>
              </w:rPr>
              <w:t>.</w:t>
            </w:r>
          </w:p>
        </w:tc>
      </w:tr>
      <w:tr w:rsidR="00C62CEA" w:rsidRPr="00417402" w14:paraId="6AB88E8F" w14:textId="77777777" w:rsidTr="008865D7">
        <w:trPr>
          <w:trHeight w:val="387"/>
        </w:trPr>
        <w:tc>
          <w:tcPr>
            <w:tcW w:w="2660" w:type="dxa"/>
          </w:tcPr>
          <w:p w14:paraId="1621FA37"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t xml:space="preserve">Economic evaluation </w:t>
            </w:r>
          </w:p>
        </w:tc>
        <w:tc>
          <w:tcPr>
            <w:tcW w:w="11056" w:type="dxa"/>
          </w:tcPr>
          <w:p w14:paraId="0CD88D7C" w14:textId="5E278A21"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 xml:space="preserve">An assessment of the costs and outcomes of a policy/program in comparison with alternative policy/program options. </w:t>
            </w:r>
          </w:p>
        </w:tc>
      </w:tr>
      <w:tr w:rsidR="00C62CEA" w:rsidRPr="00417402" w14:paraId="0225594E" w14:textId="77777777" w:rsidTr="008865D7">
        <w:trPr>
          <w:trHeight w:val="367"/>
        </w:trPr>
        <w:tc>
          <w:tcPr>
            <w:tcW w:w="2660" w:type="dxa"/>
          </w:tcPr>
          <w:p w14:paraId="4541ECD9"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t xml:space="preserve">Effectiveness </w:t>
            </w:r>
          </w:p>
        </w:tc>
        <w:tc>
          <w:tcPr>
            <w:tcW w:w="11056" w:type="dxa"/>
          </w:tcPr>
          <w:p w14:paraId="5848F67F" w14:textId="2DEAF459"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 xml:space="preserve">The extent that a policy/program is achieving its objectives. </w:t>
            </w:r>
          </w:p>
        </w:tc>
      </w:tr>
      <w:tr w:rsidR="00C62CEA" w:rsidRPr="003C2E9A" w14:paraId="0D89F2D2" w14:textId="77777777" w:rsidTr="008865D7">
        <w:trPr>
          <w:trHeight w:val="495"/>
        </w:trPr>
        <w:tc>
          <w:tcPr>
            <w:tcW w:w="2660" w:type="dxa"/>
          </w:tcPr>
          <w:p w14:paraId="6DDFBFC7"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t xml:space="preserve">Efficiency </w:t>
            </w:r>
          </w:p>
        </w:tc>
        <w:tc>
          <w:tcPr>
            <w:tcW w:w="11056" w:type="dxa"/>
          </w:tcPr>
          <w:p w14:paraId="48B2C705" w14:textId="29ACC470"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 xml:space="preserve">The extent that a policy/program inputs are minimised for a given level of program outputs, or to which outputs are maximised for a given level of inputs. </w:t>
            </w:r>
          </w:p>
        </w:tc>
      </w:tr>
      <w:tr w:rsidR="00C62CEA" w:rsidRPr="00417402" w14:paraId="36A6A2F6" w14:textId="77777777" w:rsidTr="008865D7">
        <w:trPr>
          <w:trHeight w:val="545"/>
        </w:trPr>
        <w:tc>
          <w:tcPr>
            <w:tcW w:w="2660" w:type="dxa"/>
          </w:tcPr>
          <w:p w14:paraId="00351A44"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t xml:space="preserve">Evaluation plan </w:t>
            </w:r>
          </w:p>
        </w:tc>
        <w:tc>
          <w:tcPr>
            <w:tcW w:w="11056" w:type="dxa"/>
          </w:tcPr>
          <w:p w14:paraId="1A512935" w14:textId="63F8C8D0"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 xml:space="preserve">The key planning document for an evaluation. Key sections may include purpose, terms of reference, evaluation questions, methods, deliverables, timings, </w:t>
            </w:r>
            <w:proofErr w:type="gramStart"/>
            <w:r w:rsidRPr="00B65C97">
              <w:rPr>
                <w:rFonts w:asciiTheme="minorHAnsi" w:eastAsiaTheme="minorHAnsi" w:hAnsiTheme="minorHAnsi" w:cstheme="minorBidi"/>
              </w:rPr>
              <w:t>responsibilities</w:t>
            </w:r>
            <w:proofErr w:type="gramEnd"/>
            <w:r w:rsidRPr="00B65C97">
              <w:rPr>
                <w:rFonts w:asciiTheme="minorHAnsi" w:eastAsiaTheme="minorHAnsi" w:hAnsiTheme="minorHAnsi" w:cstheme="minorBidi"/>
              </w:rPr>
              <w:t xml:space="preserve"> and budget. </w:t>
            </w:r>
          </w:p>
        </w:tc>
      </w:tr>
      <w:tr w:rsidR="00C62CEA" w:rsidRPr="00417402" w14:paraId="7039E558" w14:textId="77777777" w:rsidTr="008865D7">
        <w:tc>
          <w:tcPr>
            <w:tcW w:w="2660" w:type="dxa"/>
          </w:tcPr>
          <w:p w14:paraId="31C6990E"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t xml:space="preserve">Evaluation questions </w:t>
            </w:r>
          </w:p>
        </w:tc>
        <w:tc>
          <w:tcPr>
            <w:tcW w:w="11056" w:type="dxa"/>
          </w:tcPr>
          <w:p w14:paraId="02CC3C81" w14:textId="5A3CC261"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 xml:space="preserve">Key questions that an evaluation seeks to answer. Evaluation questions are related to the evaluation purpose and may address aspects of effectiveness, </w:t>
            </w:r>
            <w:proofErr w:type="gramStart"/>
            <w:r w:rsidRPr="00B65C97">
              <w:rPr>
                <w:rFonts w:asciiTheme="minorHAnsi" w:eastAsiaTheme="minorHAnsi" w:hAnsiTheme="minorHAnsi" w:cstheme="minorBidi"/>
              </w:rPr>
              <w:t>appropriateness</w:t>
            </w:r>
            <w:proofErr w:type="gramEnd"/>
            <w:r w:rsidRPr="00B65C97">
              <w:rPr>
                <w:rFonts w:asciiTheme="minorHAnsi" w:eastAsiaTheme="minorHAnsi" w:hAnsiTheme="minorHAnsi" w:cstheme="minorBidi"/>
              </w:rPr>
              <w:t xml:space="preserve"> and efficiency. </w:t>
            </w:r>
          </w:p>
        </w:tc>
      </w:tr>
      <w:tr w:rsidR="00C62CEA" w:rsidRPr="00417402" w14:paraId="016C7FCC" w14:textId="77777777" w:rsidTr="008865D7">
        <w:tc>
          <w:tcPr>
            <w:tcW w:w="2660" w:type="dxa"/>
          </w:tcPr>
          <w:p w14:paraId="782061EB"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t xml:space="preserve">Evaluation ready </w:t>
            </w:r>
          </w:p>
        </w:tc>
        <w:tc>
          <w:tcPr>
            <w:tcW w:w="11056" w:type="dxa"/>
          </w:tcPr>
          <w:p w14:paraId="3D04EFB3" w14:textId="67F9F5E0"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 xml:space="preserve">A term to describe when a policy or program has a program logic developed and a monitoring and evaluation framework in place, and therefore is ready to be evaluated. </w:t>
            </w:r>
          </w:p>
        </w:tc>
      </w:tr>
      <w:tr w:rsidR="00C62CEA" w:rsidRPr="00417402" w14:paraId="2731F9C9" w14:textId="77777777" w:rsidTr="008865D7">
        <w:tc>
          <w:tcPr>
            <w:tcW w:w="2660" w:type="dxa"/>
          </w:tcPr>
          <w:p w14:paraId="3A6F5973"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t xml:space="preserve">Evaluative thinking </w:t>
            </w:r>
          </w:p>
        </w:tc>
        <w:tc>
          <w:tcPr>
            <w:tcW w:w="11056" w:type="dxa"/>
          </w:tcPr>
          <w:p w14:paraId="69DEE632" w14:textId="7B5A8F21"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 xml:space="preserve">Critical thinking applied to program design, planning, </w:t>
            </w:r>
            <w:proofErr w:type="gramStart"/>
            <w:r w:rsidRPr="00B65C97">
              <w:rPr>
                <w:rFonts w:asciiTheme="minorHAnsi" w:eastAsiaTheme="minorHAnsi" w:hAnsiTheme="minorHAnsi" w:cstheme="minorBidi"/>
              </w:rPr>
              <w:t>delivery</w:t>
            </w:r>
            <w:proofErr w:type="gramEnd"/>
            <w:r w:rsidRPr="00B65C97">
              <w:rPr>
                <w:rFonts w:asciiTheme="minorHAnsi" w:eastAsiaTheme="minorHAnsi" w:hAnsiTheme="minorHAnsi" w:cstheme="minorBidi"/>
              </w:rPr>
              <w:t xml:space="preserve"> and evaluation. Involves identifying assumptions, posing </w:t>
            </w:r>
            <w:proofErr w:type="gramStart"/>
            <w:r w:rsidRPr="00B65C97">
              <w:rPr>
                <w:rFonts w:asciiTheme="minorHAnsi" w:eastAsiaTheme="minorHAnsi" w:hAnsiTheme="minorHAnsi" w:cstheme="minorBidi"/>
              </w:rPr>
              <w:t>questions</w:t>
            </w:r>
            <w:proofErr w:type="gramEnd"/>
            <w:r w:rsidRPr="00B65C97">
              <w:rPr>
                <w:rFonts w:asciiTheme="minorHAnsi" w:eastAsiaTheme="minorHAnsi" w:hAnsiTheme="minorHAnsi" w:cstheme="minorBidi"/>
              </w:rPr>
              <w:t xml:space="preserve"> and reflecting to inform decisive action. </w:t>
            </w:r>
          </w:p>
        </w:tc>
      </w:tr>
      <w:tr w:rsidR="00C62CEA" w:rsidRPr="00417402" w14:paraId="621995ED" w14:textId="77777777" w:rsidTr="008865D7">
        <w:tc>
          <w:tcPr>
            <w:tcW w:w="2660" w:type="dxa"/>
          </w:tcPr>
          <w:p w14:paraId="434863E5"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lastRenderedPageBreak/>
              <w:t xml:space="preserve">Formative evaluation </w:t>
            </w:r>
          </w:p>
        </w:tc>
        <w:tc>
          <w:tcPr>
            <w:tcW w:w="11056" w:type="dxa"/>
          </w:tcPr>
          <w:p w14:paraId="1B5D3727" w14:textId="5C31CF63"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 xml:space="preserve">An evaluation approach that is generally applied during the development, planning or implementation stages to provide information about whether there is a need for a policy or program, or how to revise and modify a project or program for improvement.  </w:t>
            </w:r>
          </w:p>
        </w:tc>
      </w:tr>
      <w:tr w:rsidR="00C62CEA" w:rsidRPr="00417402" w14:paraId="63A33DAE" w14:textId="77777777" w:rsidTr="008865D7">
        <w:tc>
          <w:tcPr>
            <w:tcW w:w="2660" w:type="dxa"/>
          </w:tcPr>
          <w:p w14:paraId="0A999F3C" w14:textId="77777777" w:rsidR="00C62CEA" w:rsidRPr="00B65C97" w:rsidRDefault="00C62CEA" w:rsidP="00B65C97">
            <w:pPr>
              <w:spacing w:before="120" w:after="120"/>
              <w:rPr>
                <w:rStyle w:val="Strong"/>
                <w:rFonts w:asciiTheme="minorHAnsi" w:eastAsiaTheme="minorHAnsi" w:hAnsiTheme="minorHAnsi" w:cstheme="minorBidi"/>
              </w:rPr>
            </w:pPr>
            <w:r w:rsidRPr="00B65C97">
              <w:rPr>
                <w:rStyle w:val="Strong"/>
                <w:rFonts w:asciiTheme="minorHAnsi" w:eastAsiaTheme="minorHAnsi" w:hAnsiTheme="minorHAnsi" w:cstheme="minorBidi"/>
              </w:rPr>
              <w:t xml:space="preserve">Monitoring </w:t>
            </w:r>
          </w:p>
        </w:tc>
        <w:tc>
          <w:tcPr>
            <w:tcW w:w="11056" w:type="dxa"/>
          </w:tcPr>
          <w:p w14:paraId="08ACAE31" w14:textId="7DEDE01A" w:rsidR="00C62CEA" w:rsidRPr="00B65C97" w:rsidRDefault="00C62CEA" w:rsidP="00B65C97">
            <w:pPr>
              <w:spacing w:before="120" w:after="120"/>
              <w:rPr>
                <w:rFonts w:asciiTheme="minorHAnsi" w:eastAsiaTheme="minorHAnsi" w:hAnsiTheme="minorHAnsi" w:cstheme="minorBidi"/>
              </w:rPr>
            </w:pPr>
            <w:r w:rsidRPr="00B65C97">
              <w:rPr>
                <w:rFonts w:asciiTheme="minorHAnsi" w:eastAsiaTheme="minorHAnsi" w:hAnsiTheme="minorHAnsi" w:cstheme="minorBidi"/>
              </w:rPr>
              <w:t xml:space="preserve">Routine collection of program performance information during the implementation phase to determine whether a program is on track and any adjustments required. </w:t>
            </w:r>
          </w:p>
        </w:tc>
      </w:tr>
      <w:tr w:rsidR="00426A25" w:rsidRPr="00417402" w14:paraId="556077DD" w14:textId="77777777" w:rsidTr="008865D7">
        <w:tc>
          <w:tcPr>
            <w:tcW w:w="2660" w:type="dxa"/>
          </w:tcPr>
          <w:p w14:paraId="061FAAB2" w14:textId="30CEAF65" w:rsidR="00426A25" w:rsidRPr="00B65C97" w:rsidRDefault="00426A25" w:rsidP="00B65C97">
            <w:pPr>
              <w:spacing w:before="120" w:after="120"/>
              <w:rPr>
                <w:rStyle w:val="Strong"/>
                <w:rFonts w:asciiTheme="minorHAnsi" w:eastAsiaTheme="minorHAnsi" w:hAnsiTheme="minorHAnsi" w:cstheme="minorBidi"/>
              </w:rPr>
            </w:pPr>
            <w:r>
              <w:rPr>
                <w:rStyle w:val="Strong"/>
                <w:rFonts w:asciiTheme="minorHAnsi" w:eastAsiaTheme="minorHAnsi" w:hAnsiTheme="minorHAnsi" w:cstheme="minorBidi"/>
              </w:rPr>
              <w:t xml:space="preserve">Monitoring and Evaluation Framework </w:t>
            </w:r>
          </w:p>
        </w:tc>
        <w:tc>
          <w:tcPr>
            <w:tcW w:w="11056" w:type="dxa"/>
          </w:tcPr>
          <w:p w14:paraId="07E41E06" w14:textId="3DF05649" w:rsidR="00426A25" w:rsidRPr="00B65C97" w:rsidRDefault="00426A25">
            <w:pPr>
              <w:spacing w:before="120" w:after="120"/>
              <w:rPr>
                <w:rFonts w:asciiTheme="minorHAnsi" w:eastAsiaTheme="minorHAnsi" w:hAnsiTheme="minorHAnsi" w:cstheme="minorBidi"/>
              </w:rPr>
            </w:pPr>
            <w:r w:rsidRPr="00426A25">
              <w:rPr>
                <w:rFonts w:asciiTheme="minorHAnsi" w:eastAsiaTheme="minorHAnsi" w:hAnsiTheme="minorHAnsi" w:cstheme="minorBidi"/>
              </w:rPr>
              <w:t xml:space="preserve">A </w:t>
            </w:r>
            <w:r>
              <w:rPr>
                <w:rFonts w:asciiTheme="minorHAnsi" w:eastAsiaTheme="minorHAnsi" w:hAnsiTheme="minorHAnsi" w:cstheme="minorBidi"/>
              </w:rPr>
              <w:t xml:space="preserve">framework </w:t>
            </w:r>
            <w:r w:rsidRPr="00426A25">
              <w:rPr>
                <w:rFonts w:asciiTheme="minorHAnsi" w:eastAsiaTheme="minorHAnsi" w:hAnsiTheme="minorHAnsi" w:cstheme="minorBidi"/>
              </w:rPr>
              <w:t>outlines how the success (or otherwise) of a program or policy will be measured over time, including performance indicators and data collection, when evaluation will be conducted, and key evaluation questions</w:t>
            </w:r>
            <w:r>
              <w:rPr>
                <w:rFonts w:asciiTheme="minorHAnsi" w:eastAsiaTheme="minorHAnsi" w:hAnsiTheme="minorHAnsi" w:cstheme="minorBidi"/>
              </w:rPr>
              <w:t>.</w:t>
            </w:r>
          </w:p>
        </w:tc>
      </w:tr>
      <w:tr w:rsidR="00724552" w:rsidRPr="00417402" w14:paraId="6CCE0AB3" w14:textId="77777777" w:rsidTr="008865D7">
        <w:tc>
          <w:tcPr>
            <w:tcW w:w="2660" w:type="dxa"/>
          </w:tcPr>
          <w:p w14:paraId="719F049B" w14:textId="2BE20B29" w:rsidR="00724552" w:rsidRPr="00B65C97" w:rsidRDefault="00724552" w:rsidP="00B65C97">
            <w:pPr>
              <w:spacing w:before="120" w:after="120"/>
              <w:rPr>
                <w:rStyle w:val="Strong"/>
                <w:rFonts w:asciiTheme="minorHAnsi" w:eastAsiaTheme="minorHAnsi" w:hAnsiTheme="minorHAnsi" w:cstheme="minorBidi"/>
              </w:rPr>
            </w:pPr>
            <w:r>
              <w:rPr>
                <w:rStyle w:val="Strong"/>
                <w:rFonts w:asciiTheme="minorHAnsi" w:eastAsiaTheme="minorHAnsi" w:hAnsiTheme="minorHAnsi" w:cstheme="minorBidi"/>
              </w:rPr>
              <w:t xml:space="preserve">Outcome </w:t>
            </w:r>
          </w:p>
        </w:tc>
        <w:tc>
          <w:tcPr>
            <w:tcW w:w="11056" w:type="dxa"/>
          </w:tcPr>
          <w:p w14:paraId="7C809B2D" w14:textId="482AF9E6" w:rsidR="00724552" w:rsidRPr="00B65C97" w:rsidRDefault="00724552" w:rsidP="00724552">
            <w:pPr>
              <w:spacing w:before="120" w:after="120"/>
              <w:rPr>
                <w:rFonts w:asciiTheme="minorHAnsi" w:eastAsiaTheme="minorHAnsi" w:hAnsiTheme="minorHAnsi" w:cstheme="minorBidi"/>
              </w:rPr>
            </w:pPr>
            <w:r w:rsidRPr="00724552">
              <w:rPr>
                <w:rFonts w:asciiTheme="minorHAnsi" w:eastAsiaTheme="minorHAnsi" w:hAnsiTheme="minorHAnsi" w:cstheme="minorBidi"/>
              </w:rPr>
              <w:t xml:space="preserve">Changes that are expected to occur after the delivery of an output or several outputs; outcomes are broken down into </w:t>
            </w:r>
            <w:r>
              <w:rPr>
                <w:rFonts w:asciiTheme="minorHAnsi" w:eastAsiaTheme="minorHAnsi" w:hAnsiTheme="minorHAnsi" w:cstheme="minorBidi"/>
              </w:rPr>
              <w:t>short</w:t>
            </w:r>
            <w:r w:rsidRPr="00724552">
              <w:rPr>
                <w:rFonts w:asciiTheme="minorHAnsi" w:eastAsiaTheme="minorHAnsi" w:hAnsiTheme="minorHAnsi" w:cstheme="minorBidi"/>
              </w:rPr>
              <w:t>,</w:t>
            </w:r>
            <w:r>
              <w:rPr>
                <w:rFonts w:asciiTheme="minorHAnsi" w:eastAsiaTheme="minorHAnsi" w:hAnsiTheme="minorHAnsi" w:cstheme="minorBidi"/>
              </w:rPr>
              <w:t xml:space="preserve"> </w:t>
            </w:r>
            <w:proofErr w:type="gramStart"/>
            <w:r>
              <w:rPr>
                <w:rFonts w:asciiTheme="minorHAnsi" w:eastAsiaTheme="minorHAnsi" w:hAnsiTheme="minorHAnsi" w:cstheme="minorBidi"/>
              </w:rPr>
              <w:t>medium</w:t>
            </w:r>
            <w:proofErr w:type="gramEnd"/>
            <w:r>
              <w:rPr>
                <w:rFonts w:asciiTheme="minorHAnsi" w:eastAsiaTheme="minorHAnsi" w:hAnsiTheme="minorHAnsi" w:cstheme="minorBidi"/>
              </w:rPr>
              <w:t xml:space="preserve"> </w:t>
            </w:r>
            <w:r w:rsidRPr="00724552">
              <w:rPr>
                <w:rFonts w:asciiTheme="minorHAnsi" w:eastAsiaTheme="minorHAnsi" w:hAnsiTheme="minorHAnsi" w:cstheme="minorBidi"/>
              </w:rPr>
              <w:t xml:space="preserve">and long term, with timeframes defined for the </w:t>
            </w:r>
            <w:r w:rsidR="00073A8B">
              <w:rPr>
                <w:rFonts w:asciiTheme="minorHAnsi" w:eastAsiaTheme="minorHAnsi" w:hAnsiTheme="minorHAnsi" w:cstheme="minorBidi"/>
              </w:rPr>
              <w:t>p</w:t>
            </w:r>
            <w:r w:rsidRPr="00724552">
              <w:rPr>
                <w:rFonts w:asciiTheme="minorHAnsi" w:eastAsiaTheme="minorHAnsi" w:hAnsiTheme="minorHAnsi" w:cstheme="minorBidi"/>
              </w:rPr>
              <w:t>rogra</w:t>
            </w:r>
            <w:r>
              <w:rPr>
                <w:rFonts w:asciiTheme="minorHAnsi" w:eastAsiaTheme="minorHAnsi" w:hAnsiTheme="minorHAnsi" w:cstheme="minorBidi"/>
              </w:rPr>
              <w:t>m.</w:t>
            </w:r>
          </w:p>
        </w:tc>
      </w:tr>
      <w:tr w:rsidR="00426A25" w:rsidRPr="00417402" w14:paraId="4CB3D077" w14:textId="77777777" w:rsidTr="008865D7">
        <w:tc>
          <w:tcPr>
            <w:tcW w:w="2660" w:type="dxa"/>
          </w:tcPr>
          <w:p w14:paraId="1C18AF5F" w14:textId="2FE99DD9" w:rsidR="00426A25" w:rsidRDefault="00426A25" w:rsidP="00B65C97">
            <w:pPr>
              <w:spacing w:before="120" w:after="120"/>
              <w:rPr>
                <w:rStyle w:val="Strong"/>
                <w:rFonts w:asciiTheme="minorHAnsi" w:eastAsiaTheme="minorHAnsi" w:hAnsiTheme="minorHAnsi" w:cstheme="minorBidi"/>
              </w:rPr>
            </w:pPr>
            <w:r>
              <w:rPr>
                <w:rStyle w:val="Strong"/>
                <w:rFonts w:asciiTheme="minorHAnsi" w:eastAsiaTheme="minorHAnsi" w:hAnsiTheme="minorHAnsi" w:cstheme="minorBidi"/>
              </w:rPr>
              <w:t xml:space="preserve">Program Logic </w:t>
            </w:r>
          </w:p>
        </w:tc>
        <w:tc>
          <w:tcPr>
            <w:tcW w:w="11056" w:type="dxa"/>
          </w:tcPr>
          <w:p w14:paraId="7A0C80BD" w14:textId="67BEA70A" w:rsidR="00426A25" w:rsidRPr="00724552" w:rsidRDefault="00426A25" w:rsidP="00724552">
            <w:pPr>
              <w:spacing w:before="120" w:after="120"/>
              <w:rPr>
                <w:rFonts w:asciiTheme="minorHAnsi" w:eastAsiaTheme="minorHAnsi" w:hAnsiTheme="minorHAnsi" w:cstheme="minorBidi"/>
              </w:rPr>
            </w:pPr>
            <w:r w:rsidRPr="00426A25">
              <w:rPr>
                <w:rFonts w:asciiTheme="minorHAnsi" w:eastAsiaTheme="minorHAnsi" w:hAnsiTheme="minorHAnsi" w:cstheme="minorBidi"/>
              </w:rPr>
              <w:t>A program logic model sets out the resources and activities that comprise the program, and the changes that are expected to result from them. It visually represents the relationships between the program inputs, goals and activities, its operational and organisational resources, the techniques and practices, and the expected outputs and effect</w:t>
            </w:r>
            <w:r>
              <w:rPr>
                <w:rFonts w:asciiTheme="minorHAnsi" w:eastAsiaTheme="minorHAnsi" w:hAnsiTheme="minorHAnsi" w:cstheme="minorBidi"/>
              </w:rPr>
              <w:t>s.</w:t>
            </w:r>
          </w:p>
        </w:tc>
      </w:tr>
      <w:tr w:rsidR="00386B04" w:rsidRPr="00417402" w14:paraId="0F0A72A5" w14:textId="77777777" w:rsidTr="008865D7">
        <w:tc>
          <w:tcPr>
            <w:tcW w:w="2660" w:type="dxa"/>
          </w:tcPr>
          <w:p w14:paraId="2CE9C406" w14:textId="117BA992" w:rsidR="00386B04" w:rsidRDefault="00386B04" w:rsidP="00B65C97">
            <w:pPr>
              <w:spacing w:before="120" w:after="120"/>
              <w:rPr>
                <w:rStyle w:val="Strong"/>
                <w:rFonts w:asciiTheme="minorHAnsi" w:eastAsiaTheme="minorHAnsi" w:hAnsiTheme="minorHAnsi" w:cstheme="minorBidi"/>
              </w:rPr>
            </w:pPr>
            <w:r>
              <w:rPr>
                <w:rStyle w:val="Strong"/>
                <w:rFonts w:asciiTheme="minorHAnsi" w:eastAsiaTheme="minorHAnsi" w:hAnsiTheme="minorHAnsi" w:cstheme="minorBidi"/>
              </w:rPr>
              <w:t xml:space="preserve">Post Implementation Review </w:t>
            </w:r>
          </w:p>
        </w:tc>
        <w:tc>
          <w:tcPr>
            <w:tcW w:w="11056" w:type="dxa"/>
          </w:tcPr>
          <w:p w14:paraId="1F11F5AB" w14:textId="68743DB8" w:rsidR="00386B04" w:rsidRPr="00426A25" w:rsidRDefault="00386B04" w:rsidP="00724552">
            <w:pPr>
              <w:spacing w:before="120" w:after="120"/>
              <w:rPr>
                <w:rFonts w:asciiTheme="minorHAnsi" w:eastAsiaTheme="minorHAnsi" w:hAnsiTheme="minorHAnsi" w:cstheme="minorBidi"/>
              </w:rPr>
            </w:pPr>
            <w:r>
              <w:rPr>
                <w:rFonts w:asciiTheme="minorHAnsi" w:eastAsiaTheme="minorHAnsi" w:hAnsiTheme="minorHAnsi" w:cstheme="minorBidi"/>
              </w:rPr>
              <w:t>T</w:t>
            </w:r>
            <w:r w:rsidRPr="00386B04">
              <w:rPr>
                <w:rFonts w:asciiTheme="minorHAnsi" w:eastAsiaTheme="minorHAnsi" w:hAnsiTheme="minorHAnsi" w:cstheme="minorBidi"/>
              </w:rPr>
              <w:t>hese evaluations ‘check in’ soon after the programme has begun. This type of evaluation focuses on initial implementation, allowing decision-makers to identify early issues regarding programme administration and delivery and take corrective action.</w:t>
            </w:r>
          </w:p>
        </w:tc>
      </w:tr>
    </w:tbl>
    <w:p w14:paraId="1261B9EA" w14:textId="77777777" w:rsidR="00110941" w:rsidRDefault="00110941" w:rsidP="006C07D0"/>
    <w:p w14:paraId="345C795E" w14:textId="77777777" w:rsidR="00110941" w:rsidRDefault="00110941" w:rsidP="006C07D0">
      <w:pPr>
        <w:sectPr w:rsidR="00110941" w:rsidSect="00B65C97">
          <w:pgSz w:w="16840" w:h="11907" w:orient="landscape" w:code="9"/>
          <w:pgMar w:top="992" w:right="1701" w:bottom="1276" w:left="1418" w:header="709" w:footer="709" w:gutter="0"/>
          <w:cols w:space="708"/>
          <w:docGrid w:linePitch="360"/>
        </w:sectPr>
      </w:pPr>
    </w:p>
    <w:p w14:paraId="42D7B892" w14:textId="37944C0D" w:rsidR="00110941" w:rsidRPr="008865D7" w:rsidRDefault="00110941" w:rsidP="00564F20">
      <w:pPr>
        <w:pStyle w:val="Heading1"/>
        <w:spacing w:before="0"/>
        <w:jc w:val="center"/>
        <w:rPr>
          <w:rFonts w:asciiTheme="minorHAnsi" w:hAnsiTheme="minorHAnsi"/>
          <w:color w:val="37818A"/>
          <w:sz w:val="32"/>
          <w:szCs w:val="32"/>
        </w:rPr>
      </w:pPr>
      <w:bookmarkStart w:id="19" w:name="_Toc140233989"/>
      <w:r w:rsidRPr="008865D7">
        <w:rPr>
          <w:rFonts w:asciiTheme="minorHAnsi" w:hAnsiTheme="minorHAnsi"/>
          <w:color w:val="37818A"/>
          <w:sz w:val="32"/>
          <w:szCs w:val="32"/>
        </w:rPr>
        <w:lastRenderedPageBreak/>
        <w:t>Strategy on a Page</w:t>
      </w:r>
      <w:r w:rsidR="00373620" w:rsidRPr="008865D7">
        <w:rPr>
          <w:rFonts w:asciiTheme="minorHAnsi" w:hAnsiTheme="minorHAnsi"/>
          <w:color w:val="37818A"/>
          <w:sz w:val="32"/>
          <w:szCs w:val="32"/>
        </w:rPr>
        <w:t xml:space="preserve"> - Department of Health</w:t>
      </w:r>
      <w:r w:rsidR="009E6CF8">
        <w:rPr>
          <w:rFonts w:asciiTheme="minorHAnsi" w:hAnsiTheme="minorHAnsi"/>
          <w:color w:val="37818A"/>
          <w:sz w:val="32"/>
          <w:szCs w:val="32"/>
        </w:rPr>
        <w:t xml:space="preserve"> and Aged Care</w:t>
      </w:r>
      <w:r w:rsidR="00373620" w:rsidRPr="008865D7">
        <w:rPr>
          <w:rFonts w:asciiTheme="minorHAnsi" w:hAnsiTheme="minorHAnsi"/>
          <w:color w:val="37818A"/>
          <w:sz w:val="32"/>
          <w:szCs w:val="32"/>
        </w:rPr>
        <w:t xml:space="preserve"> Evaluation Strategy 202</w:t>
      </w:r>
      <w:r w:rsidR="00874289">
        <w:rPr>
          <w:rFonts w:asciiTheme="minorHAnsi" w:hAnsiTheme="minorHAnsi"/>
          <w:color w:val="37818A"/>
          <w:sz w:val="32"/>
          <w:szCs w:val="32"/>
        </w:rPr>
        <w:t>3</w:t>
      </w:r>
      <w:r w:rsidR="00373620" w:rsidRPr="008865D7">
        <w:rPr>
          <w:rFonts w:asciiTheme="minorHAnsi" w:hAnsiTheme="minorHAnsi"/>
          <w:color w:val="37818A"/>
          <w:sz w:val="32"/>
          <w:szCs w:val="32"/>
        </w:rPr>
        <w:t>-2</w:t>
      </w:r>
      <w:r w:rsidR="00874289">
        <w:rPr>
          <w:rFonts w:asciiTheme="minorHAnsi" w:hAnsiTheme="minorHAnsi"/>
          <w:color w:val="37818A"/>
          <w:sz w:val="32"/>
          <w:szCs w:val="32"/>
        </w:rPr>
        <w:t>6</w:t>
      </w:r>
      <w:bookmarkEnd w:id="19"/>
    </w:p>
    <w:tbl>
      <w:tblPr>
        <w:tblStyle w:val="ListTable4-Accent2"/>
        <w:tblW w:w="15168" w:type="dxa"/>
        <w:tblInd w:w="-591" w:type="dxa"/>
        <w:tblLayout w:type="fixed"/>
        <w:tblLook w:val="04A0" w:firstRow="1" w:lastRow="0" w:firstColumn="1" w:lastColumn="0" w:noHBand="0" w:noVBand="1"/>
      </w:tblPr>
      <w:tblGrid>
        <w:gridCol w:w="1418"/>
        <w:gridCol w:w="2003"/>
        <w:gridCol w:w="1434"/>
        <w:gridCol w:w="3438"/>
        <w:gridCol w:w="3437"/>
        <w:gridCol w:w="3438"/>
      </w:tblGrid>
      <w:tr w:rsidR="00A324BE" w:rsidRPr="00417402" w14:paraId="3FC59F86" w14:textId="77777777" w:rsidTr="008865D7">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5168" w:type="dxa"/>
            <w:gridSpan w:val="6"/>
          </w:tcPr>
          <w:p w14:paraId="5E24AB1F" w14:textId="099F87C3" w:rsidR="00A324BE" w:rsidRPr="003D590B" w:rsidRDefault="00A324BE" w:rsidP="003D590B">
            <w:pPr>
              <w:pStyle w:val="IntenseQuote"/>
              <w:spacing w:before="0" w:after="0"/>
              <w:ind w:left="0" w:right="462"/>
              <w:jc w:val="center"/>
              <w:rPr>
                <w:rFonts w:asciiTheme="minorHAnsi" w:hAnsiTheme="minorHAnsi" w:cstheme="minorHAnsi"/>
                <w:sz w:val="24"/>
              </w:rPr>
            </w:pPr>
            <w:r w:rsidRPr="003D590B">
              <w:rPr>
                <w:rFonts w:asciiTheme="minorHAnsi" w:hAnsiTheme="minorHAnsi" w:cstheme="minorHAnsi"/>
                <w:color w:val="FFFFFF" w:themeColor="background1"/>
                <w:sz w:val="28"/>
                <w:szCs w:val="28"/>
              </w:rPr>
              <w:t xml:space="preserve">VISION: </w:t>
            </w:r>
            <w:r w:rsidR="00182526" w:rsidRPr="003D590B">
              <w:rPr>
                <w:rFonts w:asciiTheme="minorHAnsi" w:hAnsiTheme="minorHAnsi" w:cstheme="minorHAnsi"/>
                <w:color w:val="FFFFFF" w:themeColor="background1"/>
                <w:sz w:val="28"/>
                <w:szCs w:val="28"/>
              </w:rPr>
              <w:t xml:space="preserve">      </w:t>
            </w:r>
            <w:r w:rsidRPr="003D590B">
              <w:rPr>
                <w:rFonts w:asciiTheme="minorHAnsi" w:hAnsiTheme="minorHAnsi" w:cstheme="minorHAnsi"/>
                <w:color w:val="FFFFFF" w:themeColor="background1"/>
                <w:sz w:val="28"/>
                <w:szCs w:val="28"/>
              </w:rPr>
              <w:t xml:space="preserve"> Evaluation demonstrates that </w:t>
            </w:r>
            <w:r w:rsidR="00081FC4" w:rsidRPr="003D590B">
              <w:rPr>
                <w:rFonts w:asciiTheme="minorHAnsi" w:hAnsiTheme="minorHAnsi" w:cstheme="minorHAnsi"/>
                <w:color w:val="FFFFFF" w:themeColor="background1"/>
                <w:sz w:val="28"/>
                <w:szCs w:val="28"/>
              </w:rPr>
              <w:t>departmental</w:t>
            </w:r>
            <w:r w:rsidRPr="003D590B">
              <w:rPr>
                <w:rFonts w:asciiTheme="minorHAnsi" w:hAnsiTheme="minorHAnsi" w:cstheme="minorHAnsi"/>
                <w:color w:val="FFFFFF" w:themeColor="background1"/>
                <w:sz w:val="28"/>
                <w:szCs w:val="28"/>
              </w:rPr>
              <w:t xml:space="preserve"> policies and programs deliver an affordable, quality health, aged care and sport system and better health, ageing and sport outcomes for all Australians</w:t>
            </w:r>
          </w:p>
        </w:tc>
      </w:tr>
      <w:tr w:rsidR="00026A9B" w:rsidRPr="00417402" w14:paraId="6019B477" w14:textId="77777777" w:rsidTr="003D590B">
        <w:trPr>
          <w:cnfStyle w:val="000000100000" w:firstRow="0" w:lastRow="0" w:firstColumn="0" w:lastColumn="0" w:oddVBand="0" w:evenVBand="0" w:oddHBand="1" w:evenHBand="0" w:firstRowFirstColumn="0" w:firstRowLastColumn="0" w:lastRowFirstColumn="0" w:lastRowLastColumn="0"/>
          <w:trHeight w:val="1037"/>
        </w:trPr>
        <w:tc>
          <w:tcPr>
            <w:cnfStyle w:val="001000000000" w:firstRow="0" w:lastRow="0" w:firstColumn="1" w:lastColumn="0" w:oddVBand="0" w:evenVBand="0" w:oddHBand="0" w:evenHBand="0" w:firstRowFirstColumn="0" w:firstRowLastColumn="0" w:lastRowFirstColumn="0" w:lastRowLastColumn="0"/>
            <w:tcW w:w="3421" w:type="dxa"/>
            <w:gridSpan w:val="2"/>
          </w:tcPr>
          <w:p w14:paraId="52FA0E2E" w14:textId="39F7AFDA" w:rsidR="00026A9B" w:rsidRPr="003D590B" w:rsidRDefault="00026A9B" w:rsidP="00026A9B">
            <w:pPr>
              <w:tabs>
                <w:tab w:val="left" w:pos="3315"/>
              </w:tabs>
              <w:spacing w:before="60" w:after="60"/>
              <w:rPr>
                <w:rStyle w:val="BoldAllCaps"/>
                <w:rFonts w:asciiTheme="minorHAnsi" w:hAnsiTheme="minorHAnsi" w:cstheme="minorHAnsi"/>
              </w:rPr>
            </w:pPr>
            <w:r w:rsidRPr="003D590B">
              <w:rPr>
                <w:rStyle w:val="BoldAllCaps"/>
                <w:rFonts w:asciiTheme="minorHAnsi" w:hAnsiTheme="minorHAnsi" w:cstheme="minorHAnsi"/>
              </w:rPr>
              <w:t>Objectives:</w:t>
            </w:r>
          </w:p>
          <w:p w14:paraId="7DD09E81" w14:textId="6E22146F" w:rsidR="00026A9B" w:rsidRPr="003D590B" w:rsidRDefault="00026A9B" w:rsidP="00026A9B">
            <w:pPr>
              <w:spacing w:before="60" w:after="60"/>
              <w:rPr>
                <w:rStyle w:val="BoldAllCaps"/>
                <w:rFonts w:asciiTheme="minorHAnsi" w:hAnsiTheme="minorHAnsi" w:cstheme="minorHAnsi"/>
                <w:b/>
                <w:bCs w:val="0"/>
              </w:rPr>
            </w:pPr>
          </w:p>
        </w:tc>
        <w:tc>
          <w:tcPr>
            <w:tcW w:w="11747" w:type="dxa"/>
            <w:gridSpan w:val="4"/>
          </w:tcPr>
          <w:p w14:paraId="17E7DFA4" w14:textId="357B555E" w:rsidR="00026A9B" w:rsidRPr="003D590B" w:rsidRDefault="00026A9B" w:rsidP="00026A9B">
            <w:pPr>
              <w:spacing w:before="60"/>
              <w:cnfStyle w:val="000000100000" w:firstRow="0" w:lastRow="0" w:firstColumn="0" w:lastColumn="0" w:oddVBand="0" w:evenVBand="0" w:oddHBand="1" w:evenHBand="0" w:firstRowFirstColumn="0" w:firstRowLastColumn="0" w:lastRowFirstColumn="0" w:lastRowLastColumn="0"/>
              <w:rPr>
                <w:rStyle w:val="BoldAllCaps"/>
                <w:rFonts w:asciiTheme="minorHAnsi" w:hAnsiTheme="minorHAnsi" w:cstheme="minorHAnsi"/>
                <w:b w:val="0"/>
                <w:bCs/>
                <w:caps w:val="0"/>
              </w:rPr>
            </w:pPr>
            <w:r w:rsidRPr="003D590B">
              <w:rPr>
                <w:rStyle w:val="BoldAllCaps"/>
                <w:rFonts w:asciiTheme="minorHAnsi" w:hAnsiTheme="minorHAnsi" w:cstheme="minorHAnsi"/>
                <w:b w:val="0"/>
                <w:bCs/>
              </w:rPr>
              <w:t>E</w:t>
            </w:r>
            <w:r w:rsidRPr="003D590B">
              <w:rPr>
                <w:rStyle w:val="BoldAllCaps"/>
                <w:rFonts w:asciiTheme="minorHAnsi" w:hAnsiTheme="minorHAnsi" w:cstheme="minorHAnsi"/>
                <w:b w:val="0"/>
                <w:bCs/>
                <w:caps w:val="0"/>
              </w:rPr>
              <w:t>mbed and strengthen policy and program evaluation practices</w:t>
            </w:r>
          </w:p>
          <w:p w14:paraId="39D264D4" w14:textId="77777777" w:rsidR="00026A9B" w:rsidRPr="003D590B" w:rsidRDefault="00026A9B" w:rsidP="00026A9B">
            <w:pPr>
              <w:spacing w:before="60"/>
              <w:cnfStyle w:val="000000100000" w:firstRow="0" w:lastRow="0" w:firstColumn="0" w:lastColumn="0" w:oddVBand="0" w:evenVBand="0" w:oddHBand="1" w:evenHBand="0" w:firstRowFirstColumn="0" w:firstRowLastColumn="0" w:lastRowFirstColumn="0" w:lastRowLastColumn="0"/>
              <w:rPr>
                <w:rStyle w:val="BoldAllCaps"/>
                <w:rFonts w:asciiTheme="minorHAnsi" w:hAnsiTheme="minorHAnsi" w:cstheme="minorHAnsi"/>
                <w:b w:val="0"/>
                <w:bCs/>
                <w:caps w:val="0"/>
              </w:rPr>
            </w:pPr>
            <w:r w:rsidRPr="003D590B">
              <w:rPr>
                <w:rStyle w:val="BoldAllCaps"/>
                <w:rFonts w:asciiTheme="minorHAnsi" w:hAnsiTheme="minorHAnsi" w:cstheme="minorHAnsi"/>
                <w:b w:val="0"/>
                <w:bCs/>
                <w:caps w:val="0"/>
              </w:rPr>
              <w:t>Increase the use of evaluation evidence for decision-making, planning and reporting</w:t>
            </w:r>
          </w:p>
          <w:p w14:paraId="4B142D46" w14:textId="5772E226" w:rsidR="00026A9B" w:rsidRPr="003D590B" w:rsidDel="005C310C" w:rsidRDefault="00026A9B" w:rsidP="003D590B">
            <w:pPr>
              <w:spacing w:before="60"/>
              <w:cnfStyle w:val="000000100000" w:firstRow="0" w:lastRow="0" w:firstColumn="0" w:lastColumn="0" w:oddVBand="0" w:evenVBand="0" w:oddHBand="1" w:evenHBand="0" w:firstRowFirstColumn="0" w:firstRowLastColumn="0" w:lastRowFirstColumn="0" w:lastRowLastColumn="0"/>
              <w:rPr>
                <w:rStyle w:val="BoldAllCaps"/>
                <w:rFonts w:asciiTheme="minorHAnsi" w:hAnsiTheme="minorHAnsi" w:cstheme="minorHAnsi"/>
              </w:rPr>
            </w:pPr>
            <w:r w:rsidRPr="003D590B">
              <w:rPr>
                <w:rStyle w:val="BoldAllCaps"/>
                <w:rFonts w:asciiTheme="minorHAnsi" w:hAnsiTheme="minorHAnsi" w:cstheme="minorHAnsi"/>
                <w:b w:val="0"/>
                <w:bCs/>
                <w:caps w:val="0"/>
              </w:rPr>
              <w:t>Build departmental capability and capacity in evaluation practice</w:t>
            </w:r>
          </w:p>
        </w:tc>
      </w:tr>
      <w:tr w:rsidR="00A40B57" w:rsidRPr="00417402" w14:paraId="4CA766FE" w14:textId="77777777" w:rsidTr="004E697D">
        <w:trPr>
          <w:trHeight w:val="908"/>
        </w:trPr>
        <w:tc>
          <w:tcPr>
            <w:cnfStyle w:val="001000000000" w:firstRow="0" w:lastRow="0" w:firstColumn="1" w:lastColumn="0" w:oddVBand="0" w:evenVBand="0" w:oddHBand="0" w:evenHBand="0" w:firstRowFirstColumn="0" w:firstRowLastColumn="0" w:lastRowFirstColumn="0" w:lastRowLastColumn="0"/>
            <w:tcW w:w="1418" w:type="dxa"/>
          </w:tcPr>
          <w:p w14:paraId="15D8BBF5" w14:textId="49B6077D" w:rsidR="000A4E51" w:rsidRPr="008865D7" w:rsidRDefault="005C310C" w:rsidP="004E697D">
            <w:pPr>
              <w:spacing w:before="60"/>
              <w:rPr>
                <w:rFonts w:asciiTheme="minorHAnsi" w:hAnsiTheme="minorHAnsi" w:cstheme="minorHAnsi"/>
                <w:sz w:val="26"/>
                <w:szCs w:val="26"/>
              </w:rPr>
            </w:pPr>
            <w:r w:rsidRPr="008865D7">
              <w:rPr>
                <w:rFonts w:asciiTheme="minorHAnsi" w:hAnsiTheme="minorHAnsi" w:cstheme="minorHAnsi"/>
                <w:sz w:val="26"/>
                <w:szCs w:val="26"/>
              </w:rPr>
              <w:t xml:space="preserve">Priority </w:t>
            </w:r>
            <w:r w:rsidRPr="008865D7">
              <w:rPr>
                <w:rFonts w:asciiTheme="minorHAnsi" w:hAnsiTheme="minorHAnsi" w:cstheme="minorHAnsi"/>
                <w:sz w:val="26"/>
                <w:szCs w:val="26"/>
              </w:rPr>
              <w:br/>
              <w:t>Areas</w:t>
            </w:r>
          </w:p>
        </w:tc>
        <w:tc>
          <w:tcPr>
            <w:tcW w:w="3437" w:type="dxa"/>
            <w:gridSpan w:val="2"/>
          </w:tcPr>
          <w:p w14:paraId="03A62BB7" w14:textId="49FEF187" w:rsidR="000A4E51" w:rsidRPr="008865D7" w:rsidRDefault="005C310C" w:rsidP="004E697D">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Pr>
                <w:rFonts w:asciiTheme="minorHAnsi" w:hAnsiTheme="minorHAnsi" w:cstheme="minorHAnsi"/>
                <w:b/>
                <w:sz w:val="24"/>
              </w:rPr>
              <w:t>1 -</w:t>
            </w:r>
            <w:r w:rsidR="000A4E51" w:rsidRPr="008865D7">
              <w:rPr>
                <w:rFonts w:asciiTheme="minorHAnsi" w:hAnsiTheme="minorHAnsi" w:cstheme="minorHAnsi"/>
                <w:b/>
                <w:sz w:val="24"/>
              </w:rPr>
              <w:t xml:space="preserve"> Ensure the most important policies and programs* are evaluated</w:t>
            </w:r>
          </w:p>
        </w:tc>
        <w:tc>
          <w:tcPr>
            <w:tcW w:w="3438" w:type="dxa"/>
          </w:tcPr>
          <w:p w14:paraId="46BA99E9" w14:textId="418B0AA9" w:rsidR="000A4E51" w:rsidRPr="008865D7" w:rsidRDefault="000A4E51" w:rsidP="004E697D">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8865D7">
              <w:rPr>
                <w:rFonts w:asciiTheme="minorHAnsi" w:hAnsiTheme="minorHAnsi" w:cstheme="minorHAnsi"/>
                <w:b/>
                <w:sz w:val="24"/>
              </w:rPr>
              <w:t>2</w:t>
            </w:r>
            <w:r w:rsidR="005C310C">
              <w:rPr>
                <w:rFonts w:asciiTheme="minorHAnsi" w:hAnsiTheme="minorHAnsi" w:cstheme="minorHAnsi"/>
                <w:b/>
                <w:sz w:val="24"/>
              </w:rPr>
              <w:t xml:space="preserve"> -</w:t>
            </w:r>
            <w:r w:rsidRPr="008865D7">
              <w:rPr>
                <w:rFonts w:asciiTheme="minorHAnsi" w:hAnsiTheme="minorHAnsi" w:cstheme="minorHAnsi"/>
                <w:b/>
                <w:sz w:val="24"/>
              </w:rPr>
              <w:t xml:space="preserve"> Planning early for evaluation</w:t>
            </w:r>
          </w:p>
        </w:tc>
        <w:tc>
          <w:tcPr>
            <w:tcW w:w="3437" w:type="dxa"/>
          </w:tcPr>
          <w:p w14:paraId="0FDFF44C" w14:textId="5A2E5289" w:rsidR="000A4E51" w:rsidRPr="008865D7" w:rsidRDefault="001B5AC9" w:rsidP="004E697D">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8865D7">
              <w:rPr>
                <w:rFonts w:asciiTheme="minorHAnsi" w:hAnsiTheme="minorHAnsi" w:cstheme="minorHAnsi"/>
                <w:b/>
                <w:sz w:val="24"/>
              </w:rPr>
              <w:t>3</w:t>
            </w:r>
            <w:r w:rsidR="005C310C">
              <w:rPr>
                <w:rFonts w:asciiTheme="minorHAnsi" w:hAnsiTheme="minorHAnsi" w:cstheme="minorHAnsi"/>
                <w:b/>
                <w:sz w:val="24"/>
              </w:rPr>
              <w:t xml:space="preserve"> -</w:t>
            </w:r>
            <w:r w:rsidR="000A4E51" w:rsidRPr="008865D7">
              <w:rPr>
                <w:rFonts w:asciiTheme="minorHAnsi" w:hAnsiTheme="minorHAnsi" w:cstheme="minorHAnsi"/>
                <w:b/>
                <w:sz w:val="24"/>
              </w:rPr>
              <w:t xml:space="preserve"> Build capacity to conduct and manage high-quality evaluations</w:t>
            </w:r>
          </w:p>
        </w:tc>
        <w:tc>
          <w:tcPr>
            <w:tcW w:w="3438" w:type="dxa"/>
          </w:tcPr>
          <w:p w14:paraId="60A247BF" w14:textId="478ADE2E" w:rsidR="000A4E51" w:rsidRPr="008865D7" w:rsidRDefault="007D7167" w:rsidP="004E697D">
            <w:pPr>
              <w:spacing w:before="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rPr>
            </w:pPr>
            <w:r w:rsidRPr="008865D7">
              <w:rPr>
                <w:rFonts w:asciiTheme="minorHAnsi" w:hAnsiTheme="minorHAnsi" w:cstheme="minorHAnsi"/>
                <w:b/>
                <w:sz w:val="24"/>
              </w:rPr>
              <w:t>4</w:t>
            </w:r>
            <w:r w:rsidR="005C310C">
              <w:rPr>
                <w:rFonts w:asciiTheme="minorHAnsi" w:hAnsiTheme="minorHAnsi" w:cstheme="minorHAnsi"/>
                <w:b/>
                <w:sz w:val="24"/>
              </w:rPr>
              <w:t xml:space="preserve"> -</w:t>
            </w:r>
            <w:r w:rsidR="000A4E51" w:rsidRPr="008865D7">
              <w:rPr>
                <w:rFonts w:asciiTheme="minorHAnsi" w:hAnsiTheme="minorHAnsi" w:cstheme="minorHAnsi"/>
                <w:b/>
                <w:sz w:val="24"/>
              </w:rPr>
              <w:t xml:space="preserve"> Enhance the use of evaluations</w:t>
            </w:r>
          </w:p>
        </w:tc>
      </w:tr>
      <w:tr w:rsidR="00A40B57" w:rsidRPr="00417402" w14:paraId="291793E1" w14:textId="77777777" w:rsidTr="00886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0CBE124" w14:textId="00A4EF43" w:rsidR="002C3027" w:rsidRPr="008865D7" w:rsidRDefault="00A12BCD" w:rsidP="008865D7">
            <w:pPr>
              <w:spacing w:before="120"/>
              <w:rPr>
                <w:rFonts w:asciiTheme="minorHAnsi" w:hAnsiTheme="minorHAnsi" w:cstheme="minorHAnsi"/>
                <w:sz w:val="26"/>
                <w:szCs w:val="26"/>
              </w:rPr>
            </w:pPr>
            <w:r w:rsidRPr="008865D7">
              <w:rPr>
                <w:rFonts w:asciiTheme="minorHAnsi" w:hAnsiTheme="minorHAnsi" w:cstheme="minorHAnsi"/>
                <w:sz w:val="26"/>
                <w:szCs w:val="26"/>
              </w:rPr>
              <w:t xml:space="preserve">Actions </w:t>
            </w:r>
          </w:p>
        </w:tc>
        <w:tc>
          <w:tcPr>
            <w:tcW w:w="3437" w:type="dxa"/>
            <w:gridSpan w:val="2"/>
          </w:tcPr>
          <w:p w14:paraId="53652CA2" w14:textId="489E15F2" w:rsidR="002C3027" w:rsidRPr="008865D7" w:rsidRDefault="002C302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8865D7">
              <w:rPr>
                <w:rFonts w:asciiTheme="minorHAnsi" w:hAnsiTheme="minorHAnsi" w:cstheme="minorHAnsi"/>
                <w:b/>
                <w:szCs w:val="22"/>
              </w:rPr>
              <w:t>Action 1.1:</w:t>
            </w:r>
            <w:r w:rsidR="0071215E">
              <w:t xml:space="preserve"> </w:t>
            </w:r>
            <w:r w:rsidR="0071215E" w:rsidRPr="008865D7">
              <w:rPr>
                <w:rFonts w:asciiTheme="minorHAnsi" w:hAnsiTheme="minorHAnsi" w:cstheme="minorHAnsi"/>
                <w:szCs w:val="22"/>
              </w:rPr>
              <w:t>Evaluation Centre</w:t>
            </w:r>
            <w:r w:rsidR="009D0769" w:rsidRPr="008865D7">
              <w:rPr>
                <w:rFonts w:asciiTheme="minorHAnsi" w:hAnsiTheme="minorHAnsi" w:cstheme="minorHAnsi"/>
                <w:szCs w:val="22"/>
              </w:rPr>
              <w:t>, supported by</w:t>
            </w:r>
            <w:r w:rsidR="00BE2B31" w:rsidRPr="008865D7">
              <w:rPr>
                <w:rFonts w:asciiTheme="minorHAnsi" w:hAnsiTheme="minorHAnsi"/>
              </w:rPr>
              <w:t xml:space="preserve"> divisions</w:t>
            </w:r>
            <w:r w:rsidR="009D0769" w:rsidRPr="008865D7">
              <w:rPr>
                <w:rFonts w:asciiTheme="minorHAnsi" w:hAnsiTheme="minorHAnsi" w:cstheme="minorHAnsi"/>
                <w:szCs w:val="22"/>
              </w:rPr>
              <w:t>,</w:t>
            </w:r>
            <w:r w:rsidRPr="008865D7">
              <w:rPr>
                <w:rFonts w:asciiTheme="minorHAnsi" w:hAnsiTheme="minorHAnsi" w:cstheme="minorHAnsi"/>
                <w:szCs w:val="22"/>
              </w:rPr>
              <w:t xml:space="preserve"> should </w:t>
            </w:r>
            <w:proofErr w:type="gramStart"/>
            <w:r w:rsidR="005E0D48" w:rsidRPr="005E0D48">
              <w:rPr>
                <w:rFonts w:asciiTheme="minorHAnsi" w:hAnsiTheme="minorHAnsi" w:cstheme="minorHAnsi"/>
                <w:szCs w:val="22"/>
              </w:rPr>
              <w:t>develop</w:t>
            </w:r>
            <w:proofErr w:type="gramEnd"/>
            <w:r w:rsidR="005E0D48" w:rsidRPr="005E0D48">
              <w:rPr>
                <w:rFonts w:asciiTheme="minorHAnsi" w:hAnsiTheme="minorHAnsi" w:cstheme="minorHAnsi"/>
                <w:szCs w:val="22"/>
              </w:rPr>
              <w:t xml:space="preserve"> and operationalise</w:t>
            </w:r>
            <w:r w:rsidRPr="008865D7">
              <w:rPr>
                <w:rFonts w:asciiTheme="minorHAnsi" w:hAnsiTheme="minorHAnsi" w:cstheme="minorHAnsi"/>
                <w:szCs w:val="22"/>
              </w:rPr>
              <w:t xml:space="preserve"> a tiering system to systematically identify evaluation priorities</w:t>
            </w:r>
            <w:r w:rsidR="00674E67">
              <w:rPr>
                <w:rFonts w:asciiTheme="minorHAnsi" w:hAnsiTheme="minorHAnsi" w:cstheme="minorHAnsi"/>
                <w:szCs w:val="22"/>
              </w:rPr>
              <w:t>.</w:t>
            </w:r>
          </w:p>
          <w:p w14:paraId="58ABF0A0" w14:textId="35CB8316" w:rsidR="002C3027" w:rsidRPr="008865D7" w:rsidRDefault="002C302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865D7">
              <w:rPr>
                <w:rFonts w:asciiTheme="minorHAnsi" w:hAnsiTheme="minorHAnsi" w:cstheme="minorHAnsi"/>
                <w:b/>
                <w:szCs w:val="22"/>
              </w:rPr>
              <w:t xml:space="preserve">Action 1.2: </w:t>
            </w:r>
            <w:r w:rsidR="007E6A5D">
              <w:rPr>
                <w:rFonts w:asciiTheme="minorHAnsi" w:hAnsiTheme="minorHAnsi" w:cstheme="minorHAnsi"/>
                <w:szCs w:val="22"/>
              </w:rPr>
              <w:t>T</w:t>
            </w:r>
            <w:r w:rsidR="009D0769" w:rsidRPr="008865D7">
              <w:rPr>
                <w:rFonts w:asciiTheme="minorHAnsi" w:hAnsiTheme="minorHAnsi" w:cstheme="minorHAnsi"/>
                <w:szCs w:val="22"/>
              </w:rPr>
              <w:t xml:space="preserve">he </w:t>
            </w:r>
            <w:r w:rsidR="0071215E" w:rsidRPr="004C25E1">
              <w:rPr>
                <w:rFonts w:asciiTheme="minorHAnsi" w:hAnsiTheme="minorHAnsi" w:cstheme="minorHAnsi"/>
                <w:szCs w:val="22"/>
              </w:rPr>
              <w:t>Evaluation Centre</w:t>
            </w:r>
            <w:r w:rsidR="009D0769" w:rsidRPr="008865D7">
              <w:rPr>
                <w:rFonts w:asciiTheme="minorHAnsi" w:hAnsiTheme="minorHAnsi" w:cstheme="minorHAnsi"/>
                <w:szCs w:val="22"/>
              </w:rPr>
              <w:t xml:space="preserve">, </w:t>
            </w:r>
            <w:r w:rsidR="007E6A5D" w:rsidRPr="007E6A5D">
              <w:rPr>
                <w:rFonts w:asciiTheme="minorHAnsi" w:hAnsiTheme="minorHAnsi" w:cstheme="minorHAnsi"/>
                <w:szCs w:val="22"/>
              </w:rPr>
              <w:t>under the guidance</w:t>
            </w:r>
            <w:r w:rsidR="001C5595">
              <w:rPr>
                <w:rFonts w:asciiTheme="minorHAnsi" w:hAnsiTheme="minorHAnsi" w:cstheme="minorHAnsi"/>
                <w:szCs w:val="22"/>
              </w:rPr>
              <w:t xml:space="preserve"> </w:t>
            </w:r>
            <w:r w:rsidR="007E6A5D" w:rsidRPr="007E6A5D">
              <w:rPr>
                <w:rFonts w:asciiTheme="minorHAnsi" w:hAnsiTheme="minorHAnsi" w:cstheme="minorHAnsi"/>
                <w:szCs w:val="22"/>
              </w:rPr>
              <w:t xml:space="preserve">of </w:t>
            </w:r>
            <w:r w:rsidR="002002E3">
              <w:rPr>
                <w:rFonts w:asciiTheme="minorHAnsi" w:hAnsiTheme="minorHAnsi" w:cstheme="minorHAnsi"/>
                <w:szCs w:val="22"/>
              </w:rPr>
              <w:t xml:space="preserve">the </w:t>
            </w:r>
            <w:r w:rsidR="007E6A5D" w:rsidRPr="007E6A5D">
              <w:rPr>
                <w:rFonts w:asciiTheme="minorHAnsi" w:hAnsiTheme="minorHAnsi" w:cstheme="minorHAnsi"/>
                <w:szCs w:val="22"/>
              </w:rPr>
              <w:t xml:space="preserve">PAC, </w:t>
            </w:r>
            <w:r w:rsidRPr="008865D7">
              <w:rPr>
                <w:rFonts w:asciiTheme="minorHAnsi" w:hAnsiTheme="minorHAnsi" w:cstheme="minorHAnsi"/>
                <w:szCs w:val="22"/>
              </w:rPr>
              <w:t>should publish a rolling Schedule of Evaluations</w:t>
            </w:r>
            <w:r w:rsidR="00674E67">
              <w:rPr>
                <w:rFonts w:asciiTheme="minorHAnsi" w:hAnsiTheme="minorHAnsi" w:cstheme="minorHAnsi"/>
                <w:szCs w:val="22"/>
              </w:rPr>
              <w:t>.</w:t>
            </w:r>
          </w:p>
        </w:tc>
        <w:tc>
          <w:tcPr>
            <w:tcW w:w="3438" w:type="dxa"/>
          </w:tcPr>
          <w:p w14:paraId="573B157F" w14:textId="44885390" w:rsidR="002C3027" w:rsidRPr="005C310C" w:rsidRDefault="002C302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B65C97">
              <w:rPr>
                <w:rFonts w:asciiTheme="minorHAnsi" w:hAnsiTheme="minorHAnsi" w:cstheme="minorHAnsi"/>
                <w:b/>
                <w:szCs w:val="22"/>
              </w:rPr>
              <w:t xml:space="preserve">Action 2.1: </w:t>
            </w:r>
            <w:r w:rsidR="00132A4F" w:rsidRPr="005C310C">
              <w:rPr>
                <w:rFonts w:asciiTheme="minorHAnsi" w:hAnsiTheme="minorHAnsi" w:cstheme="minorHAnsi"/>
                <w:szCs w:val="22"/>
              </w:rPr>
              <w:t xml:space="preserve">Divisions </w:t>
            </w:r>
            <w:r w:rsidRPr="005C310C">
              <w:rPr>
                <w:rFonts w:asciiTheme="minorHAnsi" w:hAnsiTheme="minorHAnsi" w:cstheme="minorHAnsi"/>
                <w:szCs w:val="22"/>
              </w:rPr>
              <w:t>should</w:t>
            </w:r>
            <w:r w:rsidRPr="008865D7">
              <w:rPr>
                <w:rFonts w:asciiTheme="minorHAnsi" w:hAnsiTheme="minorHAnsi" w:cstheme="minorHAnsi"/>
                <w:szCs w:val="22"/>
              </w:rPr>
              <w:t xml:space="preserve"> </w:t>
            </w:r>
            <w:r w:rsidRPr="005C310C">
              <w:rPr>
                <w:rFonts w:asciiTheme="minorHAnsi" w:hAnsiTheme="minorHAnsi" w:cstheme="minorHAnsi"/>
                <w:szCs w:val="22"/>
              </w:rPr>
              <w:t>consider evaluation requirements of new policies and proposals in the ‘Policy Case’ of NPPs</w:t>
            </w:r>
            <w:r w:rsidR="00674E67">
              <w:rPr>
                <w:rFonts w:asciiTheme="minorHAnsi" w:hAnsiTheme="minorHAnsi" w:cstheme="minorHAnsi"/>
                <w:szCs w:val="22"/>
              </w:rPr>
              <w:t>.</w:t>
            </w:r>
          </w:p>
          <w:p w14:paraId="10B48E25" w14:textId="4327E6FD" w:rsidR="002C3027" w:rsidRPr="008865D7" w:rsidRDefault="002C302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B65C97">
              <w:rPr>
                <w:rFonts w:asciiTheme="minorHAnsi" w:hAnsiTheme="minorHAnsi" w:cstheme="minorHAnsi"/>
                <w:b/>
                <w:szCs w:val="22"/>
              </w:rPr>
              <w:t>Action 2.2:</w:t>
            </w:r>
            <w:r w:rsidRPr="008865D7">
              <w:rPr>
                <w:rFonts w:asciiTheme="minorHAnsi" w:hAnsiTheme="minorHAnsi" w:cstheme="minorHAnsi"/>
                <w:b/>
                <w:szCs w:val="22"/>
              </w:rPr>
              <w:t xml:space="preserve"> </w:t>
            </w:r>
            <w:r w:rsidR="00132A4F" w:rsidRPr="005C310C">
              <w:rPr>
                <w:rFonts w:asciiTheme="minorHAnsi" w:hAnsiTheme="minorHAnsi" w:cstheme="minorHAnsi"/>
                <w:szCs w:val="22"/>
              </w:rPr>
              <w:t>Divisions</w:t>
            </w:r>
            <w:r w:rsidR="00144C7C" w:rsidRPr="005C310C">
              <w:rPr>
                <w:rFonts w:asciiTheme="minorHAnsi" w:hAnsiTheme="minorHAnsi" w:cstheme="minorHAnsi"/>
                <w:szCs w:val="22"/>
              </w:rPr>
              <w:t>,</w:t>
            </w:r>
            <w:r w:rsidR="000A0196" w:rsidRPr="005C310C">
              <w:rPr>
                <w:rFonts w:asciiTheme="minorHAnsi" w:hAnsiTheme="minorHAnsi" w:cstheme="minorHAnsi"/>
                <w:szCs w:val="22"/>
              </w:rPr>
              <w:t xml:space="preserve"> </w:t>
            </w:r>
            <w:r w:rsidR="00144C7C" w:rsidRPr="005C310C">
              <w:rPr>
                <w:rFonts w:asciiTheme="minorHAnsi" w:hAnsiTheme="minorHAnsi" w:cstheme="minorHAnsi"/>
                <w:szCs w:val="22"/>
              </w:rPr>
              <w:t>supported by the</w:t>
            </w:r>
            <w:r w:rsidR="0071215E">
              <w:rPr>
                <w:rFonts w:asciiTheme="minorHAnsi" w:hAnsiTheme="minorHAnsi" w:cstheme="minorHAnsi"/>
                <w:szCs w:val="22"/>
              </w:rPr>
              <w:t xml:space="preserve"> </w:t>
            </w:r>
            <w:r w:rsidR="0071215E" w:rsidRPr="004C25E1">
              <w:rPr>
                <w:rFonts w:asciiTheme="minorHAnsi" w:hAnsiTheme="minorHAnsi" w:cstheme="minorHAnsi"/>
                <w:szCs w:val="22"/>
              </w:rPr>
              <w:t>Evaluation Centre</w:t>
            </w:r>
            <w:r w:rsidR="00144C7C" w:rsidRPr="005C310C">
              <w:rPr>
                <w:rFonts w:asciiTheme="minorHAnsi" w:hAnsiTheme="minorHAnsi" w:cstheme="minorHAnsi"/>
                <w:szCs w:val="22"/>
              </w:rPr>
              <w:t xml:space="preserve">, </w:t>
            </w:r>
            <w:r w:rsidRPr="005C310C">
              <w:rPr>
                <w:rFonts w:asciiTheme="minorHAnsi" w:hAnsiTheme="minorHAnsi" w:cstheme="minorHAnsi"/>
                <w:szCs w:val="22"/>
              </w:rPr>
              <w:t>should ensure new and existing policies and programs are evaluation ready</w:t>
            </w:r>
            <w:r w:rsidR="00674E67">
              <w:rPr>
                <w:rFonts w:asciiTheme="minorHAnsi" w:hAnsiTheme="minorHAnsi" w:cstheme="minorHAnsi"/>
                <w:szCs w:val="22"/>
              </w:rPr>
              <w:t xml:space="preserve"> by</w:t>
            </w:r>
            <w:r w:rsidR="00E87A8D">
              <w:rPr>
                <w:rFonts w:asciiTheme="minorHAnsi" w:hAnsiTheme="minorHAnsi" w:cstheme="minorHAnsi"/>
                <w:szCs w:val="22"/>
              </w:rPr>
              <w:t>:</w:t>
            </w:r>
          </w:p>
          <w:p w14:paraId="79BDCF38" w14:textId="76833074" w:rsidR="002C3027" w:rsidRPr="00B65C97" w:rsidRDefault="002C3027" w:rsidP="006E6545">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B65C97">
              <w:rPr>
                <w:rFonts w:asciiTheme="minorHAnsi" w:hAnsiTheme="minorHAnsi" w:cstheme="minorHAnsi"/>
                <w:szCs w:val="22"/>
              </w:rPr>
              <w:t xml:space="preserve">setting out the program’s logic </w:t>
            </w:r>
            <w:proofErr w:type="gramStart"/>
            <w:r w:rsidRPr="00B65C97">
              <w:rPr>
                <w:rFonts w:asciiTheme="minorHAnsi" w:hAnsiTheme="minorHAnsi" w:cstheme="minorHAnsi"/>
                <w:szCs w:val="22"/>
              </w:rPr>
              <w:t>model</w:t>
            </w:r>
            <w:r w:rsidR="00674E67">
              <w:rPr>
                <w:rFonts w:asciiTheme="minorHAnsi" w:hAnsiTheme="minorHAnsi" w:cstheme="minorHAnsi"/>
                <w:szCs w:val="22"/>
              </w:rPr>
              <w:t>;</w:t>
            </w:r>
            <w:proofErr w:type="gramEnd"/>
          </w:p>
          <w:p w14:paraId="01C396E0" w14:textId="21E6D531" w:rsidR="002C3027" w:rsidRPr="00B65C97" w:rsidRDefault="002C3027" w:rsidP="006E6545">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B65C97">
              <w:rPr>
                <w:rFonts w:asciiTheme="minorHAnsi" w:hAnsiTheme="minorHAnsi" w:cstheme="minorHAnsi"/>
                <w:szCs w:val="22"/>
              </w:rPr>
              <w:t xml:space="preserve">identifying key evaluation questions, </w:t>
            </w:r>
            <w:proofErr w:type="gramStart"/>
            <w:r w:rsidRPr="00B65C97">
              <w:rPr>
                <w:rFonts w:asciiTheme="minorHAnsi" w:hAnsiTheme="minorHAnsi" w:cstheme="minorHAnsi"/>
                <w:szCs w:val="22"/>
              </w:rPr>
              <w:t>indicators</w:t>
            </w:r>
            <w:proofErr w:type="gramEnd"/>
            <w:r w:rsidRPr="00B65C97">
              <w:rPr>
                <w:rFonts w:asciiTheme="minorHAnsi" w:hAnsiTheme="minorHAnsi" w:cstheme="minorHAnsi"/>
                <w:szCs w:val="22"/>
              </w:rPr>
              <w:t xml:space="preserve"> and data sources</w:t>
            </w:r>
            <w:r w:rsidR="00674E67">
              <w:rPr>
                <w:rFonts w:asciiTheme="minorHAnsi" w:hAnsiTheme="minorHAnsi" w:cstheme="minorHAnsi"/>
                <w:szCs w:val="22"/>
              </w:rPr>
              <w:t>; and</w:t>
            </w:r>
          </w:p>
          <w:p w14:paraId="7EB0103C" w14:textId="2F8D86CD" w:rsidR="002C3027" w:rsidRPr="00B65C97" w:rsidRDefault="002C3027" w:rsidP="00055F1B">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B65C97">
              <w:rPr>
                <w:rFonts w:asciiTheme="minorHAnsi" w:hAnsiTheme="minorHAnsi" w:cstheme="minorHAnsi"/>
                <w:szCs w:val="22"/>
              </w:rPr>
              <w:t>selecting appropriate types and timing of future evaluations</w:t>
            </w:r>
            <w:r w:rsidR="00674E67">
              <w:rPr>
                <w:rFonts w:asciiTheme="minorHAnsi" w:hAnsiTheme="minorHAnsi" w:cstheme="minorHAnsi"/>
                <w:szCs w:val="22"/>
              </w:rPr>
              <w:t>.</w:t>
            </w:r>
          </w:p>
          <w:p w14:paraId="477FC8D8" w14:textId="637943AE" w:rsidR="002C3027" w:rsidRPr="00B65C97" w:rsidRDefault="002C302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865D7">
              <w:rPr>
                <w:rFonts w:asciiTheme="minorHAnsi" w:hAnsiTheme="minorHAnsi" w:cstheme="minorHAnsi"/>
                <w:b/>
                <w:szCs w:val="22"/>
              </w:rPr>
              <w:t>Action 2.3</w:t>
            </w:r>
            <w:r w:rsidRPr="008865D7">
              <w:rPr>
                <w:rFonts w:asciiTheme="minorHAnsi" w:hAnsiTheme="minorHAnsi" w:cstheme="minorHAnsi"/>
                <w:szCs w:val="22"/>
              </w:rPr>
              <w:t xml:space="preserve">: </w:t>
            </w:r>
            <w:r w:rsidR="00132A4F" w:rsidRPr="008865D7">
              <w:rPr>
                <w:rFonts w:asciiTheme="minorHAnsi" w:hAnsiTheme="minorHAnsi" w:cstheme="minorHAnsi"/>
                <w:szCs w:val="22"/>
              </w:rPr>
              <w:t xml:space="preserve">Divisions </w:t>
            </w:r>
            <w:r w:rsidRPr="008865D7">
              <w:rPr>
                <w:rFonts w:asciiTheme="minorHAnsi" w:hAnsiTheme="minorHAnsi" w:cstheme="minorHAnsi"/>
                <w:szCs w:val="22"/>
              </w:rPr>
              <w:t>should ensure adequate resources are available to undertake high-quality evaluations</w:t>
            </w:r>
            <w:r w:rsidR="00F8055D" w:rsidRPr="008865D7">
              <w:rPr>
                <w:rFonts w:asciiTheme="minorHAnsi" w:hAnsiTheme="minorHAnsi" w:cstheme="minorHAnsi"/>
                <w:szCs w:val="22"/>
              </w:rPr>
              <w:t>.</w:t>
            </w:r>
          </w:p>
        </w:tc>
        <w:tc>
          <w:tcPr>
            <w:tcW w:w="3437" w:type="dxa"/>
          </w:tcPr>
          <w:p w14:paraId="674F6708" w14:textId="58241649" w:rsidR="002C3027" w:rsidRPr="008865D7" w:rsidRDefault="002C302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8865D7">
              <w:rPr>
                <w:rFonts w:asciiTheme="minorHAnsi" w:hAnsiTheme="minorHAnsi" w:cstheme="minorHAnsi"/>
                <w:b/>
                <w:szCs w:val="22"/>
              </w:rPr>
              <w:t xml:space="preserve">Action 3.1: </w:t>
            </w:r>
            <w:r w:rsidR="00132A4F" w:rsidRPr="008865D7">
              <w:rPr>
                <w:rFonts w:asciiTheme="minorHAnsi" w:hAnsiTheme="minorHAnsi" w:cstheme="minorHAnsi"/>
                <w:szCs w:val="22"/>
              </w:rPr>
              <w:t>Divisions</w:t>
            </w:r>
            <w:r w:rsidRPr="008865D7">
              <w:rPr>
                <w:rFonts w:asciiTheme="minorHAnsi" w:hAnsiTheme="minorHAnsi" w:cstheme="minorHAnsi"/>
                <w:szCs w:val="22"/>
              </w:rPr>
              <w:t>, supported by</w:t>
            </w:r>
            <w:r w:rsidR="000911BD" w:rsidRPr="008865D7">
              <w:rPr>
                <w:rFonts w:asciiTheme="minorHAnsi" w:hAnsiTheme="minorHAnsi" w:cstheme="minorHAnsi"/>
                <w:szCs w:val="22"/>
              </w:rPr>
              <w:t xml:space="preserve"> the </w:t>
            </w:r>
            <w:r w:rsidR="0071215E" w:rsidRPr="004C25E1">
              <w:rPr>
                <w:rFonts w:asciiTheme="minorHAnsi" w:hAnsiTheme="minorHAnsi" w:cstheme="minorHAnsi"/>
                <w:szCs w:val="22"/>
              </w:rPr>
              <w:t>Evaluation Centre</w:t>
            </w:r>
            <w:r w:rsidR="000911BD" w:rsidRPr="008865D7">
              <w:rPr>
                <w:rFonts w:asciiTheme="minorHAnsi" w:hAnsiTheme="minorHAnsi" w:cstheme="minorHAnsi"/>
                <w:szCs w:val="22"/>
              </w:rPr>
              <w:t xml:space="preserve">, </w:t>
            </w:r>
            <w:r w:rsidRPr="008865D7">
              <w:rPr>
                <w:rFonts w:asciiTheme="minorHAnsi" w:hAnsiTheme="minorHAnsi" w:cstheme="minorHAnsi"/>
                <w:szCs w:val="22"/>
              </w:rPr>
              <w:t>should ensure they have access to the skills required to undertake or commission evaluations consistent with the Strategy</w:t>
            </w:r>
            <w:r w:rsidR="00674E67">
              <w:rPr>
                <w:rFonts w:asciiTheme="minorHAnsi" w:hAnsiTheme="minorHAnsi" w:cstheme="minorHAnsi"/>
                <w:szCs w:val="22"/>
              </w:rPr>
              <w:t>.</w:t>
            </w:r>
          </w:p>
          <w:p w14:paraId="6C309710" w14:textId="403101DB" w:rsidR="002C3027" w:rsidRPr="008865D7" w:rsidRDefault="000911BD"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8865D7">
              <w:rPr>
                <w:rFonts w:asciiTheme="minorHAnsi" w:hAnsiTheme="minorHAnsi" w:cstheme="minorHAnsi"/>
                <w:b/>
                <w:szCs w:val="22"/>
              </w:rPr>
              <w:t>Action 3.2</w:t>
            </w:r>
            <w:r w:rsidR="002C3027" w:rsidRPr="008865D7">
              <w:rPr>
                <w:rFonts w:asciiTheme="minorHAnsi" w:hAnsiTheme="minorHAnsi" w:cstheme="minorHAnsi"/>
                <w:b/>
                <w:szCs w:val="22"/>
              </w:rPr>
              <w:t>:</w:t>
            </w:r>
            <w:r w:rsidR="002C3027" w:rsidRPr="008865D7">
              <w:rPr>
                <w:rFonts w:asciiTheme="minorHAnsi" w:hAnsiTheme="minorHAnsi" w:cstheme="minorHAnsi"/>
                <w:szCs w:val="22"/>
              </w:rPr>
              <w:t xml:space="preserve"> </w:t>
            </w:r>
            <w:r w:rsidR="00132A4F" w:rsidRPr="008865D7">
              <w:rPr>
                <w:rFonts w:asciiTheme="minorHAnsi" w:hAnsiTheme="minorHAnsi" w:cstheme="minorHAnsi"/>
                <w:szCs w:val="22"/>
              </w:rPr>
              <w:t>Divisions</w:t>
            </w:r>
            <w:r w:rsidRPr="008865D7">
              <w:rPr>
                <w:rFonts w:asciiTheme="minorHAnsi" w:hAnsiTheme="minorHAnsi" w:cstheme="minorHAnsi"/>
                <w:szCs w:val="22"/>
              </w:rPr>
              <w:t xml:space="preserve">, supported by the </w:t>
            </w:r>
            <w:r w:rsidR="0071215E" w:rsidRPr="004C25E1">
              <w:rPr>
                <w:rFonts w:asciiTheme="minorHAnsi" w:hAnsiTheme="minorHAnsi" w:cstheme="minorHAnsi"/>
                <w:szCs w:val="22"/>
              </w:rPr>
              <w:t>Evaluation Centre</w:t>
            </w:r>
            <w:r w:rsidRPr="008865D7">
              <w:rPr>
                <w:rFonts w:asciiTheme="minorHAnsi" w:hAnsiTheme="minorHAnsi" w:cstheme="minorHAnsi"/>
                <w:szCs w:val="22"/>
              </w:rPr>
              <w:t xml:space="preserve">, </w:t>
            </w:r>
            <w:r w:rsidR="002C3027" w:rsidRPr="008865D7">
              <w:rPr>
                <w:rFonts w:asciiTheme="minorHAnsi" w:hAnsiTheme="minorHAnsi" w:cstheme="minorHAnsi"/>
                <w:szCs w:val="22"/>
              </w:rPr>
              <w:t>should ensure that they have access to, or are able to collect, the data they need to effectively undertake evaluations under the Strategy</w:t>
            </w:r>
            <w:r w:rsidR="00674E67">
              <w:rPr>
                <w:rFonts w:asciiTheme="minorHAnsi" w:hAnsiTheme="minorHAnsi" w:cstheme="minorHAnsi"/>
                <w:szCs w:val="22"/>
              </w:rPr>
              <w:t>.</w:t>
            </w:r>
          </w:p>
          <w:p w14:paraId="7B836031" w14:textId="7E97D418" w:rsidR="002C3027" w:rsidRPr="008865D7" w:rsidRDefault="002C302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eastAsia="Gill Sans MT" w:hAnsiTheme="minorHAnsi" w:cstheme="minorHAnsi"/>
                <w:sz w:val="20"/>
                <w:szCs w:val="20"/>
              </w:rPr>
            </w:pPr>
            <w:r w:rsidRPr="008865D7">
              <w:rPr>
                <w:rFonts w:asciiTheme="minorHAnsi" w:hAnsiTheme="minorHAnsi" w:cstheme="minorHAnsi"/>
                <w:b/>
                <w:szCs w:val="22"/>
              </w:rPr>
              <w:t xml:space="preserve">Action </w:t>
            </w:r>
            <w:r w:rsidR="000911BD" w:rsidRPr="008865D7">
              <w:rPr>
                <w:rFonts w:asciiTheme="minorHAnsi" w:hAnsiTheme="minorHAnsi" w:cstheme="minorHAnsi"/>
                <w:b/>
                <w:szCs w:val="22"/>
              </w:rPr>
              <w:t>3</w:t>
            </w:r>
            <w:r w:rsidRPr="008865D7">
              <w:rPr>
                <w:rFonts w:asciiTheme="minorHAnsi" w:hAnsiTheme="minorHAnsi" w:cstheme="minorHAnsi"/>
                <w:b/>
                <w:szCs w:val="22"/>
              </w:rPr>
              <w:t>.</w:t>
            </w:r>
            <w:r w:rsidR="000911BD" w:rsidRPr="008865D7">
              <w:rPr>
                <w:rFonts w:asciiTheme="minorHAnsi" w:hAnsiTheme="minorHAnsi" w:cstheme="minorHAnsi"/>
                <w:b/>
                <w:szCs w:val="22"/>
              </w:rPr>
              <w:t>3</w:t>
            </w:r>
            <w:r w:rsidRPr="008865D7">
              <w:rPr>
                <w:rFonts w:asciiTheme="minorHAnsi" w:hAnsiTheme="minorHAnsi" w:cstheme="minorHAnsi"/>
                <w:b/>
                <w:szCs w:val="22"/>
              </w:rPr>
              <w:t>:</w:t>
            </w:r>
            <w:r w:rsidR="00993564" w:rsidRPr="008865D7">
              <w:rPr>
                <w:rFonts w:asciiTheme="minorHAnsi" w:hAnsiTheme="minorHAnsi" w:cstheme="minorHAnsi"/>
                <w:szCs w:val="22"/>
              </w:rPr>
              <w:t xml:space="preserve"> </w:t>
            </w:r>
            <w:r w:rsidR="0071215E" w:rsidRPr="004C25E1">
              <w:rPr>
                <w:rFonts w:asciiTheme="minorHAnsi" w:hAnsiTheme="minorHAnsi" w:cstheme="minorHAnsi"/>
                <w:szCs w:val="22"/>
              </w:rPr>
              <w:t>Evaluation Centre</w:t>
            </w:r>
            <w:r w:rsidR="00993564" w:rsidRPr="008865D7">
              <w:rPr>
                <w:rFonts w:asciiTheme="minorHAnsi" w:hAnsiTheme="minorHAnsi" w:cstheme="minorHAnsi"/>
                <w:szCs w:val="22"/>
              </w:rPr>
              <w:t xml:space="preserve">, supported by divisions, </w:t>
            </w:r>
            <w:r w:rsidRPr="008865D7">
              <w:rPr>
                <w:rFonts w:asciiTheme="minorHAnsi" w:hAnsiTheme="minorHAnsi" w:cstheme="minorHAnsi"/>
                <w:szCs w:val="22"/>
              </w:rPr>
              <w:t>should develop</w:t>
            </w:r>
            <w:r w:rsidR="00E87A8D">
              <w:rPr>
                <w:rFonts w:asciiTheme="minorHAnsi" w:hAnsiTheme="minorHAnsi" w:cstheme="minorHAnsi"/>
                <w:szCs w:val="22"/>
              </w:rPr>
              <w:t xml:space="preserve"> a</w:t>
            </w:r>
            <w:r w:rsidRPr="008865D7">
              <w:rPr>
                <w:rFonts w:asciiTheme="minorHAnsi" w:hAnsiTheme="minorHAnsi" w:cstheme="minorHAnsi"/>
                <w:szCs w:val="22"/>
              </w:rPr>
              <w:t xml:space="preserve"> catalogue of available data assets and guidance on use for evaluations (</w:t>
            </w:r>
            <w:proofErr w:type="gramStart"/>
            <w:r w:rsidRPr="008865D7">
              <w:rPr>
                <w:rFonts w:asciiTheme="minorHAnsi" w:hAnsiTheme="minorHAnsi" w:cstheme="minorHAnsi"/>
                <w:szCs w:val="22"/>
              </w:rPr>
              <w:t>e.g.</w:t>
            </w:r>
            <w:proofErr w:type="gramEnd"/>
            <w:r w:rsidRPr="008865D7">
              <w:rPr>
                <w:rFonts w:asciiTheme="minorHAnsi" w:hAnsiTheme="minorHAnsi" w:cstheme="minorHAnsi"/>
                <w:szCs w:val="22"/>
              </w:rPr>
              <w:t xml:space="preserve"> administrative and public</w:t>
            </w:r>
            <w:r w:rsidR="00E87A8D">
              <w:rPr>
                <w:rFonts w:asciiTheme="minorHAnsi" w:hAnsiTheme="minorHAnsi" w:cstheme="minorHAnsi"/>
                <w:szCs w:val="22"/>
              </w:rPr>
              <w:t>ly</w:t>
            </w:r>
            <w:r w:rsidRPr="008865D7">
              <w:rPr>
                <w:rFonts w:asciiTheme="minorHAnsi" w:hAnsiTheme="minorHAnsi" w:cstheme="minorHAnsi"/>
                <w:szCs w:val="22"/>
              </w:rPr>
              <w:t xml:space="preserve"> available longitudinal surveys)</w:t>
            </w:r>
            <w:r w:rsidR="00674E67">
              <w:rPr>
                <w:rFonts w:asciiTheme="minorHAnsi" w:hAnsiTheme="minorHAnsi" w:cstheme="minorHAnsi"/>
                <w:szCs w:val="22"/>
              </w:rPr>
              <w:t>.</w:t>
            </w:r>
          </w:p>
        </w:tc>
        <w:tc>
          <w:tcPr>
            <w:tcW w:w="3438" w:type="dxa"/>
          </w:tcPr>
          <w:p w14:paraId="275C7730" w14:textId="14D7CE44" w:rsidR="002C3027" w:rsidRPr="008865D7" w:rsidRDefault="002C302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8865D7">
              <w:rPr>
                <w:rFonts w:asciiTheme="minorHAnsi" w:hAnsiTheme="minorHAnsi" w:cstheme="minorHAnsi"/>
                <w:b/>
                <w:szCs w:val="22"/>
              </w:rPr>
              <w:t xml:space="preserve">Action </w:t>
            </w:r>
            <w:r w:rsidR="007D7167" w:rsidRPr="008865D7">
              <w:rPr>
                <w:rFonts w:asciiTheme="minorHAnsi" w:hAnsiTheme="minorHAnsi" w:cstheme="minorHAnsi"/>
                <w:b/>
                <w:szCs w:val="22"/>
              </w:rPr>
              <w:t>4</w:t>
            </w:r>
            <w:r w:rsidRPr="008865D7">
              <w:rPr>
                <w:rFonts w:asciiTheme="minorHAnsi" w:hAnsiTheme="minorHAnsi" w:cstheme="minorHAnsi"/>
                <w:b/>
                <w:szCs w:val="22"/>
              </w:rPr>
              <w:t>.1:</w:t>
            </w:r>
            <w:r w:rsidRPr="008865D7">
              <w:rPr>
                <w:rFonts w:asciiTheme="minorHAnsi" w:hAnsiTheme="minorHAnsi" w:cstheme="minorHAnsi"/>
                <w:szCs w:val="22"/>
              </w:rPr>
              <w:t xml:space="preserve"> Regular publication of important evaluation reports</w:t>
            </w:r>
            <w:r w:rsidR="00E87A8D">
              <w:rPr>
                <w:rFonts w:asciiTheme="minorHAnsi" w:hAnsiTheme="minorHAnsi" w:cstheme="minorHAnsi"/>
                <w:szCs w:val="22"/>
              </w:rPr>
              <w:t xml:space="preserve"> either</w:t>
            </w:r>
            <w:r w:rsidRPr="008865D7">
              <w:rPr>
                <w:rFonts w:asciiTheme="minorHAnsi" w:hAnsiTheme="minorHAnsi" w:cstheme="minorHAnsi"/>
                <w:szCs w:val="22"/>
              </w:rPr>
              <w:t xml:space="preserve"> in </w:t>
            </w:r>
            <w:r w:rsidR="00E87A8D">
              <w:rPr>
                <w:rFonts w:asciiTheme="minorHAnsi" w:hAnsiTheme="minorHAnsi" w:cstheme="minorHAnsi"/>
                <w:szCs w:val="22"/>
              </w:rPr>
              <w:t>their</w:t>
            </w:r>
            <w:r w:rsidR="00E87A8D" w:rsidRPr="008865D7">
              <w:rPr>
                <w:rFonts w:asciiTheme="minorHAnsi" w:hAnsiTheme="minorHAnsi" w:cstheme="minorHAnsi"/>
                <w:szCs w:val="22"/>
              </w:rPr>
              <w:t xml:space="preserve"> </w:t>
            </w:r>
            <w:r w:rsidRPr="008865D7">
              <w:rPr>
                <w:rFonts w:asciiTheme="minorHAnsi" w:hAnsiTheme="minorHAnsi" w:cstheme="minorHAnsi"/>
                <w:szCs w:val="22"/>
              </w:rPr>
              <w:t xml:space="preserve">entirety or </w:t>
            </w:r>
            <w:r w:rsidR="00E87A8D">
              <w:rPr>
                <w:rFonts w:asciiTheme="minorHAnsi" w:hAnsiTheme="minorHAnsi" w:cstheme="minorHAnsi"/>
                <w:szCs w:val="22"/>
              </w:rPr>
              <w:t xml:space="preserve">using </w:t>
            </w:r>
            <w:r w:rsidRPr="008865D7">
              <w:rPr>
                <w:rFonts w:asciiTheme="minorHAnsi" w:hAnsiTheme="minorHAnsi" w:cstheme="minorHAnsi"/>
                <w:szCs w:val="22"/>
              </w:rPr>
              <w:t>executive summar</w:t>
            </w:r>
            <w:r w:rsidR="00E87A8D">
              <w:rPr>
                <w:rFonts w:asciiTheme="minorHAnsi" w:hAnsiTheme="minorHAnsi" w:cstheme="minorHAnsi"/>
                <w:szCs w:val="22"/>
              </w:rPr>
              <w:t>ies</w:t>
            </w:r>
            <w:r w:rsidR="00674E67">
              <w:rPr>
                <w:rFonts w:asciiTheme="minorHAnsi" w:hAnsiTheme="minorHAnsi" w:cstheme="minorHAnsi"/>
                <w:szCs w:val="22"/>
              </w:rPr>
              <w:t>.</w:t>
            </w:r>
          </w:p>
          <w:p w14:paraId="21552310" w14:textId="3E3DBCC7" w:rsidR="002C3027" w:rsidRPr="008865D7" w:rsidRDefault="007D716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8865D7">
              <w:rPr>
                <w:rFonts w:asciiTheme="minorHAnsi" w:hAnsiTheme="minorHAnsi" w:cstheme="minorHAnsi"/>
                <w:b/>
                <w:szCs w:val="22"/>
              </w:rPr>
              <w:t>Action 4</w:t>
            </w:r>
            <w:r w:rsidR="002C3027" w:rsidRPr="008865D7">
              <w:rPr>
                <w:rFonts w:asciiTheme="minorHAnsi" w:hAnsiTheme="minorHAnsi" w:cstheme="minorHAnsi"/>
                <w:b/>
                <w:szCs w:val="22"/>
              </w:rPr>
              <w:t xml:space="preserve">.2: </w:t>
            </w:r>
            <w:r w:rsidR="0071215E" w:rsidRPr="004C25E1">
              <w:rPr>
                <w:rFonts w:asciiTheme="minorHAnsi" w:hAnsiTheme="minorHAnsi" w:cstheme="minorHAnsi"/>
                <w:szCs w:val="22"/>
              </w:rPr>
              <w:t>Evaluation Centre</w:t>
            </w:r>
            <w:r w:rsidR="000A0196" w:rsidRPr="008865D7">
              <w:rPr>
                <w:rFonts w:asciiTheme="minorHAnsi" w:hAnsiTheme="minorHAnsi" w:cstheme="minorHAnsi"/>
                <w:szCs w:val="22"/>
              </w:rPr>
              <w:t xml:space="preserve">, supported by </w:t>
            </w:r>
            <w:r w:rsidR="00132A4F" w:rsidRPr="008865D7">
              <w:rPr>
                <w:rFonts w:asciiTheme="minorHAnsi" w:hAnsiTheme="minorHAnsi" w:cstheme="minorHAnsi"/>
                <w:szCs w:val="22"/>
              </w:rPr>
              <w:t>divisions</w:t>
            </w:r>
            <w:r w:rsidR="000A0196" w:rsidRPr="008865D7">
              <w:rPr>
                <w:rFonts w:asciiTheme="minorHAnsi" w:hAnsiTheme="minorHAnsi" w:cstheme="minorHAnsi"/>
                <w:szCs w:val="22"/>
              </w:rPr>
              <w:t xml:space="preserve">, </w:t>
            </w:r>
            <w:r w:rsidR="002C3027" w:rsidRPr="008865D7">
              <w:rPr>
                <w:rFonts w:asciiTheme="minorHAnsi" w:hAnsiTheme="minorHAnsi" w:cstheme="minorHAnsi"/>
                <w:szCs w:val="22"/>
              </w:rPr>
              <w:t>should establish an evaluation clearing house as a repository for reports of evaluations of departmental policies and programs on Evaluation Hub SharePoint Site</w:t>
            </w:r>
            <w:r w:rsidR="00674E67">
              <w:rPr>
                <w:rFonts w:asciiTheme="minorHAnsi" w:hAnsiTheme="minorHAnsi" w:cstheme="minorHAnsi"/>
                <w:szCs w:val="22"/>
              </w:rPr>
              <w:t>.</w:t>
            </w:r>
          </w:p>
          <w:p w14:paraId="5A2EE03F" w14:textId="1055D529" w:rsidR="002C3027" w:rsidRDefault="007D7167" w:rsidP="008865D7">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8865D7">
              <w:rPr>
                <w:rFonts w:asciiTheme="minorHAnsi" w:hAnsiTheme="minorHAnsi" w:cstheme="minorHAnsi"/>
                <w:b/>
                <w:szCs w:val="22"/>
              </w:rPr>
              <w:t>Action 4</w:t>
            </w:r>
            <w:r w:rsidR="002C3027" w:rsidRPr="008865D7">
              <w:rPr>
                <w:rFonts w:asciiTheme="minorHAnsi" w:hAnsiTheme="minorHAnsi" w:cstheme="minorHAnsi"/>
                <w:b/>
                <w:szCs w:val="22"/>
              </w:rPr>
              <w:t>.3:</w:t>
            </w:r>
            <w:r w:rsidR="002C3027" w:rsidRPr="008865D7">
              <w:rPr>
                <w:rFonts w:asciiTheme="minorHAnsi" w:hAnsiTheme="minorHAnsi" w:cstheme="minorHAnsi"/>
                <w:szCs w:val="22"/>
              </w:rPr>
              <w:t xml:space="preserve"> </w:t>
            </w:r>
            <w:r w:rsidR="00132A4F" w:rsidRPr="008865D7">
              <w:rPr>
                <w:rFonts w:asciiTheme="minorHAnsi" w:hAnsiTheme="minorHAnsi" w:cstheme="minorHAnsi"/>
                <w:szCs w:val="22"/>
              </w:rPr>
              <w:t>Divisions</w:t>
            </w:r>
            <w:r w:rsidR="000A0196" w:rsidRPr="008865D7">
              <w:rPr>
                <w:rFonts w:asciiTheme="minorHAnsi" w:hAnsiTheme="minorHAnsi" w:cstheme="minorHAnsi"/>
                <w:szCs w:val="22"/>
              </w:rPr>
              <w:t>, supported by the</w:t>
            </w:r>
            <w:r w:rsidR="0071215E">
              <w:rPr>
                <w:rFonts w:asciiTheme="minorHAnsi" w:hAnsiTheme="minorHAnsi" w:cstheme="minorHAnsi"/>
                <w:szCs w:val="22"/>
              </w:rPr>
              <w:t xml:space="preserve"> </w:t>
            </w:r>
            <w:r w:rsidR="0071215E" w:rsidRPr="004C25E1">
              <w:rPr>
                <w:rFonts w:asciiTheme="minorHAnsi" w:hAnsiTheme="minorHAnsi" w:cstheme="minorHAnsi"/>
                <w:szCs w:val="22"/>
              </w:rPr>
              <w:t>Evaluation Centre</w:t>
            </w:r>
            <w:r w:rsidR="000A0196" w:rsidRPr="008865D7">
              <w:rPr>
                <w:rFonts w:asciiTheme="minorHAnsi" w:hAnsiTheme="minorHAnsi" w:cstheme="minorHAnsi"/>
                <w:szCs w:val="22"/>
              </w:rPr>
              <w:t>,</w:t>
            </w:r>
            <w:r w:rsidR="002C3027" w:rsidRPr="008865D7">
              <w:rPr>
                <w:rFonts w:asciiTheme="minorHAnsi" w:hAnsiTheme="minorHAnsi" w:cstheme="minorHAnsi"/>
                <w:szCs w:val="22"/>
              </w:rPr>
              <w:t xml:space="preserve"> should refer</w:t>
            </w:r>
            <w:r w:rsidR="00E87A8D">
              <w:rPr>
                <w:rFonts w:asciiTheme="minorHAnsi" w:hAnsiTheme="minorHAnsi" w:cstheme="minorHAnsi"/>
                <w:szCs w:val="22"/>
              </w:rPr>
              <w:t xml:space="preserve"> to</w:t>
            </w:r>
            <w:r w:rsidR="002C3027" w:rsidRPr="008865D7">
              <w:rPr>
                <w:rFonts w:asciiTheme="minorHAnsi" w:hAnsiTheme="minorHAnsi" w:cstheme="minorHAnsi"/>
                <w:szCs w:val="22"/>
              </w:rPr>
              <w:t xml:space="preserve"> </w:t>
            </w:r>
            <w:r w:rsidR="000A0196" w:rsidRPr="008865D7">
              <w:rPr>
                <w:rFonts w:asciiTheme="minorHAnsi" w:hAnsiTheme="minorHAnsi" w:cstheme="minorHAnsi"/>
                <w:szCs w:val="22"/>
              </w:rPr>
              <w:t xml:space="preserve">past relevant evaluations when developing </w:t>
            </w:r>
            <w:r w:rsidR="002C3027" w:rsidRPr="008865D7">
              <w:rPr>
                <w:rFonts w:asciiTheme="minorHAnsi" w:hAnsiTheme="minorHAnsi" w:cstheme="minorHAnsi"/>
                <w:szCs w:val="22"/>
              </w:rPr>
              <w:t>new policies or programs</w:t>
            </w:r>
            <w:r w:rsidR="00674E67">
              <w:rPr>
                <w:rFonts w:asciiTheme="minorHAnsi" w:hAnsiTheme="minorHAnsi" w:cstheme="minorHAnsi"/>
                <w:szCs w:val="22"/>
              </w:rPr>
              <w:t>.</w:t>
            </w:r>
          </w:p>
          <w:p w14:paraId="7D9A7215" w14:textId="248A50F8" w:rsidR="002C3027" w:rsidRPr="00B65C97" w:rsidRDefault="00364515" w:rsidP="00364515">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64515">
              <w:rPr>
                <w:rFonts w:asciiTheme="minorHAnsi" w:hAnsiTheme="minorHAnsi" w:cstheme="minorHAnsi"/>
                <w:b/>
                <w:szCs w:val="22"/>
              </w:rPr>
              <w:t>Action 4.4:</w:t>
            </w:r>
            <w:r>
              <w:t xml:space="preserve"> </w:t>
            </w:r>
            <w:r w:rsidRPr="00364515">
              <w:rPr>
                <w:rFonts w:asciiTheme="minorHAnsi" w:hAnsiTheme="minorHAnsi" w:cstheme="minorHAnsi"/>
                <w:szCs w:val="22"/>
              </w:rPr>
              <w:t>Executive</w:t>
            </w:r>
            <w:r>
              <w:rPr>
                <w:rFonts w:asciiTheme="minorHAnsi" w:hAnsiTheme="minorHAnsi" w:cstheme="minorHAnsi"/>
                <w:szCs w:val="22"/>
              </w:rPr>
              <w:t>s c</w:t>
            </w:r>
            <w:r w:rsidRPr="00364515">
              <w:rPr>
                <w:rFonts w:asciiTheme="minorHAnsi" w:hAnsiTheme="minorHAnsi" w:cstheme="minorHAnsi"/>
                <w:szCs w:val="22"/>
              </w:rPr>
              <w:t>hampion</w:t>
            </w:r>
            <w:r>
              <w:rPr>
                <w:rFonts w:asciiTheme="minorHAnsi" w:hAnsiTheme="minorHAnsi" w:cstheme="minorHAnsi"/>
                <w:szCs w:val="22"/>
              </w:rPr>
              <w:t xml:space="preserve"> </w:t>
            </w:r>
            <w:r w:rsidRPr="00364515">
              <w:rPr>
                <w:rFonts w:asciiTheme="minorHAnsi" w:hAnsiTheme="minorHAnsi" w:cstheme="minorHAnsi"/>
                <w:szCs w:val="22"/>
              </w:rPr>
              <w:t>the use of evaluation to inform strategic decision-making</w:t>
            </w:r>
            <w:r>
              <w:rPr>
                <w:rFonts w:asciiTheme="minorHAnsi" w:hAnsiTheme="minorHAnsi" w:cstheme="minorHAnsi"/>
                <w:szCs w:val="22"/>
              </w:rPr>
              <w:t>.</w:t>
            </w:r>
          </w:p>
        </w:tc>
      </w:tr>
      <w:tr w:rsidR="00A40B57" w:rsidRPr="00417402" w14:paraId="1D025F2F" w14:textId="40084454" w:rsidTr="008865D7">
        <w:tc>
          <w:tcPr>
            <w:cnfStyle w:val="001000000000" w:firstRow="0" w:lastRow="0" w:firstColumn="1" w:lastColumn="0" w:oddVBand="0" w:evenVBand="0" w:oddHBand="0" w:evenHBand="0" w:firstRowFirstColumn="0" w:firstRowLastColumn="0" w:lastRowFirstColumn="0" w:lastRowLastColumn="0"/>
            <w:tcW w:w="15168" w:type="dxa"/>
            <w:gridSpan w:val="6"/>
          </w:tcPr>
          <w:p w14:paraId="18321EF6" w14:textId="49F24B75" w:rsidR="00A40B57" w:rsidRPr="003D590B" w:rsidRDefault="00A40B57" w:rsidP="008865D7">
            <w:pPr>
              <w:rPr>
                <w:rFonts w:asciiTheme="minorHAnsi" w:hAnsiTheme="minorHAnsi" w:cstheme="minorHAnsi"/>
                <w:b w:val="0"/>
                <w:bCs w:val="0"/>
                <w:sz w:val="20"/>
                <w:szCs w:val="20"/>
              </w:rPr>
            </w:pPr>
            <w:r w:rsidRPr="00026A9B">
              <w:rPr>
                <w:rFonts w:asciiTheme="minorHAnsi" w:hAnsiTheme="minorHAnsi" w:cstheme="minorHAnsi"/>
                <w:sz w:val="20"/>
                <w:szCs w:val="20"/>
              </w:rPr>
              <w:t xml:space="preserve">Guided by the Productivity Commission’s </w:t>
            </w:r>
            <w:r w:rsidRPr="00026A9B">
              <w:rPr>
                <w:rFonts w:asciiTheme="minorHAnsi" w:hAnsiTheme="minorHAnsi" w:cstheme="minorHAnsi"/>
                <w:i/>
                <w:sz w:val="20"/>
                <w:szCs w:val="20"/>
              </w:rPr>
              <w:t>Indigenous Evaluation Strategy 2020</w:t>
            </w:r>
            <w:r w:rsidRPr="00026A9B">
              <w:rPr>
                <w:rFonts w:asciiTheme="minorHAnsi" w:hAnsiTheme="minorHAnsi" w:cstheme="minorHAnsi"/>
                <w:sz w:val="20"/>
                <w:szCs w:val="20"/>
              </w:rPr>
              <w:t xml:space="preserve">, </w:t>
            </w:r>
            <w:r w:rsidR="00153186" w:rsidRPr="00026A9B">
              <w:rPr>
                <w:rFonts w:asciiTheme="minorHAnsi" w:hAnsiTheme="minorHAnsi" w:cstheme="minorHAnsi"/>
                <w:sz w:val="20"/>
                <w:szCs w:val="20"/>
              </w:rPr>
              <w:t>Commonwealth Evaluation Policy</w:t>
            </w:r>
            <w:r w:rsidRPr="00026A9B">
              <w:rPr>
                <w:rFonts w:asciiTheme="minorHAnsi" w:hAnsiTheme="minorHAnsi" w:cstheme="minorHAnsi"/>
                <w:i/>
                <w:sz w:val="20"/>
                <w:szCs w:val="20"/>
              </w:rPr>
              <w:t>, Health Performance Measurement and Reporting Framework</w:t>
            </w:r>
            <w:r w:rsidRPr="00026A9B">
              <w:rPr>
                <w:rFonts w:asciiTheme="minorHAnsi" w:hAnsiTheme="minorHAnsi" w:cstheme="minorHAnsi"/>
                <w:i/>
                <w:szCs w:val="22"/>
              </w:rPr>
              <w:t xml:space="preserve"> </w:t>
            </w:r>
          </w:p>
        </w:tc>
      </w:tr>
      <w:tr w:rsidR="003D4369" w:rsidRPr="00417402" w14:paraId="347E6D05" w14:textId="77777777" w:rsidTr="00886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8" w:type="dxa"/>
            <w:gridSpan w:val="6"/>
          </w:tcPr>
          <w:p w14:paraId="1E581731" w14:textId="77689FD3" w:rsidR="003D4369" w:rsidRPr="003D590B" w:rsidRDefault="00503797" w:rsidP="008865D7">
            <w:pPr>
              <w:rPr>
                <w:rFonts w:asciiTheme="minorHAnsi" w:hAnsiTheme="minorHAnsi" w:cstheme="minorHAnsi"/>
                <w:b w:val="0"/>
                <w:bCs w:val="0"/>
                <w:i/>
                <w:sz w:val="18"/>
                <w:szCs w:val="18"/>
              </w:rPr>
            </w:pPr>
            <w:r w:rsidRPr="00026A9B">
              <w:rPr>
                <w:rFonts w:asciiTheme="minorHAnsi" w:hAnsiTheme="minorHAnsi" w:cstheme="minorHAnsi"/>
                <w:i/>
                <w:sz w:val="18"/>
                <w:szCs w:val="18"/>
              </w:rPr>
              <w:t>*</w:t>
            </w:r>
            <w:r w:rsidR="003D4369" w:rsidRPr="00026A9B">
              <w:rPr>
                <w:rFonts w:asciiTheme="minorHAnsi" w:hAnsiTheme="minorHAnsi" w:cstheme="minorHAnsi"/>
                <w:i/>
                <w:sz w:val="18"/>
                <w:szCs w:val="18"/>
              </w:rPr>
              <w:t>Strategy includes evaluation of new and existing policies and programs</w:t>
            </w:r>
            <w:r w:rsidR="00A40B57" w:rsidRPr="00026A9B">
              <w:rPr>
                <w:rFonts w:asciiTheme="minorHAnsi" w:hAnsiTheme="minorHAnsi" w:cstheme="minorHAnsi"/>
                <w:i/>
                <w:sz w:val="18"/>
                <w:szCs w:val="18"/>
              </w:rPr>
              <w:t xml:space="preserve"> and</w:t>
            </w:r>
            <w:r w:rsidR="003D4369" w:rsidRPr="00026A9B">
              <w:rPr>
                <w:rFonts w:asciiTheme="minorHAnsi" w:hAnsiTheme="minorHAnsi" w:cstheme="minorHAnsi"/>
                <w:i/>
                <w:sz w:val="18"/>
                <w:szCs w:val="18"/>
              </w:rPr>
              <w:t xml:space="preserve"> corporate services but excludes pharmaceuticals, medical </w:t>
            </w:r>
            <w:proofErr w:type="gramStart"/>
            <w:r w:rsidR="003D4369" w:rsidRPr="00026A9B">
              <w:rPr>
                <w:rFonts w:asciiTheme="minorHAnsi" w:hAnsiTheme="minorHAnsi" w:cstheme="minorHAnsi"/>
                <w:i/>
                <w:sz w:val="18"/>
                <w:szCs w:val="18"/>
              </w:rPr>
              <w:t>devices</w:t>
            </w:r>
            <w:proofErr w:type="gramEnd"/>
            <w:r w:rsidR="003D4369" w:rsidRPr="00026A9B">
              <w:rPr>
                <w:rFonts w:asciiTheme="minorHAnsi" w:hAnsiTheme="minorHAnsi" w:cstheme="minorHAnsi"/>
                <w:i/>
                <w:sz w:val="18"/>
                <w:szCs w:val="18"/>
              </w:rPr>
              <w:t xml:space="preserve"> and medical procedures.  </w:t>
            </w:r>
          </w:p>
        </w:tc>
      </w:tr>
    </w:tbl>
    <w:p w14:paraId="5E28D7B0" w14:textId="03C85845" w:rsidR="0051242B" w:rsidRPr="001F2F78" w:rsidRDefault="0051242B" w:rsidP="00737186">
      <w:pPr>
        <w:tabs>
          <w:tab w:val="left" w:pos="4405"/>
        </w:tabs>
      </w:pPr>
    </w:p>
    <w:sectPr w:rsidR="0051242B" w:rsidRPr="001F2F78" w:rsidSect="008865D7">
      <w:headerReference w:type="even" r:id="rId21"/>
      <w:headerReference w:type="default" r:id="rId22"/>
      <w:footerReference w:type="default" r:id="rId23"/>
      <w:headerReference w:type="first" r:id="rId24"/>
      <w:pgSz w:w="16840" w:h="11907" w:orient="landscape" w:code="9"/>
      <w:pgMar w:top="851" w:right="170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AAA4" w14:textId="77777777" w:rsidR="00D26CEE" w:rsidRDefault="00D26CEE" w:rsidP="006B56BB">
      <w:r>
        <w:separator/>
      </w:r>
    </w:p>
    <w:p w14:paraId="024CFB1F" w14:textId="77777777" w:rsidR="00D26CEE" w:rsidRDefault="00D26CEE"/>
  </w:endnote>
  <w:endnote w:type="continuationSeparator" w:id="0">
    <w:p w14:paraId="6C490F34" w14:textId="77777777" w:rsidR="00D26CEE" w:rsidRDefault="00D26CEE" w:rsidP="006B56BB">
      <w:r>
        <w:continuationSeparator/>
      </w:r>
    </w:p>
    <w:p w14:paraId="49D92A29" w14:textId="77777777" w:rsidR="00D26CEE" w:rsidRDefault="00D26CEE"/>
  </w:endnote>
  <w:endnote w:type="continuationNotice" w:id="1">
    <w:p w14:paraId="6AFEDEAB" w14:textId="77777777" w:rsidR="00D26CEE" w:rsidRDefault="00D2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07D7" w14:textId="77777777" w:rsidR="008D32C3" w:rsidRDefault="008D32C3" w:rsidP="00C05CC9">
    <w:pPr>
      <w:pStyle w:val="Footer"/>
    </w:pPr>
    <w:r>
      <w:fldChar w:fldCharType="begin"/>
    </w:r>
    <w:r>
      <w:instrText xml:space="preserve"> PAGE   \* MERGEFORMAT </w:instrText>
    </w:r>
    <w:r>
      <w:fldChar w:fldCharType="separate"/>
    </w:r>
    <w:r>
      <w:rPr>
        <w:noProof/>
      </w:rPr>
      <w:t>34</w:t>
    </w:r>
    <w:r>
      <w:rPr>
        <w:noProof/>
      </w:rPr>
      <w:fldChar w:fldCharType="end"/>
    </w:r>
    <w:r w:rsidRPr="000D56E4">
      <w:tab/>
    </w:r>
    <w:r w:rsidRPr="009B77F9">
      <w:rPr>
        <w:b/>
        <w:color w:val="FF0000"/>
      </w:rPr>
      <w:t>DRAFT</w:t>
    </w:r>
    <w:r>
      <w:rPr>
        <w:b/>
        <w:color w:val="FF0000"/>
      </w:rPr>
      <w:t xml:space="preserve"> – NOT FOR FURTHER CIRCULATION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256791902"/>
      <w:docPartObj>
        <w:docPartGallery w:val="Page Numbers (Bottom of Page)"/>
        <w:docPartUnique/>
      </w:docPartObj>
    </w:sdtPr>
    <w:sdtContent>
      <w:p w14:paraId="6B0C95F6" w14:textId="7CDFF7DB" w:rsidR="008D32C3" w:rsidRPr="002B1484" w:rsidRDefault="008D32C3" w:rsidP="004E697D">
        <w:pPr>
          <w:pStyle w:val="Footer"/>
          <w:tabs>
            <w:tab w:val="clear" w:pos="9026"/>
            <w:tab w:val="right" w:pos="12758"/>
          </w:tabs>
          <w:rPr>
            <w:sz w:val="18"/>
          </w:rPr>
        </w:pPr>
        <w:r>
          <w:rPr>
            <w:sz w:val="18"/>
          </w:rPr>
          <w:t>Department of Health</w:t>
        </w:r>
        <w:r w:rsidR="0013044F">
          <w:rPr>
            <w:sz w:val="18"/>
          </w:rPr>
          <w:t xml:space="preserve"> and Aged Care</w:t>
        </w:r>
        <w:r>
          <w:rPr>
            <w:sz w:val="18"/>
          </w:rPr>
          <w:t xml:space="preserve"> Evaluation Strategy 202</w:t>
        </w:r>
        <w:r w:rsidR="00034AB3">
          <w:rPr>
            <w:sz w:val="18"/>
          </w:rPr>
          <w:t>3</w:t>
        </w:r>
        <w:r>
          <w:rPr>
            <w:sz w:val="18"/>
          </w:rPr>
          <w:t>-2</w:t>
        </w:r>
        <w:r w:rsidR="00034AB3">
          <w:rPr>
            <w:sz w:val="18"/>
          </w:rPr>
          <w:t>6</w:t>
        </w:r>
        <w:r w:rsidRPr="002B1484">
          <w:rPr>
            <w:sz w:val="18"/>
          </w:rPr>
          <w:tab/>
        </w:r>
        <w:r w:rsidRPr="002B1484">
          <w:rPr>
            <w:sz w:val="18"/>
          </w:rPr>
          <w:fldChar w:fldCharType="begin"/>
        </w:r>
        <w:r w:rsidRPr="002B1484">
          <w:rPr>
            <w:sz w:val="18"/>
          </w:rPr>
          <w:instrText xml:space="preserve"> PAGE   \* MERGEFORMAT </w:instrText>
        </w:r>
        <w:r w:rsidRPr="002B1484">
          <w:rPr>
            <w:sz w:val="18"/>
          </w:rPr>
          <w:fldChar w:fldCharType="separate"/>
        </w:r>
        <w:r>
          <w:rPr>
            <w:sz w:val="18"/>
          </w:rPr>
          <w:t>7</w:t>
        </w:r>
        <w:r w:rsidRPr="002B1484">
          <w:rPr>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702238"/>
      <w:docPartObj>
        <w:docPartGallery w:val="Page Numbers (Bottom of Page)"/>
        <w:docPartUnique/>
      </w:docPartObj>
    </w:sdtPr>
    <w:sdtEndPr>
      <w:rPr>
        <w:noProof/>
      </w:rPr>
    </w:sdtEndPr>
    <w:sdtContent>
      <w:p w14:paraId="7B2CDA06" w14:textId="409AD9E4" w:rsidR="008D32C3" w:rsidRDefault="008D32C3" w:rsidP="00C05CC9">
        <w:pPr>
          <w:pStyle w:val="Footer"/>
        </w:pPr>
        <w:r>
          <w:t>Insert document title</w:t>
        </w:r>
        <w:r>
          <w:tab/>
        </w: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1B4A" w14:textId="3498CC6C" w:rsidR="008D32C3" w:rsidRPr="00751A23" w:rsidRDefault="008D32C3" w:rsidP="00890196">
    <w:pPr>
      <w:pStyle w:val="Footer"/>
      <w:tabs>
        <w:tab w:val="clear" w:pos="4513"/>
        <w:tab w:val="clear" w:pos="9026"/>
        <w:tab w:val="center" w:pos="0"/>
        <w:tab w:val="left" w:pos="12474"/>
        <w:tab w:val="right" w:pos="12758"/>
      </w:tabs>
      <w:jc w:val="both"/>
      <w:rPr>
        <w:szCs w:val="20"/>
      </w:rPr>
    </w:pPr>
    <w:r>
      <w:rPr>
        <w:sz w:val="18"/>
      </w:rPr>
      <w:t xml:space="preserve">Department of Health </w:t>
    </w:r>
    <w:r w:rsidR="009E6CF8">
      <w:rPr>
        <w:sz w:val="18"/>
      </w:rPr>
      <w:t xml:space="preserve">and Aged Care </w:t>
    </w:r>
    <w:r>
      <w:rPr>
        <w:sz w:val="18"/>
      </w:rPr>
      <w:t>Evaluation Strategy 202</w:t>
    </w:r>
    <w:r w:rsidR="008615B1">
      <w:rPr>
        <w:sz w:val="18"/>
      </w:rPr>
      <w:t>3</w:t>
    </w:r>
    <w:r>
      <w:rPr>
        <w:sz w:val="18"/>
      </w:rPr>
      <w:t>-2</w:t>
    </w:r>
    <w:r w:rsidR="008615B1">
      <w:rPr>
        <w:sz w:val="18"/>
      </w:rPr>
      <w:t>6</w:t>
    </w:r>
    <w:r w:rsidRPr="002B1484">
      <w:rPr>
        <w:sz w:val="18"/>
      </w:rPr>
      <w:tab/>
    </w:r>
    <w:r>
      <w:rPr>
        <w:szCs w:val="20"/>
      </w:rPr>
      <w:tab/>
    </w:r>
    <w:r w:rsidRPr="004E697D">
      <w:rPr>
        <w:sz w:val="18"/>
        <w:szCs w:val="18"/>
      </w:rPr>
      <w:fldChar w:fldCharType="begin"/>
    </w:r>
    <w:r w:rsidRPr="004E697D">
      <w:rPr>
        <w:sz w:val="18"/>
        <w:szCs w:val="18"/>
      </w:rPr>
      <w:instrText xml:space="preserve"> PAGE   \* MERGEFORMAT </w:instrText>
    </w:r>
    <w:r w:rsidRPr="004E697D">
      <w:rPr>
        <w:sz w:val="18"/>
        <w:szCs w:val="18"/>
      </w:rPr>
      <w:fldChar w:fldCharType="separate"/>
    </w:r>
    <w:r w:rsidRPr="004E697D">
      <w:rPr>
        <w:noProof/>
        <w:sz w:val="18"/>
        <w:szCs w:val="18"/>
      </w:rPr>
      <w:t>15</w:t>
    </w:r>
    <w:r w:rsidRPr="004E697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FAEB" w14:textId="77777777" w:rsidR="00D26CEE" w:rsidRDefault="00D26CEE" w:rsidP="006B56BB">
      <w:r>
        <w:separator/>
      </w:r>
    </w:p>
    <w:p w14:paraId="7A70D1D3" w14:textId="77777777" w:rsidR="00D26CEE" w:rsidRDefault="00D26CEE"/>
  </w:footnote>
  <w:footnote w:type="continuationSeparator" w:id="0">
    <w:p w14:paraId="73AFD9C9" w14:textId="77777777" w:rsidR="00D26CEE" w:rsidRDefault="00D26CEE" w:rsidP="006B56BB">
      <w:r>
        <w:continuationSeparator/>
      </w:r>
    </w:p>
    <w:p w14:paraId="3C42EC5B" w14:textId="77777777" w:rsidR="00D26CEE" w:rsidRDefault="00D26CEE"/>
  </w:footnote>
  <w:footnote w:type="continuationNotice" w:id="1">
    <w:p w14:paraId="2D5FB3DA" w14:textId="77777777" w:rsidR="00D26CEE" w:rsidRDefault="00D26CEE"/>
  </w:footnote>
  <w:footnote w:id="2">
    <w:p w14:paraId="7359317F" w14:textId="3900439B" w:rsidR="008D32C3" w:rsidRDefault="008D32C3">
      <w:pPr>
        <w:pStyle w:val="FootnoteText"/>
      </w:pPr>
      <w:r>
        <w:rPr>
          <w:rStyle w:val="FootnoteReference"/>
        </w:rPr>
        <w:footnoteRef/>
      </w:r>
      <w:r>
        <w:t xml:space="preserve"> </w:t>
      </w:r>
      <w:r w:rsidRPr="00564F20">
        <w:rPr>
          <w:rFonts w:asciiTheme="minorHAnsi" w:hAnsiTheme="minorHAnsi" w:cstheme="minorHAnsi"/>
          <w:sz w:val="18"/>
          <w:szCs w:val="18"/>
        </w:rPr>
        <w:t>Policies and programs are generic terms which include a policy, program, project or strategy or any types of intervention (herein collectively referred to as a policy or program) in this strategy.</w:t>
      </w:r>
      <w:r>
        <w:t xml:space="preserve"> </w:t>
      </w:r>
    </w:p>
  </w:footnote>
  <w:footnote w:id="3">
    <w:p w14:paraId="1E953FFC" w14:textId="534DDA55" w:rsidR="008D32C3" w:rsidRDefault="008D32C3">
      <w:pPr>
        <w:pStyle w:val="FootnoteText"/>
      </w:pPr>
      <w:r>
        <w:rPr>
          <w:rStyle w:val="FootnoteReference"/>
        </w:rPr>
        <w:footnoteRef/>
      </w:r>
      <w:r>
        <w:t xml:space="preserve"> </w:t>
      </w:r>
      <w:r w:rsidRPr="00564F20">
        <w:rPr>
          <w:rFonts w:asciiTheme="minorHAnsi" w:hAnsiTheme="minorHAnsi" w:cstheme="minorHAnsi"/>
          <w:sz w:val="18"/>
          <w:szCs w:val="18"/>
        </w:rPr>
        <w:t>Department of Finance (2021), Commonwealth Evaluation Policy and Toolkit.</w:t>
      </w:r>
    </w:p>
  </w:footnote>
  <w:footnote w:id="4">
    <w:p w14:paraId="7B04C166" w14:textId="77777777" w:rsidR="008D32C3" w:rsidRPr="003646FB" w:rsidRDefault="008D32C3" w:rsidP="00CF3377">
      <w:pPr>
        <w:pStyle w:val="FootnoteText"/>
        <w:rPr>
          <w:sz w:val="18"/>
        </w:rPr>
      </w:pPr>
      <w:r>
        <w:rPr>
          <w:rStyle w:val="FootnoteReference"/>
        </w:rPr>
        <w:footnoteRef/>
      </w:r>
      <w:r>
        <w:t xml:space="preserve"> </w:t>
      </w:r>
      <w:r w:rsidRPr="00B65C97">
        <w:rPr>
          <w:rFonts w:asciiTheme="minorHAnsi" w:hAnsiTheme="minorHAnsi" w:cstheme="minorHAnsi"/>
          <w:sz w:val="18"/>
          <w:szCs w:val="18"/>
        </w:rPr>
        <w:t>Adapted from Morgan Jones M, Grant J, et al. Making the grade: methodologies for assessing and evidencing research impact. In: Dean A, Wykes M, Stevens H, editors. Seven Essays on Impact. DESCRIBE project report for JISC. Exeter: University of Exeter; 2013. p. 25–43.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7611" w14:textId="397C70A8" w:rsidR="008D32C3" w:rsidRDefault="008D3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AD47" w14:textId="56A38C72" w:rsidR="008D32C3" w:rsidRDefault="008D32C3"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5A26" w14:textId="65B05A13" w:rsidR="008D32C3" w:rsidRDefault="008D32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282B" w14:textId="214F738E" w:rsidR="008D32C3" w:rsidRDefault="008D32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B76F" w14:textId="0010C37D" w:rsidR="008D32C3" w:rsidRDefault="008D32C3" w:rsidP="008E0C77">
    <w:pPr>
      <w:pStyle w:val="Headertext"/>
      <w:spacing w:after="18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987D" w14:textId="2C5DB0AC" w:rsidR="008D32C3" w:rsidRDefault="008D3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009"/>
    <w:multiLevelType w:val="hybridMultilevel"/>
    <w:tmpl w:val="2A6250A2"/>
    <w:styleLink w:val="ImportedStyle120"/>
    <w:lvl w:ilvl="0" w:tplc="AA4E05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EAC2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B891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B4679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A70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627D7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E2B1C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D07E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C0113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C38C9"/>
    <w:multiLevelType w:val="hybridMultilevel"/>
    <w:tmpl w:val="831064CC"/>
    <w:lvl w:ilvl="0" w:tplc="7FA8F04C">
      <w:start w:val="1"/>
      <w:numFmt w:val="bullet"/>
      <w:lvlText w:val="-"/>
      <w:lvlJc w:val="left"/>
      <w:pPr>
        <w:ind w:left="360" w:hanging="360"/>
      </w:pPr>
      <w:rPr>
        <w:rFonts w:ascii="Sitka Small" w:hAnsi="Sitka Smal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26039E"/>
    <w:multiLevelType w:val="hybridMultilevel"/>
    <w:tmpl w:val="EEA83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E7EF0"/>
    <w:multiLevelType w:val="hybridMultilevel"/>
    <w:tmpl w:val="58201988"/>
    <w:lvl w:ilvl="0" w:tplc="D13C68C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847210"/>
    <w:multiLevelType w:val="hybridMultilevel"/>
    <w:tmpl w:val="57B8BA9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3682D"/>
    <w:multiLevelType w:val="hybridMultilevel"/>
    <w:tmpl w:val="AB44C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DC6BB1"/>
    <w:multiLevelType w:val="hybridMultilevel"/>
    <w:tmpl w:val="847AB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F463E3"/>
    <w:multiLevelType w:val="hybridMultilevel"/>
    <w:tmpl w:val="0B4226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3E5B88"/>
    <w:multiLevelType w:val="multilevel"/>
    <w:tmpl w:val="9AF8B7D2"/>
    <w:styleLink w:val="ImportedStyle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3"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427861"/>
    <w:multiLevelType w:val="hybridMultilevel"/>
    <w:tmpl w:val="090C7F32"/>
    <w:styleLink w:val="ImportedStyle15"/>
    <w:lvl w:ilvl="0" w:tplc="077EDE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A3F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D27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22126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F229A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052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881ED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8BA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054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2BD0B32"/>
    <w:multiLevelType w:val="hybridMultilevel"/>
    <w:tmpl w:val="4B94D1D8"/>
    <w:lvl w:ilvl="0" w:tplc="7FA8F04C">
      <w:start w:val="1"/>
      <w:numFmt w:val="bullet"/>
      <w:lvlText w:val="-"/>
      <w:lvlJc w:val="left"/>
      <w:pPr>
        <w:ind w:left="360" w:hanging="360"/>
      </w:pPr>
      <w:rPr>
        <w:rFonts w:ascii="Sitka Small" w:hAnsi="Sitka Smal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097547"/>
    <w:multiLevelType w:val="hybridMultilevel"/>
    <w:tmpl w:val="64FECE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73C1D59"/>
    <w:multiLevelType w:val="hybridMultilevel"/>
    <w:tmpl w:val="298092A8"/>
    <w:styleLink w:val="ImportedStyle18"/>
    <w:lvl w:ilvl="0" w:tplc="9D288A5E">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365DBC">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B8075C">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6A3A2A">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A2C33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0C4E2">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54075A">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323A8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6E3C5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5504FC"/>
    <w:multiLevelType w:val="hybridMultilevel"/>
    <w:tmpl w:val="AC583A20"/>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6" w15:restartNumberingAfterBreak="0">
    <w:nsid w:val="1C8D085C"/>
    <w:multiLevelType w:val="hybridMultilevel"/>
    <w:tmpl w:val="E438D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AB4D39"/>
    <w:multiLevelType w:val="hybridMultilevel"/>
    <w:tmpl w:val="8D660FBC"/>
    <w:styleLink w:val="ImportedStyle13"/>
    <w:lvl w:ilvl="0" w:tplc="15E2F8B0">
      <w:start w:val="1"/>
      <w:numFmt w:val="bullet"/>
      <w:lvlText w:val="·"/>
      <w:lvlJc w:val="left"/>
      <w:pPr>
        <w:tabs>
          <w:tab w:val="left" w:pos="728"/>
        </w:tabs>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2A74F6">
      <w:start w:val="1"/>
      <w:numFmt w:val="bullet"/>
      <w:lvlText w:val="o"/>
      <w:lvlJc w:val="left"/>
      <w:pPr>
        <w:tabs>
          <w:tab w:val="left" w:pos="728"/>
        </w:tabs>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C19C6">
      <w:start w:val="1"/>
      <w:numFmt w:val="bullet"/>
      <w:lvlText w:val="▪"/>
      <w:lvlJc w:val="left"/>
      <w:pPr>
        <w:tabs>
          <w:tab w:val="left" w:pos="728"/>
        </w:tabs>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65F2A">
      <w:start w:val="1"/>
      <w:numFmt w:val="bullet"/>
      <w:lvlText w:val="·"/>
      <w:lvlJc w:val="left"/>
      <w:pPr>
        <w:tabs>
          <w:tab w:val="left" w:pos="728"/>
        </w:tabs>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6287C">
      <w:start w:val="1"/>
      <w:numFmt w:val="bullet"/>
      <w:lvlText w:val="o"/>
      <w:lvlJc w:val="left"/>
      <w:pPr>
        <w:tabs>
          <w:tab w:val="left" w:pos="728"/>
        </w:tabs>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4E7F72">
      <w:start w:val="1"/>
      <w:numFmt w:val="bullet"/>
      <w:lvlText w:val="▪"/>
      <w:lvlJc w:val="left"/>
      <w:pPr>
        <w:tabs>
          <w:tab w:val="left" w:pos="728"/>
        </w:tabs>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2863C">
      <w:start w:val="1"/>
      <w:numFmt w:val="bullet"/>
      <w:lvlText w:val="·"/>
      <w:lvlJc w:val="left"/>
      <w:pPr>
        <w:tabs>
          <w:tab w:val="left" w:pos="728"/>
        </w:tabs>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FA0F76">
      <w:start w:val="1"/>
      <w:numFmt w:val="bullet"/>
      <w:lvlText w:val="o"/>
      <w:lvlJc w:val="left"/>
      <w:pPr>
        <w:tabs>
          <w:tab w:val="left" w:pos="728"/>
        </w:tabs>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30625A">
      <w:start w:val="1"/>
      <w:numFmt w:val="bullet"/>
      <w:lvlText w:val="▪"/>
      <w:lvlJc w:val="left"/>
      <w:pPr>
        <w:tabs>
          <w:tab w:val="left" w:pos="728"/>
        </w:tabs>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0B91264"/>
    <w:multiLevelType w:val="hybridMultilevel"/>
    <w:tmpl w:val="7602C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74799F"/>
    <w:multiLevelType w:val="hybridMultilevel"/>
    <w:tmpl w:val="29E0D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E85566"/>
    <w:multiLevelType w:val="hybridMultilevel"/>
    <w:tmpl w:val="C38A0B8C"/>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80039A8"/>
    <w:multiLevelType w:val="hybridMultilevel"/>
    <w:tmpl w:val="5CDE1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0D0374"/>
    <w:multiLevelType w:val="hybridMultilevel"/>
    <w:tmpl w:val="4DD08208"/>
    <w:lvl w:ilvl="0" w:tplc="7FA8F04C">
      <w:start w:val="1"/>
      <w:numFmt w:val="bullet"/>
      <w:lvlText w:val="-"/>
      <w:lvlJc w:val="left"/>
      <w:pPr>
        <w:ind w:left="720" w:hanging="360"/>
      </w:pPr>
      <w:rPr>
        <w:rFonts w:ascii="Sitka Small" w:hAnsi="Sitka Smal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EE6006"/>
    <w:multiLevelType w:val="hybridMultilevel"/>
    <w:tmpl w:val="2EFE2F56"/>
    <w:styleLink w:val="ImportedStyle30"/>
    <w:lvl w:ilvl="0" w:tplc="7E00645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AF262">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2BD90">
      <w:start w:val="1"/>
      <w:numFmt w:val="lowerRoman"/>
      <w:lvlText w:val="%3."/>
      <w:lvlJc w:val="left"/>
      <w:pPr>
        <w:ind w:left="144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E1030">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E0A952">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3279C6">
      <w:start w:val="1"/>
      <w:numFmt w:val="lowerRoman"/>
      <w:lvlText w:val="%6."/>
      <w:lvlJc w:val="left"/>
      <w:pPr>
        <w:ind w:left="36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D649D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C24E6">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B271A2">
      <w:start w:val="1"/>
      <w:numFmt w:val="lowerRoman"/>
      <w:lvlText w:val="%9."/>
      <w:lvlJc w:val="left"/>
      <w:pPr>
        <w:ind w:left="57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4CE0F6F"/>
    <w:multiLevelType w:val="hybridMultilevel"/>
    <w:tmpl w:val="7D0E1D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EA433A"/>
    <w:multiLevelType w:val="hybridMultilevel"/>
    <w:tmpl w:val="83442AE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8AE2D42"/>
    <w:multiLevelType w:val="hybridMultilevel"/>
    <w:tmpl w:val="DFB4B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9C577C9"/>
    <w:multiLevelType w:val="hybridMultilevel"/>
    <w:tmpl w:val="E68298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C1C4880"/>
    <w:multiLevelType w:val="hybridMultilevel"/>
    <w:tmpl w:val="4FA00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3510A2"/>
    <w:multiLevelType w:val="hybridMultilevel"/>
    <w:tmpl w:val="C30E7E5A"/>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89608A"/>
    <w:multiLevelType w:val="hybridMultilevel"/>
    <w:tmpl w:val="B33EF7BA"/>
    <w:styleLink w:val="ImportedStyle11"/>
    <w:lvl w:ilvl="0" w:tplc="43ACA7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1643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EA30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B8A7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14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F05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EB1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16E1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A04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ED35722"/>
    <w:multiLevelType w:val="hybridMultilevel"/>
    <w:tmpl w:val="DF4E63F2"/>
    <w:styleLink w:val="ImportedStyle2"/>
    <w:lvl w:ilvl="0" w:tplc="AF225EBE">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C1C06">
      <w:start w:val="1"/>
      <w:numFmt w:val="bullet"/>
      <w:lvlText w:val="◦"/>
      <w:lvlJc w:val="left"/>
      <w:pPr>
        <w:ind w:left="7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D8A838">
      <w:start w:val="1"/>
      <w:numFmt w:val="bullet"/>
      <w:lvlText w:val="▪"/>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CAF15E">
      <w:start w:val="1"/>
      <w:numFmt w:val="bullet"/>
      <w:lvlText w:val="·"/>
      <w:lvlJc w:val="left"/>
      <w:pPr>
        <w:ind w:left="14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72C7EC">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6E84E">
      <w:start w:val="1"/>
      <w:numFmt w:val="bullet"/>
      <w:lvlText w:val="▪"/>
      <w:lvlJc w:val="left"/>
      <w:pPr>
        <w:ind w:left="21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C61AF0">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583932">
      <w:start w:val="1"/>
      <w:numFmt w:val="bullet"/>
      <w:lvlText w:val="◦"/>
      <w:lvlJc w:val="left"/>
      <w:pPr>
        <w:ind w:left="28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229FCE">
      <w:start w:val="1"/>
      <w:numFmt w:val="bullet"/>
      <w:lvlText w:val="▪"/>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EE51342"/>
    <w:multiLevelType w:val="hybridMultilevel"/>
    <w:tmpl w:val="FD4E30AC"/>
    <w:styleLink w:val="ImportedStyle19"/>
    <w:lvl w:ilvl="0" w:tplc="A6325EB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A0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45D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0C2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E217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6C47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3648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FEFE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866B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0303E1B"/>
    <w:multiLevelType w:val="hybridMultilevel"/>
    <w:tmpl w:val="A94C66AC"/>
    <w:styleLink w:val="ImportedStyle140"/>
    <w:lvl w:ilvl="0" w:tplc="33B2A2CA">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24D23C">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12F0B0">
      <w:start w:val="1"/>
      <w:numFmt w:val="lowerRoman"/>
      <w:lvlText w:val="%3."/>
      <w:lvlJc w:val="left"/>
      <w:pPr>
        <w:ind w:left="1797"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0A7CE">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D0DE7C">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7CD8F6">
      <w:start w:val="1"/>
      <w:numFmt w:val="lowerRoman"/>
      <w:lvlText w:val="%6."/>
      <w:lvlJc w:val="left"/>
      <w:pPr>
        <w:ind w:left="3957"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D014B8">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B6460A">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2C4AAE">
      <w:start w:val="1"/>
      <w:numFmt w:val="lowerRoman"/>
      <w:lvlText w:val="%9."/>
      <w:lvlJc w:val="left"/>
      <w:pPr>
        <w:ind w:left="6117"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1203712"/>
    <w:multiLevelType w:val="hybridMultilevel"/>
    <w:tmpl w:val="D3FAB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3D707E"/>
    <w:multiLevelType w:val="hybridMultilevel"/>
    <w:tmpl w:val="A950CE1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4054164"/>
    <w:multiLevelType w:val="hybridMultilevel"/>
    <w:tmpl w:val="9820AEA0"/>
    <w:styleLink w:val="ImportedStyle22"/>
    <w:lvl w:ilvl="0" w:tplc="AB288CB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520A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22EA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56870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3871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C876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78FD7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D2B1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6EF8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AA96EB2"/>
    <w:multiLevelType w:val="hybridMultilevel"/>
    <w:tmpl w:val="FBA44EAC"/>
    <w:lvl w:ilvl="0" w:tplc="7FA8F04C">
      <w:start w:val="1"/>
      <w:numFmt w:val="bullet"/>
      <w:lvlText w:val="-"/>
      <w:lvlJc w:val="left"/>
      <w:pPr>
        <w:ind w:left="360" w:hanging="360"/>
      </w:pPr>
      <w:rPr>
        <w:rFonts w:ascii="Sitka Small" w:hAnsi="Sitka Smal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B444715"/>
    <w:multiLevelType w:val="hybridMultilevel"/>
    <w:tmpl w:val="1408E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D075C3A"/>
    <w:multiLevelType w:val="hybridMultilevel"/>
    <w:tmpl w:val="CFC8C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2000727"/>
    <w:multiLevelType w:val="hybridMultilevel"/>
    <w:tmpl w:val="44AA9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5E33F35"/>
    <w:multiLevelType w:val="hybridMultilevel"/>
    <w:tmpl w:val="A10E0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8736D61"/>
    <w:multiLevelType w:val="hybridMultilevel"/>
    <w:tmpl w:val="E742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3E4831"/>
    <w:multiLevelType w:val="hybridMultilevel"/>
    <w:tmpl w:val="A9C46E78"/>
    <w:styleLink w:val="ImportedStyle100"/>
    <w:lvl w:ilvl="0" w:tplc="4D26297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46C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F0C9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04AC8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341F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0C86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54BD6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4C62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222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E180945"/>
    <w:multiLevelType w:val="hybridMultilevel"/>
    <w:tmpl w:val="0F023B26"/>
    <w:lvl w:ilvl="0" w:tplc="D13C68C8">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12D4DF5"/>
    <w:multiLevelType w:val="hybridMultilevel"/>
    <w:tmpl w:val="E908710C"/>
    <w:lvl w:ilvl="0" w:tplc="7FA8F04C">
      <w:start w:val="1"/>
      <w:numFmt w:val="bullet"/>
      <w:lvlText w:val="-"/>
      <w:lvlJc w:val="left"/>
      <w:pPr>
        <w:ind w:left="360" w:hanging="360"/>
      </w:pPr>
      <w:rPr>
        <w:rFonts w:ascii="Sitka Small" w:hAnsi="Sitka Smal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14E31C4"/>
    <w:multiLevelType w:val="hybridMultilevel"/>
    <w:tmpl w:val="DE9A7D6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9" w15:restartNumberingAfterBreak="0">
    <w:nsid w:val="65F36EEC"/>
    <w:multiLevelType w:val="hybridMultilevel"/>
    <w:tmpl w:val="551A1F5C"/>
    <w:styleLink w:val="ImportedStyle20"/>
    <w:lvl w:ilvl="0" w:tplc="0C090001">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90001">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090003">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090005">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090001">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090003">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90005">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78E7785"/>
    <w:multiLevelType w:val="hybridMultilevel"/>
    <w:tmpl w:val="D940F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7BB2E77"/>
    <w:multiLevelType w:val="hybridMultilevel"/>
    <w:tmpl w:val="8500BF4C"/>
    <w:styleLink w:val="ImportedStyle40"/>
    <w:lvl w:ilvl="0" w:tplc="6710673E">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EEC94">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65C24">
      <w:start w:val="1"/>
      <w:numFmt w:val="lowerRoman"/>
      <w:lvlText w:val="%3."/>
      <w:lvlJc w:val="left"/>
      <w:pPr>
        <w:ind w:left="25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78645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CC8C2">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04E624">
      <w:start w:val="1"/>
      <w:numFmt w:val="lowerRoman"/>
      <w:lvlText w:val="%6."/>
      <w:lvlJc w:val="left"/>
      <w:pPr>
        <w:ind w:left="46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7868A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86801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DE531A">
      <w:start w:val="1"/>
      <w:numFmt w:val="lowerRoman"/>
      <w:lvlText w:val="%9."/>
      <w:lvlJc w:val="left"/>
      <w:pPr>
        <w:ind w:left="684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DF7C0A"/>
    <w:multiLevelType w:val="hybridMultilevel"/>
    <w:tmpl w:val="C8C8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C052CB"/>
    <w:multiLevelType w:val="hybridMultilevel"/>
    <w:tmpl w:val="0D5869D0"/>
    <w:styleLink w:val="ImportedStyle21"/>
    <w:lvl w:ilvl="0" w:tplc="0C090001">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90001">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090003">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09000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090001">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090003">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90005">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3FD1358"/>
    <w:multiLevelType w:val="hybridMultilevel"/>
    <w:tmpl w:val="06AAFDC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55E7560"/>
    <w:multiLevelType w:val="hybridMultilevel"/>
    <w:tmpl w:val="4E6E5D2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757E2C67"/>
    <w:multiLevelType w:val="hybridMultilevel"/>
    <w:tmpl w:val="47668A50"/>
    <w:lvl w:ilvl="0" w:tplc="D2E428B8">
      <w:start w:val="1"/>
      <w:numFmt w:val="decimal"/>
      <w:pStyle w:val="Numberedtable"/>
      <w:lvlText w:val="%1."/>
      <w:lvlJc w:val="left"/>
      <w:pPr>
        <w:ind w:left="36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5DC40E0"/>
    <w:multiLevelType w:val="hybridMultilevel"/>
    <w:tmpl w:val="0C28A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7067395"/>
    <w:multiLevelType w:val="hybridMultilevel"/>
    <w:tmpl w:val="E318B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7C92B5F"/>
    <w:multiLevelType w:val="hybridMultilevel"/>
    <w:tmpl w:val="2270909C"/>
    <w:lvl w:ilvl="0" w:tplc="0C09000B">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A8B7C93"/>
    <w:multiLevelType w:val="hybridMultilevel"/>
    <w:tmpl w:val="C6343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3" w15:restartNumberingAfterBreak="0">
    <w:nsid w:val="7EF72628"/>
    <w:multiLevelType w:val="hybridMultilevel"/>
    <w:tmpl w:val="2B6A1038"/>
    <w:styleLink w:val="ImportedStyle9"/>
    <w:lvl w:ilvl="0" w:tplc="0C090001">
      <w:start w:val="1"/>
      <w:numFmt w:val="bullet"/>
      <w:lvlText w:val="·"/>
      <w:lvlJc w:val="left"/>
      <w:pPr>
        <w:ind w:left="357" w:hanging="357"/>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90001">
      <w:start w:val="1"/>
      <w:numFmt w:val="bullet"/>
      <w:lvlText w:val="·"/>
      <w:lvlJc w:val="left"/>
      <w:pPr>
        <w:ind w:left="2517" w:hanging="357"/>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090003">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090005">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090001">
      <w:start w:val="1"/>
      <w:numFmt w:val="bullet"/>
      <w:lvlText w:val="·"/>
      <w:lvlJc w:val="left"/>
      <w:pPr>
        <w:ind w:left="4677" w:hanging="357"/>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090003">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090005">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3140682">
    <w:abstractNumId w:val="41"/>
  </w:num>
  <w:num w:numId="2" w16cid:durableId="1425302503">
    <w:abstractNumId w:val="52"/>
  </w:num>
  <w:num w:numId="3" w16cid:durableId="920606790">
    <w:abstractNumId w:val="1"/>
  </w:num>
  <w:num w:numId="4" w16cid:durableId="1423798925">
    <w:abstractNumId w:val="62"/>
  </w:num>
  <w:num w:numId="5" w16cid:durableId="162430002">
    <w:abstractNumId w:val="12"/>
  </w:num>
  <w:num w:numId="6" w16cid:durableId="1201285993">
    <w:abstractNumId w:val="24"/>
  </w:num>
  <w:num w:numId="7" w16cid:durableId="1480146138">
    <w:abstractNumId w:val="0"/>
  </w:num>
  <w:num w:numId="8" w16cid:durableId="1562709558">
    <w:abstractNumId w:val="34"/>
  </w:num>
  <w:num w:numId="9" w16cid:durableId="27151347">
    <w:abstractNumId w:val="31"/>
  </w:num>
  <w:num w:numId="10" w16cid:durableId="627515936">
    <w:abstractNumId w:val="9"/>
  </w:num>
  <w:num w:numId="11" w16cid:durableId="1463770042">
    <w:abstractNumId w:val="23"/>
  </w:num>
  <w:num w:numId="12" w16cid:durableId="1981421088">
    <w:abstractNumId w:val="17"/>
  </w:num>
  <w:num w:numId="13" w16cid:durableId="1054743207">
    <w:abstractNumId w:val="33"/>
  </w:num>
  <w:num w:numId="14" w16cid:durableId="1872105677">
    <w:abstractNumId w:val="49"/>
  </w:num>
  <w:num w:numId="15" w16cid:durableId="2045010739">
    <w:abstractNumId w:val="32"/>
  </w:num>
  <w:num w:numId="16" w16cid:durableId="1446463415">
    <w:abstractNumId w:val="51"/>
  </w:num>
  <w:num w:numId="17" w16cid:durableId="1598518057">
    <w:abstractNumId w:val="63"/>
  </w:num>
  <w:num w:numId="18" w16cid:durableId="1367950119">
    <w:abstractNumId w:val="45"/>
  </w:num>
  <w:num w:numId="19" w16cid:durableId="1687828155">
    <w:abstractNumId w:val="10"/>
  </w:num>
  <w:num w:numId="20" w16cid:durableId="107899312">
    <w:abstractNumId w:val="14"/>
  </w:num>
  <w:num w:numId="21" w16cid:durableId="600648023">
    <w:abstractNumId w:val="54"/>
  </w:num>
  <w:num w:numId="22" w16cid:durableId="600646107">
    <w:abstractNumId w:val="37"/>
  </w:num>
  <w:num w:numId="23" w16cid:durableId="2136832018">
    <w:abstractNumId w:val="28"/>
  </w:num>
  <w:num w:numId="24" w16cid:durableId="579755478">
    <w:abstractNumId w:val="42"/>
  </w:num>
  <w:num w:numId="25" w16cid:durableId="459350387">
    <w:abstractNumId w:val="16"/>
  </w:num>
  <w:num w:numId="26" w16cid:durableId="1248003244">
    <w:abstractNumId w:val="6"/>
  </w:num>
  <w:num w:numId="27" w16cid:durableId="1722704662">
    <w:abstractNumId w:val="30"/>
  </w:num>
  <w:num w:numId="28" w16cid:durableId="858347927">
    <w:abstractNumId w:val="43"/>
  </w:num>
  <w:num w:numId="29" w16cid:durableId="750586004">
    <w:abstractNumId w:val="57"/>
  </w:num>
  <w:num w:numId="30" w16cid:durableId="1664894510">
    <w:abstractNumId w:val="40"/>
  </w:num>
  <w:num w:numId="31" w16cid:durableId="1097365620">
    <w:abstractNumId w:val="27"/>
  </w:num>
  <w:num w:numId="32" w16cid:durableId="242565122">
    <w:abstractNumId w:val="13"/>
  </w:num>
  <w:num w:numId="33" w16cid:durableId="1857228280">
    <w:abstractNumId w:val="29"/>
  </w:num>
  <w:num w:numId="34" w16cid:durableId="1091464081">
    <w:abstractNumId w:val="18"/>
  </w:num>
  <w:num w:numId="35" w16cid:durableId="932470671">
    <w:abstractNumId w:val="19"/>
  </w:num>
  <w:num w:numId="36" w16cid:durableId="1214544112">
    <w:abstractNumId w:val="3"/>
  </w:num>
  <w:num w:numId="37" w16cid:durableId="550579106">
    <w:abstractNumId w:val="53"/>
  </w:num>
  <w:num w:numId="38" w16cid:durableId="1582594069">
    <w:abstractNumId w:val="15"/>
  </w:num>
  <w:num w:numId="39" w16cid:durableId="450898836">
    <w:abstractNumId w:val="35"/>
  </w:num>
  <w:num w:numId="40" w16cid:durableId="2004891187">
    <w:abstractNumId w:val="60"/>
  </w:num>
  <w:num w:numId="41" w16cid:durableId="1080834339">
    <w:abstractNumId w:val="61"/>
  </w:num>
  <w:num w:numId="42" w16cid:durableId="1961300646">
    <w:abstractNumId w:val="56"/>
  </w:num>
  <w:num w:numId="43" w16cid:durableId="765002220">
    <w:abstractNumId w:val="20"/>
  </w:num>
  <w:num w:numId="44" w16cid:durableId="2125072531">
    <w:abstractNumId w:val="25"/>
  </w:num>
  <w:num w:numId="45" w16cid:durableId="51274522">
    <w:abstractNumId w:val="48"/>
  </w:num>
  <w:num w:numId="46" w16cid:durableId="1838838373">
    <w:abstractNumId w:val="47"/>
  </w:num>
  <w:num w:numId="47" w16cid:durableId="1073503855">
    <w:abstractNumId w:val="22"/>
  </w:num>
  <w:num w:numId="48" w16cid:durableId="1239092995">
    <w:abstractNumId w:val="38"/>
  </w:num>
  <w:num w:numId="49" w16cid:durableId="128672918">
    <w:abstractNumId w:val="2"/>
  </w:num>
  <w:num w:numId="50" w16cid:durableId="565646600">
    <w:abstractNumId w:val="11"/>
  </w:num>
  <w:num w:numId="51" w16cid:durableId="1783987150">
    <w:abstractNumId w:val="26"/>
  </w:num>
  <w:num w:numId="52" w16cid:durableId="471488017">
    <w:abstractNumId w:val="21"/>
  </w:num>
  <w:num w:numId="53" w16cid:durableId="851988399">
    <w:abstractNumId w:val="5"/>
  </w:num>
  <w:num w:numId="54" w16cid:durableId="1740177439">
    <w:abstractNumId w:val="36"/>
  </w:num>
  <w:num w:numId="55" w16cid:durableId="239366711">
    <w:abstractNumId w:val="7"/>
  </w:num>
  <w:num w:numId="56" w16cid:durableId="549802240">
    <w:abstractNumId w:val="55"/>
  </w:num>
  <w:num w:numId="57" w16cid:durableId="685450388">
    <w:abstractNumId w:val="8"/>
  </w:num>
  <w:num w:numId="58" w16cid:durableId="1040590031">
    <w:abstractNumId w:val="39"/>
  </w:num>
  <w:num w:numId="59" w16cid:durableId="1468819205">
    <w:abstractNumId w:val="58"/>
  </w:num>
  <w:num w:numId="60" w16cid:durableId="834422866">
    <w:abstractNumId w:val="44"/>
  </w:num>
  <w:num w:numId="61" w16cid:durableId="459149811">
    <w:abstractNumId w:val="4"/>
  </w:num>
  <w:num w:numId="62" w16cid:durableId="659505293">
    <w:abstractNumId w:val="46"/>
  </w:num>
  <w:num w:numId="63" w16cid:durableId="1468814879">
    <w:abstractNumId w:val="59"/>
  </w:num>
  <w:num w:numId="64" w16cid:durableId="1549805095">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00"/>
    <w:rsid w:val="0000109C"/>
    <w:rsid w:val="00003299"/>
    <w:rsid w:val="00003743"/>
    <w:rsid w:val="000047B4"/>
    <w:rsid w:val="00005712"/>
    <w:rsid w:val="00005A9E"/>
    <w:rsid w:val="00007FD8"/>
    <w:rsid w:val="000109CA"/>
    <w:rsid w:val="00010ECE"/>
    <w:rsid w:val="00010EE8"/>
    <w:rsid w:val="000117F8"/>
    <w:rsid w:val="00013999"/>
    <w:rsid w:val="00021BAE"/>
    <w:rsid w:val="00022858"/>
    <w:rsid w:val="00024FBC"/>
    <w:rsid w:val="000260F5"/>
    <w:rsid w:val="00026139"/>
    <w:rsid w:val="00026A9B"/>
    <w:rsid w:val="00027071"/>
    <w:rsid w:val="00027601"/>
    <w:rsid w:val="000315F0"/>
    <w:rsid w:val="00033321"/>
    <w:rsid w:val="000338E5"/>
    <w:rsid w:val="00033ECC"/>
    <w:rsid w:val="00033F1F"/>
    <w:rsid w:val="0003422F"/>
    <w:rsid w:val="00034AB3"/>
    <w:rsid w:val="00037400"/>
    <w:rsid w:val="000424CD"/>
    <w:rsid w:val="00042F1E"/>
    <w:rsid w:val="00044087"/>
    <w:rsid w:val="00044653"/>
    <w:rsid w:val="000457C3"/>
    <w:rsid w:val="00045DE5"/>
    <w:rsid w:val="00046FF0"/>
    <w:rsid w:val="00047044"/>
    <w:rsid w:val="00050176"/>
    <w:rsid w:val="00052ED9"/>
    <w:rsid w:val="00054A81"/>
    <w:rsid w:val="00055CB1"/>
    <w:rsid w:val="00055F1B"/>
    <w:rsid w:val="00056760"/>
    <w:rsid w:val="00056FC3"/>
    <w:rsid w:val="00062B65"/>
    <w:rsid w:val="0006354B"/>
    <w:rsid w:val="000643E0"/>
    <w:rsid w:val="00067456"/>
    <w:rsid w:val="00071205"/>
    <w:rsid w:val="00071506"/>
    <w:rsid w:val="0007154F"/>
    <w:rsid w:val="00071EB0"/>
    <w:rsid w:val="00072F00"/>
    <w:rsid w:val="00073A8B"/>
    <w:rsid w:val="00073D1C"/>
    <w:rsid w:val="0007404F"/>
    <w:rsid w:val="00074D54"/>
    <w:rsid w:val="00074E75"/>
    <w:rsid w:val="000750D5"/>
    <w:rsid w:val="000764BC"/>
    <w:rsid w:val="000772B6"/>
    <w:rsid w:val="00081AB1"/>
    <w:rsid w:val="00081B74"/>
    <w:rsid w:val="00081FC4"/>
    <w:rsid w:val="000820B8"/>
    <w:rsid w:val="000852CF"/>
    <w:rsid w:val="00086845"/>
    <w:rsid w:val="000869CB"/>
    <w:rsid w:val="00087CA1"/>
    <w:rsid w:val="00090316"/>
    <w:rsid w:val="000905F3"/>
    <w:rsid w:val="0009064D"/>
    <w:rsid w:val="0009092E"/>
    <w:rsid w:val="00091053"/>
    <w:rsid w:val="000911BD"/>
    <w:rsid w:val="000919DC"/>
    <w:rsid w:val="0009252F"/>
    <w:rsid w:val="00093981"/>
    <w:rsid w:val="00093B41"/>
    <w:rsid w:val="00093CD9"/>
    <w:rsid w:val="000962FA"/>
    <w:rsid w:val="000A0196"/>
    <w:rsid w:val="000A2FA5"/>
    <w:rsid w:val="000A4E51"/>
    <w:rsid w:val="000A6760"/>
    <w:rsid w:val="000A76E1"/>
    <w:rsid w:val="000B024B"/>
    <w:rsid w:val="000B037F"/>
    <w:rsid w:val="000B067A"/>
    <w:rsid w:val="000B1540"/>
    <w:rsid w:val="000B33FD"/>
    <w:rsid w:val="000B4ABA"/>
    <w:rsid w:val="000B52EB"/>
    <w:rsid w:val="000B5D75"/>
    <w:rsid w:val="000B63CC"/>
    <w:rsid w:val="000C19FE"/>
    <w:rsid w:val="000C2EA7"/>
    <w:rsid w:val="000C3CB5"/>
    <w:rsid w:val="000C4651"/>
    <w:rsid w:val="000C4B16"/>
    <w:rsid w:val="000C50C3"/>
    <w:rsid w:val="000C7723"/>
    <w:rsid w:val="000D15AD"/>
    <w:rsid w:val="000D21F6"/>
    <w:rsid w:val="000D42C3"/>
    <w:rsid w:val="000D4500"/>
    <w:rsid w:val="000D6069"/>
    <w:rsid w:val="000D6878"/>
    <w:rsid w:val="000D75CA"/>
    <w:rsid w:val="000D7AEA"/>
    <w:rsid w:val="000E01A9"/>
    <w:rsid w:val="000E2C66"/>
    <w:rsid w:val="000E5021"/>
    <w:rsid w:val="000E5BE3"/>
    <w:rsid w:val="000E6E7D"/>
    <w:rsid w:val="000F123C"/>
    <w:rsid w:val="000F2655"/>
    <w:rsid w:val="000F26CD"/>
    <w:rsid w:val="000F2FED"/>
    <w:rsid w:val="000F419F"/>
    <w:rsid w:val="000F4DEF"/>
    <w:rsid w:val="000F57B3"/>
    <w:rsid w:val="000F5A51"/>
    <w:rsid w:val="000F67FA"/>
    <w:rsid w:val="000F750E"/>
    <w:rsid w:val="000F7E7D"/>
    <w:rsid w:val="00100348"/>
    <w:rsid w:val="001031AF"/>
    <w:rsid w:val="001059E1"/>
    <w:rsid w:val="00105B4B"/>
    <w:rsid w:val="0010616D"/>
    <w:rsid w:val="001065F1"/>
    <w:rsid w:val="00110478"/>
    <w:rsid w:val="00110941"/>
    <w:rsid w:val="00112084"/>
    <w:rsid w:val="0011353B"/>
    <w:rsid w:val="0011711B"/>
    <w:rsid w:val="00117F8A"/>
    <w:rsid w:val="00121081"/>
    <w:rsid w:val="00121B9B"/>
    <w:rsid w:val="00122A61"/>
    <w:rsid w:val="00122ADC"/>
    <w:rsid w:val="00126097"/>
    <w:rsid w:val="0013044F"/>
    <w:rsid w:val="0013066A"/>
    <w:rsid w:val="00130F59"/>
    <w:rsid w:val="00132A4F"/>
    <w:rsid w:val="00133EC0"/>
    <w:rsid w:val="00134918"/>
    <w:rsid w:val="00136233"/>
    <w:rsid w:val="00137E07"/>
    <w:rsid w:val="0014130F"/>
    <w:rsid w:val="00141CE5"/>
    <w:rsid w:val="00143393"/>
    <w:rsid w:val="00144908"/>
    <w:rsid w:val="00144C7C"/>
    <w:rsid w:val="00144DC4"/>
    <w:rsid w:val="00145BD3"/>
    <w:rsid w:val="001475FB"/>
    <w:rsid w:val="0015011E"/>
    <w:rsid w:val="00152961"/>
    <w:rsid w:val="00153186"/>
    <w:rsid w:val="0015412F"/>
    <w:rsid w:val="001571C7"/>
    <w:rsid w:val="00157252"/>
    <w:rsid w:val="001602F8"/>
    <w:rsid w:val="00161094"/>
    <w:rsid w:val="001640AD"/>
    <w:rsid w:val="00164416"/>
    <w:rsid w:val="00171D20"/>
    <w:rsid w:val="00172A55"/>
    <w:rsid w:val="00173C5C"/>
    <w:rsid w:val="001758CD"/>
    <w:rsid w:val="0017665C"/>
    <w:rsid w:val="00177AD2"/>
    <w:rsid w:val="00180D27"/>
    <w:rsid w:val="001815A8"/>
    <w:rsid w:val="00182526"/>
    <w:rsid w:val="001840FA"/>
    <w:rsid w:val="001843DA"/>
    <w:rsid w:val="00184593"/>
    <w:rsid w:val="001847BA"/>
    <w:rsid w:val="001879A5"/>
    <w:rsid w:val="00190079"/>
    <w:rsid w:val="001915E0"/>
    <w:rsid w:val="001928D7"/>
    <w:rsid w:val="00192C2A"/>
    <w:rsid w:val="00194F69"/>
    <w:rsid w:val="0019622E"/>
    <w:rsid w:val="001966A7"/>
    <w:rsid w:val="001A10B6"/>
    <w:rsid w:val="001A3A7E"/>
    <w:rsid w:val="001A4627"/>
    <w:rsid w:val="001A4979"/>
    <w:rsid w:val="001A6014"/>
    <w:rsid w:val="001A6531"/>
    <w:rsid w:val="001A6577"/>
    <w:rsid w:val="001B15D3"/>
    <w:rsid w:val="001B1634"/>
    <w:rsid w:val="001B1CF3"/>
    <w:rsid w:val="001B1D3E"/>
    <w:rsid w:val="001B2BA1"/>
    <w:rsid w:val="001B3443"/>
    <w:rsid w:val="001B3767"/>
    <w:rsid w:val="001B4F5B"/>
    <w:rsid w:val="001B53A1"/>
    <w:rsid w:val="001B5AC9"/>
    <w:rsid w:val="001B6C6C"/>
    <w:rsid w:val="001C0041"/>
    <w:rsid w:val="001C00D4"/>
    <w:rsid w:val="001C0326"/>
    <w:rsid w:val="001C10D3"/>
    <w:rsid w:val="001C192F"/>
    <w:rsid w:val="001C3C42"/>
    <w:rsid w:val="001C4518"/>
    <w:rsid w:val="001C5595"/>
    <w:rsid w:val="001C770D"/>
    <w:rsid w:val="001D098D"/>
    <w:rsid w:val="001D0BC4"/>
    <w:rsid w:val="001D1CCB"/>
    <w:rsid w:val="001D26FD"/>
    <w:rsid w:val="001D707E"/>
    <w:rsid w:val="001D7869"/>
    <w:rsid w:val="001E0237"/>
    <w:rsid w:val="001E025E"/>
    <w:rsid w:val="001E072F"/>
    <w:rsid w:val="001E1024"/>
    <w:rsid w:val="001E4853"/>
    <w:rsid w:val="001F04DB"/>
    <w:rsid w:val="001F1CB7"/>
    <w:rsid w:val="001F2A67"/>
    <w:rsid w:val="001F2F78"/>
    <w:rsid w:val="001F6088"/>
    <w:rsid w:val="002002E3"/>
    <w:rsid w:val="002026CD"/>
    <w:rsid w:val="002033FC"/>
    <w:rsid w:val="002044BB"/>
    <w:rsid w:val="002109E9"/>
    <w:rsid w:val="00210B09"/>
    <w:rsid w:val="00210C9E"/>
    <w:rsid w:val="00211840"/>
    <w:rsid w:val="00214D41"/>
    <w:rsid w:val="00216557"/>
    <w:rsid w:val="00220697"/>
    <w:rsid w:val="00220E5F"/>
    <w:rsid w:val="002212B5"/>
    <w:rsid w:val="00221A46"/>
    <w:rsid w:val="00223948"/>
    <w:rsid w:val="00225BE9"/>
    <w:rsid w:val="00226668"/>
    <w:rsid w:val="00233809"/>
    <w:rsid w:val="00236846"/>
    <w:rsid w:val="00237837"/>
    <w:rsid w:val="00240046"/>
    <w:rsid w:val="00240668"/>
    <w:rsid w:val="00242A38"/>
    <w:rsid w:val="00242EC1"/>
    <w:rsid w:val="0024797F"/>
    <w:rsid w:val="00250F18"/>
    <w:rsid w:val="0025119E"/>
    <w:rsid w:val="00251269"/>
    <w:rsid w:val="002535C0"/>
    <w:rsid w:val="0025376A"/>
    <w:rsid w:val="00254862"/>
    <w:rsid w:val="00255BC4"/>
    <w:rsid w:val="002561B6"/>
    <w:rsid w:val="002579FE"/>
    <w:rsid w:val="00257A28"/>
    <w:rsid w:val="00257A89"/>
    <w:rsid w:val="002600E1"/>
    <w:rsid w:val="00260377"/>
    <w:rsid w:val="00260427"/>
    <w:rsid w:val="0026259E"/>
    <w:rsid w:val="0026311C"/>
    <w:rsid w:val="00263F5E"/>
    <w:rsid w:val="00265990"/>
    <w:rsid w:val="0026668C"/>
    <w:rsid w:val="00266AC1"/>
    <w:rsid w:val="0027178C"/>
    <w:rsid w:val="00271845"/>
    <w:rsid w:val="002719FA"/>
    <w:rsid w:val="00271D77"/>
    <w:rsid w:val="00272668"/>
    <w:rsid w:val="0027330B"/>
    <w:rsid w:val="00273918"/>
    <w:rsid w:val="00273ADD"/>
    <w:rsid w:val="00276A28"/>
    <w:rsid w:val="002803AD"/>
    <w:rsid w:val="00282052"/>
    <w:rsid w:val="002841B1"/>
    <w:rsid w:val="0028519E"/>
    <w:rsid w:val="002856A5"/>
    <w:rsid w:val="002872ED"/>
    <w:rsid w:val="002905C2"/>
    <w:rsid w:val="00292982"/>
    <w:rsid w:val="0029302E"/>
    <w:rsid w:val="002942F9"/>
    <w:rsid w:val="00294896"/>
    <w:rsid w:val="00294996"/>
    <w:rsid w:val="00295AF2"/>
    <w:rsid w:val="00295C91"/>
    <w:rsid w:val="00296EE9"/>
    <w:rsid w:val="00297151"/>
    <w:rsid w:val="002A06C1"/>
    <w:rsid w:val="002A1362"/>
    <w:rsid w:val="002A3442"/>
    <w:rsid w:val="002A3461"/>
    <w:rsid w:val="002A394C"/>
    <w:rsid w:val="002A7828"/>
    <w:rsid w:val="002B0BE1"/>
    <w:rsid w:val="002B20E6"/>
    <w:rsid w:val="002B2680"/>
    <w:rsid w:val="002B37F8"/>
    <w:rsid w:val="002B4262"/>
    <w:rsid w:val="002B42A3"/>
    <w:rsid w:val="002B5E27"/>
    <w:rsid w:val="002B60B8"/>
    <w:rsid w:val="002C0CDD"/>
    <w:rsid w:val="002C0D25"/>
    <w:rsid w:val="002C0F08"/>
    <w:rsid w:val="002C2A71"/>
    <w:rsid w:val="002C3027"/>
    <w:rsid w:val="002C41FE"/>
    <w:rsid w:val="002C4938"/>
    <w:rsid w:val="002C5135"/>
    <w:rsid w:val="002C749D"/>
    <w:rsid w:val="002C7EC4"/>
    <w:rsid w:val="002D0CA9"/>
    <w:rsid w:val="002D18C0"/>
    <w:rsid w:val="002D27ED"/>
    <w:rsid w:val="002D4620"/>
    <w:rsid w:val="002D6D06"/>
    <w:rsid w:val="002E1042"/>
    <w:rsid w:val="002E1A1D"/>
    <w:rsid w:val="002E3955"/>
    <w:rsid w:val="002E3CB6"/>
    <w:rsid w:val="002E4081"/>
    <w:rsid w:val="002E5B78"/>
    <w:rsid w:val="002F037F"/>
    <w:rsid w:val="002F19F4"/>
    <w:rsid w:val="002F229D"/>
    <w:rsid w:val="002F2AA1"/>
    <w:rsid w:val="002F2D9D"/>
    <w:rsid w:val="002F3AE3"/>
    <w:rsid w:val="002F5E0D"/>
    <w:rsid w:val="002F6543"/>
    <w:rsid w:val="003004F8"/>
    <w:rsid w:val="00301A1D"/>
    <w:rsid w:val="0030464B"/>
    <w:rsid w:val="00305930"/>
    <w:rsid w:val="003071F3"/>
    <w:rsid w:val="0030786C"/>
    <w:rsid w:val="00312EA3"/>
    <w:rsid w:val="00317240"/>
    <w:rsid w:val="00317512"/>
    <w:rsid w:val="003217B3"/>
    <w:rsid w:val="003221F4"/>
    <w:rsid w:val="003232B4"/>
    <w:rsid w:val="003233DE"/>
    <w:rsid w:val="00323A97"/>
    <w:rsid w:val="0032466B"/>
    <w:rsid w:val="00327B44"/>
    <w:rsid w:val="00330EB8"/>
    <w:rsid w:val="00331CF0"/>
    <w:rsid w:val="003330EB"/>
    <w:rsid w:val="003339CE"/>
    <w:rsid w:val="00333CDB"/>
    <w:rsid w:val="003350CE"/>
    <w:rsid w:val="00335162"/>
    <w:rsid w:val="00335278"/>
    <w:rsid w:val="00335EEE"/>
    <w:rsid w:val="00336605"/>
    <w:rsid w:val="003403E7"/>
    <w:rsid w:val="0034142D"/>
    <w:rsid w:val="003415FD"/>
    <w:rsid w:val="00341EDA"/>
    <w:rsid w:val="00342767"/>
    <w:rsid w:val="003429F0"/>
    <w:rsid w:val="003442CB"/>
    <w:rsid w:val="003448D6"/>
    <w:rsid w:val="00345A0B"/>
    <w:rsid w:val="003473D3"/>
    <w:rsid w:val="00347C65"/>
    <w:rsid w:val="0035097A"/>
    <w:rsid w:val="00350AA9"/>
    <w:rsid w:val="00351A7B"/>
    <w:rsid w:val="00351AD7"/>
    <w:rsid w:val="00352893"/>
    <w:rsid w:val="003540A4"/>
    <w:rsid w:val="00355219"/>
    <w:rsid w:val="003552A2"/>
    <w:rsid w:val="00357A9E"/>
    <w:rsid w:val="00360E4E"/>
    <w:rsid w:val="00361A56"/>
    <w:rsid w:val="003623C6"/>
    <w:rsid w:val="00364515"/>
    <w:rsid w:val="003646FB"/>
    <w:rsid w:val="003703D4"/>
    <w:rsid w:val="00370AAA"/>
    <w:rsid w:val="00373620"/>
    <w:rsid w:val="00375F77"/>
    <w:rsid w:val="003768AA"/>
    <w:rsid w:val="00376C7F"/>
    <w:rsid w:val="00377A78"/>
    <w:rsid w:val="00377FE2"/>
    <w:rsid w:val="0038109B"/>
    <w:rsid w:val="00381BBE"/>
    <w:rsid w:val="00382903"/>
    <w:rsid w:val="003846FF"/>
    <w:rsid w:val="00385AD4"/>
    <w:rsid w:val="00386B04"/>
    <w:rsid w:val="0038768F"/>
    <w:rsid w:val="00387924"/>
    <w:rsid w:val="00387E0D"/>
    <w:rsid w:val="00387E68"/>
    <w:rsid w:val="003901D0"/>
    <w:rsid w:val="003919F0"/>
    <w:rsid w:val="003925A3"/>
    <w:rsid w:val="00392B8F"/>
    <w:rsid w:val="0039384D"/>
    <w:rsid w:val="00394490"/>
    <w:rsid w:val="00395B29"/>
    <w:rsid w:val="00395C23"/>
    <w:rsid w:val="00397577"/>
    <w:rsid w:val="003A0FEA"/>
    <w:rsid w:val="003A2E4F"/>
    <w:rsid w:val="003A42F6"/>
    <w:rsid w:val="003A4438"/>
    <w:rsid w:val="003A470B"/>
    <w:rsid w:val="003A5013"/>
    <w:rsid w:val="003A5078"/>
    <w:rsid w:val="003A62DD"/>
    <w:rsid w:val="003A775A"/>
    <w:rsid w:val="003B0DAB"/>
    <w:rsid w:val="003B213A"/>
    <w:rsid w:val="003B29F3"/>
    <w:rsid w:val="003B3867"/>
    <w:rsid w:val="003B43AD"/>
    <w:rsid w:val="003B624C"/>
    <w:rsid w:val="003B7BB4"/>
    <w:rsid w:val="003C0FEC"/>
    <w:rsid w:val="003C15B8"/>
    <w:rsid w:val="003C2AC8"/>
    <w:rsid w:val="003C2E9A"/>
    <w:rsid w:val="003C3C31"/>
    <w:rsid w:val="003C6E24"/>
    <w:rsid w:val="003D1702"/>
    <w:rsid w:val="003D17F9"/>
    <w:rsid w:val="003D2D88"/>
    <w:rsid w:val="003D32A7"/>
    <w:rsid w:val="003D41EA"/>
    <w:rsid w:val="003D4369"/>
    <w:rsid w:val="003D4850"/>
    <w:rsid w:val="003D535A"/>
    <w:rsid w:val="003D590B"/>
    <w:rsid w:val="003D6E1E"/>
    <w:rsid w:val="003E066F"/>
    <w:rsid w:val="003E1E66"/>
    <w:rsid w:val="003E3F54"/>
    <w:rsid w:val="003E5265"/>
    <w:rsid w:val="003E543A"/>
    <w:rsid w:val="003F0390"/>
    <w:rsid w:val="003F0955"/>
    <w:rsid w:val="003F1591"/>
    <w:rsid w:val="003F23FB"/>
    <w:rsid w:val="003F6FE1"/>
    <w:rsid w:val="00400F00"/>
    <w:rsid w:val="00401413"/>
    <w:rsid w:val="00401B8B"/>
    <w:rsid w:val="004020E5"/>
    <w:rsid w:val="00403F6B"/>
    <w:rsid w:val="00404342"/>
    <w:rsid w:val="00404EE6"/>
    <w:rsid w:val="00404F8B"/>
    <w:rsid w:val="00405253"/>
    <w:rsid w:val="00405256"/>
    <w:rsid w:val="004058F8"/>
    <w:rsid w:val="00406DD7"/>
    <w:rsid w:val="00410031"/>
    <w:rsid w:val="00410981"/>
    <w:rsid w:val="004115A2"/>
    <w:rsid w:val="0041460A"/>
    <w:rsid w:val="00415C81"/>
    <w:rsid w:val="00416731"/>
    <w:rsid w:val="00416B7F"/>
    <w:rsid w:val="00416CA1"/>
    <w:rsid w:val="004218D4"/>
    <w:rsid w:val="004255AB"/>
    <w:rsid w:val="00425E68"/>
    <w:rsid w:val="00426A25"/>
    <w:rsid w:val="004305DC"/>
    <w:rsid w:val="004317B8"/>
    <w:rsid w:val="00432378"/>
    <w:rsid w:val="004335C7"/>
    <w:rsid w:val="00435971"/>
    <w:rsid w:val="00440D65"/>
    <w:rsid w:val="00440F56"/>
    <w:rsid w:val="00441277"/>
    <w:rsid w:val="00441460"/>
    <w:rsid w:val="0044217B"/>
    <w:rsid w:val="00442B99"/>
    <w:rsid w:val="004435E6"/>
    <w:rsid w:val="0044661B"/>
    <w:rsid w:val="00447E31"/>
    <w:rsid w:val="00452769"/>
    <w:rsid w:val="00453023"/>
    <w:rsid w:val="00453923"/>
    <w:rsid w:val="00454B9B"/>
    <w:rsid w:val="0045638D"/>
    <w:rsid w:val="00457177"/>
    <w:rsid w:val="00457858"/>
    <w:rsid w:val="00460B0B"/>
    <w:rsid w:val="00460C06"/>
    <w:rsid w:val="00461023"/>
    <w:rsid w:val="00461B07"/>
    <w:rsid w:val="00462EF6"/>
    <w:rsid w:val="00462FAC"/>
    <w:rsid w:val="00464631"/>
    <w:rsid w:val="00464B79"/>
    <w:rsid w:val="00465B90"/>
    <w:rsid w:val="00465FEA"/>
    <w:rsid w:val="00466F3A"/>
    <w:rsid w:val="00467757"/>
    <w:rsid w:val="00467BBF"/>
    <w:rsid w:val="00471E57"/>
    <w:rsid w:val="004736A9"/>
    <w:rsid w:val="00477B59"/>
    <w:rsid w:val="00480B7B"/>
    <w:rsid w:val="00483B90"/>
    <w:rsid w:val="004847E2"/>
    <w:rsid w:val="00485C33"/>
    <w:rsid w:val="004861E2"/>
    <w:rsid w:val="004867E2"/>
    <w:rsid w:val="004876DD"/>
    <w:rsid w:val="00491CF7"/>
    <w:rsid w:val="004929A9"/>
    <w:rsid w:val="00492B05"/>
    <w:rsid w:val="0049382D"/>
    <w:rsid w:val="0049583F"/>
    <w:rsid w:val="00495F6B"/>
    <w:rsid w:val="00497E3F"/>
    <w:rsid w:val="004A0937"/>
    <w:rsid w:val="004A21A6"/>
    <w:rsid w:val="004A2EDC"/>
    <w:rsid w:val="004A520C"/>
    <w:rsid w:val="004B2834"/>
    <w:rsid w:val="004B439C"/>
    <w:rsid w:val="004B5E7F"/>
    <w:rsid w:val="004B7604"/>
    <w:rsid w:val="004C21A9"/>
    <w:rsid w:val="004C27DD"/>
    <w:rsid w:val="004C2FEC"/>
    <w:rsid w:val="004C6BCF"/>
    <w:rsid w:val="004C72F5"/>
    <w:rsid w:val="004D02B2"/>
    <w:rsid w:val="004D0BF0"/>
    <w:rsid w:val="004D33D5"/>
    <w:rsid w:val="004D47BA"/>
    <w:rsid w:val="004D4ECD"/>
    <w:rsid w:val="004D58BF"/>
    <w:rsid w:val="004D64C7"/>
    <w:rsid w:val="004D75AD"/>
    <w:rsid w:val="004E0BF8"/>
    <w:rsid w:val="004E379A"/>
    <w:rsid w:val="004E4335"/>
    <w:rsid w:val="004E5ACF"/>
    <w:rsid w:val="004E5C61"/>
    <w:rsid w:val="004E61AA"/>
    <w:rsid w:val="004E697D"/>
    <w:rsid w:val="004F0AFC"/>
    <w:rsid w:val="004F13EE"/>
    <w:rsid w:val="004F2022"/>
    <w:rsid w:val="004F25FC"/>
    <w:rsid w:val="004F5256"/>
    <w:rsid w:val="004F5DDC"/>
    <w:rsid w:val="004F68B1"/>
    <w:rsid w:val="004F7C05"/>
    <w:rsid w:val="004F7D02"/>
    <w:rsid w:val="00500C89"/>
    <w:rsid w:val="00501C94"/>
    <w:rsid w:val="00502B8C"/>
    <w:rsid w:val="005035EF"/>
    <w:rsid w:val="00503797"/>
    <w:rsid w:val="00505CB0"/>
    <w:rsid w:val="00506432"/>
    <w:rsid w:val="005106CD"/>
    <w:rsid w:val="0051242B"/>
    <w:rsid w:val="005129E1"/>
    <w:rsid w:val="0051315D"/>
    <w:rsid w:val="00513F25"/>
    <w:rsid w:val="00514DA0"/>
    <w:rsid w:val="00514F13"/>
    <w:rsid w:val="00515CAA"/>
    <w:rsid w:val="00517028"/>
    <w:rsid w:val="0052039B"/>
    <w:rsid w:val="0052051D"/>
    <w:rsid w:val="005205F7"/>
    <w:rsid w:val="00522650"/>
    <w:rsid w:val="005239E7"/>
    <w:rsid w:val="005253B6"/>
    <w:rsid w:val="0052642A"/>
    <w:rsid w:val="005275A8"/>
    <w:rsid w:val="00531C38"/>
    <w:rsid w:val="00532E12"/>
    <w:rsid w:val="00537095"/>
    <w:rsid w:val="00540BB6"/>
    <w:rsid w:val="00541585"/>
    <w:rsid w:val="00542CE6"/>
    <w:rsid w:val="005433CA"/>
    <w:rsid w:val="00545EE6"/>
    <w:rsid w:val="00551B7B"/>
    <w:rsid w:val="00551FC0"/>
    <w:rsid w:val="00552C70"/>
    <w:rsid w:val="005550E7"/>
    <w:rsid w:val="005564FB"/>
    <w:rsid w:val="005572C7"/>
    <w:rsid w:val="00564F20"/>
    <w:rsid w:val="005650B5"/>
    <w:rsid w:val="005650ED"/>
    <w:rsid w:val="005674DE"/>
    <w:rsid w:val="00571B1B"/>
    <w:rsid w:val="005720FB"/>
    <w:rsid w:val="00575754"/>
    <w:rsid w:val="00575C1B"/>
    <w:rsid w:val="00575E06"/>
    <w:rsid w:val="00576601"/>
    <w:rsid w:val="00585973"/>
    <w:rsid w:val="00591B67"/>
    <w:rsid w:val="00591E20"/>
    <w:rsid w:val="0059437C"/>
    <w:rsid w:val="005946D3"/>
    <w:rsid w:val="00595408"/>
    <w:rsid w:val="00595C8F"/>
    <w:rsid w:val="00595E84"/>
    <w:rsid w:val="005968B1"/>
    <w:rsid w:val="00596D1D"/>
    <w:rsid w:val="005975D9"/>
    <w:rsid w:val="005977D3"/>
    <w:rsid w:val="0059791B"/>
    <w:rsid w:val="005A0C59"/>
    <w:rsid w:val="005A0DD6"/>
    <w:rsid w:val="005A2803"/>
    <w:rsid w:val="005A31C0"/>
    <w:rsid w:val="005A32CE"/>
    <w:rsid w:val="005A4052"/>
    <w:rsid w:val="005A48EB"/>
    <w:rsid w:val="005A4BB1"/>
    <w:rsid w:val="005A51CD"/>
    <w:rsid w:val="005A5F30"/>
    <w:rsid w:val="005A6CFB"/>
    <w:rsid w:val="005A7E88"/>
    <w:rsid w:val="005B0A6B"/>
    <w:rsid w:val="005B0FDB"/>
    <w:rsid w:val="005B4423"/>
    <w:rsid w:val="005B4932"/>
    <w:rsid w:val="005B7206"/>
    <w:rsid w:val="005C107E"/>
    <w:rsid w:val="005C2175"/>
    <w:rsid w:val="005C310C"/>
    <w:rsid w:val="005C574D"/>
    <w:rsid w:val="005C5846"/>
    <w:rsid w:val="005C5AEB"/>
    <w:rsid w:val="005C7B8D"/>
    <w:rsid w:val="005D17ED"/>
    <w:rsid w:val="005D7C65"/>
    <w:rsid w:val="005E0A3F"/>
    <w:rsid w:val="005E0D48"/>
    <w:rsid w:val="005E1152"/>
    <w:rsid w:val="005E1D51"/>
    <w:rsid w:val="005E205B"/>
    <w:rsid w:val="005E3701"/>
    <w:rsid w:val="005E3891"/>
    <w:rsid w:val="005E3DC7"/>
    <w:rsid w:val="005E4ADA"/>
    <w:rsid w:val="005E4C40"/>
    <w:rsid w:val="005E661C"/>
    <w:rsid w:val="005E6883"/>
    <w:rsid w:val="005E6C32"/>
    <w:rsid w:val="005E772F"/>
    <w:rsid w:val="005F15C6"/>
    <w:rsid w:val="005F1739"/>
    <w:rsid w:val="005F23F1"/>
    <w:rsid w:val="005F2642"/>
    <w:rsid w:val="005F3709"/>
    <w:rsid w:val="005F4ECA"/>
    <w:rsid w:val="005F54EB"/>
    <w:rsid w:val="005F6228"/>
    <w:rsid w:val="005F7EC9"/>
    <w:rsid w:val="006020EB"/>
    <w:rsid w:val="006041BE"/>
    <w:rsid w:val="006043C7"/>
    <w:rsid w:val="0060534C"/>
    <w:rsid w:val="0060626D"/>
    <w:rsid w:val="00610108"/>
    <w:rsid w:val="006105D3"/>
    <w:rsid w:val="00610E61"/>
    <w:rsid w:val="006113A1"/>
    <w:rsid w:val="006116AC"/>
    <w:rsid w:val="00611B3B"/>
    <w:rsid w:val="00612061"/>
    <w:rsid w:val="00612F4C"/>
    <w:rsid w:val="00614461"/>
    <w:rsid w:val="00614777"/>
    <w:rsid w:val="00614E24"/>
    <w:rsid w:val="0061573D"/>
    <w:rsid w:val="006158B1"/>
    <w:rsid w:val="006175D3"/>
    <w:rsid w:val="006177C1"/>
    <w:rsid w:val="0062043C"/>
    <w:rsid w:val="006219EA"/>
    <w:rsid w:val="00624B52"/>
    <w:rsid w:val="00626452"/>
    <w:rsid w:val="0062659B"/>
    <w:rsid w:val="00631DF4"/>
    <w:rsid w:val="00632CBF"/>
    <w:rsid w:val="00632FFB"/>
    <w:rsid w:val="00634175"/>
    <w:rsid w:val="00635829"/>
    <w:rsid w:val="00636184"/>
    <w:rsid w:val="0064033C"/>
    <w:rsid w:val="006408AC"/>
    <w:rsid w:val="00643B1E"/>
    <w:rsid w:val="006442D0"/>
    <w:rsid w:val="00647D4C"/>
    <w:rsid w:val="00650B12"/>
    <w:rsid w:val="00650D58"/>
    <w:rsid w:val="006511B6"/>
    <w:rsid w:val="00652742"/>
    <w:rsid w:val="00652CEA"/>
    <w:rsid w:val="006557BC"/>
    <w:rsid w:val="00657487"/>
    <w:rsid w:val="00657FF8"/>
    <w:rsid w:val="0066007E"/>
    <w:rsid w:val="00661ABB"/>
    <w:rsid w:val="00662B4F"/>
    <w:rsid w:val="00664D0F"/>
    <w:rsid w:val="0066525D"/>
    <w:rsid w:val="00665C2D"/>
    <w:rsid w:val="00665EB8"/>
    <w:rsid w:val="006665E8"/>
    <w:rsid w:val="00666B78"/>
    <w:rsid w:val="00670144"/>
    <w:rsid w:val="00670D99"/>
    <w:rsid w:val="00670E2B"/>
    <w:rsid w:val="0067332E"/>
    <w:rsid w:val="006734BB"/>
    <w:rsid w:val="0067424B"/>
    <w:rsid w:val="00674E67"/>
    <w:rsid w:val="00675089"/>
    <w:rsid w:val="006769CE"/>
    <w:rsid w:val="00680E65"/>
    <w:rsid w:val="00681A34"/>
    <w:rsid w:val="00681A73"/>
    <w:rsid w:val="006821EB"/>
    <w:rsid w:val="006839D0"/>
    <w:rsid w:val="00684204"/>
    <w:rsid w:val="00685DA0"/>
    <w:rsid w:val="00692CD9"/>
    <w:rsid w:val="00694C66"/>
    <w:rsid w:val="00694D3B"/>
    <w:rsid w:val="00695013"/>
    <w:rsid w:val="00695A50"/>
    <w:rsid w:val="00695AC5"/>
    <w:rsid w:val="0069746F"/>
    <w:rsid w:val="006974F6"/>
    <w:rsid w:val="006A400D"/>
    <w:rsid w:val="006A689B"/>
    <w:rsid w:val="006B04BC"/>
    <w:rsid w:val="006B05DC"/>
    <w:rsid w:val="006B0BD7"/>
    <w:rsid w:val="006B18BF"/>
    <w:rsid w:val="006B2286"/>
    <w:rsid w:val="006B2E7F"/>
    <w:rsid w:val="006B56BB"/>
    <w:rsid w:val="006B61A6"/>
    <w:rsid w:val="006B639A"/>
    <w:rsid w:val="006B66FF"/>
    <w:rsid w:val="006B764C"/>
    <w:rsid w:val="006B77BE"/>
    <w:rsid w:val="006C07D0"/>
    <w:rsid w:val="006C1556"/>
    <w:rsid w:val="006C22A2"/>
    <w:rsid w:val="006C24D5"/>
    <w:rsid w:val="006C5015"/>
    <w:rsid w:val="006C50D8"/>
    <w:rsid w:val="006C76BE"/>
    <w:rsid w:val="006C77A8"/>
    <w:rsid w:val="006C7E0D"/>
    <w:rsid w:val="006D0B76"/>
    <w:rsid w:val="006D24E2"/>
    <w:rsid w:val="006D2D7F"/>
    <w:rsid w:val="006D3112"/>
    <w:rsid w:val="006D4098"/>
    <w:rsid w:val="006D52CF"/>
    <w:rsid w:val="006D5303"/>
    <w:rsid w:val="006D561E"/>
    <w:rsid w:val="006D61A5"/>
    <w:rsid w:val="006D7296"/>
    <w:rsid w:val="006D7681"/>
    <w:rsid w:val="006D7B2E"/>
    <w:rsid w:val="006E02EA"/>
    <w:rsid w:val="006E049C"/>
    <w:rsid w:val="006E0968"/>
    <w:rsid w:val="006E0A4A"/>
    <w:rsid w:val="006E22FA"/>
    <w:rsid w:val="006E2AF6"/>
    <w:rsid w:val="006E6545"/>
    <w:rsid w:val="006E7600"/>
    <w:rsid w:val="006F04FE"/>
    <w:rsid w:val="006F1A5D"/>
    <w:rsid w:val="00700203"/>
    <w:rsid w:val="00701275"/>
    <w:rsid w:val="00703135"/>
    <w:rsid w:val="00705C40"/>
    <w:rsid w:val="00707F56"/>
    <w:rsid w:val="0071215E"/>
    <w:rsid w:val="00713558"/>
    <w:rsid w:val="00713EE8"/>
    <w:rsid w:val="00715204"/>
    <w:rsid w:val="00717285"/>
    <w:rsid w:val="00720D08"/>
    <w:rsid w:val="00721FDF"/>
    <w:rsid w:val="00723291"/>
    <w:rsid w:val="00724552"/>
    <w:rsid w:val="007248B9"/>
    <w:rsid w:val="00725076"/>
    <w:rsid w:val="007263B9"/>
    <w:rsid w:val="007303AE"/>
    <w:rsid w:val="007334F8"/>
    <w:rsid w:val="007339CD"/>
    <w:rsid w:val="00734E62"/>
    <w:rsid w:val="007359D8"/>
    <w:rsid w:val="007362D4"/>
    <w:rsid w:val="00737186"/>
    <w:rsid w:val="00740EBD"/>
    <w:rsid w:val="0074104D"/>
    <w:rsid w:val="00741111"/>
    <w:rsid w:val="0074249D"/>
    <w:rsid w:val="00743A40"/>
    <w:rsid w:val="007450FD"/>
    <w:rsid w:val="00747B55"/>
    <w:rsid w:val="00747D66"/>
    <w:rsid w:val="00747DCA"/>
    <w:rsid w:val="0075194C"/>
    <w:rsid w:val="00751A23"/>
    <w:rsid w:val="0075589F"/>
    <w:rsid w:val="00756A5F"/>
    <w:rsid w:val="0076344F"/>
    <w:rsid w:val="00764D6C"/>
    <w:rsid w:val="0076672A"/>
    <w:rsid w:val="00766D46"/>
    <w:rsid w:val="0077178D"/>
    <w:rsid w:val="0077254D"/>
    <w:rsid w:val="00772BF5"/>
    <w:rsid w:val="00774714"/>
    <w:rsid w:val="00774B52"/>
    <w:rsid w:val="00775E45"/>
    <w:rsid w:val="007766DD"/>
    <w:rsid w:val="00776E74"/>
    <w:rsid w:val="00781408"/>
    <w:rsid w:val="00781839"/>
    <w:rsid w:val="0078218B"/>
    <w:rsid w:val="00784B10"/>
    <w:rsid w:val="00785169"/>
    <w:rsid w:val="007854B5"/>
    <w:rsid w:val="00786411"/>
    <w:rsid w:val="007954AB"/>
    <w:rsid w:val="007A0D41"/>
    <w:rsid w:val="007A14C5"/>
    <w:rsid w:val="007A3E38"/>
    <w:rsid w:val="007A4A10"/>
    <w:rsid w:val="007A4F44"/>
    <w:rsid w:val="007A4F5A"/>
    <w:rsid w:val="007A5875"/>
    <w:rsid w:val="007B1760"/>
    <w:rsid w:val="007B2490"/>
    <w:rsid w:val="007B5E49"/>
    <w:rsid w:val="007C0178"/>
    <w:rsid w:val="007C0621"/>
    <w:rsid w:val="007C2286"/>
    <w:rsid w:val="007C22F5"/>
    <w:rsid w:val="007C27EA"/>
    <w:rsid w:val="007C2CB1"/>
    <w:rsid w:val="007C42EA"/>
    <w:rsid w:val="007C4AE4"/>
    <w:rsid w:val="007C60C8"/>
    <w:rsid w:val="007C6D9C"/>
    <w:rsid w:val="007C7DDB"/>
    <w:rsid w:val="007D2C6A"/>
    <w:rsid w:val="007D2CC7"/>
    <w:rsid w:val="007D314D"/>
    <w:rsid w:val="007D3536"/>
    <w:rsid w:val="007D35CD"/>
    <w:rsid w:val="007D45B4"/>
    <w:rsid w:val="007D5E69"/>
    <w:rsid w:val="007D673D"/>
    <w:rsid w:val="007D7167"/>
    <w:rsid w:val="007E0377"/>
    <w:rsid w:val="007E05DC"/>
    <w:rsid w:val="007E09BC"/>
    <w:rsid w:val="007E0DF2"/>
    <w:rsid w:val="007E0F1F"/>
    <w:rsid w:val="007E17C1"/>
    <w:rsid w:val="007E2955"/>
    <w:rsid w:val="007E68CA"/>
    <w:rsid w:val="007E6A5D"/>
    <w:rsid w:val="007F17E5"/>
    <w:rsid w:val="007F2220"/>
    <w:rsid w:val="007F23D4"/>
    <w:rsid w:val="007F2B06"/>
    <w:rsid w:val="007F304E"/>
    <w:rsid w:val="007F4B3E"/>
    <w:rsid w:val="007F561F"/>
    <w:rsid w:val="007F588A"/>
    <w:rsid w:val="007F6B8A"/>
    <w:rsid w:val="00802205"/>
    <w:rsid w:val="0080231F"/>
    <w:rsid w:val="008038AF"/>
    <w:rsid w:val="008047FD"/>
    <w:rsid w:val="00805F8D"/>
    <w:rsid w:val="008116E5"/>
    <w:rsid w:val="008127AF"/>
    <w:rsid w:val="00812B46"/>
    <w:rsid w:val="00814B7D"/>
    <w:rsid w:val="00815700"/>
    <w:rsid w:val="0081763A"/>
    <w:rsid w:val="00817B70"/>
    <w:rsid w:val="00820DA4"/>
    <w:rsid w:val="00820FAA"/>
    <w:rsid w:val="00822360"/>
    <w:rsid w:val="00822D09"/>
    <w:rsid w:val="00823A9E"/>
    <w:rsid w:val="008264EB"/>
    <w:rsid w:val="0082682D"/>
    <w:rsid w:val="00826B8F"/>
    <w:rsid w:val="00831345"/>
    <w:rsid w:val="00831E8A"/>
    <w:rsid w:val="0083567B"/>
    <w:rsid w:val="00835C76"/>
    <w:rsid w:val="0083618B"/>
    <w:rsid w:val="00837EE4"/>
    <w:rsid w:val="008403CC"/>
    <w:rsid w:val="00840921"/>
    <w:rsid w:val="00841300"/>
    <w:rsid w:val="008427B7"/>
    <w:rsid w:val="00843049"/>
    <w:rsid w:val="008435EF"/>
    <w:rsid w:val="00843CF5"/>
    <w:rsid w:val="008443F6"/>
    <w:rsid w:val="0084520C"/>
    <w:rsid w:val="0084600E"/>
    <w:rsid w:val="00846F31"/>
    <w:rsid w:val="00847E06"/>
    <w:rsid w:val="00851223"/>
    <w:rsid w:val="0085209B"/>
    <w:rsid w:val="00852B73"/>
    <w:rsid w:val="008537C3"/>
    <w:rsid w:val="00856191"/>
    <w:rsid w:val="00856B66"/>
    <w:rsid w:val="00857BC8"/>
    <w:rsid w:val="00857CA3"/>
    <w:rsid w:val="008612AE"/>
    <w:rsid w:val="008615B1"/>
    <w:rsid w:val="00861A5F"/>
    <w:rsid w:val="008634A8"/>
    <w:rsid w:val="008644AD"/>
    <w:rsid w:val="00865735"/>
    <w:rsid w:val="00865DDB"/>
    <w:rsid w:val="0086644C"/>
    <w:rsid w:val="00866AD2"/>
    <w:rsid w:val="00867538"/>
    <w:rsid w:val="0087122D"/>
    <w:rsid w:val="00871816"/>
    <w:rsid w:val="00871D15"/>
    <w:rsid w:val="00871F33"/>
    <w:rsid w:val="00872EFF"/>
    <w:rsid w:val="00873D90"/>
    <w:rsid w:val="00873F5D"/>
    <w:rsid w:val="00873FC8"/>
    <w:rsid w:val="00874289"/>
    <w:rsid w:val="008754F8"/>
    <w:rsid w:val="00875C72"/>
    <w:rsid w:val="00880912"/>
    <w:rsid w:val="00880956"/>
    <w:rsid w:val="00882B64"/>
    <w:rsid w:val="00884C63"/>
    <w:rsid w:val="00885908"/>
    <w:rsid w:val="00885C75"/>
    <w:rsid w:val="008864B7"/>
    <w:rsid w:val="008865D7"/>
    <w:rsid w:val="00886B06"/>
    <w:rsid w:val="008875B1"/>
    <w:rsid w:val="00890196"/>
    <w:rsid w:val="0089677E"/>
    <w:rsid w:val="00896E8C"/>
    <w:rsid w:val="008A02D0"/>
    <w:rsid w:val="008A3066"/>
    <w:rsid w:val="008A3667"/>
    <w:rsid w:val="008A44A0"/>
    <w:rsid w:val="008A5E9E"/>
    <w:rsid w:val="008A6686"/>
    <w:rsid w:val="008A7438"/>
    <w:rsid w:val="008B1334"/>
    <w:rsid w:val="008B47FF"/>
    <w:rsid w:val="008C0278"/>
    <w:rsid w:val="008C1A09"/>
    <w:rsid w:val="008C1B45"/>
    <w:rsid w:val="008C24E9"/>
    <w:rsid w:val="008C2754"/>
    <w:rsid w:val="008C2C97"/>
    <w:rsid w:val="008C4630"/>
    <w:rsid w:val="008C4BA5"/>
    <w:rsid w:val="008C4C84"/>
    <w:rsid w:val="008C6CB5"/>
    <w:rsid w:val="008D0533"/>
    <w:rsid w:val="008D0928"/>
    <w:rsid w:val="008D32C3"/>
    <w:rsid w:val="008D42CB"/>
    <w:rsid w:val="008D48C9"/>
    <w:rsid w:val="008D4AD6"/>
    <w:rsid w:val="008D4B37"/>
    <w:rsid w:val="008D5B79"/>
    <w:rsid w:val="008D6381"/>
    <w:rsid w:val="008D7DBF"/>
    <w:rsid w:val="008E0C77"/>
    <w:rsid w:val="008E1432"/>
    <w:rsid w:val="008E1E3F"/>
    <w:rsid w:val="008E294E"/>
    <w:rsid w:val="008E2E0B"/>
    <w:rsid w:val="008E625F"/>
    <w:rsid w:val="008E6708"/>
    <w:rsid w:val="008F14E2"/>
    <w:rsid w:val="008F264D"/>
    <w:rsid w:val="0090274F"/>
    <w:rsid w:val="00902A91"/>
    <w:rsid w:val="009074E1"/>
    <w:rsid w:val="009112F7"/>
    <w:rsid w:val="009122AF"/>
    <w:rsid w:val="009127BC"/>
    <w:rsid w:val="00912D54"/>
    <w:rsid w:val="0091301C"/>
    <w:rsid w:val="0091389F"/>
    <w:rsid w:val="0091694A"/>
    <w:rsid w:val="0091694F"/>
    <w:rsid w:val="00916EBE"/>
    <w:rsid w:val="009201F4"/>
    <w:rsid w:val="009208F7"/>
    <w:rsid w:val="00921439"/>
    <w:rsid w:val="00922517"/>
    <w:rsid w:val="00922722"/>
    <w:rsid w:val="00922AA9"/>
    <w:rsid w:val="009240D2"/>
    <w:rsid w:val="009242D3"/>
    <w:rsid w:val="009255DC"/>
    <w:rsid w:val="00925C22"/>
    <w:rsid w:val="009261E6"/>
    <w:rsid w:val="009268E1"/>
    <w:rsid w:val="00926A75"/>
    <w:rsid w:val="00932418"/>
    <w:rsid w:val="00933C43"/>
    <w:rsid w:val="009349EB"/>
    <w:rsid w:val="00936B46"/>
    <w:rsid w:val="00936DDA"/>
    <w:rsid w:val="00937930"/>
    <w:rsid w:val="00944635"/>
    <w:rsid w:val="00945E7F"/>
    <w:rsid w:val="00950775"/>
    <w:rsid w:val="00954FFB"/>
    <w:rsid w:val="009557C1"/>
    <w:rsid w:val="00955DC4"/>
    <w:rsid w:val="009568B4"/>
    <w:rsid w:val="00960D6E"/>
    <w:rsid w:val="00961AC0"/>
    <w:rsid w:val="009724BB"/>
    <w:rsid w:val="00972BC1"/>
    <w:rsid w:val="0097361F"/>
    <w:rsid w:val="009738D1"/>
    <w:rsid w:val="0097436F"/>
    <w:rsid w:val="00974B59"/>
    <w:rsid w:val="009807D9"/>
    <w:rsid w:val="00982715"/>
    <w:rsid w:val="00982989"/>
    <w:rsid w:val="00982E9F"/>
    <w:rsid w:val="0098340B"/>
    <w:rsid w:val="00983925"/>
    <w:rsid w:val="0098535E"/>
    <w:rsid w:val="00986830"/>
    <w:rsid w:val="0098771D"/>
    <w:rsid w:val="009924C3"/>
    <w:rsid w:val="00993102"/>
    <w:rsid w:val="00993564"/>
    <w:rsid w:val="00996D94"/>
    <w:rsid w:val="00996E68"/>
    <w:rsid w:val="009A0CD9"/>
    <w:rsid w:val="009A1498"/>
    <w:rsid w:val="009A7293"/>
    <w:rsid w:val="009B0593"/>
    <w:rsid w:val="009B0CB9"/>
    <w:rsid w:val="009B48A7"/>
    <w:rsid w:val="009B60B8"/>
    <w:rsid w:val="009B72E8"/>
    <w:rsid w:val="009C252F"/>
    <w:rsid w:val="009C32DF"/>
    <w:rsid w:val="009C35CC"/>
    <w:rsid w:val="009C3C37"/>
    <w:rsid w:val="009C47DD"/>
    <w:rsid w:val="009C4A39"/>
    <w:rsid w:val="009C5A93"/>
    <w:rsid w:val="009C6F10"/>
    <w:rsid w:val="009C75C2"/>
    <w:rsid w:val="009C7A4F"/>
    <w:rsid w:val="009D0769"/>
    <w:rsid w:val="009D0EC4"/>
    <w:rsid w:val="009D148F"/>
    <w:rsid w:val="009D3D70"/>
    <w:rsid w:val="009D4970"/>
    <w:rsid w:val="009D6224"/>
    <w:rsid w:val="009E0B54"/>
    <w:rsid w:val="009E1CF2"/>
    <w:rsid w:val="009E60D6"/>
    <w:rsid w:val="009E6CC9"/>
    <w:rsid w:val="009E6CF8"/>
    <w:rsid w:val="009E6F7E"/>
    <w:rsid w:val="009E7A57"/>
    <w:rsid w:val="009F1236"/>
    <w:rsid w:val="009F1B70"/>
    <w:rsid w:val="009F4F6A"/>
    <w:rsid w:val="00A010C5"/>
    <w:rsid w:val="00A013FD"/>
    <w:rsid w:val="00A04084"/>
    <w:rsid w:val="00A1219A"/>
    <w:rsid w:val="00A12545"/>
    <w:rsid w:val="00A12BCD"/>
    <w:rsid w:val="00A15B48"/>
    <w:rsid w:val="00A16E36"/>
    <w:rsid w:val="00A17EC0"/>
    <w:rsid w:val="00A20331"/>
    <w:rsid w:val="00A20805"/>
    <w:rsid w:val="00A21205"/>
    <w:rsid w:val="00A22263"/>
    <w:rsid w:val="00A23E06"/>
    <w:rsid w:val="00A24961"/>
    <w:rsid w:val="00A24B10"/>
    <w:rsid w:val="00A25C4C"/>
    <w:rsid w:val="00A25E02"/>
    <w:rsid w:val="00A30E9B"/>
    <w:rsid w:val="00A321A9"/>
    <w:rsid w:val="00A324BE"/>
    <w:rsid w:val="00A35664"/>
    <w:rsid w:val="00A40B57"/>
    <w:rsid w:val="00A41ED9"/>
    <w:rsid w:val="00A431F0"/>
    <w:rsid w:val="00A43279"/>
    <w:rsid w:val="00A4512D"/>
    <w:rsid w:val="00A46482"/>
    <w:rsid w:val="00A50244"/>
    <w:rsid w:val="00A510EC"/>
    <w:rsid w:val="00A53649"/>
    <w:rsid w:val="00A5405E"/>
    <w:rsid w:val="00A56F17"/>
    <w:rsid w:val="00A60B06"/>
    <w:rsid w:val="00A60EBF"/>
    <w:rsid w:val="00A627D7"/>
    <w:rsid w:val="00A656C7"/>
    <w:rsid w:val="00A67A67"/>
    <w:rsid w:val="00A70208"/>
    <w:rsid w:val="00A705AF"/>
    <w:rsid w:val="00A70EFF"/>
    <w:rsid w:val="00A72454"/>
    <w:rsid w:val="00A72ADE"/>
    <w:rsid w:val="00A73193"/>
    <w:rsid w:val="00A74689"/>
    <w:rsid w:val="00A77696"/>
    <w:rsid w:val="00A804E9"/>
    <w:rsid w:val="00A80557"/>
    <w:rsid w:val="00A8116B"/>
    <w:rsid w:val="00A81D33"/>
    <w:rsid w:val="00A91136"/>
    <w:rsid w:val="00A930AE"/>
    <w:rsid w:val="00A94FB5"/>
    <w:rsid w:val="00AA0A7C"/>
    <w:rsid w:val="00AA1A95"/>
    <w:rsid w:val="00AA260F"/>
    <w:rsid w:val="00AA3623"/>
    <w:rsid w:val="00AA50E6"/>
    <w:rsid w:val="00AA5C8F"/>
    <w:rsid w:val="00AA6870"/>
    <w:rsid w:val="00AA6AA1"/>
    <w:rsid w:val="00AA76CD"/>
    <w:rsid w:val="00AA7D33"/>
    <w:rsid w:val="00AB029D"/>
    <w:rsid w:val="00AB1EE7"/>
    <w:rsid w:val="00AB2A59"/>
    <w:rsid w:val="00AB3400"/>
    <w:rsid w:val="00AB4B37"/>
    <w:rsid w:val="00AB5762"/>
    <w:rsid w:val="00AB57BF"/>
    <w:rsid w:val="00AB685A"/>
    <w:rsid w:val="00AB7141"/>
    <w:rsid w:val="00AB7F8D"/>
    <w:rsid w:val="00AC01DD"/>
    <w:rsid w:val="00AC2679"/>
    <w:rsid w:val="00AC2913"/>
    <w:rsid w:val="00AC3BA4"/>
    <w:rsid w:val="00AC4BE4"/>
    <w:rsid w:val="00AC4C39"/>
    <w:rsid w:val="00AC54E3"/>
    <w:rsid w:val="00AC5F26"/>
    <w:rsid w:val="00AC6BF9"/>
    <w:rsid w:val="00AD05E6"/>
    <w:rsid w:val="00AD0B56"/>
    <w:rsid w:val="00AD0D3F"/>
    <w:rsid w:val="00AD2AB0"/>
    <w:rsid w:val="00AD467D"/>
    <w:rsid w:val="00AD62E8"/>
    <w:rsid w:val="00AD66D1"/>
    <w:rsid w:val="00AD7C1F"/>
    <w:rsid w:val="00AE1866"/>
    <w:rsid w:val="00AE1D7D"/>
    <w:rsid w:val="00AE29B3"/>
    <w:rsid w:val="00AE2A8B"/>
    <w:rsid w:val="00AE32A3"/>
    <w:rsid w:val="00AE3F64"/>
    <w:rsid w:val="00AE53E5"/>
    <w:rsid w:val="00AE5CB7"/>
    <w:rsid w:val="00AE668F"/>
    <w:rsid w:val="00AE6F99"/>
    <w:rsid w:val="00AE6FF0"/>
    <w:rsid w:val="00AF0984"/>
    <w:rsid w:val="00AF42C2"/>
    <w:rsid w:val="00AF54AB"/>
    <w:rsid w:val="00AF69DE"/>
    <w:rsid w:val="00AF7386"/>
    <w:rsid w:val="00AF7934"/>
    <w:rsid w:val="00B0039B"/>
    <w:rsid w:val="00B00B81"/>
    <w:rsid w:val="00B012BA"/>
    <w:rsid w:val="00B01F62"/>
    <w:rsid w:val="00B04580"/>
    <w:rsid w:val="00B04B09"/>
    <w:rsid w:val="00B05B97"/>
    <w:rsid w:val="00B070D8"/>
    <w:rsid w:val="00B072B6"/>
    <w:rsid w:val="00B10497"/>
    <w:rsid w:val="00B107CC"/>
    <w:rsid w:val="00B10C13"/>
    <w:rsid w:val="00B11988"/>
    <w:rsid w:val="00B16A51"/>
    <w:rsid w:val="00B22228"/>
    <w:rsid w:val="00B242D3"/>
    <w:rsid w:val="00B24796"/>
    <w:rsid w:val="00B25440"/>
    <w:rsid w:val="00B26029"/>
    <w:rsid w:val="00B2690D"/>
    <w:rsid w:val="00B26DEE"/>
    <w:rsid w:val="00B26F11"/>
    <w:rsid w:val="00B27038"/>
    <w:rsid w:val="00B30CD7"/>
    <w:rsid w:val="00B32222"/>
    <w:rsid w:val="00B346E2"/>
    <w:rsid w:val="00B351C0"/>
    <w:rsid w:val="00B3618D"/>
    <w:rsid w:val="00B36222"/>
    <w:rsid w:val="00B36233"/>
    <w:rsid w:val="00B37E43"/>
    <w:rsid w:val="00B40B77"/>
    <w:rsid w:val="00B4126E"/>
    <w:rsid w:val="00B42546"/>
    <w:rsid w:val="00B42851"/>
    <w:rsid w:val="00B4304C"/>
    <w:rsid w:val="00B44440"/>
    <w:rsid w:val="00B45AC7"/>
    <w:rsid w:val="00B45E12"/>
    <w:rsid w:val="00B505AD"/>
    <w:rsid w:val="00B51E0C"/>
    <w:rsid w:val="00B5372F"/>
    <w:rsid w:val="00B53836"/>
    <w:rsid w:val="00B61129"/>
    <w:rsid w:val="00B65C00"/>
    <w:rsid w:val="00B65C97"/>
    <w:rsid w:val="00B66DA0"/>
    <w:rsid w:val="00B67E7F"/>
    <w:rsid w:val="00B70990"/>
    <w:rsid w:val="00B71914"/>
    <w:rsid w:val="00B72575"/>
    <w:rsid w:val="00B72CC2"/>
    <w:rsid w:val="00B7306D"/>
    <w:rsid w:val="00B7380B"/>
    <w:rsid w:val="00B7401F"/>
    <w:rsid w:val="00B74C12"/>
    <w:rsid w:val="00B75A04"/>
    <w:rsid w:val="00B77EF8"/>
    <w:rsid w:val="00B839B2"/>
    <w:rsid w:val="00B875CA"/>
    <w:rsid w:val="00B877E0"/>
    <w:rsid w:val="00B91752"/>
    <w:rsid w:val="00B938A1"/>
    <w:rsid w:val="00B94252"/>
    <w:rsid w:val="00B9686A"/>
    <w:rsid w:val="00B968E0"/>
    <w:rsid w:val="00B9715A"/>
    <w:rsid w:val="00B97260"/>
    <w:rsid w:val="00BA034C"/>
    <w:rsid w:val="00BA0B3E"/>
    <w:rsid w:val="00BA14BE"/>
    <w:rsid w:val="00BA156C"/>
    <w:rsid w:val="00BA1CEF"/>
    <w:rsid w:val="00BA2732"/>
    <w:rsid w:val="00BA293D"/>
    <w:rsid w:val="00BA49BC"/>
    <w:rsid w:val="00BA56B7"/>
    <w:rsid w:val="00BA5EF6"/>
    <w:rsid w:val="00BA7A1E"/>
    <w:rsid w:val="00BA7CA9"/>
    <w:rsid w:val="00BB00D6"/>
    <w:rsid w:val="00BB0AED"/>
    <w:rsid w:val="00BB0B05"/>
    <w:rsid w:val="00BB0F51"/>
    <w:rsid w:val="00BB257C"/>
    <w:rsid w:val="00BB2F6C"/>
    <w:rsid w:val="00BB3875"/>
    <w:rsid w:val="00BB5860"/>
    <w:rsid w:val="00BB6AAD"/>
    <w:rsid w:val="00BC372F"/>
    <w:rsid w:val="00BC43B8"/>
    <w:rsid w:val="00BC4A19"/>
    <w:rsid w:val="00BC4E6D"/>
    <w:rsid w:val="00BC735E"/>
    <w:rsid w:val="00BD0617"/>
    <w:rsid w:val="00BD1181"/>
    <w:rsid w:val="00BD189F"/>
    <w:rsid w:val="00BD2E9B"/>
    <w:rsid w:val="00BD3D80"/>
    <w:rsid w:val="00BD4283"/>
    <w:rsid w:val="00BD5D43"/>
    <w:rsid w:val="00BD7501"/>
    <w:rsid w:val="00BE2B31"/>
    <w:rsid w:val="00BE424B"/>
    <w:rsid w:val="00BE481A"/>
    <w:rsid w:val="00BE5EE7"/>
    <w:rsid w:val="00BE6734"/>
    <w:rsid w:val="00BE6DCD"/>
    <w:rsid w:val="00BE7247"/>
    <w:rsid w:val="00BF1222"/>
    <w:rsid w:val="00BF1491"/>
    <w:rsid w:val="00BF1C55"/>
    <w:rsid w:val="00BF20D8"/>
    <w:rsid w:val="00BF2E02"/>
    <w:rsid w:val="00BF4985"/>
    <w:rsid w:val="00BF4B6E"/>
    <w:rsid w:val="00BF66A2"/>
    <w:rsid w:val="00BF6AE2"/>
    <w:rsid w:val="00C00023"/>
    <w:rsid w:val="00C00930"/>
    <w:rsid w:val="00C01CFB"/>
    <w:rsid w:val="00C024B9"/>
    <w:rsid w:val="00C0285F"/>
    <w:rsid w:val="00C02A8C"/>
    <w:rsid w:val="00C04889"/>
    <w:rsid w:val="00C04CF2"/>
    <w:rsid w:val="00C0550A"/>
    <w:rsid w:val="00C05CC9"/>
    <w:rsid w:val="00C060AD"/>
    <w:rsid w:val="00C0670D"/>
    <w:rsid w:val="00C06F36"/>
    <w:rsid w:val="00C113BF"/>
    <w:rsid w:val="00C1239A"/>
    <w:rsid w:val="00C12631"/>
    <w:rsid w:val="00C1265F"/>
    <w:rsid w:val="00C14628"/>
    <w:rsid w:val="00C14E12"/>
    <w:rsid w:val="00C2176E"/>
    <w:rsid w:val="00C21D63"/>
    <w:rsid w:val="00C2200B"/>
    <w:rsid w:val="00C220B4"/>
    <w:rsid w:val="00C23430"/>
    <w:rsid w:val="00C24A82"/>
    <w:rsid w:val="00C24F84"/>
    <w:rsid w:val="00C25375"/>
    <w:rsid w:val="00C253DC"/>
    <w:rsid w:val="00C25849"/>
    <w:rsid w:val="00C27893"/>
    <w:rsid w:val="00C27B03"/>
    <w:rsid w:val="00C27D67"/>
    <w:rsid w:val="00C30066"/>
    <w:rsid w:val="00C31EFB"/>
    <w:rsid w:val="00C37EF3"/>
    <w:rsid w:val="00C406F4"/>
    <w:rsid w:val="00C40B91"/>
    <w:rsid w:val="00C40BA7"/>
    <w:rsid w:val="00C41158"/>
    <w:rsid w:val="00C41D6C"/>
    <w:rsid w:val="00C42398"/>
    <w:rsid w:val="00C4631F"/>
    <w:rsid w:val="00C50E16"/>
    <w:rsid w:val="00C526BF"/>
    <w:rsid w:val="00C55256"/>
    <w:rsid w:val="00C55258"/>
    <w:rsid w:val="00C601B3"/>
    <w:rsid w:val="00C603DA"/>
    <w:rsid w:val="00C61078"/>
    <w:rsid w:val="00C618FE"/>
    <w:rsid w:val="00C621BA"/>
    <w:rsid w:val="00C6224A"/>
    <w:rsid w:val="00C62CEA"/>
    <w:rsid w:val="00C64A6B"/>
    <w:rsid w:val="00C66C92"/>
    <w:rsid w:val="00C674C8"/>
    <w:rsid w:val="00C679EC"/>
    <w:rsid w:val="00C70D2E"/>
    <w:rsid w:val="00C74676"/>
    <w:rsid w:val="00C74D4C"/>
    <w:rsid w:val="00C75692"/>
    <w:rsid w:val="00C765F0"/>
    <w:rsid w:val="00C77698"/>
    <w:rsid w:val="00C77C5C"/>
    <w:rsid w:val="00C81788"/>
    <w:rsid w:val="00C81E65"/>
    <w:rsid w:val="00C82EEB"/>
    <w:rsid w:val="00C84808"/>
    <w:rsid w:val="00C85F01"/>
    <w:rsid w:val="00C91DAE"/>
    <w:rsid w:val="00C920A4"/>
    <w:rsid w:val="00C9313A"/>
    <w:rsid w:val="00C94683"/>
    <w:rsid w:val="00C95018"/>
    <w:rsid w:val="00C971DC"/>
    <w:rsid w:val="00C9768E"/>
    <w:rsid w:val="00CA01ED"/>
    <w:rsid w:val="00CA16B7"/>
    <w:rsid w:val="00CA3683"/>
    <w:rsid w:val="00CA4BE3"/>
    <w:rsid w:val="00CA51DB"/>
    <w:rsid w:val="00CA62AE"/>
    <w:rsid w:val="00CA63FD"/>
    <w:rsid w:val="00CA69B0"/>
    <w:rsid w:val="00CB1369"/>
    <w:rsid w:val="00CB4303"/>
    <w:rsid w:val="00CB5B1A"/>
    <w:rsid w:val="00CB7C1F"/>
    <w:rsid w:val="00CC220B"/>
    <w:rsid w:val="00CC333D"/>
    <w:rsid w:val="00CC568D"/>
    <w:rsid w:val="00CC5C43"/>
    <w:rsid w:val="00CC67BF"/>
    <w:rsid w:val="00CD02AE"/>
    <w:rsid w:val="00CD259B"/>
    <w:rsid w:val="00CD281B"/>
    <w:rsid w:val="00CD2A4E"/>
    <w:rsid w:val="00CD2A4F"/>
    <w:rsid w:val="00CD42FE"/>
    <w:rsid w:val="00CD5250"/>
    <w:rsid w:val="00CE03CA"/>
    <w:rsid w:val="00CE0E00"/>
    <w:rsid w:val="00CE17A1"/>
    <w:rsid w:val="00CE22F1"/>
    <w:rsid w:val="00CE50F2"/>
    <w:rsid w:val="00CE5507"/>
    <w:rsid w:val="00CE6502"/>
    <w:rsid w:val="00CE6D16"/>
    <w:rsid w:val="00CF257D"/>
    <w:rsid w:val="00CF3377"/>
    <w:rsid w:val="00CF6141"/>
    <w:rsid w:val="00CF7CBE"/>
    <w:rsid w:val="00CF7D3C"/>
    <w:rsid w:val="00D01959"/>
    <w:rsid w:val="00D02E79"/>
    <w:rsid w:val="00D04CF7"/>
    <w:rsid w:val="00D04D06"/>
    <w:rsid w:val="00D10DA0"/>
    <w:rsid w:val="00D126BC"/>
    <w:rsid w:val="00D12A64"/>
    <w:rsid w:val="00D147EB"/>
    <w:rsid w:val="00D16A95"/>
    <w:rsid w:val="00D22695"/>
    <w:rsid w:val="00D24EFE"/>
    <w:rsid w:val="00D260C7"/>
    <w:rsid w:val="00D265E8"/>
    <w:rsid w:val="00D26CEE"/>
    <w:rsid w:val="00D312E4"/>
    <w:rsid w:val="00D31630"/>
    <w:rsid w:val="00D318FB"/>
    <w:rsid w:val="00D31DE0"/>
    <w:rsid w:val="00D338B3"/>
    <w:rsid w:val="00D34667"/>
    <w:rsid w:val="00D34D9B"/>
    <w:rsid w:val="00D401E1"/>
    <w:rsid w:val="00D408B4"/>
    <w:rsid w:val="00D4218C"/>
    <w:rsid w:val="00D43C27"/>
    <w:rsid w:val="00D44C92"/>
    <w:rsid w:val="00D4590B"/>
    <w:rsid w:val="00D45D94"/>
    <w:rsid w:val="00D45E0E"/>
    <w:rsid w:val="00D46098"/>
    <w:rsid w:val="00D524C8"/>
    <w:rsid w:val="00D60E25"/>
    <w:rsid w:val="00D617E5"/>
    <w:rsid w:val="00D61CBA"/>
    <w:rsid w:val="00D62177"/>
    <w:rsid w:val="00D70E24"/>
    <w:rsid w:val="00D71837"/>
    <w:rsid w:val="00D7267F"/>
    <w:rsid w:val="00D72AF4"/>
    <w:rsid w:val="00D72B61"/>
    <w:rsid w:val="00D74972"/>
    <w:rsid w:val="00D779A2"/>
    <w:rsid w:val="00D81874"/>
    <w:rsid w:val="00D87A37"/>
    <w:rsid w:val="00D936EE"/>
    <w:rsid w:val="00DA12F1"/>
    <w:rsid w:val="00DA171A"/>
    <w:rsid w:val="00DA3D1D"/>
    <w:rsid w:val="00DA47AB"/>
    <w:rsid w:val="00DA5CF6"/>
    <w:rsid w:val="00DB0138"/>
    <w:rsid w:val="00DB02F7"/>
    <w:rsid w:val="00DB0345"/>
    <w:rsid w:val="00DB19D3"/>
    <w:rsid w:val="00DB1E1F"/>
    <w:rsid w:val="00DB2264"/>
    <w:rsid w:val="00DB5B09"/>
    <w:rsid w:val="00DB6286"/>
    <w:rsid w:val="00DB645F"/>
    <w:rsid w:val="00DB76E9"/>
    <w:rsid w:val="00DC0A67"/>
    <w:rsid w:val="00DC1D5E"/>
    <w:rsid w:val="00DC2218"/>
    <w:rsid w:val="00DC2313"/>
    <w:rsid w:val="00DC4869"/>
    <w:rsid w:val="00DC5220"/>
    <w:rsid w:val="00DC6EBE"/>
    <w:rsid w:val="00DC7910"/>
    <w:rsid w:val="00DD2061"/>
    <w:rsid w:val="00DD670C"/>
    <w:rsid w:val="00DD7DAB"/>
    <w:rsid w:val="00DE1645"/>
    <w:rsid w:val="00DE2722"/>
    <w:rsid w:val="00DE3355"/>
    <w:rsid w:val="00DE5F9E"/>
    <w:rsid w:val="00DE745E"/>
    <w:rsid w:val="00DE7E76"/>
    <w:rsid w:val="00DF486F"/>
    <w:rsid w:val="00DF4EDB"/>
    <w:rsid w:val="00DF4F6F"/>
    <w:rsid w:val="00DF5484"/>
    <w:rsid w:val="00DF5B5B"/>
    <w:rsid w:val="00DF75B0"/>
    <w:rsid w:val="00DF7619"/>
    <w:rsid w:val="00DF7F70"/>
    <w:rsid w:val="00E00F4C"/>
    <w:rsid w:val="00E01348"/>
    <w:rsid w:val="00E042D8"/>
    <w:rsid w:val="00E061E2"/>
    <w:rsid w:val="00E07EE7"/>
    <w:rsid w:val="00E1017C"/>
    <w:rsid w:val="00E1103B"/>
    <w:rsid w:val="00E12D5A"/>
    <w:rsid w:val="00E135F8"/>
    <w:rsid w:val="00E147D1"/>
    <w:rsid w:val="00E1559B"/>
    <w:rsid w:val="00E17B44"/>
    <w:rsid w:val="00E212BC"/>
    <w:rsid w:val="00E227A8"/>
    <w:rsid w:val="00E22911"/>
    <w:rsid w:val="00E22F14"/>
    <w:rsid w:val="00E23281"/>
    <w:rsid w:val="00E2580B"/>
    <w:rsid w:val="00E2602D"/>
    <w:rsid w:val="00E27FEA"/>
    <w:rsid w:val="00E305DF"/>
    <w:rsid w:val="00E30DF4"/>
    <w:rsid w:val="00E31128"/>
    <w:rsid w:val="00E33DBB"/>
    <w:rsid w:val="00E361B7"/>
    <w:rsid w:val="00E37760"/>
    <w:rsid w:val="00E4086F"/>
    <w:rsid w:val="00E43B3C"/>
    <w:rsid w:val="00E43D68"/>
    <w:rsid w:val="00E4528F"/>
    <w:rsid w:val="00E46E72"/>
    <w:rsid w:val="00E4749F"/>
    <w:rsid w:val="00E47BFC"/>
    <w:rsid w:val="00E47CFF"/>
    <w:rsid w:val="00E50188"/>
    <w:rsid w:val="00E515CB"/>
    <w:rsid w:val="00E52260"/>
    <w:rsid w:val="00E5572F"/>
    <w:rsid w:val="00E5586C"/>
    <w:rsid w:val="00E55935"/>
    <w:rsid w:val="00E57317"/>
    <w:rsid w:val="00E6001B"/>
    <w:rsid w:val="00E60813"/>
    <w:rsid w:val="00E620EC"/>
    <w:rsid w:val="00E62B87"/>
    <w:rsid w:val="00E63972"/>
    <w:rsid w:val="00E639B6"/>
    <w:rsid w:val="00E6434B"/>
    <w:rsid w:val="00E6463D"/>
    <w:rsid w:val="00E703EA"/>
    <w:rsid w:val="00E7052A"/>
    <w:rsid w:val="00E717AA"/>
    <w:rsid w:val="00E72E9B"/>
    <w:rsid w:val="00E73CD3"/>
    <w:rsid w:val="00E76731"/>
    <w:rsid w:val="00E81707"/>
    <w:rsid w:val="00E83DD4"/>
    <w:rsid w:val="00E83E3A"/>
    <w:rsid w:val="00E841FB"/>
    <w:rsid w:val="00E84275"/>
    <w:rsid w:val="00E849DA"/>
    <w:rsid w:val="00E87A8D"/>
    <w:rsid w:val="00E91E5E"/>
    <w:rsid w:val="00E931B2"/>
    <w:rsid w:val="00E9462E"/>
    <w:rsid w:val="00E954B2"/>
    <w:rsid w:val="00E95510"/>
    <w:rsid w:val="00E96BF4"/>
    <w:rsid w:val="00EA044A"/>
    <w:rsid w:val="00EA4343"/>
    <w:rsid w:val="00EA470E"/>
    <w:rsid w:val="00EA47A7"/>
    <w:rsid w:val="00EA57EB"/>
    <w:rsid w:val="00EA5CD9"/>
    <w:rsid w:val="00EA5FD0"/>
    <w:rsid w:val="00EB171B"/>
    <w:rsid w:val="00EB18FB"/>
    <w:rsid w:val="00EB1EE8"/>
    <w:rsid w:val="00EB2832"/>
    <w:rsid w:val="00EB3226"/>
    <w:rsid w:val="00EB35AC"/>
    <w:rsid w:val="00EB4140"/>
    <w:rsid w:val="00EB4825"/>
    <w:rsid w:val="00EB5967"/>
    <w:rsid w:val="00EB661C"/>
    <w:rsid w:val="00EC07D3"/>
    <w:rsid w:val="00EC0FE3"/>
    <w:rsid w:val="00EC213A"/>
    <w:rsid w:val="00EC4A18"/>
    <w:rsid w:val="00EC6603"/>
    <w:rsid w:val="00EC7744"/>
    <w:rsid w:val="00ED0846"/>
    <w:rsid w:val="00ED0DAD"/>
    <w:rsid w:val="00ED0F46"/>
    <w:rsid w:val="00ED2373"/>
    <w:rsid w:val="00ED554B"/>
    <w:rsid w:val="00ED56FA"/>
    <w:rsid w:val="00EE0726"/>
    <w:rsid w:val="00EE0BC6"/>
    <w:rsid w:val="00EE0C58"/>
    <w:rsid w:val="00EE23E6"/>
    <w:rsid w:val="00EE2EF1"/>
    <w:rsid w:val="00EE3E8A"/>
    <w:rsid w:val="00EE531B"/>
    <w:rsid w:val="00EE591F"/>
    <w:rsid w:val="00EE750D"/>
    <w:rsid w:val="00EF0B35"/>
    <w:rsid w:val="00EF6ECA"/>
    <w:rsid w:val="00F00189"/>
    <w:rsid w:val="00F002A8"/>
    <w:rsid w:val="00F0117A"/>
    <w:rsid w:val="00F024E1"/>
    <w:rsid w:val="00F025AA"/>
    <w:rsid w:val="00F06C10"/>
    <w:rsid w:val="00F070CC"/>
    <w:rsid w:val="00F07584"/>
    <w:rsid w:val="00F1013F"/>
    <w:rsid w:val="00F1096F"/>
    <w:rsid w:val="00F116A4"/>
    <w:rsid w:val="00F12589"/>
    <w:rsid w:val="00F12595"/>
    <w:rsid w:val="00F126D4"/>
    <w:rsid w:val="00F134D9"/>
    <w:rsid w:val="00F138E3"/>
    <w:rsid w:val="00F1403D"/>
    <w:rsid w:val="00F1463F"/>
    <w:rsid w:val="00F16714"/>
    <w:rsid w:val="00F16EF1"/>
    <w:rsid w:val="00F179D3"/>
    <w:rsid w:val="00F20227"/>
    <w:rsid w:val="00F21302"/>
    <w:rsid w:val="00F21F72"/>
    <w:rsid w:val="00F226DF"/>
    <w:rsid w:val="00F23F5D"/>
    <w:rsid w:val="00F24481"/>
    <w:rsid w:val="00F25065"/>
    <w:rsid w:val="00F26B4B"/>
    <w:rsid w:val="00F271CB"/>
    <w:rsid w:val="00F278EF"/>
    <w:rsid w:val="00F31783"/>
    <w:rsid w:val="00F321DE"/>
    <w:rsid w:val="00F33777"/>
    <w:rsid w:val="00F37701"/>
    <w:rsid w:val="00F40648"/>
    <w:rsid w:val="00F40D5B"/>
    <w:rsid w:val="00F41AE4"/>
    <w:rsid w:val="00F41DB5"/>
    <w:rsid w:val="00F437A1"/>
    <w:rsid w:val="00F44525"/>
    <w:rsid w:val="00F464A0"/>
    <w:rsid w:val="00F47DA2"/>
    <w:rsid w:val="00F50282"/>
    <w:rsid w:val="00F5146B"/>
    <w:rsid w:val="00F51554"/>
    <w:rsid w:val="00F51646"/>
    <w:rsid w:val="00F519FC"/>
    <w:rsid w:val="00F522DF"/>
    <w:rsid w:val="00F52DAD"/>
    <w:rsid w:val="00F53A47"/>
    <w:rsid w:val="00F53C04"/>
    <w:rsid w:val="00F53C62"/>
    <w:rsid w:val="00F54A38"/>
    <w:rsid w:val="00F556B9"/>
    <w:rsid w:val="00F55FE6"/>
    <w:rsid w:val="00F603CF"/>
    <w:rsid w:val="00F6239D"/>
    <w:rsid w:val="00F628B9"/>
    <w:rsid w:val="00F63234"/>
    <w:rsid w:val="00F63C1A"/>
    <w:rsid w:val="00F64420"/>
    <w:rsid w:val="00F7092F"/>
    <w:rsid w:val="00F715D2"/>
    <w:rsid w:val="00F7274F"/>
    <w:rsid w:val="00F745EE"/>
    <w:rsid w:val="00F75BF3"/>
    <w:rsid w:val="00F76E0A"/>
    <w:rsid w:val="00F76FA8"/>
    <w:rsid w:val="00F77DEE"/>
    <w:rsid w:val="00F8055D"/>
    <w:rsid w:val="00F8386E"/>
    <w:rsid w:val="00F83D3D"/>
    <w:rsid w:val="00F86330"/>
    <w:rsid w:val="00F8683B"/>
    <w:rsid w:val="00F9134C"/>
    <w:rsid w:val="00F91E7E"/>
    <w:rsid w:val="00F928A5"/>
    <w:rsid w:val="00F93F08"/>
    <w:rsid w:val="00F94492"/>
    <w:rsid w:val="00F94CED"/>
    <w:rsid w:val="00F9715D"/>
    <w:rsid w:val="00FA2CEE"/>
    <w:rsid w:val="00FA318C"/>
    <w:rsid w:val="00FA6237"/>
    <w:rsid w:val="00FA7540"/>
    <w:rsid w:val="00FB0039"/>
    <w:rsid w:val="00FB0A7C"/>
    <w:rsid w:val="00FB1357"/>
    <w:rsid w:val="00FB28F5"/>
    <w:rsid w:val="00FB37C2"/>
    <w:rsid w:val="00FB6F92"/>
    <w:rsid w:val="00FC026E"/>
    <w:rsid w:val="00FC0849"/>
    <w:rsid w:val="00FC1AD7"/>
    <w:rsid w:val="00FC301C"/>
    <w:rsid w:val="00FC5124"/>
    <w:rsid w:val="00FD4397"/>
    <w:rsid w:val="00FD4731"/>
    <w:rsid w:val="00FD515E"/>
    <w:rsid w:val="00FD71CA"/>
    <w:rsid w:val="00FD7948"/>
    <w:rsid w:val="00FE139F"/>
    <w:rsid w:val="00FE1491"/>
    <w:rsid w:val="00FE1E6E"/>
    <w:rsid w:val="00FE787A"/>
    <w:rsid w:val="00FF0AB0"/>
    <w:rsid w:val="00FF2547"/>
    <w:rsid w:val="00FF28AC"/>
    <w:rsid w:val="00FF5302"/>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7C1D0"/>
  <w15:docId w15:val="{4CC6C430-EA20-4385-BC9C-CB2D47DD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link w:val="Heading1Char"/>
    <w:qFormat/>
    <w:rsid w:val="009127BC"/>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qFormat/>
    <w:rsid w:val="00A4512D"/>
    <w:rPr>
      <w:smallCaps/>
      <w:color w:val="358189" w:themeColor="accent2"/>
      <w:u w:val="single"/>
    </w:rPr>
  </w:style>
  <w:style w:type="character" w:styleId="IntenseReference">
    <w:name w:val="Intense Reference"/>
    <w:basedOn w:val="DefaultParagraphFont"/>
    <w:uiPriority w:val="32"/>
    <w:qFormat/>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uiPriority w:val="99"/>
    <w:qFormat/>
    <w:rsid w:val="00A56F17"/>
    <w:pPr>
      <w:numPr>
        <w:numId w:val="6"/>
      </w:numPr>
    </w:pPr>
  </w:style>
  <w:style w:type="paragraph" w:styleId="ListBullet">
    <w:name w:val="List Bullet"/>
    <w:basedOn w:val="Normal"/>
    <w:uiPriority w:val="99"/>
    <w:qFormat/>
    <w:rsid w:val="00A56F17"/>
    <w:pPr>
      <w:spacing w:before="60" w:after="60"/>
    </w:pPr>
    <w:rPr>
      <w:color w:val="000000" w:themeColor="text1"/>
      <w:sz w:val="21"/>
    </w:rPr>
  </w:style>
  <w:style w:type="paragraph" w:styleId="ListParagraph">
    <w:name w:val="List Paragraph"/>
    <w:aliases w:val="L,List Paragraph1,List Paragraph11,Recommendation,bullet point list,Bullet point,Bullets,CV text,Dot pt,F5 List Paragraph,FooterText,List Paragraph111,List Paragraph2,Medium Grid 1 - Accent 21,NAST Quote,NFP GP Bulleted List,列,Body text"/>
    <w:basedOn w:val="Normal"/>
    <w:link w:val="ListParagraphChar"/>
    <w:uiPriority w:val="34"/>
    <w:qFormat/>
    <w:rsid w:val="00A4512D"/>
    <w:pPr>
      <w:ind w:left="720"/>
      <w:contextualSpacing/>
    </w:pPr>
  </w:style>
  <w:style w:type="paragraph" w:styleId="ListNumber3">
    <w:name w:val="List Number 3"/>
    <w:aliases w:val="List Third Level"/>
    <w:basedOn w:val="ListNumber2"/>
    <w:uiPriority w:val="99"/>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aliases w:val="LAW"/>
    <w:basedOn w:val="Normal"/>
    <w:link w:val="FootnoteTextChar"/>
    <w:qFormat/>
    <w:rsid w:val="00A24961"/>
    <w:rPr>
      <w:sz w:val="20"/>
      <w:szCs w:val="20"/>
    </w:rPr>
  </w:style>
  <w:style w:type="character" w:customStyle="1" w:styleId="FootnoteTextChar">
    <w:name w:val="Footnote Text Char"/>
    <w:aliases w:val="LAW Char"/>
    <w:basedOn w:val="DefaultParagraphFont"/>
    <w:link w:val="FootnoteText"/>
    <w:rsid w:val="00A24961"/>
    <w:rPr>
      <w:rFonts w:ascii="Arial" w:hAnsi="Arial"/>
      <w:lang w:eastAsia="en-US"/>
    </w:rPr>
  </w:style>
  <w:style w:type="paragraph" w:styleId="Caption">
    <w:name w:val="caption"/>
    <w:basedOn w:val="Normal"/>
    <w:next w:val="Normal"/>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072F00"/>
    <w:pPr>
      <w:tabs>
        <w:tab w:val="clear" w:pos="4513"/>
        <w:tab w:val="center" w:pos="0"/>
      </w:tabs>
      <w:jc w:val="right"/>
    </w:pPr>
  </w:style>
  <w:style w:type="paragraph" w:customStyle="1" w:styleId="URL">
    <w:name w:val="URL"/>
    <w:basedOn w:val="Paragraphtext"/>
    <w:rsid w:val="00072F00"/>
    <w:pPr>
      <w:spacing w:before="3120"/>
      <w:jc w:val="center"/>
    </w:pPr>
    <w:rPr>
      <w:b/>
      <w:bCs/>
      <w:sz w:val="24"/>
      <w:szCs w:val="20"/>
    </w:rPr>
  </w:style>
  <w:style w:type="paragraph" w:styleId="BodyText">
    <w:name w:val="Body Text"/>
    <w:basedOn w:val="Normal"/>
    <w:link w:val="BodyTextChar"/>
    <w:unhideWhenUsed/>
    <w:rsid w:val="00072F00"/>
    <w:pPr>
      <w:spacing w:after="120"/>
    </w:pPr>
  </w:style>
  <w:style w:type="character" w:customStyle="1" w:styleId="BodyTextChar">
    <w:name w:val="Body Text Char"/>
    <w:basedOn w:val="DefaultParagraphFont"/>
    <w:link w:val="BodyText"/>
    <w:rsid w:val="00072F00"/>
    <w:rPr>
      <w:rFonts w:ascii="Arial" w:hAnsi="Arial"/>
      <w:sz w:val="22"/>
      <w:szCs w:val="24"/>
      <w:lang w:eastAsia="en-US"/>
    </w:rPr>
  </w:style>
  <w:style w:type="character" w:customStyle="1" w:styleId="ListParagraphChar">
    <w:name w:val="List Paragraph Char"/>
    <w:aliases w:val="L Char,List Paragraph1 Char,List Paragraph11 Char,Recommendation Char,bullet point list Char,Bullet point Char,Bullets Char,CV text Char,Dot pt Char,F5 List Paragraph Char,FooterText Char,List Paragraph111 Char,List Paragraph2 Char"/>
    <w:basedOn w:val="DefaultParagraphFont"/>
    <w:link w:val="ListParagraph"/>
    <w:uiPriority w:val="34"/>
    <w:qFormat/>
    <w:locked/>
    <w:rsid w:val="00072F00"/>
    <w:rPr>
      <w:rFonts w:ascii="Arial" w:hAnsi="Arial"/>
      <w:sz w:val="22"/>
      <w:szCs w:val="24"/>
      <w:lang w:eastAsia="en-US"/>
    </w:rPr>
  </w:style>
  <w:style w:type="paragraph" w:styleId="EndnoteText">
    <w:name w:val="endnote text"/>
    <w:basedOn w:val="Normal"/>
    <w:link w:val="EndnoteTextChar"/>
    <w:rsid w:val="00072F00"/>
    <w:rPr>
      <w:rFonts w:ascii="Times New Roman" w:hAnsi="Times New Roman"/>
      <w:sz w:val="20"/>
      <w:szCs w:val="20"/>
    </w:rPr>
  </w:style>
  <w:style w:type="character" w:customStyle="1" w:styleId="EndnoteTextChar">
    <w:name w:val="Endnote Text Char"/>
    <w:basedOn w:val="DefaultParagraphFont"/>
    <w:link w:val="EndnoteText"/>
    <w:rsid w:val="00072F00"/>
    <w:rPr>
      <w:lang w:eastAsia="en-US"/>
    </w:rPr>
  </w:style>
  <w:style w:type="character" w:styleId="EndnoteReference">
    <w:name w:val="endnote reference"/>
    <w:basedOn w:val="DefaultParagraphFont"/>
    <w:rsid w:val="00072F00"/>
    <w:rPr>
      <w:vertAlign w:val="superscript"/>
    </w:rPr>
  </w:style>
  <w:style w:type="paragraph" w:customStyle="1" w:styleId="BodyA">
    <w:name w:val="Body A"/>
    <w:rsid w:val="00072F00"/>
    <w:pPr>
      <w:pBdr>
        <w:top w:val="nil"/>
        <w:left w:val="nil"/>
        <w:bottom w:val="nil"/>
        <w:right w:val="nil"/>
        <w:between w:val="nil"/>
        <w:bar w:val="nil"/>
      </w:pBdr>
    </w:pPr>
    <w:rPr>
      <w:color w:val="000000"/>
      <w:sz w:val="24"/>
      <w:szCs w:val="24"/>
      <w:u w:color="000000"/>
      <w:bdr w:val="nil"/>
      <w:lang w:val="en-US"/>
    </w:rPr>
  </w:style>
  <w:style w:type="character" w:styleId="FootnoteReference">
    <w:name w:val="footnote reference"/>
    <w:basedOn w:val="DefaultParagraphFont"/>
    <w:unhideWhenUsed/>
    <w:qFormat/>
    <w:rsid w:val="00072F00"/>
    <w:rPr>
      <w:vertAlign w:val="superscript"/>
    </w:rPr>
  </w:style>
  <w:style w:type="numbering" w:customStyle="1" w:styleId="ImportedStyle120">
    <w:name w:val="Imported Style 12.0"/>
    <w:rsid w:val="00072F00"/>
    <w:pPr>
      <w:numPr>
        <w:numId w:val="7"/>
      </w:numPr>
    </w:pPr>
  </w:style>
  <w:style w:type="numbering" w:customStyle="1" w:styleId="ImportedStyle140">
    <w:name w:val="Imported Style 14.0"/>
    <w:rsid w:val="00072F00"/>
    <w:pPr>
      <w:numPr>
        <w:numId w:val="8"/>
      </w:numPr>
    </w:pPr>
  </w:style>
  <w:style w:type="paragraph" w:customStyle="1" w:styleId="Footnote">
    <w:name w:val="Footnote"/>
    <w:basedOn w:val="Normal"/>
    <w:rsid w:val="00072F00"/>
    <w:pPr>
      <w:suppressAutoHyphens/>
      <w:spacing w:after="200" w:line="276" w:lineRule="auto"/>
    </w:pPr>
    <w:rPr>
      <w:rFonts w:ascii="Calibri" w:eastAsia="Droid Sans Fallback" w:hAnsi="Calibri" w:cs="Calibri"/>
      <w:color w:val="00000A"/>
      <w:szCs w:val="22"/>
    </w:rPr>
  </w:style>
  <w:style w:type="paragraph" w:styleId="CommentText">
    <w:name w:val="annotation text"/>
    <w:basedOn w:val="Normal"/>
    <w:link w:val="CommentTextChar"/>
    <w:uiPriority w:val="99"/>
    <w:unhideWhenUsed/>
    <w:rsid w:val="00072F00"/>
    <w:rPr>
      <w:rFonts w:ascii="Calibri" w:eastAsiaTheme="minorHAnsi" w:hAnsi="Calibri"/>
      <w:sz w:val="20"/>
      <w:szCs w:val="20"/>
    </w:rPr>
  </w:style>
  <w:style w:type="character" w:customStyle="1" w:styleId="CommentTextChar">
    <w:name w:val="Comment Text Char"/>
    <w:basedOn w:val="DefaultParagraphFont"/>
    <w:link w:val="CommentText"/>
    <w:uiPriority w:val="99"/>
    <w:rsid w:val="00072F00"/>
    <w:rPr>
      <w:rFonts w:ascii="Calibri" w:eastAsiaTheme="minorHAnsi" w:hAnsi="Calibri"/>
      <w:lang w:eastAsia="en-US"/>
    </w:rPr>
  </w:style>
  <w:style w:type="character" w:styleId="CommentReference">
    <w:name w:val="annotation reference"/>
    <w:basedOn w:val="DefaultParagraphFont"/>
    <w:uiPriority w:val="99"/>
    <w:unhideWhenUsed/>
    <w:rsid w:val="00072F00"/>
    <w:rPr>
      <w:sz w:val="16"/>
      <w:szCs w:val="16"/>
    </w:rPr>
  </w:style>
  <w:style w:type="paragraph" w:customStyle="1" w:styleId="Body">
    <w:name w:val="Body"/>
    <w:rsid w:val="00072F00"/>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PlainText">
    <w:name w:val="Plain Text"/>
    <w:link w:val="PlainTextChar"/>
    <w:uiPriority w:val="99"/>
    <w:rsid w:val="00072F00"/>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basedOn w:val="DefaultParagraphFont"/>
    <w:link w:val="PlainText"/>
    <w:uiPriority w:val="99"/>
    <w:rsid w:val="00072F00"/>
    <w:rPr>
      <w:rFonts w:ascii="Calibri" w:eastAsia="Calibri" w:hAnsi="Calibri" w:cs="Calibri"/>
      <w:color w:val="000000"/>
      <w:sz w:val="22"/>
      <w:szCs w:val="22"/>
      <w:u w:color="000000"/>
      <w:bdr w:val="nil"/>
      <w:lang w:val="en-US"/>
    </w:rPr>
  </w:style>
  <w:style w:type="paragraph" w:styleId="CommentSubject">
    <w:name w:val="annotation subject"/>
    <w:basedOn w:val="CommentText"/>
    <w:next w:val="CommentText"/>
    <w:link w:val="CommentSubjectChar"/>
    <w:unhideWhenUsed/>
    <w:rsid w:val="00072F00"/>
    <w:rPr>
      <w:rFonts w:ascii="Arial" w:eastAsia="Times New Roman" w:hAnsi="Arial"/>
      <w:b/>
      <w:bCs/>
    </w:rPr>
  </w:style>
  <w:style w:type="character" w:customStyle="1" w:styleId="CommentSubjectChar">
    <w:name w:val="Comment Subject Char"/>
    <w:basedOn w:val="CommentTextChar"/>
    <w:link w:val="CommentSubject"/>
    <w:rsid w:val="00072F00"/>
    <w:rPr>
      <w:rFonts w:ascii="Arial" w:eastAsiaTheme="minorHAnsi" w:hAnsi="Arial"/>
      <w:b/>
      <w:bCs/>
      <w:lang w:eastAsia="en-US"/>
    </w:rPr>
  </w:style>
  <w:style w:type="character" w:customStyle="1" w:styleId="None">
    <w:name w:val="None"/>
    <w:rsid w:val="00072F00"/>
  </w:style>
  <w:style w:type="character" w:customStyle="1" w:styleId="Hyperlink2">
    <w:name w:val="Hyperlink.2"/>
    <w:basedOn w:val="None"/>
    <w:rsid w:val="00072F00"/>
    <w:rPr>
      <w:rFonts w:ascii="Gill Sans MT" w:eastAsia="Gill Sans MT" w:hAnsi="Gill Sans MT" w:cs="Gill Sans MT"/>
    </w:rPr>
  </w:style>
  <w:style w:type="character" w:customStyle="1" w:styleId="Hyperlink0">
    <w:name w:val="Hyperlink.0"/>
    <w:basedOn w:val="None"/>
    <w:rsid w:val="00072F00"/>
    <w:rPr>
      <w:color w:val="0000FF"/>
      <w:u w:val="single" w:color="0000FF"/>
    </w:rPr>
  </w:style>
  <w:style w:type="character" w:customStyle="1" w:styleId="m-5825876187378068920hyperlink2">
    <w:name w:val="m_-5825876187378068920hyperlink2"/>
    <w:basedOn w:val="DefaultParagraphFont"/>
    <w:rsid w:val="00072F00"/>
  </w:style>
  <w:style w:type="paragraph" w:customStyle="1" w:styleId="Default">
    <w:name w:val="Default"/>
    <w:rsid w:val="00072F0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FootnoteAnchor">
    <w:name w:val="Footnote Anchor"/>
    <w:rsid w:val="00072F00"/>
    <w:rPr>
      <w:vertAlign w:val="superscript"/>
    </w:rPr>
  </w:style>
  <w:style w:type="character" w:customStyle="1" w:styleId="FootnoteCharacters">
    <w:name w:val="Footnote Characters"/>
    <w:rsid w:val="00072F00"/>
    <w:rPr>
      <w:vertAlign w:val="superscript"/>
    </w:rPr>
  </w:style>
  <w:style w:type="numbering" w:customStyle="1" w:styleId="ImportedStyle11">
    <w:name w:val="Imported Style 11"/>
    <w:rsid w:val="00072F00"/>
    <w:pPr>
      <w:numPr>
        <w:numId w:val="9"/>
      </w:numPr>
    </w:pPr>
  </w:style>
  <w:style w:type="character" w:styleId="BookTitle">
    <w:name w:val="Book Title"/>
    <w:basedOn w:val="DefaultParagraphFont"/>
    <w:uiPriority w:val="33"/>
    <w:qFormat/>
    <w:rsid w:val="00072F00"/>
    <w:rPr>
      <w:b/>
      <w:bCs/>
      <w:smallCaps/>
      <w:spacing w:val="5"/>
    </w:rPr>
  </w:style>
  <w:style w:type="numbering" w:customStyle="1" w:styleId="ImportedStyle1">
    <w:name w:val="Imported Style 1"/>
    <w:rsid w:val="00072F00"/>
    <w:pPr>
      <w:numPr>
        <w:numId w:val="10"/>
      </w:numPr>
    </w:pPr>
  </w:style>
  <w:style w:type="numbering" w:customStyle="1" w:styleId="ImportedStyle30">
    <w:name w:val="Imported Style 3.0"/>
    <w:rsid w:val="00072F00"/>
    <w:pPr>
      <w:numPr>
        <w:numId w:val="11"/>
      </w:numPr>
    </w:pPr>
  </w:style>
  <w:style w:type="numbering" w:customStyle="1" w:styleId="ImportedStyle13">
    <w:name w:val="Imported Style 13"/>
    <w:rsid w:val="00072F00"/>
    <w:pPr>
      <w:numPr>
        <w:numId w:val="12"/>
      </w:numPr>
    </w:pPr>
  </w:style>
  <w:style w:type="paragraph" w:styleId="BodyTextIndent3">
    <w:name w:val="Body Text Indent 3"/>
    <w:basedOn w:val="Normal"/>
    <w:link w:val="BodyTextIndent3Char"/>
    <w:uiPriority w:val="99"/>
    <w:unhideWhenUsed/>
    <w:rsid w:val="00072F00"/>
    <w:pPr>
      <w:pBdr>
        <w:top w:val="nil"/>
        <w:left w:val="nil"/>
        <w:bottom w:val="nil"/>
        <w:right w:val="nil"/>
        <w:between w:val="nil"/>
        <w:bar w:val="nil"/>
      </w:pBdr>
      <w:spacing w:after="120"/>
      <w:ind w:left="283"/>
    </w:pPr>
    <w:rPr>
      <w:rFonts w:ascii="Times New Roman" w:eastAsia="Arial Unicode MS" w:hAnsi="Times New Roman"/>
      <w:sz w:val="16"/>
      <w:szCs w:val="16"/>
      <w:bdr w:val="nil"/>
      <w:lang w:val="en-US"/>
    </w:rPr>
  </w:style>
  <w:style w:type="character" w:customStyle="1" w:styleId="BodyTextIndent3Char">
    <w:name w:val="Body Text Indent 3 Char"/>
    <w:basedOn w:val="DefaultParagraphFont"/>
    <w:link w:val="BodyTextIndent3"/>
    <w:uiPriority w:val="99"/>
    <w:rsid w:val="00072F00"/>
    <w:rPr>
      <w:rFonts w:eastAsia="Arial Unicode MS"/>
      <w:sz w:val="16"/>
      <w:szCs w:val="16"/>
      <w:bdr w:val="nil"/>
      <w:lang w:val="en-US" w:eastAsia="en-US"/>
    </w:rPr>
  </w:style>
  <w:style w:type="numbering" w:customStyle="1" w:styleId="ImportedStyle19">
    <w:name w:val="Imported Style 19"/>
    <w:rsid w:val="00072F00"/>
    <w:pPr>
      <w:numPr>
        <w:numId w:val="13"/>
      </w:numPr>
    </w:pPr>
  </w:style>
  <w:style w:type="numbering" w:customStyle="1" w:styleId="ImportedStyle20">
    <w:name w:val="Imported Style 20"/>
    <w:rsid w:val="00072F00"/>
    <w:pPr>
      <w:numPr>
        <w:numId w:val="14"/>
      </w:numPr>
    </w:pPr>
  </w:style>
  <w:style w:type="numbering" w:customStyle="1" w:styleId="ImportedStyle2">
    <w:name w:val="Imported Style 2"/>
    <w:rsid w:val="00072F00"/>
    <w:pPr>
      <w:numPr>
        <w:numId w:val="15"/>
      </w:numPr>
    </w:pPr>
  </w:style>
  <w:style w:type="numbering" w:customStyle="1" w:styleId="ImportedStyle40">
    <w:name w:val="Imported Style 4.0"/>
    <w:rsid w:val="00072F00"/>
    <w:pPr>
      <w:numPr>
        <w:numId w:val="16"/>
      </w:numPr>
    </w:pPr>
  </w:style>
  <w:style w:type="numbering" w:customStyle="1" w:styleId="ImportedStyle9">
    <w:name w:val="Imported Style 9"/>
    <w:rsid w:val="00072F00"/>
    <w:pPr>
      <w:numPr>
        <w:numId w:val="17"/>
      </w:numPr>
    </w:pPr>
  </w:style>
  <w:style w:type="numbering" w:customStyle="1" w:styleId="ImportedStyle91">
    <w:name w:val="Imported Style 91"/>
    <w:rsid w:val="00072F00"/>
  </w:style>
  <w:style w:type="table" w:customStyle="1" w:styleId="TableGrid1">
    <w:name w:val="Table Grid1"/>
    <w:basedOn w:val="TableNormal"/>
    <w:next w:val="TableGrid"/>
    <w:uiPriority w:val="59"/>
    <w:rsid w:val="00072F00"/>
    <w:rPr>
      <w:rFonts w:ascii="Calibri" w:eastAsia="Droid Sans Fallback"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qFormat/>
    <w:rsid w:val="00072F00"/>
    <w:pPr>
      <w:spacing w:after="120" w:line="270" w:lineRule="atLeast"/>
    </w:pPr>
    <w:rPr>
      <w:rFonts w:ascii="Arial" w:eastAsia="Times" w:hAnsi="Arial"/>
      <w:lang w:eastAsia="en-US"/>
    </w:rPr>
  </w:style>
  <w:style w:type="paragraph" w:styleId="Revision">
    <w:name w:val="Revision"/>
    <w:hidden/>
    <w:uiPriority w:val="99"/>
    <w:semiHidden/>
    <w:rsid w:val="00072F00"/>
    <w:rPr>
      <w:sz w:val="24"/>
      <w:szCs w:val="24"/>
      <w:lang w:eastAsia="en-US"/>
    </w:rPr>
  </w:style>
  <w:style w:type="paragraph" w:customStyle="1" w:styleId="BodyAA">
    <w:name w:val="Body A A"/>
    <w:uiPriority w:val="99"/>
    <w:rsid w:val="00072F00"/>
    <w:pPr>
      <w:pBdr>
        <w:top w:val="nil"/>
        <w:left w:val="nil"/>
        <w:bottom w:val="nil"/>
        <w:right w:val="nil"/>
        <w:between w:val="nil"/>
        <w:bar w:val="nil"/>
      </w:pBdr>
    </w:pPr>
    <w:rPr>
      <w:color w:val="000000"/>
      <w:sz w:val="24"/>
      <w:szCs w:val="24"/>
      <w:u w:color="000000"/>
      <w:bdr w:val="nil"/>
      <w:lang w:val="en-US"/>
    </w:rPr>
  </w:style>
  <w:style w:type="numbering" w:customStyle="1" w:styleId="ImportedStyle100">
    <w:name w:val="Imported Style 10.0"/>
    <w:rsid w:val="00072F00"/>
    <w:pPr>
      <w:numPr>
        <w:numId w:val="18"/>
      </w:numPr>
    </w:pPr>
  </w:style>
  <w:style w:type="numbering" w:customStyle="1" w:styleId="ImportedStyle15">
    <w:name w:val="Imported Style 15"/>
    <w:rsid w:val="00072F00"/>
    <w:pPr>
      <w:numPr>
        <w:numId w:val="19"/>
      </w:numPr>
    </w:pPr>
  </w:style>
  <w:style w:type="numbering" w:customStyle="1" w:styleId="ImportedStyle18">
    <w:name w:val="Imported Style 18"/>
    <w:rsid w:val="00072F00"/>
    <w:pPr>
      <w:numPr>
        <w:numId w:val="20"/>
      </w:numPr>
    </w:pPr>
  </w:style>
  <w:style w:type="numbering" w:customStyle="1" w:styleId="ImportedStyle21">
    <w:name w:val="Imported Style 21"/>
    <w:rsid w:val="00072F00"/>
    <w:pPr>
      <w:numPr>
        <w:numId w:val="21"/>
      </w:numPr>
    </w:pPr>
  </w:style>
  <w:style w:type="numbering" w:customStyle="1" w:styleId="ImportedStyle22">
    <w:name w:val="Imported Style 22"/>
    <w:rsid w:val="00072F00"/>
    <w:pPr>
      <w:numPr>
        <w:numId w:val="22"/>
      </w:numPr>
    </w:pPr>
  </w:style>
  <w:style w:type="character" w:customStyle="1" w:styleId="tx">
    <w:name w:val="tx"/>
    <w:basedOn w:val="DefaultParagraphFont"/>
    <w:rsid w:val="00072F00"/>
  </w:style>
  <w:style w:type="paragraph" w:customStyle="1" w:styleId="Normal-Space">
    <w:name w:val="Normal-Space"/>
    <w:uiPriority w:val="99"/>
    <w:rsid w:val="00072F00"/>
    <w:pPr>
      <w:pBdr>
        <w:top w:val="nil"/>
        <w:left w:val="nil"/>
        <w:bottom w:val="nil"/>
        <w:right w:val="nil"/>
        <w:between w:val="nil"/>
        <w:bar w:val="nil"/>
      </w:pBdr>
      <w:spacing w:after="120"/>
    </w:pPr>
    <w:rPr>
      <w:rFonts w:eastAsia="Arial Unicode MS" w:cs="Arial Unicode MS"/>
      <w:color w:val="000000"/>
      <w:sz w:val="24"/>
      <w:szCs w:val="24"/>
      <w:u w:color="000000"/>
      <w:bdr w:val="nil"/>
      <w:lang w:val="en-US"/>
    </w:rPr>
  </w:style>
  <w:style w:type="paragraph" w:customStyle="1" w:styleId="ti">
    <w:name w:val="ti"/>
    <w:basedOn w:val="Normal"/>
    <w:rsid w:val="00072F00"/>
    <w:pPr>
      <w:spacing w:before="100" w:beforeAutospacing="1" w:after="100" w:afterAutospacing="1"/>
    </w:pPr>
    <w:rPr>
      <w:rFonts w:ascii="Times New Roman" w:hAnsi="Times New Roman"/>
      <w:sz w:val="24"/>
      <w:lang w:eastAsia="en-AU"/>
    </w:rPr>
  </w:style>
  <w:style w:type="character" w:customStyle="1" w:styleId="NoSpacingChar">
    <w:name w:val="No Spacing Char"/>
    <w:basedOn w:val="DefaultParagraphFont"/>
    <w:link w:val="NoSpacing"/>
    <w:uiPriority w:val="1"/>
    <w:rsid w:val="00072F00"/>
    <w:rPr>
      <w:sz w:val="24"/>
      <w:szCs w:val="24"/>
      <w:lang w:eastAsia="en-US"/>
    </w:rPr>
  </w:style>
  <w:style w:type="paragraph" w:styleId="TOCHeading">
    <w:name w:val="TOC Heading"/>
    <w:basedOn w:val="Heading1"/>
    <w:next w:val="Normal"/>
    <w:uiPriority w:val="39"/>
    <w:unhideWhenUsed/>
    <w:qFormat/>
    <w:rsid w:val="00072F00"/>
    <w:pPr>
      <w:keepNext w:val="0"/>
      <w:keepLines/>
      <w:spacing w:before="480" w:after="0" w:line="276" w:lineRule="auto"/>
      <w:outlineLvl w:val="9"/>
    </w:pPr>
    <w:rPr>
      <w:rFonts w:asciiTheme="majorHAnsi" w:eastAsiaTheme="majorEastAsia" w:hAnsiTheme="majorHAnsi" w:cstheme="majorBidi"/>
      <w:b/>
      <w:color w:val="2F3757" w:themeColor="accent1" w:themeShade="BF"/>
      <w:kern w:val="0"/>
      <w:sz w:val="28"/>
      <w:szCs w:val="28"/>
      <w:lang w:val="en-US" w:eastAsia="ja-JP"/>
    </w:rPr>
  </w:style>
  <w:style w:type="paragraph" w:styleId="TOC1">
    <w:name w:val="toc 1"/>
    <w:basedOn w:val="Normal"/>
    <w:next w:val="Normal"/>
    <w:autoRedefine/>
    <w:uiPriority w:val="39"/>
    <w:rsid w:val="00072F00"/>
    <w:pPr>
      <w:tabs>
        <w:tab w:val="right" w:leader="dot" w:pos="9060"/>
      </w:tabs>
      <w:spacing w:before="240" w:after="100"/>
    </w:pPr>
    <w:rPr>
      <w:rFonts w:cs="Arial"/>
      <w:noProof/>
      <w:color w:val="3F4A75"/>
      <w:sz w:val="24"/>
    </w:rPr>
  </w:style>
  <w:style w:type="character" w:customStyle="1" w:styleId="m-5825876187378068920msofootnotereference">
    <w:name w:val="m_-5825876187378068920msofootnotereference"/>
    <w:basedOn w:val="DefaultParagraphFont"/>
    <w:rsid w:val="00072F00"/>
  </w:style>
  <w:style w:type="paragraph" w:styleId="ListNumber">
    <w:name w:val="List Number"/>
    <w:basedOn w:val="Normal"/>
    <w:uiPriority w:val="99"/>
    <w:qFormat/>
    <w:rsid w:val="00072F00"/>
    <w:pPr>
      <w:spacing w:after="200" w:line="276" w:lineRule="auto"/>
      <w:ind w:left="369" w:hanging="369"/>
    </w:pPr>
    <w:rPr>
      <w:rFonts w:eastAsia="Calibri"/>
      <w:szCs w:val="22"/>
    </w:rPr>
  </w:style>
  <w:style w:type="paragraph" w:styleId="ListNumber4">
    <w:name w:val="List Number 4"/>
    <w:basedOn w:val="Normal"/>
    <w:uiPriority w:val="99"/>
    <w:rsid w:val="00072F00"/>
    <w:pPr>
      <w:spacing w:after="200" w:line="276" w:lineRule="auto"/>
      <w:ind w:left="1476" w:hanging="369"/>
    </w:pPr>
    <w:rPr>
      <w:rFonts w:eastAsia="Calibri"/>
      <w:szCs w:val="22"/>
    </w:rPr>
  </w:style>
  <w:style w:type="paragraph" w:styleId="ListNumber5">
    <w:name w:val="List Number 5"/>
    <w:basedOn w:val="Normal"/>
    <w:uiPriority w:val="99"/>
    <w:rsid w:val="00072F00"/>
    <w:pPr>
      <w:spacing w:after="200" w:line="276" w:lineRule="auto"/>
      <w:ind w:left="1845" w:hanging="369"/>
    </w:pPr>
    <w:rPr>
      <w:rFonts w:eastAsia="Calibri"/>
      <w:szCs w:val="22"/>
    </w:rPr>
  </w:style>
  <w:style w:type="paragraph" w:styleId="TOC2">
    <w:name w:val="toc 2"/>
    <w:basedOn w:val="Normal"/>
    <w:next w:val="Normal"/>
    <w:autoRedefine/>
    <w:uiPriority w:val="39"/>
    <w:unhideWhenUsed/>
    <w:rsid w:val="00072F00"/>
    <w:pPr>
      <w:tabs>
        <w:tab w:val="right" w:leader="dot" w:pos="9060"/>
      </w:tabs>
      <w:spacing w:after="100"/>
      <w:ind w:left="220"/>
    </w:pPr>
    <w:rPr>
      <w:rFonts w:cs="Arial"/>
      <w:noProof/>
      <w:sz w:val="21"/>
    </w:rPr>
  </w:style>
  <w:style w:type="paragraph" w:styleId="TOC3">
    <w:name w:val="toc 3"/>
    <w:basedOn w:val="Normal"/>
    <w:next w:val="Normal"/>
    <w:autoRedefine/>
    <w:uiPriority w:val="39"/>
    <w:unhideWhenUsed/>
    <w:rsid w:val="00072F00"/>
    <w:pPr>
      <w:spacing w:after="100"/>
      <w:ind w:left="675"/>
    </w:pPr>
    <w:rPr>
      <w:sz w:val="21"/>
    </w:rPr>
  </w:style>
  <w:style w:type="character" w:customStyle="1" w:styleId="Heading3Char">
    <w:name w:val="Heading 3 Char"/>
    <w:basedOn w:val="DefaultParagraphFont"/>
    <w:link w:val="Heading3"/>
    <w:rsid w:val="00072F00"/>
    <w:rPr>
      <w:rFonts w:ascii="Arial" w:hAnsi="Arial" w:cs="Arial"/>
      <w:bCs/>
      <w:color w:val="358189"/>
      <w:sz w:val="28"/>
      <w:szCs w:val="26"/>
      <w:lang w:eastAsia="en-US"/>
    </w:rPr>
  </w:style>
  <w:style w:type="character" w:customStyle="1" w:styleId="au-header-heading5">
    <w:name w:val="au-header-heading5"/>
    <w:basedOn w:val="DefaultParagraphFont"/>
    <w:rsid w:val="00072F00"/>
  </w:style>
  <w:style w:type="character" w:styleId="FollowedHyperlink">
    <w:name w:val="FollowedHyperlink"/>
    <w:basedOn w:val="DefaultParagraphFont"/>
    <w:semiHidden/>
    <w:unhideWhenUsed/>
    <w:rsid w:val="00072F00"/>
    <w:rPr>
      <w:color w:val="800080" w:themeColor="followedHyperlink"/>
      <w:u w:val="single"/>
    </w:rPr>
  </w:style>
  <w:style w:type="character" w:styleId="PlaceholderText">
    <w:name w:val="Placeholder Text"/>
    <w:basedOn w:val="DefaultParagraphFont"/>
    <w:uiPriority w:val="99"/>
    <w:semiHidden/>
    <w:rsid w:val="00072F00"/>
    <w:rPr>
      <w:color w:val="808080"/>
    </w:rPr>
  </w:style>
  <w:style w:type="character" w:customStyle="1" w:styleId="Heading1Char">
    <w:name w:val="Heading 1 Char"/>
    <w:basedOn w:val="DefaultParagraphFont"/>
    <w:link w:val="Heading1"/>
    <w:rsid w:val="00072F00"/>
    <w:rPr>
      <w:rFonts w:ascii="Arial" w:hAnsi="Arial" w:cs="Arial"/>
      <w:bCs/>
      <w:color w:val="3F4A75"/>
      <w:kern w:val="28"/>
      <w:sz w:val="36"/>
      <w:szCs w:val="36"/>
      <w:lang w:eastAsia="en-US"/>
    </w:rPr>
  </w:style>
  <w:style w:type="paragraph" w:styleId="TableofFigures">
    <w:name w:val="table of figures"/>
    <w:basedOn w:val="Normal"/>
    <w:next w:val="Normal"/>
    <w:uiPriority w:val="99"/>
    <w:unhideWhenUsed/>
    <w:rsid w:val="00072F00"/>
  </w:style>
  <w:style w:type="table" w:customStyle="1" w:styleId="TableGrid2">
    <w:name w:val="Table Grid2"/>
    <w:basedOn w:val="TableNormal"/>
    <w:next w:val="TableGrid"/>
    <w:uiPriority w:val="39"/>
    <w:rsid w:val="00072F00"/>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able">
    <w:name w:val="Numbered (table)"/>
    <w:basedOn w:val="ListParagraph"/>
    <w:qFormat/>
    <w:rsid w:val="00072F00"/>
    <w:pPr>
      <w:numPr>
        <w:numId w:val="29"/>
      </w:numPr>
    </w:pPr>
    <w:rPr>
      <w:rFonts w:eastAsiaTheme="minorEastAsia"/>
      <w:b/>
      <w:color w:val="000000" w:themeColor="text1"/>
      <w:sz w:val="20"/>
      <w:lang w:val="en-GB" w:eastAsia="en-GB"/>
    </w:rPr>
  </w:style>
  <w:style w:type="table" w:styleId="TableGridLight">
    <w:name w:val="Grid Table Light"/>
    <w:basedOn w:val="TableNormal"/>
    <w:uiPriority w:val="40"/>
    <w:rsid w:val="000F419F"/>
    <w:rPr>
      <w:rFonts w:asciiTheme="minorHAnsi" w:eastAsiaTheme="minorEastAsia" w:hAnsiTheme="minorHAnsi" w:cstheme="minorBidi"/>
      <w:sz w:val="22"/>
      <w:szCs w:val="22"/>
      <w:lang w:eastAsia="zh-CN"/>
    </w:rPr>
    <w:tblPr>
      <w:tblBorders>
        <w:top w:val="single" w:sz="4" w:space="0" w:color="3F4A75"/>
        <w:left w:val="single" w:sz="4" w:space="0" w:color="3F4A75"/>
        <w:bottom w:val="single" w:sz="4" w:space="0" w:color="3F4A75"/>
        <w:right w:val="single" w:sz="4" w:space="0" w:color="3F4A75"/>
        <w:insideH w:val="single" w:sz="4" w:space="0" w:color="3F4A75"/>
        <w:insideV w:val="single" w:sz="4" w:space="0" w:color="3F4A75"/>
      </w:tblBorders>
    </w:tblPr>
  </w:style>
  <w:style w:type="paragraph" w:customStyle="1" w:styleId="TOC10">
    <w:name w:val="TOC1"/>
    <w:basedOn w:val="TOC1"/>
    <w:rsid w:val="00072F00"/>
  </w:style>
  <w:style w:type="paragraph" w:customStyle="1" w:styleId="Reference">
    <w:name w:val="Reference"/>
    <w:basedOn w:val="EndnoteText"/>
    <w:rsid w:val="00072F00"/>
    <w:pPr>
      <w:tabs>
        <w:tab w:val="left" w:pos="340"/>
      </w:tabs>
      <w:spacing w:after="240"/>
      <w:ind w:left="340" w:hanging="340"/>
    </w:pPr>
    <w:rPr>
      <w:rFonts w:ascii="Arial" w:hAnsi="Arial" w:cs="Arial"/>
      <w:sz w:val="19"/>
      <w:szCs w:val="19"/>
    </w:rPr>
  </w:style>
  <w:style w:type="table" w:customStyle="1" w:styleId="TableGrid0">
    <w:name w:val="TableGrid"/>
    <w:rsid w:val="00F6442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B44440"/>
    <w:pPr>
      <w:spacing w:line="259" w:lineRule="auto"/>
    </w:pPr>
    <w:rPr>
      <w:rFonts w:ascii="Arial" w:eastAsia="Arial" w:hAnsi="Arial" w:cs="Arial"/>
      <w:color w:val="000000"/>
      <w:szCs w:val="22"/>
    </w:rPr>
  </w:style>
  <w:style w:type="character" w:customStyle="1" w:styleId="footnotedescriptionChar">
    <w:name w:val="footnote description Char"/>
    <w:link w:val="footnotedescription"/>
    <w:rsid w:val="00B44440"/>
    <w:rPr>
      <w:rFonts w:ascii="Arial" w:eastAsia="Arial" w:hAnsi="Arial" w:cs="Arial"/>
      <w:color w:val="000000"/>
      <w:szCs w:val="22"/>
    </w:rPr>
  </w:style>
  <w:style w:type="character" w:customStyle="1" w:styleId="footnotemark">
    <w:name w:val="footnote mark"/>
    <w:hidden/>
    <w:rsid w:val="00B44440"/>
    <w:rPr>
      <w:rFonts w:ascii="Arial" w:eastAsia="Arial" w:hAnsi="Arial" w:cs="Arial"/>
      <w:color w:val="000000"/>
      <w:sz w:val="20"/>
      <w:vertAlign w:val="superscript"/>
    </w:rPr>
  </w:style>
  <w:style w:type="paragraph" w:customStyle="1" w:styleId="TableText">
    <w:name w:val="Table Text"/>
    <w:qFormat/>
    <w:rsid w:val="00BC43B8"/>
    <w:pPr>
      <w:spacing w:before="120" w:after="120" w:line="276" w:lineRule="auto"/>
    </w:pPr>
    <w:rPr>
      <w:rFonts w:ascii="Arial" w:eastAsiaTheme="minorHAnsi" w:hAnsi="Arial" w:cstheme="minorBidi"/>
      <w:bCs/>
      <w:sz w:val="18"/>
      <w:szCs w:val="18"/>
      <w:lang w:eastAsia="en-US"/>
    </w:rPr>
  </w:style>
  <w:style w:type="character" w:customStyle="1" w:styleId="Heading2Char">
    <w:name w:val="Heading 2 Char"/>
    <w:basedOn w:val="DefaultParagraphFont"/>
    <w:link w:val="Heading2"/>
    <w:rsid w:val="00BF2E02"/>
    <w:rPr>
      <w:rFonts w:ascii="Arial" w:hAnsi="Arial" w:cs="Arial"/>
      <w:bCs/>
      <w:iCs/>
      <w:color w:val="358189"/>
      <w:sz w:val="32"/>
      <w:szCs w:val="28"/>
      <w:lang w:eastAsia="en-US"/>
    </w:rPr>
  </w:style>
  <w:style w:type="table" w:styleId="ListTable4-Accent2">
    <w:name w:val="List Table 4 Accent 2"/>
    <w:basedOn w:val="TableNormal"/>
    <w:uiPriority w:val="49"/>
    <w:rsid w:val="00081FC4"/>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tcBorders>
        <w:shd w:val="clear" w:color="auto" w:fill="358189" w:themeFill="accent2"/>
      </w:tcPr>
    </w:tblStylePr>
    <w:tblStylePr w:type="lastRow">
      <w:rPr>
        <w:b/>
        <w:bCs/>
      </w:rPr>
      <w:tblPr/>
      <w:tcPr>
        <w:tcBorders>
          <w:top w:val="double" w:sz="4" w:space="0" w:color="74C1C9" w:themeColor="accent2" w:themeTint="99"/>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6593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5723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TaxCatchAll xmlns="66b98d56-25b7-479b-bf58-c8a0702ccf2c" xsi:nil="true"/>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88AF6A8-C427-4757-B8BB-743001D7D200}">
  <ds:schemaRefs>
    <ds:schemaRef ds:uri="http://schemas.openxmlformats.org/officeDocument/2006/bibliography"/>
  </ds:schemaRefs>
</ds:datastoreItem>
</file>

<file path=customXml/itemProps3.xml><?xml version="1.0" encoding="utf-8"?>
<ds:datastoreItem xmlns:ds="http://schemas.openxmlformats.org/officeDocument/2006/customXml" ds:itemID="{FA25FC06-22EC-4143-BFEF-5FC2332F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7182</Words>
  <Characters>40942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Department of Health and Aged Care Evaluation Strategy 2023–2026</vt:lpstr>
    </vt:vector>
  </TitlesOfParts>
  <Company/>
  <LinksUpToDate>false</LinksUpToDate>
  <CharactersWithSpaces>48028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Aged Care Evaluation Strategy 2023–2026</dc:title>
  <dc:creator>Australian Government Department of Health and Aged Care</dc:creator>
  <cp:keywords>about the department; evaluation strategy;</cp:keywords>
  <cp:lastModifiedBy>HAMLEY, Erynn</cp:lastModifiedBy>
  <cp:revision>2</cp:revision>
  <cp:lastPrinted>2023-06-02T02:19:00Z</cp:lastPrinted>
  <dcterms:created xsi:type="dcterms:W3CDTF">2023-11-07T05:40:00Z</dcterms:created>
  <dcterms:modified xsi:type="dcterms:W3CDTF">2023-11-07T05:40:00Z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MediaServiceImageTags">
    <vt:lpwstr/>
  </property>
</Properties>
</file>