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C7F0A" w14:textId="4409F2E8" w:rsidR="00751A23" w:rsidRPr="00D03260" w:rsidRDefault="001B51ED" w:rsidP="005D60C2">
      <w:pPr>
        <w:pStyle w:val="Title"/>
      </w:pPr>
      <w:r w:rsidRPr="00D03260">
        <w:t>Biotoxins (</w:t>
      </w:r>
      <w:r w:rsidR="009654CE" w:rsidRPr="00D03260">
        <w:t>i</w:t>
      </w:r>
      <w:r w:rsidRPr="00D03260">
        <w:t>ndoor damp and mould) Clinical Pathway</w:t>
      </w:r>
    </w:p>
    <w:p w14:paraId="4AE2749B" w14:textId="2FF8CDD5" w:rsidR="00CA79CF" w:rsidRPr="00D03260" w:rsidRDefault="009E3C65" w:rsidP="00CA79CF">
      <w:pPr>
        <w:pStyle w:val="Subtitle"/>
      </w:pPr>
      <w:r w:rsidRPr="00D03260">
        <w:t>November</w:t>
      </w:r>
      <w:r w:rsidR="006975DB" w:rsidRPr="00D03260">
        <w:t xml:space="preserve"> </w:t>
      </w:r>
      <w:r w:rsidR="000E1447" w:rsidRPr="00D03260">
        <w:t>202</w:t>
      </w:r>
      <w:r w:rsidR="001E43C8" w:rsidRPr="00D03260">
        <w:t>3</w:t>
      </w:r>
    </w:p>
    <w:p w14:paraId="6CA02D35" w14:textId="77777777" w:rsidR="00CA79CF" w:rsidRPr="00D03260" w:rsidRDefault="00CA79CF" w:rsidP="00CA79CF">
      <w:pPr>
        <w:pStyle w:val="Subtitle"/>
        <w:sectPr w:rsidR="00CA79CF" w:rsidRPr="00D03260" w:rsidSect="00CA79CF">
          <w:headerReference w:type="default" r:id="rId11"/>
          <w:headerReference w:type="first" r:id="rId12"/>
          <w:type w:val="continuous"/>
          <w:pgSz w:w="11906" w:h="16838"/>
          <w:pgMar w:top="1701" w:right="1418" w:bottom="1418" w:left="1418" w:header="709" w:footer="709" w:gutter="0"/>
          <w:cols w:space="708"/>
          <w:titlePg/>
          <w:docGrid w:linePitch="360"/>
        </w:sectPr>
      </w:pPr>
    </w:p>
    <w:p w14:paraId="0494E5F1" w14:textId="7F38898B" w:rsidR="003136BB" w:rsidRPr="00D03260" w:rsidRDefault="00A84AB7" w:rsidP="00346C4A">
      <w:r w:rsidRPr="00D03260">
        <w:lastRenderedPageBreak/>
        <w:t>This page is intentionally blank.</w:t>
      </w:r>
    </w:p>
    <w:p w14:paraId="2901F6D0" w14:textId="3DDB4928" w:rsidR="00A84AB7" w:rsidRPr="00D03260" w:rsidRDefault="00A84AB7">
      <w:pPr>
        <w:spacing w:before="0" w:after="0" w:line="240" w:lineRule="auto"/>
      </w:pPr>
      <w:r w:rsidRPr="00D03260">
        <w:br w:type="page"/>
      </w:r>
    </w:p>
    <w:p w14:paraId="27DC3718" w14:textId="143E848C" w:rsidR="00492B9D" w:rsidRPr="00D03260" w:rsidRDefault="00A92FB4" w:rsidP="00492B9D">
      <w:pPr>
        <w:pStyle w:val="Heading1"/>
      </w:pPr>
      <w:bookmarkStart w:id="0" w:name="_Toc121329097"/>
      <w:bookmarkStart w:id="1" w:name="_Toc141885837"/>
      <w:r w:rsidRPr="00D03260">
        <w:lastRenderedPageBreak/>
        <w:t>Biotoxins (</w:t>
      </w:r>
      <w:r w:rsidR="009654CE" w:rsidRPr="00D03260">
        <w:t>i</w:t>
      </w:r>
      <w:r w:rsidRPr="00D03260">
        <w:t>ndoor damp and mould) Clinical Pathway</w:t>
      </w:r>
      <w:bookmarkEnd w:id="0"/>
      <w:bookmarkEnd w:id="1"/>
    </w:p>
    <w:p w14:paraId="015BF0CE" w14:textId="6EDDCAD1" w:rsidR="004E0E83" w:rsidRPr="00D03260" w:rsidRDefault="00360737" w:rsidP="00346C4A">
      <w:pPr>
        <w:rPr>
          <w:b/>
          <w:bCs/>
          <w:sz w:val="20"/>
          <w:szCs w:val="20"/>
        </w:rPr>
      </w:pPr>
      <w:r w:rsidRPr="00D03260">
        <w:rPr>
          <w:sz w:val="20"/>
          <w:szCs w:val="20"/>
        </w:rPr>
        <w:t>(Note: Patients may be on multiple parts of the pathway simultaneously</w:t>
      </w:r>
      <w:r w:rsidR="005463F6" w:rsidRPr="00D03260">
        <w:rPr>
          <w:sz w:val="20"/>
          <w:szCs w:val="20"/>
        </w:rPr>
        <w:t>.</w:t>
      </w:r>
      <w:r w:rsidR="00332454" w:rsidRPr="00D03260">
        <w:rPr>
          <w:sz w:val="20"/>
          <w:szCs w:val="20"/>
        </w:rPr>
        <w:t xml:space="preserve"> This </w:t>
      </w:r>
      <w:r w:rsidR="00D92365" w:rsidRPr="00D03260">
        <w:rPr>
          <w:sz w:val="20"/>
          <w:szCs w:val="20"/>
        </w:rPr>
        <w:t xml:space="preserve">pathway is for </w:t>
      </w:r>
      <w:r w:rsidR="00F00438" w:rsidRPr="00D03260">
        <w:rPr>
          <w:sz w:val="20"/>
          <w:szCs w:val="20"/>
        </w:rPr>
        <w:t>patients assessed</w:t>
      </w:r>
      <w:r w:rsidR="00040924" w:rsidRPr="00D03260">
        <w:rPr>
          <w:sz w:val="20"/>
          <w:szCs w:val="20"/>
        </w:rPr>
        <w:t xml:space="preserve"> to be </w:t>
      </w:r>
      <w:r w:rsidR="00D92365" w:rsidRPr="00D03260">
        <w:rPr>
          <w:b/>
          <w:bCs/>
          <w:sz w:val="20"/>
          <w:szCs w:val="20"/>
        </w:rPr>
        <w:t>clinically stable</w:t>
      </w:r>
      <w:r w:rsidR="003B2B61" w:rsidRPr="00D03260">
        <w:rPr>
          <w:sz w:val="20"/>
          <w:szCs w:val="20"/>
        </w:rPr>
        <w:t>.</w:t>
      </w:r>
      <w:r w:rsidR="004E0E83" w:rsidRPr="00D03260">
        <w:rPr>
          <w:sz w:val="20"/>
          <w:szCs w:val="20"/>
        </w:rPr>
        <w:t>)</w:t>
      </w:r>
    </w:p>
    <w:p w14:paraId="1E406636" w14:textId="286B8909" w:rsidR="00490E5A" w:rsidRPr="00D03260" w:rsidRDefault="00E91FD7" w:rsidP="00346C4A">
      <w:pPr>
        <w:rPr>
          <w:sz w:val="20"/>
          <w:szCs w:val="20"/>
        </w:rPr>
      </w:pPr>
      <w:r w:rsidRPr="00D03260">
        <w:rPr>
          <w:sz w:val="20"/>
          <w:szCs w:val="20"/>
        </w:rPr>
        <w:t>Target population: Patients of all ages presenting at primary care with new onset or unresolved debilitating symptoms, + history of exposure to indoor damp or mould</w:t>
      </w:r>
      <w:r w:rsidR="00F234FD" w:rsidRPr="00D03260">
        <w:rPr>
          <w:sz w:val="20"/>
          <w:szCs w:val="20"/>
        </w:rPr>
        <w:t>.</w:t>
      </w:r>
      <w:r w:rsidR="004E326F" w:rsidRPr="00D03260">
        <w:rPr>
          <w:noProof/>
        </w:rPr>
        <w:t xml:space="preserve"> </w:t>
      </w:r>
    </w:p>
    <w:p w14:paraId="20CDCF05" w14:textId="0DF15DA6" w:rsidR="00490E5A" w:rsidRPr="00D03260" w:rsidRDefault="009C517C" w:rsidP="00346C4A">
      <w:r w:rsidRPr="00D03260">
        <w:rPr>
          <w:noProof/>
        </w:rPr>
        <mc:AlternateContent>
          <mc:Choice Requires="wps">
            <w:drawing>
              <wp:anchor distT="0" distB="0" distL="114300" distR="114300" simplePos="0" relativeHeight="251658268" behindDoc="0" locked="0" layoutInCell="1" allowOverlap="1" wp14:anchorId="1CD8C7B9" wp14:editId="1290B12F">
                <wp:simplePos x="0" y="0"/>
                <wp:positionH relativeFrom="column">
                  <wp:posOffset>1344347</wp:posOffset>
                </wp:positionH>
                <wp:positionV relativeFrom="paragraph">
                  <wp:posOffset>1463508</wp:posOffset>
                </wp:positionV>
                <wp:extent cx="517161" cy="106680"/>
                <wp:effectExtent l="0" t="0" r="0" b="7620"/>
                <wp:wrapNone/>
                <wp:docPr id="39" name="Text Box 2">
                  <a:hlinkClick xmlns:a="http://schemas.openxmlformats.org/drawingml/2006/main" r:id="rId13" tooltip="Click here to go to Appendix A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61" cy="106680"/>
                        </a:xfrm>
                        <a:prstGeom prst="rect">
                          <a:avLst/>
                        </a:prstGeom>
                        <a:solidFill>
                          <a:srgbClr val="8CC63F"/>
                        </a:solidFill>
                        <a:ln w="9525">
                          <a:noFill/>
                          <a:miter lim="800000"/>
                          <a:headEnd/>
                          <a:tailEnd/>
                        </a:ln>
                      </wps:spPr>
                      <wps:txbx>
                        <w:txbxContent>
                          <w:p w14:paraId="59AC7070" w14:textId="151E5BB1" w:rsidR="00232F13" w:rsidRPr="009C517C" w:rsidRDefault="007500D9" w:rsidP="004E326F">
                            <w:pPr>
                              <w:spacing w:before="0" w:after="0" w:line="240" w:lineRule="auto"/>
                              <w:rPr>
                                <w:i/>
                                <w:iCs/>
                                <w:color w:val="auto"/>
                                <w:sz w:val="11"/>
                                <w:szCs w:val="11"/>
                                <w:u w:val="single"/>
                              </w:rPr>
                            </w:pPr>
                            <w:r w:rsidRPr="009C517C">
                              <w:rPr>
                                <w:i/>
                                <w:iCs/>
                                <w:color w:val="auto"/>
                                <w:sz w:val="11"/>
                                <w:szCs w:val="11"/>
                                <w:u w:val="single"/>
                                <w:lang w:val="en-NZ"/>
                              </w:rPr>
                              <w:t xml:space="preserve">and </w:t>
                            </w:r>
                            <w:r w:rsidR="00232F13" w:rsidRPr="009C517C">
                              <w:rPr>
                                <w:i/>
                                <w:iCs/>
                                <w:color w:val="auto"/>
                                <w:sz w:val="11"/>
                                <w:szCs w:val="11"/>
                                <w:u w:val="single"/>
                                <w:lang w:val="en-NZ"/>
                              </w:rPr>
                              <w:t>Appendix A</w:t>
                            </w:r>
                          </w:p>
                        </w:txbxContent>
                      </wps:txbx>
                      <wps:bodyPr rot="0" vert="horz" wrap="square" lIns="0" tIns="0" rIns="0" bIns="0" anchor="ctr" anchorCtr="0">
                        <a:noAutofit/>
                      </wps:bodyPr>
                    </wps:wsp>
                  </a:graphicData>
                </a:graphic>
              </wp:anchor>
            </w:drawing>
          </mc:Choice>
          <mc:Fallback>
            <w:pict>
              <v:shapetype w14:anchorId="1CD8C7B9" id="_x0000_t202" coordsize="21600,21600" o:spt="202" path="m,l,21600r21600,l21600,xe">
                <v:stroke joinstyle="miter"/>
                <v:path gradientshapeok="t" o:connecttype="rect"/>
              </v:shapetype>
              <v:shape id="Text Box 2" o:spid="_x0000_s1026" type="#_x0000_t202" alt="&quot;&quot;" href="#AppendixALikelyDifferentialDiagnosesOrSy" title="Click here to go to Appendix A " style="position:absolute;margin-left:105.85pt;margin-top:115.25pt;width:40.7pt;height:8.4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" o:button="t" fillcolor="#8cc63f" stroked="f">
                <v:fill o:detectmouseclick="t"/>
                <v:textbox inset="0,0,0,0">
                  <w:txbxContent>
                    <w:p w14:paraId="59AC7070" w14:textId="151E5BB1" w:rsidR="00232F13" w:rsidRPr="009C517C" w:rsidRDefault="007500D9" w:rsidP="004E326F">
                      <w:pPr>
                        <w:spacing w:before="0" w:after="0" w:line="240" w:lineRule="auto"/>
                        <w:rPr>
                          <w:i/>
                          <w:iCs/>
                          <w:color w:val="auto"/>
                          <w:sz w:val="11"/>
                          <w:szCs w:val="11"/>
                          <w:u w:val="single"/>
                        </w:rPr>
                      </w:pPr>
                      <w:r w:rsidRPr="009C517C">
                        <w:rPr>
                          <w:i/>
                          <w:iCs/>
                          <w:color w:val="auto"/>
                          <w:sz w:val="11"/>
                          <w:szCs w:val="11"/>
                          <w:u w:val="single"/>
                          <w:lang w:val="en-NZ"/>
                        </w:rPr>
                        <w:t xml:space="preserve">and </w:t>
                      </w:r>
                      <w:r w:rsidR="00232F13" w:rsidRPr="009C517C">
                        <w:rPr>
                          <w:i/>
                          <w:iCs/>
                          <w:color w:val="auto"/>
                          <w:sz w:val="11"/>
                          <w:szCs w:val="11"/>
                          <w:u w:val="single"/>
                          <w:lang w:val="en-NZ"/>
                        </w:rPr>
                        <w:t>Appendix A</w:t>
                      </w:r>
                    </w:p>
                  </w:txbxContent>
                </v:textbox>
              </v:shape>
            </w:pict>
          </mc:Fallback>
        </mc:AlternateContent>
      </w:r>
      <w:r w:rsidR="007D002B" w:rsidRPr="00D03260">
        <w:rPr>
          <w:noProof/>
        </w:rPr>
        <mc:AlternateContent>
          <mc:Choice Requires="wps">
            <w:drawing>
              <wp:anchor distT="0" distB="0" distL="114300" distR="114300" simplePos="0" relativeHeight="251658266" behindDoc="0" locked="0" layoutInCell="1" allowOverlap="1" wp14:anchorId="6E5F9A3C" wp14:editId="53EA1BF5">
                <wp:simplePos x="0" y="0"/>
                <wp:positionH relativeFrom="column">
                  <wp:posOffset>514713</wp:posOffset>
                </wp:positionH>
                <wp:positionV relativeFrom="paragraph">
                  <wp:posOffset>1464401</wp:posOffset>
                </wp:positionV>
                <wp:extent cx="406998" cy="106685"/>
                <wp:effectExtent l="0" t="0" r="0" b="7620"/>
                <wp:wrapNone/>
                <wp:docPr id="19" name="Text Box 2">
                  <a:hlinkClick xmlns:a="http://schemas.openxmlformats.org/drawingml/2006/main" r:id="rId14" tooltip="Click here to go to Tab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98" cy="106685"/>
                        </a:xfrm>
                        <a:prstGeom prst="rect">
                          <a:avLst/>
                        </a:prstGeom>
                        <a:solidFill>
                          <a:srgbClr val="8CC63F"/>
                        </a:solidFill>
                        <a:ln w="9525">
                          <a:noFill/>
                          <a:miter lim="800000"/>
                          <a:headEnd/>
                          <a:tailEnd/>
                        </a:ln>
                      </wps:spPr>
                      <wps:txbx>
                        <w:txbxContent>
                          <w:p w14:paraId="2680EA11" w14:textId="4DD12027" w:rsidR="00676E63" w:rsidRPr="00715FC4" w:rsidRDefault="00676E63" w:rsidP="004E326F">
                            <w:pPr>
                              <w:spacing w:before="0" w:after="0" w:line="240" w:lineRule="auto"/>
                              <w:rPr>
                                <w:i/>
                                <w:iCs/>
                                <w:color w:val="auto"/>
                                <w:sz w:val="11"/>
                                <w:szCs w:val="11"/>
                                <w:u w:val="single"/>
                              </w:rPr>
                            </w:pPr>
                            <w:r w:rsidRPr="00715FC4">
                              <w:rPr>
                                <w:i/>
                                <w:iCs/>
                                <w:sz w:val="11"/>
                                <w:szCs w:val="11"/>
                                <w:u w:val="single"/>
                                <w:lang w:val="en-NZ"/>
                              </w:rPr>
                              <w:t>See Table 1</w:t>
                            </w:r>
                            <w:r w:rsidR="00F85425" w:rsidRPr="00715FC4">
                              <w:rPr>
                                <w:i/>
                                <w:iCs/>
                                <w:color w:val="auto"/>
                                <w:sz w:val="11"/>
                                <w:szCs w:val="11"/>
                                <w:u w:val="single"/>
                                <w:lang w:val="en-NZ"/>
                              </w:rPr>
                              <w:t>,</w:t>
                            </w:r>
                          </w:p>
                        </w:txbxContent>
                      </wps:txbx>
                      <wps:bodyPr rot="0" vert="horz" wrap="square" lIns="0" tIns="0" rIns="0" bIns="0" anchor="ctr" anchorCtr="0">
                        <a:noAutofit/>
                      </wps:bodyPr>
                    </wps:wsp>
                  </a:graphicData>
                </a:graphic>
              </wp:anchor>
            </w:drawing>
          </mc:Choice>
          <mc:Fallback>
            <w:pict>
              <v:shape w14:anchorId="6E5F9A3C" id="_x0000_s1027" type="#_x0000_t202" alt="&quot;&quot;" href="#Table1" title="Click here to go to Table 1" style="position:absolute;margin-left:40.55pt;margin-top:115.3pt;width:32.05pt;height:8.4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" o:button="t" fillcolor="#8cc63f" stroked="f">
                <v:fill o:detectmouseclick="t"/>
                <v:textbox inset="0,0,0,0">
                  <w:txbxContent>
                    <w:p w14:paraId="2680EA11" w14:textId="4DD12027" w:rsidR="00676E63" w:rsidRPr="00715FC4" w:rsidRDefault="00676E63" w:rsidP="004E326F">
                      <w:pPr>
                        <w:spacing w:before="0" w:after="0" w:line="240" w:lineRule="auto"/>
                        <w:rPr>
                          <w:i/>
                          <w:iCs/>
                          <w:color w:val="auto"/>
                          <w:sz w:val="11"/>
                          <w:szCs w:val="11"/>
                          <w:u w:val="single"/>
                        </w:rPr>
                      </w:pPr>
                      <w:r w:rsidRPr="00715FC4">
                        <w:rPr>
                          <w:i/>
                          <w:iCs/>
                          <w:sz w:val="11"/>
                          <w:szCs w:val="11"/>
                          <w:u w:val="single"/>
                          <w:lang w:val="en-NZ"/>
                        </w:rPr>
                        <w:t>See Table 1</w:t>
                      </w:r>
                      <w:r w:rsidR="00F85425" w:rsidRPr="00715FC4">
                        <w:rPr>
                          <w:i/>
                          <w:iCs/>
                          <w:color w:val="auto"/>
                          <w:sz w:val="11"/>
                          <w:szCs w:val="11"/>
                          <w:u w:val="single"/>
                          <w:lang w:val="en-NZ"/>
                        </w:rPr>
                        <w:t>,</w:t>
                      </w:r>
                    </w:p>
                  </w:txbxContent>
                </v:textbox>
              </v:shape>
            </w:pict>
          </mc:Fallback>
        </mc:AlternateContent>
      </w:r>
      <w:r w:rsidR="007D002B" w:rsidRPr="00D03260">
        <w:rPr>
          <w:noProof/>
        </w:rPr>
        <mc:AlternateContent>
          <mc:Choice Requires="wps">
            <w:drawing>
              <wp:anchor distT="0" distB="0" distL="114300" distR="114300" simplePos="0" relativeHeight="251658267" behindDoc="0" locked="0" layoutInCell="1" allowOverlap="1" wp14:anchorId="30E5D981" wp14:editId="573F7592">
                <wp:simplePos x="0" y="0"/>
                <wp:positionH relativeFrom="column">
                  <wp:posOffset>923586</wp:posOffset>
                </wp:positionH>
                <wp:positionV relativeFrom="paragraph">
                  <wp:posOffset>1464401</wp:posOffset>
                </wp:positionV>
                <wp:extent cx="425410" cy="107315"/>
                <wp:effectExtent l="0" t="0" r="0" b="6985"/>
                <wp:wrapNone/>
                <wp:docPr id="38" name="Text Box 2">
                  <a:hlinkClick xmlns:a="http://schemas.openxmlformats.org/drawingml/2006/main" r:id="rId15" tooltip="Click here to go to section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10" cy="107315"/>
                        </a:xfrm>
                        <a:prstGeom prst="rect">
                          <a:avLst/>
                        </a:prstGeom>
                        <a:solidFill>
                          <a:srgbClr val="8CC63F"/>
                        </a:solidFill>
                        <a:ln w="9525">
                          <a:noFill/>
                          <a:miter lim="800000"/>
                          <a:headEnd/>
                          <a:tailEnd/>
                        </a:ln>
                      </wps:spPr>
                      <wps:txbx>
                        <w:txbxContent>
                          <w:p w14:paraId="24D57C8A" w14:textId="0D07879B" w:rsidR="00232F13" w:rsidRPr="00715FC4" w:rsidRDefault="00232F13" w:rsidP="004E326F">
                            <w:pPr>
                              <w:spacing w:before="0" w:after="0" w:line="240" w:lineRule="auto"/>
                              <w:rPr>
                                <w:i/>
                                <w:iCs/>
                                <w:color w:val="auto"/>
                                <w:sz w:val="11"/>
                                <w:szCs w:val="11"/>
                                <w:u w:val="single"/>
                              </w:rPr>
                            </w:pPr>
                            <w:r w:rsidRPr="00715FC4">
                              <w:rPr>
                                <w:i/>
                                <w:iCs/>
                                <w:sz w:val="11"/>
                                <w:szCs w:val="11"/>
                                <w:u w:val="single"/>
                                <w:lang w:val="en-NZ"/>
                              </w:rPr>
                              <w:t>section 3.1.1</w:t>
                            </w:r>
                            <w:r w:rsidR="00F85425" w:rsidRPr="00715FC4">
                              <w:rPr>
                                <w:i/>
                                <w:iCs/>
                                <w:color w:val="auto"/>
                                <w:sz w:val="11"/>
                                <w:szCs w:val="11"/>
                                <w:u w:val="single"/>
                                <w:lang w:val="en-NZ"/>
                              </w:rPr>
                              <w:t>,</w:t>
                            </w:r>
                          </w:p>
                        </w:txbxContent>
                      </wps:txbx>
                      <wps:bodyPr rot="0" vert="horz" wrap="none" lIns="0" tIns="0" rIns="0" bIns="0" anchor="ctr" anchorCtr="0">
                        <a:noAutofit/>
                      </wps:bodyPr>
                    </wps:wsp>
                  </a:graphicData>
                </a:graphic>
              </wp:anchor>
            </w:drawing>
          </mc:Choice>
          <mc:Fallback>
            <w:pict>
              <v:shape w14:anchorId="30E5D981" id="_x0000_s1028" type="#_x0000_t202" alt="&quot;&quot;" href="#Section311Asthma" title="Click here to go to section 3.1.1" style="position:absolute;margin-left:72.7pt;margin-top:115.3pt;width:33.5pt;height:8.45pt;z-index:251658267;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" o:button="t" fillcolor="#8cc63f" stroked="f">
                <v:fill o:detectmouseclick="t"/>
                <v:textbox inset="0,0,0,0">
                  <w:txbxContent>
                    <w:p w14:paraId="24D57C8A" w14:textId="0D07879B" w:rsidR="00232F13" w:rsidRPr="00715FC4" w:rsidRDefault="00232F13" w:rsidP="004E326F">
                      <w:pPr>
                        <w:spacing w:before="0" w:after="0" w:line="240" w:lineRule="auto"/>
                        <w:rPr>
                          <w:i/>
                          <w:iCs/>
                          <w:color w:val="auto"/>
                          <w:sz w:val="11"/>
                          <w:szCs w:val="11"/>
                          <w:u w:val="single"/>
                        </w:rPr>
                      </w:pPr>
                      <w:r w:rsidRPr="00715FC4">
                        <w:rPr>
                          <w:i/>
                          <w:iCs/>
                          <w:sz w:val="11"/>
                          <w:szCs w:val="11"/>
                          <w:u w:val="single"/>
                          <w:lang w:val="en-NZ"/>
                        </w:rPr>
                        <w:t>section 3.1.1</w:t>
                      </w:r>
                      <w:r w:rsidR="00F85425" w:rsidRPr="00715FC4">
                        <w:rPr>
                          <w:i/>
                          <w:iCs/>
                          <w:color w:val="auto"/>
                          <w:sz w:val="11"/>
                          <w:szCs w:val="11"/>
                          <w:u w:val="single"/>
                          <w:lang w:val="en-NZ"/>
                        </w:rPr>
                        <w:t>,</w:t>
                      </w:r>
                    </w:p>
                  </w:txbxContent>
                </v:textbox>
              </v:shape>
            </w:pict>
          </mc:Fallback>
        </mc:AlternateContent>
      </w:r>
      <w:r w:rsidR="007C4D51" w:rsidRPr="00D03260">
        <w:rPr>
          <w:noProof/>
        </w:rPr>
        <mc:AlternateContent>
          <mc:Choice Requires="wps">
            <w:drawing>
              <wp:anchor distT="0" distB="0" distL="114300" distR="114300" simplePos="0" relativeHeight="251658252" behindDoc="0" locked="0" layoutInCell="1" allowOverlap="1" wp14:anchorId="4E94393D" wp14:editId="388E4DA3">
                <wp:simplePos x="0" y="0"/>
                <wp:positionH relativeFrom="column">
                  <wp:posOffset>1264920</wp:posOffset>
                </wp:positionH>
                <wp:positionV relativeFrom="page">
                  <wp:posOffset>5955665</wp:posOffset>
                </wp:positionV>
                <wp:extent cx="563245" cy="107315"/>
                <wp:effectExtent l="0" t="0" r="8255" b="6985"/>
                <wp:wrapNone/>
                <wp:docPr id="24" name="Text Box 2">
                  <a:hlinkClick xmlns:a="http://schemas.openxmlformats.org/drawingml/2006/main" r:id="rId16" tooltip="Click here to go to section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07315"/>
                        </a:xfrm>
                        <a:prstGeom prst="rect">
                          <a:avLst/>
                        </a:prstGeom>
                        <a:solidFill>
                          <a:srgbClr val="00B0F0"/>
                        </a:solidFill>
                        <a:ln w="9525">
                          <a:noFill/>
                          <a:miter lim="800000"/>
                          <a:headEnd/>
                          <a:tailEnd/>
                        </a:ln>
                      </wps:spPr>
                      <wps:txbx>
                        <w:txbxContent>
                          <w:p w14:paraId="2D03BEB9" w14:textId="62E5810C" w:rsidR="0050393E" w:rsidRPr="0050393E" w:rsidRDefault="0050393E" w:rsidP="00C92B1B">
                            <w:pPr>
                              <w:spacing w:before="0" w:after="0" w:line="240" w:lineRule="auto"/>
                              <w:jc w:val="both"/>
                              <w:rPr>
                                <w:i/>
                                <w:iCs/>
                                <w:sz w:val="11"/>
                                <w:szCs w:val="11"/>
                                <w:u w:val="single"/>
                              </w:rPr>
                            </w:pPr>
                            <w:r w:rsidRPr="0050393E">
                              <w:rPr>
                                <w:i/>
                                <w:iCs/>
                                <w:sz w:val="11"/>
                                <w:szCs w:val="11"/>
                                <w:u w:val="single"/>
                                <w:lang w:val="en-NZ"/>
                              </w:rPr>
                              <w:t xml:space="preserve">See section </w:t>
                            </w:r>
                            <w:r>
                              <w:rPr>
                                <w:i/>
                                <w:iCs/>
                                <w:sz w:val="11"/>
                                <w:szCs w:val="11"/>
                                <w:u w:val="single"/>
                                <w:lang w:val="en-NZ"/>
                              </w:rPr>
                              <w:t>4.3</w:t>
                            </w:r>
                          </w:p>
                        </w:txbxContent>
                      </wps:txbx>
                      <wps:bodyPr rot="0" vert="horz" wrap="none" lIns="36000" tIns="0" rIns="36000" bIns="0" anchor="ctr" anchorCtr="0">
                        <a:noAutofit/>
                      </wps:bodyPr>
                    </wps:wsp>
                  </a:graphicData>
                </a:graphic>
              </wp:anchor>
            </w:drawing>
          </mc:Choice>
          <mc:Fallback>
            <w:pict>
              <v:shape w14:anchorId="4E94393D" id="_x0000_s1029" type="#_x0000_t202" alt="&quot;&quot;" href="#Section43MouldAllergyDiagnostics" title="Click here to go to section 4.3" style="position:absolute;margin-left:99.6pt;margin-top:468.95pt;width:44.35pt;height:8.45pt;z-index:251658252;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" o:button="t" fillcolor="#00b0f0" stroked="f">
                <v:fill o:detectmouseclick="t"/>
                <v:textbox inset="1mm,0,1mm,0">
                  <w:txbxContent>
                    <w:p w14:paraId="2D03BEB9" w14:textId="62E5810C" w:rsidR="0050393E" w:rsidRPr="0050393E" w:rsidRDefault="0050393E" w:rsidP="00C92B1B">
                      <w:pPr>
                        <w:spacing w:before="0" w:after="0" w:line="240" w:lineRule="auto"/>
                        <w:jc w:val="both"/>
                        <w:rPr>
                          <w:i/>
                          <w:iCs/>
                          <w:sz w:val="11"/>
                          <w:szCs w:val="11"/>
                          <w:u w:val="single"/>
                        </w:rPr>
                      </w:pPr>
                      <w:r w:rsidRPr="0050393E">
                        <w:rPr>
                          <w:i/>
                          <w:iCs/>
                          <w:sz w:val="11"/>
                          <w:szCs w:val="11"/>
                          <w:u w:val="single"/>
                          <w:lang w:val="en-NZ"/>
                        </w:rPr>
                        <w:t xml:space="preserve">See section </w:t>
                      </w:r>
                      <w:r>
                        <w:rPr>
                          <w:i/>
                          <w:iCs/>
                          <w:sz w:val="11"/>
                          <w:szCs w:val="11"/>
                          <w:u w:val="single"/>
                          <w:lang w:val="en-NZ"/>
                        </w:rPr>
                        <w:t>4.3</w:t>
                      </w:r>
                    </w:p>
                  </w:txbxContent>
                </v:textbox>
                <w10:wrap anchory="page"/>
              </v:shape>
            </w:pict>
          </mc:Fallback>
        </mc:AlternateContent>
      </w:r>
      <w:r w:rsidR="00994962" w:rsidRPr="00D03260">
        <w:rPr>
          <w:noProof/>
        </w:rPr>
        <mc:AlternateContent>
          <mc:Choice Requires="wps">
            <w:drawing>
              <wp:anchor distT="0" distB="0" distL="114300" distR="114300" simplePos="0" relativeHeight="251658269" behindDoc="0" locked="0" layoutInCell="1" allowOverlap="1" wp14:anchorId="69F49D8A" wp14:editId="464539C3">
                <wp:simplePos x="0" y="0"/>
                <wp:positionH relativeFrom="column">
                  <wp:posOffset>1048359</wp:posOffset>
                </wp:positionH>
                <wp:positionV relativeFrom="page">
                  <wp:posOffset>7166248</wp:posOffset>
                </wp:positionV>
                <wp:extent cx="330835" cy="106680"/>
                <wp:effectExtent l="0" t="0" r="0" b="7620"/>
                <wp:wrapNone/>
                <wp:docPr id="40" name="Text Box 2">
                  <a:hlinkClick xmlns:a="http://schemas.openxmlformats.org/drawingml/2006/main" r:id="rId17" tooltip="Click here to go to section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06680"/>
                        </a:xfrm>
                        <a:prstGeom prst="rect">
                          <a:avLst/>
                        </a:prstGeom>
                        <a:solidFill>
                          <a:srgbClr val="FFC000"/>
                        </a:solidFill>
                        <a:ln w="9525">
                          <a:noFill/>
                          <a:miter lim="800000"/>
                          <a:headEnd/>
                          <a:tailEnd/>
                        </a:ln>
                      </wps:spPr>
                      <wps:txbx>
                        <w:txbxContent>
                          <w:p w14:paraId="16E9D39E" w14:textId="3D3B4720" w:rsidR="006258AE" w:rsidRPr="0050393E" w:rsidRDefault="00737AC4" w:rsidP="004E326F">
                            <w:pPr>
                              <w:spacing w:before="0" w:after="0" w:line="240" w:lineRule="auto"/>
                              <w:rPr>
                                <w:i/>
                                <w:iCs/>
                                <w:sz w:val="11"/>
                                <w:szCs w:val="11"/>
                                <w:u w:val="single"/>
                              </w:rPr>
                            </w:pPr>
                            <w:r>
                              <w:rPr>
                                <w:i/>
                                <w:iCs/>
                                <w:sz w:val="11"/>
                                <w:szCs w:val="11"/>
                                <w:u w:val="single"/>
                                <w:lang w:val="en-NZ"/>
                              </w:rPr>
                              <w:t xml:space="preserve">and </w:t>
                            </w:r>
                            <w:r w:rsidR="006258AE">
                              <w:rPr>
                                <w:i/>
                                <w:iCs/>
                                <w:sz w:val="11"/>
                                <w:szCs w:val="11"/>
                                <w:u w:val="single"/>
                                <w:lang w:val="en-NZ"/>
                              </w:rPr>
                              <w:t>2.1.4</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69F49D8A" id="_x0000_s1030" type="#_x0000_t202" alt="&quot;&quot;" href="#Sect214ProvideAdviceOnAvoidingOrMinimisi" title="Click here to go to section 2.1.4" style="position:absolute;margin-left:82.55pt;margin-top:564.25pt;width:26.05pt;height:8.4pt;z-index:25165826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" o:button="t" fillcolor="#ffc000" stroked="f">
                <v:fill o:detectmouseclick="t"/>
                <v:textbox inset="0,0,0,0">
                  <w:txbxContent>
                    <w:p w14:paraId="16E9D39E" w14:textId="3D3B4720" w:rsidR="006258AE" w:rsidRPr="0050393E" w:rsidRDefault="00737AC4" w:rsidP="004E326F">
                      <w:pPr>
                        <w:spacing w:before="0" w:after="0" w:line="240" w:lineRule="auto"/>
                        <w:rPr>
                          <w:i/>
                          <w:iCs/>
                          <w:sz w:val="11"/>
                          <w:szCs w:val="11"/>
                          <w:u w:val="single"/>
                        </w:rPr>
                      </w:pPr>
                      <w:r>
                        <w:rPr>
                          <w:i/>
                          <w:iCs/>
                          <w:sz w:val="11"/>
                          <w:szCs w:val="11"/>
                          <w:u w:val="single"/>
                          <w:lang w:val="en-NZ"/>
                        </w:rPr>
                        <w:t xml:space="preserve">and </w:t>
                      </w:r>
                      <w:r w:rsidR="006258AE">
                        <w:rPr>
                          <w:i/>
                          <w:iCs/>
                          <w:sz w:val="11"/>
                          <w:szCs w:val="11"/>
                          <w:u w:val="single"/>
                          <w:lang w:val="en-NZ"/>
                        </w:rPr>
                        <w:t>2.1.4</w:t>
                      </w:r>
                    </w:p>
                  </w:txbxContent>
                </v:textbox>
                <w10:wrap anchory="page"/>
              </v:shape>
            </w:pict>
          </mc:Fallback>
        </mc:AlternateContent>
      </w:r>
      <w:r w:rsidR="006C0FF0" w:rsidRPr="00D03260">
        <w:rPr>
          <w:noProof/>
        </w:rPr>
        <mc:AlternateContent>
          <mc:Choice Requires="wps">
            <w:drawing>
              <wp:anchor distT="0" distB="0" distL="114300" distR="114300" simplePos="0" relativeHeight="251658247" behindDoc="0" locked="0" layoutInCell="1" allowOverlap="1" wp14:anchorId="36B9060B" wp14:editId="68C5B59E">
                <wp:simplePos x="0" y="0"/>
                <wp:positionH relativeFrom="column">
                  <wp:posOffset>2573020</wp:posOffset>
                </wp:positionH>
                <wp:positionV relativeFrom="page">
                  <wp:posOffset>3162300</wp:posOffset>
                </wp:positionV>
                <wp:extent cx="670560" cy="107315"/>
                <wp:effectExtent l="0" t="0" r="0" b="6985"/>
                <wp:wrapNone/>
                <wp:docPr id="17" name="Text Box 2">
                  <a:hlinkClick xmlns:a="http://schemas.openxmlformats.org/drawingml/2006/main" r:id="rId17" tooltip="Click here to go to section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07315"/>
                        </a:xfrm>
                        <a:prstGeom prst="rect">
                          <a:avLst/>
                        </a:prstGeom>
                        <a:solidFill>
                          <a:srgbClr val="FFFF00"/>
                        </a:solidFill>
                        <a:ln w="9525">
                          <a:noFill/>
                          <a:miter lim="800000"/>
                          <a:headEnd/>
                          <a:tailEnd/>
                        </a:ln>
                      </wps:spPr>
                      <wps:txbx>
                        <w:txbxContent>
                          <w:p w14:paraId="17233FC0" w14:textId="1DEC709A" w:rsidR="004E326F" w:rsidRPr="008077A6" w:rsidRDefault="004E326F" w:rsidP="004E326F">
                            <w:pPr>
                              <w:spacing w:before="0" w:after="0" w:line="240" w:lineRule="auto"/>
                              <w:rPr>
                                <w:i/>
                                <w:iCs/>
                                <w:sz w:val="12"/>
                                <w:szCs w:val="12"/>
                                <w:u w:val="single"/>
                              </w:rPr>
                            </w:pPr>
                            <w:r w:rsidRPr="008077A6">
                              <w:rPr>
                                <w:i/>
                                <w:iCs/>
                                <w:sz w:val="12"/>
                                <w:szCs w:val="12"/>
                                <w:u w:val="single"/>
                              </w:rPr>
                              <w:t>See section 2.1.4</w:t>
                            </w:r>
                          </w:p>
                        </w:txbxContent>
                      </wps:txbx>
                      <wps:bodyPr rot="0" vert="horz" wrap="none" lIns="36000" tIns="0" rIns="36000" bIns="0" anchor="ctr" anchorCtr="0">
                        <a:noAutofit/>
                      </wps:bodyPr>
                    </wps:wsp>
                  </a:graphicData>
                </a:graphic>
              </wp:anchor>
            </w:drawing>
          </mc:Choice>
          <mc:Fallback>
            <w:pict>
              <v:shape w14:anchorId="36B9060B" id="_x0000_s1031" type="#_x0000_t202" alt="&quot;&quot;" href="#Sect214ProvideAdviceOnAvoidingOrMinimisi" title="Click here to go to section 2.1.4" style="position:absolute;margin-left:202.6pt;margin-top:249pt;width:52.8pt;height:8.45pt;z-index:251658247;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" o:button="t" fillcolor="yellow" stroked="f">
                <v:fill o:detectmouseclick="t"/>
                <v:textbox inset="1mm,0,1mm,0">
                  <w:txbxContent>
                    <w:p w14:paraId="17233FC0" w14:textId="1DEC709A" w:rsidR="004E326F" w:rsidRPr="008077A6" w:rsidRDefault="004E326F" w:rsidP="004E326F">
                      <w:pPr>
                        <w:spacing w:before="0" w:after="0" w:line="240" w:lineRule="auto"/>
                        <w:rPr>
                          <w:i/>
                          <w:iCs/>
                          <w:sz w:val="12"/>
                          <w:szCs w:val="12"/>
                          <w:u w:val="single"/>
                        </w:rPr>
                      </w:pPr>
                      <w:r w:rsidRPr="008077A6">
                        <w:rPr>
                          <w:i/>
                          <w:iCs/>
                          <w:sz w:val="12"/>
                          <w:szCs w:val="12"/>
                          <w:u w:val="single"/>
                        </w:rPr>
                        <w:t>See section 2.1.4</w:t>
                      </w:r>
                    </w:p>
                  </w:txbxContent>
                </v:textbox>
                <w10:wrap anchory="page"/>
              </v:shape>
            </w:pict>
          </mc:Fallback>
        </mc:AlternateContent>
      </w:r>
      <w:r w:rsidR="006C0FF0" w:rsidRPr="00D03260">
        <w:rPr>
          <w:noProof/>
        </w:rPr>
        <mc:AlternateContent>
          <mc:Choice Requires="wps">
            <w:drawing>
              <wp:anchor distT="0" distB="0" distL="114300" distR="114300" simplePos="0" relativeHeight="251658248" behindDoc="0" locked="0" layoutInCell="1" allowOverlap="1" wp14:anchorId="7953F168" wp14:editId="03D56F0E">
                <wp:simplePos x="0" y="0"/>
                <wp:positionH relativeFrom="column">
                  <wp:posOffset>477520</wp:posOffset>
                </wp:positionH>
                <wp:positionV relativeFrom="page">
                  <wp:posOffset>3543300</wp:posOffset>
                </wp:positionV>
                <wp:extent cx="543560" cy="107315"/>
                <wp:effectExtent l="0" t="0" r="8890" b="6985"/>
                <wp:wrapNone/>
                <wp:docPr id="18" name="Text Box 2">
                  <a:hlinkClick xmlns:a="http://schemas.openxmlformats.org/drawingml/2006/main" r:id="rId18" tooltip="Click here to go to sectio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07315"/>
                        </a:xfrm>
                        <a:prstGeom prst="rect">
                          <a:avLst/>
                        </a:prstGeom>
                        <a:solidFill>
                          <a:srgbClr val="FFFF00"/>
                        </a:solidFill>
                        <a:ln w="9525">
                          <a:noFill/>
                          <a:miter lim="800000"/>
                          <a:headEnd/>
                          <a:tailEnd/>
                        </a:ln>
                      </wps:spPr>
                      <wps:txbx>
                        <w:txbxContent>
                          <w:p w14:paraId="60FD66A3" w14:textId="6EE5F3D3" w:rsidR="00031D59" w:rsidRPr="0059286A" w:rsidRDefault="00031D59" w:rsidP="004E326F">
                            <w:pPr>
                              <w:spacing w:before="0" w:after="0" w:line="240" w:lineRule="auto"/>
                              <w:rPr>
                                <w:i/>
                                <w:iCs/>
                                <w:sz w:val="12"/>
                                <w:szCs w:val="12"/>
                                <w:u w:val="single"/>
                              </w:rPr>
                            </w:pPr>
                            <w:r w:rsidRPr="0059286A">
                              <w:rPr>
                                <w:i/>
                                <w:iCs/>
                                <w:sz w:val="12"/>
                                <w:szCs w:val="12"/>
                                <w:u w:val="single"/>
                              </w:rPr>
                              <w:t>See section 2</w:t>
                            </w:r>
                          </w:p>
                        </w:txbxContent>
                      </wps:txbx>
                      <wps:bodyPr rot="0" vert="horz" wrap="none" lIns="36000" tIns="0" rIns="36000" bIns="0" anchor="ctr" anchorCtr="0">
                        <a:noAutofit/>
                      </wps:bodyPr>
                    </wps:wsp>
                  </a:graphicData>
                </a:graphic>
              </wp:anchor>
            </w:drawing>
          </mc:Choice>
          <mc:Fallback>
            <w:pict>
              <v:shape w14:anchorId="7953F168" id="_x0000_s1032" type="#_x0000_t202" alt="&quot;&quot;" href="#Section2" title="Click here to go to section 2" style="position:absolute;margin-left:37.6pt;margin-top:279pt;width:42.8pt;height:8.45pt;z-index:251658248;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" o:button="t" fillcolor="yellow" stroked="f">
                <v:fill o:detectmouseclick="t"/>
                <v:textbox inset="1mm,0,1mm,0">
                  <w:txbxContent>
                    <w:p w14:paraId="60FD66A3" w14:textId="6EE5F3D3" w:rsidR="00031D59" w:rsidRPr="0059286A" w:rsidRDefault="00031D59" w:rsidP="004E326F">
                      <w:pPr>
                        <w:spacing w:before="0" w:after="0" w:line="240" w:lineRule="auto"/>
                        <w:rPr>
                          <w:i/>
                          <w:iCs/>
                          <w:sz w:val="12"/>
                          <w:szCs w:val="12"/>
                          <w:u w:val="single"/>
                        </w:rPr>
                      </w:pPr>
                      <w:r w:rsidRPr="0059286A">
                        <w:rPr>
                          <w:i/>
                          <w:iCs/>
                          <w:sz w:val="12"/>
                          <w:szCs w:val="12"/>
                          <w:u w:val="single"/>
                        </w:rPr>
                        <w:t>See section 2</w:t>
                      </w:r>
                    </w:p>
                  </w:txbxContent>
                </v:textbox>
                <w10:wrap anchory="page"/>
              </v:shape>
            </w:pict>
          </mc:Fallback>
        </mc:AlternateContent>
      </w:r>
      <w:r w:rsidR="006C0FF0" w:rsidRPr="00D03260">
        <w:rPr>
          <w:noProof/>
        </w:rPr>
        <mc:AlternateContent>
          <mc:Choice Requires="wps">
            <w:drawing>
              <wp:anchor distT="0" distB="0" distL="114300" distR="114300" simplePos="0" relativeHeight="251658249" behindDoc="0" locked="0" layoutInCell="1" allowOverlap="1" wp14:anchorId="6433F97C" wp14:editId="2E121AD8">
                <wp:simplePos x="0" y="0"/>
                <wp:positionH relativeFrom="column">
                  <wp:posOffset>1950720</wp:posOffset>
                </wp:positionH>
                <wp:positionV relativeFrom="page">
                  <wp:posOffset>4171950</wp:posOffset>
                </wp:positionV>
                <wp:extent cx="621665" cy="91440"/>
                <wp:effectExtent l="0" t="0" r="6985" b="3810"/>
                <wp:wrapNone/>
                <wp:docPr id="20" name="Text Box 2">
                  <a:hlinkClick xmlns:a="http://schemas.openxmlformats.org/drawingml/2006/main" r:id="rId19" tooltip="Click here to go to section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91440"/>
                        </a:xfrm>
                        <a:prstGeom prst="rect">
                          <a:avLst/>
                        </a:prstGeom>
                        <a:solidFill>
                          <a:srgbClr val="8CC63F"/>
                        </a:solidFill>
                        <a:ln w="9525">
                          <a:noFill/>
                          <a:miter lim="800000"/>
                          <a:headEnd/>
                          <a:tailEnd/>
                        </a:ln>
                      </wps:spPr>
                      <wps:txbx>
                        <w:txbxContent>
                          <w:p w14:paraId="38A6E9AF" w14:textId="23FAF42A" w:rsidR="00A86A5B" w:rsidRPr="00676E63" w:rsidRDefault="00A86A5B" w:rsidP="004E326F">
                            <w:pPr>
                              <w:spacing w:before="0" w:after="0" w:line="240" w:lineRule="auto"/>
                              <w:rPr>
                                <w:i/>
                                <w:iCs/>
                                <w:sz w:val="11"/>
                                <w:szCs w:val="11"/>
                                <w:u w:val="single"/>
                              </w:rPr>
                            </w:pPr>
                            <w:r w:rsidRPr="00676E63">
                              <w:rPr>
                                <w:i/>
                                <w:iCs/>
                                <w:sz w:val="11"/>
                                <w:szCs w:val="11"/>
                                <w:u w:val="single"/>
                                <w:lang w:val="en-NZ"/>
                              </w:rPr>
                              <w:t xml:space="preserve">See </w:t>
                            </w:r>
                            <w:r>
                              <w:rPr>
                                <w:i/>
                                <w:iCs/>
                                <w:sz w:val="11"/>
                                <w:szCs w:val="11"/>
                                <w:u w:val="single"/>
                                <w:lang w:val="en-NZ"/>
                              </w:rPr>
                              <w:t>section 3.1.2</w:t>
                            </w:r>
                          </w:p>
                        </w:txbxContent>
                      </wps:txbx>
                      <wps:bodyPr rot="0" vert="horz" wrap="none" lIns="36000" tIns="0" rIns="36000" bIns="0" anchor="ctr" anchorCtr="0">
                        <a:noAutofit/>
                      </wps:bodyPr>
                    </wps:wsp>
                  </a:graphicData>
                </a:graphic>
              </wp:anchor>
            </w:drawing>
          </mc:Choice>
          <mc:Fallback>
            <w:pict>
              <v:shape w14:anchorId="6433F97C" id="_x0000_s1033" type="#_x0000_t202" alt="&quot;&quot;" href="#Sect312HPMouldRelatedInfectionsAndAllerg" title="Click here to go to section 3.1.2" style="position:absolute;margin-left:153.6pt;margin-top:328.5pt;width:48.95pt;height:7.2pt;z-index:251658249;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" o:button="t" fillcolor="#8cc63f" stroked="f">
                <v:fill o:detectmouseclick="t"/>
                <v:textbox inset="1mm,0,1mm,0">
                  <w:txbxContent>
                    <w:p w14:paraId="38A6E9AF" w14:textId="23FAF42A" w:rsidR="00A86A5B" w:rsidRPr="00676E63" w:rsidRDefault="00A86A5B" w:rsidP="004E326F">
                      <w:pPr>
                        <w:spacing w:before="0" w:after="0" w:line="240" w:lineRule="auto"/>
                        <w:rPr>
                          <w:i/>
                          <w:iCs/>
                          <w:sz w:val="11"/>
                          <w:szCs w:val="11"/>
                          <w:u w:val="single"/>
                        </w:rPr>
                      </w:pPr>
                      <w:r w:rsidRPr="00676E63">
                        <w:rPr>
                          <w:i/>
                          <w:iCs/>
                          <w:sz w:val="11"/>
                          <w:szCs w:val="11"/>
                          <w:u w:val="single"/>
                          <w:lang w:val="en-NZ"/>
                        </w:rPr>
                        <w:t xml:space="preserve">See </w:t>
                      </w:r>
                      <w:r>
                        <w:rPr>
                          <w:i/>
                          <w:iCs/>
                          <w:sz w:val="11"/>
                          <w:szCs w:val="11"/>
                          <w:u w:val="single"/>
                          <w:lang w:val="en-NZ"/>
                        </w:rPr>
                        <w:t>section 3.1.2</w:t>
                      </w:r>
                    </w:p>
                  </w:txbxContent>
                </v:textbox>
                <w10:wrap anchory="page"/>
              </v:shape>
            </w:pict>
          </mc:Fallback>
        </mc:AlternateContent>
      </w:r>
      <w:r w:rsidR="006C0FF0" w:rsidRPr="00D03260">
        <w:rPr>
          <w:noProof/>
        </w:rPr>
        <mc:AlternateContent>
          <mc:Choice Requires="wps">
            <w:drawing>
              <wp:anchor distT="0" distB="0" distL="114300" distR="114300" simplePos="0" relativeHeight="251658250" behindDoc="0" locked="1" layoutInCell="1" allowOverlap="1" wp14:anchorId="2933A637" wp14:editId="079C9123">
                <wp:simplePos x="0" y="0"/>
                <wp:positionH relativeFrom="column">
                  <wp:posOffset>3779520</wp:posOffset>
                </wp:positionH>
                <wp:positionV relativeFrom="page">
                  <wp:posOffset>4381500</wp:posOffset>
                </wp:positionV>
                <wp:extent cx="608400" cy="108000"/>
                <wp:effectExtent l="0" t="0" r="2540" b="6350"/>
                <wp:wrapNone/>
                <wp:docPr id="22" name="Text Box 2">
                  <a:hlinkClick xmlns:a="http://schemas.openxmlformats.org/drawingml/2006/main" r:id="rId20" tooltip="Click here to go to section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 cy="108000"/>
                        </a:xfrm>
                        <a:prstGeom prst="rect">
                          <a:avLst/>
                        </a:prstGeom>
                        <a:solidFill>
                          <a:srgbClr val="8CC63F"/>
                        </a:solidFill>
                        <a:ln w="9525">
                          <a:noFill/>
                          <a:miter lim="800000"/>
                          <a:headEnd/>
                          <a:tailEnd/>
                        </a:ln>
                      </wps:spPr>
                      <wps:txbx>
                        <w:txbxContent>
                          <w:p w14:paraId="0BFCD055" w14:textId="57C0D496" w:rsidR="001E2E88" w:rsidRPr="00A45FA9" w:rsidRDefault="001E2E88" w:rsidP="004E326F">
                            <w:pPr>
                              <w:spacing w:before="0" w:after="0" w:line="240" w:lineRule="auto"/>
                              <w:rPr>
                                <w:i/>
                                <w:iCs/>
                                <w:sz w:val="12"/>
                                <w:szCs w:val="12"/>
                                <w:u w:val="single"/>
                              </w:rPr>
                            </w:pPr>
                            <w:r w:rsidRPr="00A45FA9">
                              <w:rPr>
                                <w:i/>
                                <w:iCs/>
                                <w:sz w:val="12"/>
                                <w:szCs w:val="12"/>
                                <w:u w:val="single"/>
                                <w:lang w:val="en-NZ"/>
                              </w:rPr>
                              <w:t>See section 3.2</w:t>
                            </w:r>
                          </w:p>
                        </w:txbxContent>
                      </wps:txbx>
                      <wps:bodyPr rot="0" vert="horz" wrap="non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33A637" id="_x0000_s1034" type="#_x0000_t202" alt="&quot;&quot;" href="#Sect32PatientsPresentingWithPersistentDe" title="Click here to go to section 3.2" style="position:absolute;margin-left:297.6pt;margin-top:345pt;width:47.9pt;height:8.5pt;z-index:25165825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" o:button="t" fillcolor="#8cc63f" stroked="f">
                <v:fill o:detectmouseclick="t"/>
                <v:textbox inset="1mm,0,1mm,0">
                  <w:txbxContent>
                    <w:p w14:paraId="0BFCD055" w14:textId="57C0D496" w:rsidR="001E2E88" w:rsidRPr="00A45FA9" w:rsidRDefault="001E2E88" w:rsidP="004E326F">
                      <w:pPr>
                        <w:spacing w:before="0" w:after="0" w:line="240" w:lineRule="auto"/>
                        <w:rPr>
                          <w:i/>
                          <w:iCs/>
                          <w:sz w:val="12"/>
                          <w:szCs w:val="12"/>
                          <w:u w:val="single"/>
                        </w:rPr>
                      </w:pPr>
                      <w:r w:rsidRPr="00A45FA9">
                        <w:rPr>
                          <w:i/>
                          <w:iCs/>
                          <w:sz w:val="12"/>
                          <w:szCs w:val="12"/>
                          <w:u w:val="single"/>
                          <w:lang w:val="en-NZ"/>
                        </w:rPr>
                        <w:t>See section 3.2</w:t>
                      </w:r>
                    </w:p>
                  </w:txbxContent>
                </v:textbox>
                <w10:wrap anchory="page"/>
                <w10:anchorlock/>
              </v:shape>
            </w:pict>
          </mc:Fallback>
        </mc:AlternateContent>
      </w:r>
      <w:r w:rsidR="006C0FF0" w:rsidRPr="00D03260">
        <w:rPr>
          <w:noProof/>
        </w:rPr>
        <mc:AlternateContent>
          <mc:Choice Requires="wps">
            <w:drawing>
              <wp:anchor distT="0" distB="0" distL="114300" distR="114300" simplePos="0" relativeHeight="251658251" behindDoc="0" locked="0" layoutInCell="1" allowOverlap="1" wp14:anchorId="6E7ECCEB" wp14:editId="1C7895D4">
                <wp:simplePos x="0" y="0"/>
                <wp:positionH relativeFrom="column">
                  <wp:posOffset>477520</wp:posOffset>
                </wp:positionH>
                <wp:positionV relativeFrom="page">
                  <wp:posOffset>6032500</wp:posOffset>
                </wp:positionV>
                <wp:extent cx="563245" cy="107315"/>
                <wp:effectExtent l="0" t="0" r="8255" b="6985"/>
                <wp:wrapNone/>
                <wp:docPr id="23" name="Text Box 2">
                  <a:hlinkClick xmlns:a="http://schemas.openxmlformats.org/drawingml/2006/main" r:id="rId21" tooltip="Click here to go to section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07315"/>
                        </a:xfrm>
                        <a:prstGeom prst="rect">
                          <a:avLst/>
                        </a:prstGeom>
                        <a:solidFill>
                          <a:srgbClr val="00B0F0"/>
                        </a:solidFill>
                        <a:ln w="9525">
                          <a:noFill/>
                          <a:miter lim="800000"/>
                          <a:headEnd/>
                          <a:tailEnd/>
                        </a:ln>
                      </wps:spPr>
                      <wps:txbx>
                        <w:txbxContent>
                          <w:p w14:paraId="4841A6B7" w14:textId="3BA66F3B" w:rsidR="00BF038E" w:rsidRPr="0050393E" w:rsidRDefault="00BF038E" w:rsidP="004E326F">
                            <w:pPr>
                              <w:spacing w:before="0" w:after="0" w:line="240" w:lineRule="auto"/>
                              <w:rPr>
                                <w:i/>
                                <w:iCs/>
                                <w:sz w:val="11"/>
                                <w:szCs w:val="11"/>
                                <w:u w:val="single"/>
                              </w:rPr>
                            </w:pPr>
                            <w:r w:rsidRPr="0050393E">
                              <w:rPr>
                                <w:i/>
                                <w:iCs/>
                                <w:sz w:val="11"/>
                                <w:szCs w:val="11"/>
                                <w:u w:val="single"/>
                                <w:lang w:val="en-NZ"/>
                              </w:rPr>
                              <w:t xml:space="preserve">See section </w:t>
                            </w:r>
                            <w:r w:rsidR="0050393E">
                              <w:rPr>
                                <w:i/>
                                <w:iCs/>
                                <w:sz w:val="11"/>
                                <w:szCs w:val="11"/>
                                <w:u w:val="single"/>
                                <w:lang w:val="en-NZ"/>
                              </w:rPr>
                              <w:t>4.1</w:t>
                            </w:r>
                          </w:p>
                        </w:txbxContent>
                      </wps:txbx>
                      <wps:bodyPr rot="0" vert="horz" wrap="none" lIns="36000" tIns="0" rIns="36000" bIns="0" anchor="ctr" anchorCtr="0">
                        <a:noAutofit/>
                      </wps:bodyPr>
                    </wps:wsp>
                  </a:graphicData>
                </a:graphic>
              </wp:anchor>
            </w:drawing>
          </mc:Choice>
          <mc:Fallback>
            <w:pict>
              <v:shape w14:anchorId="6E7ECCEB" id="_x0000_s1035" type="#_x0000_t202" alt="&quot;&quot;" href="#Section41Asthma" title="Click here to go to section 4.1" style="position:absolute;margin-left:37.6pt;margin-top:475pt;width:44.35pt;height:8.45pt;z-index:251658251;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" o:button="t" fillcolor="#00b0f0" stroked="f">
                <v:fill o:detectmouseclick="t"/>
                <v:textbox inset="1mm,0,1mm,0">
                  <w:txbxContent>
                    <w:p w14:paraId="4841A6B7" w14:textId="3BA66F3B" w:rsidR="00BF038E" w:rsidRPr="0050393E" w:rsidRDefault="00BF038E" w:rsidP="004E326F">
                      <w:pPr>
                        <w:spacing w:before="0" w:after="0" w:line="240" w:lineRule="auto"/>
                        <w:rPr>
                          <w:i/>
                          <w:iCs/>
                          <w:sz w:val="11"/>
                          <w:szCs w:val="11"/>
                          <w:u w:val="single"/>
                        </w:rPr>
                      </w:pPr>
                      <w:r w:rsidRPr="0050393E">
                        <w:rPr>
                          <w:i/>
                          <w:iCs/>
                          <w:sz w:val="11"/>
                          <w:szCs w:val="11"/>
                          <w:u w:val="single"/>
                          <w:lang w:val="en-NZ"/>
                        </w:rPr>
                        <w:t xml:space="preserve">See section </w:t>
                      </w:r>
                      <w:r w:rsidR="0050393E">
                        <w:rPr>
                          <w:i/>
                          <w:iCs/>
                          <w:sz w:val="11"/>
                          <w:szCs w:val="11"/>
                          <w:u w:val="single"/>
                          <w:lang w:val="en-NZ"/>
                        </w:rPr>
                        <w:t>4.1</w:t>
                      </w:r>
                    </w:p>
                  </w:txbxContent>
                </v:textbox>
                <w10:wrap anchory="page"/>
              </v:shape>
            </w:pict>
          </mc:Fallback>
        </mc:AlternateContent>
      </w:r>
      <w:r w:rsidR="006C0FF0" w:rsidRPr="00D03260">
        <w:rPr>
          <w:noProof/>
        </w:rPr>
        <mc:AlternateContent>
          <mc:Choice Requires="wps">
            <w:drawing>
              <wp:anchor distT="0" distB="0" distL="114300" distR="114300" simplePos="0" relativeHeight="251658253" behindDoc="0" locked="0" layoutInCell="1" allowOverlap="1" wp14:anchorId="07E20420" wp14:editId="59189CA3">
                <wp:simplePos x="0" y="0"/>
                <wp:positionH relativeFrom="column">
                  <wp:posOffset>2045970</wp:posOffset>
                </wp:positionH>
                <wp:positionV relativeFrom="page">
                  <wp:posOffset>6038850</wp:posOffset>
                </wp:positionV>
                <wp:extent cx="563245" cy="106680"/>
                <wp:effectExtent l="0" t="0" r="8255" b="7620"/>
                <wp:wrapNone/>
                <wp:docPr id="25" name="Text Box 2">
                  <a:hlinkClick xmlns:a="http://schemas.openxmlformats.org/drawingml/2006/main" r:id="rId22" tooltip="Click here to go to section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06680"/>
                        </a:xfrm>
                        <a:prstGeom prst="rect">
                          <a:avLst/>
                        </a:prstGeom>
                        <a:solidFill>
                          <a:srgbClr val="00B0F0"/>
                        </a:solidFill>
                        <a:ln w="9525">
                          <a:noFill/>
                          <a:miter lim="800000"/>
                          <a:headEnd/>
                          <a:tailEnd/>
                        </a:ln>
                      </wps:spPr>
                      <wps:txbx>
                        <w:txbxContent>
                          <w:p w14:paraId="4002AA98" w14:textId="4C6739F8" w:rsidR="0050393E" w:rsidRPr="0050393E" w:rsidRDefault="0050393E" w:rsidP="004E326F">
                            <w:pPr>
                              <w:spacing w:before="0" w:after="0" w:line="240" w:lineRule="auto"/>
                              <w:rPr>
                                <w:i/>
                                <w:iCs/>
                                <w:sz w:val="11"/>
                                <w:szCs w:val="11"/>
                                <w:u w:val="single"/>
                              </w:rPr>
                            </w:pPr>
                            <w:r w:rsidRPr="0050393E">
                              <w:rPr>
                                <w:i/>
                                <w:iCs/>
                                <w:sz w:val="11"/>
                                <w:szCs w:val="11"/>
                                <w:u w:val="single"/>
                                <w:lang w:val="en-NZ"/>
                              </w:rPr>
                              <w:t xml:space="preserve">See section </w:t>
                            </w:r>
                            <w:r>
                              <w:rPr>
                                <w:i/>
                                <w:iCs/>
                                <w:sz w:val="11"/>
                                <w:szCs w:val="11"/>
                                <w:u w:val="single"/>
                                <w:lang w:val="en-NZ"/>
                              </w:rPr>
                              <w:t>4.2</w:t>
                            </w:r>
                          </w:p>
                        </w:txbxContent>
                      </wps:txbx>
                      <wps:bodyPr rot="0" vert="horz" wrap="none" lIns="36000" tIns="0" rIns="36000" bIns="0" anchor="ctr" anchorCtr="0">
                        <a:noAutofit/>
                      </wps:bodyPr>
                    </wps:wsp>
                  </a:graphicData>
                </a:graphic>
              </wp:anchor>
            </w:drawing>
          </mc:Choice>
          <mc:Fallback>
            <w:pict>
              <v:shape w14:anchorId="07E20420" id="_x0000_s1036" type="#_x0000_t202" alt="&quot;&quot;" href="#Section42MouldInfectionDiagnostics" title="Click here to go to section 4.2" style="position:absolute;margin-left:161.1pt;margin-top:475.5pt;width:44.35pt;height:8.4pt;z-index:251658253;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" o:button="t" fillcolor="#00b0f0" stroked="f">
                <v:fill o:detectmouseclick="t"/>
                <v:textbox inset="1mm,0,1mm,0">
                  <w:txbxContent>
                    <w:p w14:paraId="4002AA98" w14:textId="4C6739F8" w:rsidR="0050393E" w:rsidRPr="0050393E" w:rsidRDefault="0050393E" w:rsidP="004E326F">
                      <w:pPr>
                        <w:spacing w:before="0" w:after="0" w:line="240" w:lineRule="auto"/>
                        <w:rPr>
                          <w:i/>
                          <w:iCs/>
                          <w:sz w:val="11"/>
                          <w:szCs w:val="11"/>
                          <w:u w:val="single"/>
                        </w:rPr>
                      </w:pPr>
                      <w:r w:rsidRPr="0050393E">
                        <w:rPr>
                          <w:i/>
                          <w:iCs/>
                          <w:sz w:val="11"/>
                          <w:szCs w:val="11"/>
                          <w:u w:val="single"/>
                          <w:lang w:val="en-NZ"/>
                        </w:rPr>
                        <w:t xml:space="preserve">See section </w:t>
                      </w:r>
                      <w:r>
                        <w:rPr>
                          <w:i/>
                          <w:iCs/>
                          <w:sz w:val="11"/>
                          <w:szCs w:val="11"/>
                          <w:u w:val="single"/>
                          <w:lang w:val="en-NZ"/>
                        </w:rPr>
                        <w:t>4.2</w:t>
                      </w:r>
                    </w:p>
                  </w:txbxContent>
                </v:textbox>
                <w10:wrap anchory="page"/>
              </v:shape>
            </w:pict>
          </mc:Fallback>
        </mc:AlternateContent>
      </w:r>
      <w:r w:rsidR="006C0FF0" w:rsidRPr="00D03260">
        <w:rPr>
          <w:noProof/>
        </w:rPr>
        <mc:AlternateContent>
          <mc:Choice Requires="wps">
            <w:drawing>
              <wp:anchor distT="0" distB="0" distL="114300" distR="114300" simplePos="0" relativeHeight="251658254" behindDoc="0" locked="0" layoutInCell="1" allowOverlap="1" wp14:anchorId="2D800098" wp14:editId="203E0304">
                <wp:simplePos x="0" y="0"/>
                <wp:positionH relativeFrom="column">
                  <wp:posOffset>2833370</wp:posOffset>
                </wp:positionH>
                <wp:positionV relativeFrom="page">
                  <wp:posOffset>5949950</wp:posOffset>
                </wp:positionV>
                <wp:extent cx="563245" cy="107315"/>
                <wp:effectExtent l="0" t="0" r="8255" b="6985"/>
                <wp:wrapNone/>
                <wp:docPr id="26" name="Text Box 2">
                  <a:hlinkClick xmlns:a="http://schemas.openxmlformats.org/drawingml/2006/main" r:id="rId23" tooltip="Click here to go to section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07315"/>
                        </a:xfrm>
                        <a:prstGeom prst="rect">
                          <a:avLst/>
                        </a:prstGeom>
                        <a:solidFill>
                          <a:srgbClr val="00B0F0"/>
                        </a:solidFill>
                        <a:ln w="9525">
                          <a:noFill/>
                          <a:miter lim="800000"/>
                          <a:headEnd/>
                          <a:tailEnd/>
                        </a:ln>
                      </wps:spPr>
                      <wps:txbx>
                        <w:txbxContent>
                          <w:p w14:paraId="26E01461" w14:textId="004A7256" w:rsidR="00951642" w:rsidRPr="0050393E" w:rsidRDefault="00951642" w:rsidP="004E326F">
                            <w:pPr>
                              <w:spacing w:before="0" w:after="0" w:line="240" w:lineRule="auto"/>
                              <w:rPr>
                                <w:i/>
                                <w:iCs/>
                                <w:sz w:val="11"/>
                                <w:szCs w:val="11"/>
                                <w:u w:val="single"/>
                              </w:rPr>
                            </w:pPr>
                            <w:r w:rsidRPr="0050393E">
                              <w:rPr>
                                <w:i/>
                                <w:iCs/>
                                <w:sz w:val="11"/>
                                <w:szCs w:val="11"/>
                                <w:u w:val="single"/>
                                <w:lang w:val="en-NZ"/>
                              </w:rPr>
                              <w:t xml:space="preserve">See section </w:t>
                            </w:r>
                            <w:r>
                              <w:rPr>
                                <w:i/>
                                <w:iCs/>
                                <w:sz w:val="11"/>
                                <w:szCs w:val="11"/>
                                <w:u w:val="single"/>
                                <w:lang w:val="en-NZ"/>
                              </w:rPr>
                              <w:t>4.4</w:t>
                            </w:r>
                          </w:p>
                        </w:txbxContent>
                      </wps:txbx>
                      <wps:bodyPr rot="0" vert="horz" wrap="none" lIns="36000" tIns="0" rIns="36000" bIns="0" anchor="ctr" anchorCtr="0">
                        <a:noAutofit/>
                      </wps:bodyPr>
                    </wps:wsp>
                  </a:graphicData>
                </a:graphic>
              </wp:anchor>
            </w:drawing>
          </mc:Choice>
          <mc:Fallback>
            <w:pict>
              <v:shape w14:anchorId="2D800098" id="_x0000_s1037" type="#_x0000_t202" alt="&quot;&quot;" href="#Section44HPDiagnostics" title="Click here to go to section 4.4" style="position:absolute;margin-left:223.1pt;margin-top:468.5pt;width:44.35pt;height:8.45pt;z-index:251658254;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" o:button="t" fillcolor="#00b0f0" stroked="f">
                <v:fill o:detectmouseclick="t"/>
                <v:textbox inset="1mm,0,1mm,0">
                  <w:txbxContent>
                    <w:p w14:paraId="26E01461" w14:textId="004A7256" w:rsidR="00951642" w:rsidRPr="0050393E" w:rsidRDefault="00951642" w:rsidP="004E326F">
                      <w:pPr>
                        <w:spacing w:before="0" w:after="0" w:line="240" w:lineRule="auto"/>
                        <w:rPr>
                          <w:i/>
                          <w:iCs/>
                          <w:sz w:val="11"/>
                          <w:szCs w:val="11"/>
                          <w:u w:val="single"/>
                        </w:rPr>
                      </w:pPr>
                      <w:r w:rsidRPr="0050393E">
                        <w:rPr>
                          <w:i/>
                          <w:iCs/>
                          <w:sz w:val="11"/>
                          <w:szCs w:val="11"/>
                          <w:u w:val="single"/>
                          <w:lang w:val="en-NZ"/>
                        </w:rPr>
                        <w:t xml:space="preserve">See section </w:t>
                      </w:r>
                      <w:r>
                        <w:rPr>
                          <w:i/>
                          <w:iCs/>
                          <w:sz w:val="11"/>
                          <w:szCs w:val="11"/>
                          <w:u w:val="single"/>
                          <w:lang w:val="en-NZ"/>
                        </w:rPr>
                        <w:t>4.4</w:t>
                      </w:r>
                    </w:p>
                  </w:txbxContent>
                </v:textbox>
                <w10:wrap anchory="page"/>
              </v:shape>
            </w:pict>
          </mc:Fallback>
        </mc:AlternateContent>
      </w:r>
      <w:r w:rsidR="006C0FF0" w:rsidRPr="00D03260">
        <w:rPr>
          <w:noProof/>
        </w:rPr>
        <mc:AlternateContent>
          <mc:Choice Requires="wps">
            <w:drawing>
              <wp:anchor distT="0" distB="0" distL="114300" distR="114300" simplePos="0" relativeHeight="251658255" behindDoc="0" locked="0" layoutInCell="1" allowOverlap="1" wp14:anchorId="4698A775" wp14:editId="06067637">
                <wp:simplePos x="0" y="0"/>
                <wp:positionH relativeFrom="column">
                  <wp:posOffset>3773170</wp:posOffset>
                </wp:positionH>
                <wp:positionV relativeFrom="page">
                  <wp:posOffset>5924550</wp:posOffset>
                </wp:positionV>
                <wp:extent cx="654050" cy="107315"/>
                <wp:effectExtent l="0" t="0" r="0" b="6985"/>
                <wp:wrapNone/>
                <wp:docPr id="27" name="Text Box 2">
                  <a:hlinkClick xmlns:a="http://schemas.openxmlformats.org/drawingml/2006/main" r:id="rId24" tooltip="Click here to go to section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07315"/>
                        </a:xfrm>
                        <a:prstGeom prst="rect">
                          <a:avLst/>
                        </a:prstGeom>
                        <a:solidFill>
                          <a:srgbClr val="00B0F0"/>
                        </a:solidFill>
                        <a:ln w="9525">
                          <a:noFill/>
                          <a:miter lim="800000"/>
                          <a:headEnd/>
                          <a:tailEnd/>
                        </a:ln>
                      </wps:spPr>
                      <wps:txbx>
                        <w:txbxContent>
                          <w:p w14:paraId="28F46831" w14:textId="32860127" w:rsidR="004D09B9" w:rsidRPr="003451AA" w:rsidRDefault="004D09B9" w:rsidP="004E326F">
                            <w:pPr>
                              <w:spacing w:before="0" w:after="0" w:line="240" w:lineRule="auto"/>
                              <w:rPr>
                                <w:i/>
                                <w:iCs/>
                                <w:sz w:val="12"/>
                                <w:szCs w:val="12"/>
                                <w:u w:val="single"/>
                              </w:rPr>
                            </w:pPr>
                            <w:r w:rsidRPr="003451AA">
                              <w:rPr>
                                <w:i/>
                                <w:iCs/>
                                <w:sz w:val="12"/>
                                <w:szCs w:val="12"/>
                                <w:u w:val="single"/>
                                <w:lang w:val="en-NZ"/>
                              </w:rPr>
                              <w:t>See section 4.7</w:t>
                            </w:r>
                          </w:p>
                        </w:txbxContent>
                      </wps:txbx>
                      <wps:bodyPr rot="0" vert="horz" wrap="none" lIns="36000" tIns="0" rIns="36000" bIns="0" anchor="ctr" anchorCtr="0">
                        <a:noAutofit/>
                      </wps:bodyPr>
                    </wps:wsp>
                  </a:graphicData>
                </a:graphic>
              </wp:anchor>
            </w:drawing>
          </mc:Choice>
          <mc:Fallback>
            <w:pict>
              <v:shape w14:anchorId="4698A775" id="_x0000_s1038" type="#_x0000_t202" alt="&quot;&quot;" href="#Section47PersistentDebilitatingSymptoms" title="Click here to go to section 4.7" style="position:absolute;margin-left:297.1pt;margin-top:466.5pt;width:51.5pt;height:8.45pt;z-index:251658255;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" o:button="t" fillcolor="#00b0f0" stroked="f">
                <v:fill o:detectmouseclick="t"/>
                <v:textbox inset="1mm,0,1mm,0">
                  <w:txbxContent>
                    <w:p w14:paraId="28F46831" w14:textId="32860127" w:rsidR="004D09B9" w:rsidRPr="003451AA" w:rsidRDefault="004D09B9" w:rsidP="004E326F">
                      <w:pPr>
                        <w:spacing w:before="0" w:after="0" w:line="240" w:lineRule="auto"/>
                        <w:rPr>
                          <w:i/>
                          <w:iCs/>
                          <w:sz w:val="12"/>
                          <w:szCs w:val="12"/>
                          <w:u w:val="single"/>
                        </w:rPr>
                      </w:pPr>
                      <w:r w:rsidRPr="003451AA">
                        <w:rPr>
                          <w:i/>
                          <w:iCs/>
                          <w:sz w:val="12"/>
                          <w:szCs w:val="12"/>
                          <w:u w:val="single"/>
                          <w:lang w:val="en-NZ"/>
                        </w:rPr>
                        <w:t>See section 4.7</w:t>
                      </w:r>
                    </w:p>
                  </w:txbxContent>
                </v:textbox>
                <w10:wrap anchory="page"/>
              </v:shape>
            </w:pict>
          </mc:Fallback>
        </mc:AlternateContent>
      </w:r>
      <w:r w:rsidR="006C0FF0" w:rsidRPr="00D03260">
        <w:rPr>
          <w:noProof/>
        </w:rPr>
        <mc:AlternateContent>
          <mc:Choice Requires="wps">
            <w:drawing>
              <wp:anchor distT="0" distB="0" distL="114300" distR="114300" simplePos="0" relativeHeight="251658256" behindDoc="0" locked="0" layoutInCell="1" allowOverlap="1" wp14:anchorId="0F086AAA" wp14:editId="503DC023">
                <wp:simplePos x="0" y="0"/>
                <wp:positionH relativeFrom="column">
                  <wp:posOffset>3773170</wp:posOffset>
                </wp:positionH>
                <wp:positionV relativeFrom="page">
                  <wp:posOffset>6705600</wp:posOffset>
                </wp:positionV>
                <wp:extent cx="608330" cy="107315"/>
                <wp:effectExtent l="0" t="0" r="1270" b="6985"/>
                <wp:wrapNone/>
                <wp:docPr id="28" name="Text Box 2">
                  <a:hlinkClick xmlns:a="http://schemas.openxmlformats.org/drawingml/2006/main" r:id="rId25" tooltip="Click here to go to section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07315"/>
                        </a:xfrm>
                        <a:prstGeom prst="rect">
                          <a:avLst/>
                        </a:prstGeom>
                        <a:solidFill>
                          <a:srgbClr val="00B0F0"/>
                        </a:solidFill>
                        <a:ln w="9525">
                          <a:noFill/>
                          <a:miter lim="800000"/>
                          <a:headEnd/>
                          <a:tailEnd/>
                        </a:ln>
                      </wps:spPr>
                      <wps:txbx>
                        <w:txbxContent>
                          <w:p w14:paraId="5A369F24" w14:textId="5A3E8C03" w:rsidR="004D09B9" w:rsidRPr="0059286A" w:rsidRDefault="004D09B9" w:rsidP="004E326F">
                            <w:pPr>
                              <w:spacing w:before="0" w:after="0" w:line="240" w:lineRule="auto"/>
                              <w:rPr>
                                <w:i/>
                                <w:iCs/>
                                <w:sz w:val="12"/>
                                <w:szCs w:val="12"/>
                                <w:u w:val="single"/>
                              </w:rPr>
                            </w:pPr>
                            <w:r w:rsidRPr="0059286A">
                              <w:rPr>
                                <w:i/>
                                <w:iCs/>
                                <w:sz w:val="12"/>
                                <w:szCs w:val="12"/>
                                <w:u w:val="single"/>
                                <w:lang w:val="en-NZ"/>
                              </w:rPr>
                              <w:t>See section 5.5</w:t>
                            </w:r>
                          </w:p>
                        </w:txbxContent>
                      </wps:txbx>
                      <wps:bodyPr rot="0" vert="horz" wrap="none" lIns="36000" tIns="0" rIns="36000" bIns="0" anchor="ctr" anchorCtr="0">
                        <a:noAutofit/>
                      </wps:bodyPr>
                    </wps:wsp>
                  </a:graphicData>
                </a:graphic>
              </wp:anchor>
            </w:drawing>
          </mc:Choice>
          <mc:Fallback>
            <w:pict>
              <v:shape w14:anchorId="0F086AAA" id="_x0000_s1039" type="#_x0000_t202" alt="&quot;&quot;" href="#Section55PersistentSymptmsDiagnosisEstab" title="Click here to go to section 5.5" style="position:absolute;margin-left:297.1pt;margin-top:528pt;width:47.9pt;height:8.45pt;z-index:251658256;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" o:button="t" fillcolor="#00b0f0" stroked="f">
                <v:fill o:detectmouseclick="t"/>
                <v:textbox inset="1mm,0,1mm,0">
                  <w:txbxContent>
                    <w:p w14:paraId="5A369F24" w14:textId="5A3E8C03" w:rsidR="004D09B9" w:rsidRPr="0059286A" w:rsidRDefault="004D09B9" w:rsidP="004E326F">
                      <w:pPr>
                        <w:spacing w:before="0" w:after="0" w:line="240" w:lineRule="auto"/>
                        <w:rPr>
                          <w:i/>
                          <w:iCs/>
                          <w:sz w:val="12"/>
                          <w:szCs w:val="12"/>
                          <w:u w:val="single"/>
                        </w:rPr>
                      </w:pPr>
                      <w:r w:rsidRPr="0059286A">
                        <w:rPr>
                          <w:i/>
                          <w:iCs/>
                          <w:sz w:val="12"/>
                          <w:szCs w:val="12"/>
                          <w:u w:val="single"/>
                          <w:lang w:val="en-NZ"/>
                        </w:rPr>
                        <w:t>See section 5.5</w:t>
                      </w:r>
                    </w:p>
                  </w:txbxContent>
                </v:textbox>
                <w10:wrap anchory="page"/>
              </v:shape>
            </w:pict>
          </mc:Fallback>
        </mc:AlternateContent>
      </w:r>
      <w:r w:rsidR="006C0FF0" w:rsidRPr="00D03260">
        <w:rPr>
          <w:noProof/>
        </w:rPr>
        <mc:AlternateContent>
          <mc:Choice Requires="wps">
            <w:drawing>
              <wp:anchor distT="0" distB="0" distL="114300" distR="114300" simplePos="0" relativeHeight="251658257" behindDoc="0" locked="0" layoutInCell="1" allowOverlap="1" wp14:anchorId="580D9638" wp14:editId="6C00EB35">
                <wp:simplePos x="0" y="0"/>
                <wp:positionH relativeFrom="column">
                  <wp:posOffset>4693920</wp:posOffset>
                </wp:positionH>
                <wp:positionV relativeFrom="page">
                  <wp:posOffset>6705600</wp:posOffset>
                </wp:positionV>
                <wp:extent cx="607695" cy="106680"/>
                <wp:effectExtent l="0" t="0" r="1905" b="7620"/>
                <wp:wrapNone/>
                <wp:docPr id="29" name="Text Box 2">
                  <a:hlinkClick xmlns:a="http://schemas.openxmlformats.org/drawingml/2006/main" r:id="rId26" tooltip="Click here to go to section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06680"/>
                        </a:xfrm>
                        <a:prstGeom prst="rect">
                          <a:avLst/>
                        </a:prstGeom>
                        <a:solidFill>
                          <a:srgbClr val="00B0F0"/>
                        </a:solidFill>
                        <a:ln w="9525">
                          <a:noFill/>
                          <a:miter lim="800000"/>
                          <a:headEnd/>
                          <a:tailEnd/>
                        </a:ln>
                      </wps:spPr>
                      <wps:txbx>
                        <w:txbxContent>
                          <w:p w14:paraId="0E5E1935" w14:textId="0ACACE28" w:rsidR="004D09B9" w:rsidRPr="0059286A" w:rsidRDefault="004D09B9" w:rsidP="004E326F">
                            <w:pPr>
                              <w:spacing w:before="0" w:after="0" w:line="240" w:lineRule="auto"/>
                              <w:rPr>
                                <w:i/>
                                <w:iCs/>
                                <w:sz w:val="12"/>
                                <w:szCs w:val="12"/>
                                <w:u w:val="single"/>
                              </w:rPr>
                            </w:pPr>
                            <w:r w:rsidRPr="0059286A">
                              <w:rPr>
                                <w:i/>
                                <w:iCs/>
                                <w:sz w:val="12"/>
                                <w:szCs w:val="12"/>
                                <w:u w:val="single"/>
                                <w:lang w:val="en-NZ"/>
                              </w:rPr>
                              <w:t>See section 5.6</w:t>
                            </w:r>
                          </w:p>
                        </w:txbxContent>
                      </wps:txbx>
                      <wps:bodyPr rot="0" vert="horz" wrap="none" lIns="36000" tIns="0" rIns="36000" bIns="0" anchor="ctr" anchorCtr="0">
                        <a:noAutofit/>
                      </wps:bodyPr>
                    </wps:wsp>
                  </a:graphicData>
                </a:graphic>
              </wp:anchor>
            </w:drawing>
          </mc:Choice>
          <mc:Fallback>
            <w:pict>
              <v:shape w14:anchorId="580D9638" id="_x0000_s1040" type="#_x0000_t202" alt="&quot;&quot;" href="#Section56PersistentSymtomsNoDiagnosis" title="Click here to go to section 5.6" style="position:absolute;margin-left:369.6pt;margin-top:528pt;width:47.85pt;height:8.4pt;z-index:251658257;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" o:button="t" fillcolor="#00b0f0" stroked="f">
                <v:fill o:detectmouseclick="t"/>
                <v:textbox inset="1mm,0,1mm,0">
                  <w:txbxContent>
                    <w:p w14:paraId="0E5E1935" w14:textId="0ACACE28" w:rsidR="004D09B9" w:rsidRPr="0059286A" w:rsidRDefault="004D09B9" w:rsidP="004E326F">
                      <w:pPr>
                        <w:spacing w:before="0" w:after="0" w:line="240" w:lineRule="auto"/>
                        <w:rPr>
                          <w:i/>
                          <w:iCs/>
                          <w:sz w:val="12"/>
                          <w:szCs w:val="12"/>
                          <w:u w:val="single"/>
                        </w:rPr>
                      </w:pPr>
                      <w:r w:rsidRPr="0059286A">
                        <w:rPr>
                          <w:i/>
                          <w:iCs/>
                          <w:sz w:val="12"/>
                          <w:szCs w:val="12"/>
                          <w:u w:val="single"/>
                          <w:lang w:val="en-NZ"/>
                        </w:rPr>
                        <w:t>See section 5.6</w:t>
                      </w:r>
                    </w:p>
                  </w:txbxContent>
                </v:textbox>
                <w10:wrap anchory="page"/>
              </v:shape>
            </w:pict>
          </mc:Fallback>
        </mc:AlternateContent>
      </w:r>
      <w:r w:rsidR="006C0FF0" w:rsidRPr="00D03260">
        <w:rPr>
          <w:noProof/>
        </w:rPr>
        <mc:AlternateContent>
          <mc:Choice Requires="wps">
            <w:drawing>
              <wp:anchor distT="0" distB="0" distL="114300" distR="114300" simplePos="0" relativeHeight="251658258" behindDoc="0" locked="0" layoutInCell="1" allowOverlap="1" wp14:anchorId="0A5838D0" wp14:editId="7A4C510D">
                <wp:simplePos x="0" y="0"/>
                <wp:positionH relativeFrom="column">
                  <wp:posOffset>510477</wp:posOffset>
                </wp:positionH>
                <wp:positionV relativeFrom="page">
                  <wp:posOffset>7166248</wp:posOffset>
                </wp:positionV>
                <wp:extent cx="554355" cy="107315"/>
                <wp:effectExtent l="0" t="0" r="0" b="6985"/>
                <wp:wrapNone/>
                <wp:docPr id="30" name="Text Box 2">
                  <a:hlinkClick xmlns:a="http://schemas.openxmlformats.org/drawingml/2006/main" r:id="rId27" tooltip="Click here to go to section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07315"/>
                        </a:xfrm>
                        <a:prstGeom prst="rect">
                          <a:avLst/>
                        </a:prstGeom>
                        <a:solidFill>
                          <a:srgbClr val="FFC000"/>
                        </a:solidFill>
                        <a:ln w="9525">
                          <a:noFill/>
                          <a:miter lim="800000"/>
                          <a:headEnd/>
                          <a:tailEnd/>
                        </a:ln>
                      </wps:spPr>
                      <wps:txbx>
                        <w:txbxContent>
                          <w:p w14:paraId="22269CC7" w14:textId="439D3196" w:rsidR="004D09B9" w:rsidRPr="0050393E" w:rsidRDefault="004D09B9" w:rsidP="004E326F">
                            <w:pPr>
                              <w:spacing w:before="0" w:after="0" w:line="240" w:lineRule="auto"/>
                              <w:rPr>
                                <w:i/>
                                <w:iCs/>
                                <w:sz w:val="11"/>
                                <w:szCs w:val="11"/>
                                <w:u w:val="single"/>
                              </w:rPr>
                            </w:pPr>
                            <w:r w:rsidRPr="0050393E">
                              <w:rPr>
                                <w:i/>
                                <w:iCs/>
                                <w:sz w:val="11"/>
                                <w:szCs w:val="11"/>
                                <w:u w:val="single"/>
                                <w:lang w:val="en-NZ"/>
                              </w:rPr>
                              <w:t>See section</w:t>
                            </w:r>
                            <w:r w:rsidR="00126DC5">
                              <w:rPr>
                                <w:i/>
                                <w:iCs/>
                                <w:sz w:val="11"/>
                                <w:szCs w:val="11"/>
                                <w:u w:val="single"/>
                                <w:lang w:val="en-NZ"/>
                              </w:rPr>
                              <w:t>s</w:t>
                            </w:r>
                            <w:r w:rsidRPr="0050393E">
                              <w:rPr>
                                <w:i/>
                                <w:iCs/>
                                <w:sz w:val="11"/>
                                <w:szCs w:val="11"/>
                                <w:u w:val="single"/>
                                <w:lang w:val="en-NZ"/>
                              </w:rPr>
                              <w:t xml:space="preserve"> </w:t>
                            </w:r>
                            <w:r w:rsidR="00126DC5">
                              <w:rPr>
                                <w:i/>
                                <w:iCs/>
                                <w:sz w:val="11"/>
                                <w:szCs w:val="11"/>
                                <w:u w:val="single"/>
                                <w:lang w:val="en-NZ"/>
                              </w:rPr>
                              <w:t>6</w:t>
                            </w:r>
                            <w:r>
                              <w:rPr>
                                <w:i/>
                                <w:iCs/>
                                <w:sz w:val="11"/>
                                <w:szCs w:val="11"/>
                                <w:u w:val="single"/>
                                <w:lang w:val="en-NZ"/>
                              </w:rPr>
                              <w:t>.1</w:t>
                            </w:r>
                          </w:p>
                        </w:txbxContent>
                      </wps:txbx>
                      <wps:bodyPr rot="0" vert="horz" wrap="square" lIns="0" tIns="0" rIns="0" bIns="0" anchor="ctr" anchorCtr="0">
                        <a:noAutofit/>
                      </wps:bodyPr>
                    </wps:wsp>
                  </a:graphicData>
                </a:graphic>
              </wp:anchor>
            </w:drawing>
          </mc:Choice>
          <mc:Fallback>
            <w:pict>
              <v:shape w14:anchorId="0A5838D0" id="_x0000_s1041" type="#_x0000_t202" alt="&quot;&quot;" href="#Sect61ReinforceMinimisingOrAvoidingExpos" title="Click here to go to section 6.1" style="position:absolute;margin-left:40.2pt;margin-top:564.25pt;width:43.65pt;height:8.45pt;z-index:25165825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" o:button="t" fillcolor="#ffc000" stroked="f">
                <v:fill o:detectmouseclick="t"/>
                <v:textbox inset="0,0,0,0">
                  <w:txbxContent>
                    <w:p w14:paraId="22269CC7" w14:textId="439D3196" w:rsidR="004D09B9" w:rsidRPr="0050393E" w:rsidRDefault="004D09B9" w:rsidP="004E326F">
                      <w:pPr>
                        <w:spacing w:before="0" w:after="0" w:line="240" w:lineRule="auto"/>
                        <w:rPr>
                          <w:i/>
                          <w:iCs/>
                          <w:sz w:val="11"/>
                          <w:szCs w:val="11"/>
                          <w:u w:val="single"/>
                        </w:rPr>
                      </w:pPr>
                      <w:r w:rsidRPr="0050393E">
                        <w:rPr>
                          <w:i/>
                          <w:iCs/>
                          <w:sz w:val="11"/>
                          <w:szCs w:val="11"/>
                          <w:u w:val="single"/>
                          <w:lang w:val="en-NZ"/>
                        </w:rPr>
                        <w:t>See section</w:t>
                      </w:r>
                      <w:r w:rsidR="00126DC5">
                        <w:rPr>
                          <w:i/>
                          <w:iCs/>
                          <w:sz w:val="11"/>
                          <w:szCs w:val="11"/>
                          <w:u w:val="single"/>
                          <w:lang w:val="en-NZ"/>
                        </w:rPr>
                        <w:t>s</w:t>
                      </w:r>
                      <w:r w:rsidRPr="0050393E">
                        <w:rPr>
                          <w:i/>
                          <w:iCs/>
                          <w:sz w:val="11"/>
                          <w:szCs w:val="11"/>
                          <w:u w:val="single"/>
                          <w:lang w:val="en-NZ"/>
                        </w:rPr>
                        <w:t xml:space="preserve"> </w:t>
                      </w:r>
                      <w:r w:rsidR="00126DC5">
                        <w:rPr>
                          <w:i/>
                          <w:iCs/>
                          <w:sz w:val="11"/>
                          <w:szCs w:val="11"/>
                          <w:u w:val="single"/>
                          <w:lang w:val="en-NZ"/>
                        </w:rPr>
                        <w:t>6</w:t>
                      </w:r>
                      <w:r>
                        <w:rPr>
                          <w:i/>
                          <w:iCs/>
                          <w:sz w:val="11"/>
                          <w:szCs w:val="11"/>
                          <w:u w:val="single"/>
                          <w:lang w:val="en-NZ"/>
                        </w:rPr>
                        <w:t>.1</w:t>
                      </w:r>
                    </w:p>
                  </w:txbxContent>
                </v:textbox>
                <w10:wrap anchory="page"/>
              </v:shape>
            </w:pict>
          </mc:Fallback>
        </mc:AlternateContent>
      </w:r>
      <w:r w:rsidR="006C0FF0" w:rsidRPr="00D03260">
        <w:rPr>
          <w:noProof/>
        </w:rPr>
        <mc:AlternateContent>
          <mc:Choice Requires="wps">
            <w:drawing>
              <wp:anchor distT="0" distB="0" distL="114300" distR="114300" simplePos="0" relativeHeight="251658259" behindDoc="0" locked="0" layoutInCell="1" allowOverlap="1" wp14:anchorId="700ECF54" wp14:editId="5CCE6937">
                <wp:simplePos x="0" y="0"/>
                <wp:positionH relativeFrom="column">
                  <wp:posOffset>1126973</wp:posOffset>
                </wp:positionH>
                <wp:positionV relativeFrom="page">
                  <wp:posOffset>7460014</wp:posOffset>
                </wp:positionV>
                <wp:extent cx="621665" cy="107315"/>
                <wp:effectExtent l="0" t="0" r="6985" b="6985"/>
                <wp:wrapNone/>
                <wp:docPr id="31" name="Text Box 2">
                  <a:hlinkClick xmlns:a="http://schemas.openxmlformats.org/drawingml/2006/main" r:id="rId28" tooltip="Click here to go to section 6.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07315"/>
                        </a:xfrm>
                        <a:prstGeom prst="rect">
                          <a:avLst/>
                        </a:prstGeom>
                        <a:solidFill>
                          <a:srgbClr val="FFC000"/>
                        </a:solidFill>
                        <a:ln w="9525">
                          <a:noFill/>
                          <a:miter lim="800000"/>
                          <a:headEnd/>
                          <a:tailEnd/>
                        </a:ln>
                      </wps:spPr>
                      <wps:txbx>
                        <w:txbxContent>
                          <w:p w14:paraId="5CC450AD" w14:textId="7CCC7E4D" w:rsidR="00126DC5" w:rsidRPr="0050393E" w:rsidRDefault="00126DC5" w:rsidP="004E326F">
                            <w:pPr>
                              <w:spacing w:before="0" w:after="0" w:line="240" w:lineRule="auto"/>
                              <w:rPr>
                                <w:i/>
                                <w:iCs/>
                                <w:sz w:val="11"/>
                                <w:szCs w:val="11"/>
                                <w:u w:val="single"/>
                              </w:rPr>
                            </w:pPr>
                            <w:r w:rsidRPr="0050393E">
                              <w:rPr>
                                <w:i/>
                                <w:iCs/>
                                <w:sz w:val="11"/>
                                <w:szCs w:val="11"/>
                                <w:u w:val="single"/>
                                <w:lang w:val="en-NZ"/>
                              </w:rPr>
                              <w:t xml:space="preserve">See </w:t>
                            </w:r>
                            <w:r>
                              <w:rPr>
                                <w:i/>
                                <w:iCs/>
                                <w:sz w:val="11"/>
                                <w:szCs w:val="11"/>
                                <w:u w:val="single"/>
                                <w:lang w:val="en-NZ"/>
                              </w:rPr>
                              <w:t>section 6.2.1</w:t>
                            </w:r>
                          </w:p>
                        </w:txbxContent>
                      </wps:txbx>
                      <wps:bodyPr rot="0" vert="horz" wrap="none" lIns="36000" tIns="0" rIns="36000" bIns="0" anchor="ctr" anchorCtr="0">
                        <a:noAutofit/>
                      </wps:bodyPr>
                    </wps:wsp>
                  </a:graphicData>
                </a:graphic>
              </wp:anchor>
            </w:drawing>
          </mc:Choice>
          <mc:Fallback>
            <w:pict>
              <v:shape w14:anchorId="700ECF54" id="_x0000_s1042" type="#_x0000_t202" alt="&quot;&quot;" href="#Sect621Asthma" title="Click here to go to section 6.2.1" style="position:absolute;margin-left:88.75pt;margin-top:587.4pt;width:48.95pt;height:8.45pt;z-index:251658259;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" o:button="t" fillcolor="#ffc000" stroked="f">
                <v:fill o:detectmouseclick="t"/>
                <v:textbox inset="1mm,0,1mm,0">
                  <w:txbxContent>
                    <w:p w14:paraId="5CC450AD" w14:textId="7CCC7E4D" w:rsidR="00126DC5" w:rsidRPr="0050393E" w:rsidRDefault="00126DC5" w:rsidP="004E326F">
                      <w:pPr>
                        <w:spacing w:before="0" w:after="0" w:line="240" w:lineRule="auto"/>
                        <w:rPr>
                          <w:i/>
                          <w:iCs/>
                          <w:sz w:val="11"/>
                          <w:szCs w:val="11"/>
                          <w:u w:val="single"/>
                        </w:rPr>
                      </w:pPr>
                      <w:r w:rsidRPr="0050393E">
                        <w:rPr>
                          <w:i/>
                          <w:iCs/>
                          <w:sz w:val="11"/>
                          <w:szCs w:val="11"/>
                          <w:u w:val="single"/>
                          <w:lang w:val="en-NZ"/>
                        </w:rPr>
                        <w:t xml:space="preserve">See </w:t>
                      </w:r>
                      <w:r>
                        <w:rPr>
                          <w:i/>
                          <w:iCs/>
                          <w:sz w:val="11"/>
                          <w:szCs w:val="11"/>
                          <w:u w:val="single"/>
                          <w:lang w:val="en-NZ"/>
                        </w:rPr>
                        <w:t>section 6.2.1</w:t>
                      </w:r>
                    </w:p>
                  </w:txbxContent>
                </v:textbox>
                <w10:wrap anchory="page"/>
              </v:shape>
            </w:pict>
          </mc:Fallback>
        </mc:AlternateContent>
      </w:r>
      <w:r w:rsidR="006C0FF0" w:rsidRPr="00D03260">
        <w:rPr>
          <w:noProof/>
        </w:rPr>
        <mc:AlternateContent>
          <mc:Choice Requires="wps">
            <w:drawing>
              <wp:anchor distT="0" distB="0" distL="114300" distR="114300" simplePos="0" relativeHeight="251658260" behindDoc="0" locked="0" layoutInCell="1" allowOverlap="1" wp14:anchorId="00CF1CF4" wp14:editId="75A748CE">
                <wp:simplePos x="0" y="0"/>
                <wp:positionH relativeFrom="column">
                  <wp:posOffset>688392</wp:posOffset>
                </wp:positionH>
                <wp:positionV relativeFrom="page">
                  <wp:posOffset>7741368</wp:posOffset>
                </wp:positionV>
                <wp:extent cx="621665" cy="106680"/>
                <wp:effectExtent l="0" t="0" r="6985" b="7620"/>
                <wp:wrapNone/>
                <wp:docPr id="32" name="Text Box 2">
                  <a:hlinkClick xmlns:a="http://schemas.openxmlformats.org/drawingml/2006/main" r:id="rId29" tooltip="Click here to go to section 6.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06680"/>
                        </a:xfrm>
                        <a:prstGeom prst="rect">
                          <a:avLst/>
                        </a:prstGeom>
                        <a:solidFill>
                          <a:srgbClr val="FFC000"/>
                        </a:solidFill>
                        <a:ln w="9525">
                          <a:noFill/>
                          <a:miter lim="800000"/>
                          <a:headEnd/>
                          <a:tailEnd/>
                        </a:ln>
                      </wps:spPr>
                      <wps:txbx>
                        <w:txbxContent>
                          <w:p w14:paraId="126C3061" w14:textId="53AF118E" w:rsidR="00126DC5" w:rsidRPr="0050393E" w:rsidRDefault="00126DC5" w:rsidP="004E326F">
                            <w:pPr>
                              <w:spacing w:before="0" w:after="0" w:line="240" w:lineRule="auto"/>
                              <w:rPr>
                                <w:i/>
                                <w:iCs/>
                                <w:sz w:val="11"/>
                                <w:szCs w:val="11"/>
                                <w:u w:val="single"/>
                              </w:rPr>
                            </w:pPr>
                            <w:r w:rsidRPr="0050393E">
                              <w:rPr>
                                <w:i/>
                                <w:iCs/>
                                <w:sz w:val="11"/>
                                <w:szCs w:val="11"/>
                                <w:u w:val="single"/>
                                <w:lang w:val="en-NZ"/>
                              </w:rPr>
                              <w:t xml:space="preserve">See </w:t>
                            </w:r>
                            <w:r>
                              <w:rPr>
                                <w:i/>
                                <w:iCs/>
                                <w:sz w:val="11"/>
                                <w:szCs w:val="11"/>
                                <w:u w:val="single"/>
                                <w:lang w:val="en-NZ"/>
                              </w:rPr>
                              <w:t>section 6.2.3</w:t>
                            </w:r>
                          </w:p>
                        </w:txbxContent>
                      </wps:txbx>
                      <wps:bodyPr rot="0" vert="horz" wrap="none" lIns="36000" tIns="0" rIns="36000" bIns="0" anchor="ctr" anchorCtr="0">
                        <a:noAutofit/>
                      </wps:bodyPr>
                    </wps:wsp>
                  </a:graphicData>
                </a:graphic>
              </wp:anchor>
            </w:drawing>
          </mc:Choice>
          <mc:Fallback>
            <w:pict>
              <v:shape w14:anchorId="00CF1CF4" id="_x0000_s1043" type="#_x0000_t202" alt="&quot;&quot;" href="#Section623MouldRelatedInfection" title="Click here to go to section 6.2.3" style="position:absolute;margin-left:54.2pt;margin-top:609.55pt;width:48.95pt;height:8.4pt;z-index:251658260;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" o:button="t" fillcolor="#ffc000" stroked="f">
                <v:fill o:detectmouseclick="t"/>
                <v:textbox inset="1mm,0,1mm,0">
                  <w:txbxContent>
                    <w:p w14:paraId="126C3061" w14:textId="53AF118E" w:rsidR="00126DC5" w:rsidRPr="0050393E" w:rsidRDefault="00126DC5" w:rsidP="004E326F">
                      <w:pPr>
                        <w:spacing w:before="0" w:after="0" w:line="240" w:lineRule="auto"/>
                        <w:rPr>
                          <w:i/>
                          <w:iCs/>
                          <w:sz w:val="11"/>
                          <w:szCs w:val="11"/>
                          <w:u w:val="single"/>
                        </w:rPr>
                      </w:pPr>
                      <w:r w:rsidRPr="0050393E">
                        <w:rPr>
                          <w:i/>
                          <w:iCs/>
                          <w:sz w:val="11"/>
                          <w:szCs w:val="11"/>
                          <w:u w:val="single"/>
                          <w:lang w:val="en-NZ"/>
                        </w:rPr>
                        <w:t xml:space="preserve">See </w:t>
                      </w:r>
                      <w:r>
                        <w:rPr>
                          <w:i/>
                          <w:iCs/>
                          <w:sz w:val="11"/>
                          <w:szCs w:val="11"/>
                          <w:u w:val="single"/>
                          <w:lang w:val="en-NZ"/>
                        </w:rPr>
                        <w:t>section 6.2.3</w:t>
                      </w:r>
                    </w:p>
                  </w:txbxContent>
                </v:textbox>
                <w10:wrap anchory="page"/>
              </v:shape>
            </w:pict>
          </mc:Fallback>
        </mc:AlternateContent>
      </w:r>
      <w:r w:rsidR="006C0FF0" w:rsidRPr="00D03260">
        <w:rPr>
          <w:noProof/>
        </w:rPr>
        <mc:AlternateContent>
          <mc:Choice Requires="wps">
            <w:drawing>
              <wp:anchor distT="0" distB="0" distL="114300" distR="114300" simplePos="0" relativeHeight="251658261" behindDoc="0" locked="0" layoutInCell="1" allowOverlap="1" wp14:anchorId="0944A670" wp14:editId="2DA10145">
                <wp:simplePos x="0" y="0"/>
                <wp:positionH relativeFrom="column">
                  <wp:posOffset>477376</wp:posOffset>
                </wp:positionH>
                <wp:positionV relativeFrom="page">
                  <wp:posOffset>8039272</wp:posOffset>
                </wp:positionV>
                <wp:extent cx="621665" cy="107315"/>
                <wp:effectExtent l="0" t="0" r="6985" b="6985"/>
                <wp:wrapNone/>
                <wp:docPr id="33" name="Text Box 2">
                  <a:hlinkClick xmlns:a="http://schemas.openxmlformats.org/drawingml/2006/main" r:id="rId30" tooltip="Click here to go to section 6.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07315"/>
                        </a:xfrm>
                        <a:prstGeom prst="rect">
                          <a:avLst/>
                        </a:prstGeom>
                        <a:solidFill>
                          <a:srgbClr val="FFC000"/>
                        </a:solidFill>
                        <a:ln w="9525">
                          <a:noFill/>
                          <a:miter lim="800000"/>
                          <a:headEnd/>
                          <a:tailEnd/>
                        </a:ln>
                      </wps:spPr>
                      <wps:txbx>
                        <w:txbxContent>
                          <w:p w14:paraId="63322F22" w14:textId="486A9309" w:rsidR="00126DC5" w:rsidRPr="0050393E" w:rsidRDefault="00126DC5" w:rsidP="004E326F">
                            <w:pPr>
                              <w:spacing w:before="0" w:after="0" w:line="240" w:lineRule="auto"/>
                              <w:rPr>
                                <w:i/>
                                <w:iCs/>
                                <w:sz w:val="11"/>
                                <w:szCs w:val="11"/>
                                <w:u w:val="single"/>
                              </w:rPr>
                            </w:pPr>
                            <w:r w:rsidRPr="0050393E">
                              <w:rPr>
                                <w:i/>
                                <w:iCs/>
                                <w:sz w:val="11"/>
                                <w:szCs w:val="11"/>
                                <w:u w:val="single"/>
                                <w:lang w:val="en-NZ"/>
                              </w:rPr>
                              <w:t xml:space="preserve">See </w:t>
                            </w:r>
                            <w:r>
                              <w:rPr>
                                <w:i/>
                                <w:iCs/>
                                <w:sz w:val="11"/>
                                <w:szCs w:val="11"/>
                                <w:u w:val="single"/>
                                <w:lang w:val="en-NZ"/>
                              </w:rPr>
                              <w:t>section 6.2.2</w:t>
                            </w:r>
                          </w:p>
                        </w:txbxContent>
                      </wps:txbx>
                      <wps:bodyPr rot="0" vert="horz" wrap="none" lIns="36000" tIns="0" rIns="36000" bIns="0" anchor="ctr" anchorCtr="0">
                        <a:noAutofit/>
                      </wps:bodyPr>
                    </wps:wsp>
                  </a:graphicData>
                </a:graphic>
              </wp:anchor>
            </w:drawing>
          </mc:Choice>
          <mc:Fallback>
            <w:pict>
              <v:shape w14:anchorId="0944A670" id="_x0000_s1044" type="#_x0000_t202" alt="&quot;&quot;" href="#Section622MouldAllergy" title="Click here to go to section 6.2.2" style="position:absolute;margin-left:37.6pt;margin-top:633pt;width:48.95pt;height:8.45pt;z-index:251658261;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" o:button="t" fillcolor="#ffc000" stroked="f">
                <v:fill o:detectmouseclick="t"/>
                <v:textbox inset="1mm,0,1mm,0">
                  <w:txbxContent>
                    <w:p w14:paraId="63322F22" w14:textId="486A9309" w:rsidR="00126DC5" w:rsidRPr="0050393E" w:rsidRDefault="00126DC5" w:rsidP="004E326F">
                      <w:pPr>
                        <w:spacing w:before="0" w:after="0" w:line="240" w:lineRule="auto"/>
                        <w:rPr>
                          <w:i/>
                          <w:iCs/>
                          <w:sz w:val="11"/>
                          <w:szCs w:val="11"/>
                          <w:u w:val="single"/>
                        </w:rPr>
                      </w:pPr>
                      <w:r w:rsidRPr="0050393E">
                        <w:rPr>
                          <w:i/>
                          <w:iCs/>
                          <w:sz w:val="11"/>
                          <w:szCs w:val="11"/>
                          <w:u w:val="single"/>
                          <w:lang w:val="en-NZ"/>
                        </w:rPr>
                        <w:t xml:space="preserve">See </w:t>
                      </w:r>
                      <w:r>
                        <w:rPr>
                          <w:i/>
                          <w:iCs/>
                          <w:sz w:val="11"/>
                          <w:szCs w:val="11"/>
                          <w:u w:val="single"/>
                          <w:lang w:val="en-NZ"/>
                        </w:rPr>
                        <w:t>section 6.2.2</w:t>
                      </w:r>
                    </w:p>
                  </w:txbxContent>
                </v:textbox>
                <w10:wrap anchory="page"/>
              </v:shape>
            </w:pict>
          </mc:Fallback>
        </mc:AlternateContent>
      </w:r>
      <w:r w:rsidR="006C0FF0" w:rsidRPr="00D03260">
        <w:rPr>
          <w:noProof/>
        </w:rPr>
        <mc:AlternateContent>
          <mc:Choice Requires="wps">
            <w:drawing>
              <wp:anchor distT="0" distB="0" distL="114300" distR="114300" simplePos="0" relativeHeight="251658262" behindDoc="0" locked="0" layoutInCell="1" allowOverlap="1" wp14:anchorId="0D9B04A3" wp14:editId="14BA866A">
                <wp:simplePos x="0" y="0"/>
                <wp:positionH relativeFrom="column">
                  <wp:posOffset>3773170</wp:posOffset>
                </wp:positionH>
                <wp:positionV relativeFrom="page">
                  <wp:posOffset>8115300</wp:posOffset>
                </wp:positionV>
                <wp:extent cx="650875" cy="106680"/>
                <wp:effectExtent l="0" t="0" r="0" b="7620"/>
                <wp:wrapNone/>
                <wp:docPr id="34" name="Text Box 2">
                  <a:hlinkClick xmlns:a="http://schemas.openxmlformats.org/drawingml/2006/main" r:id="rId31" tooltip="Click here to go to section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06680"/>
                        </a:xfrm>
                        <a:prstGeom prst="rect">
                          <a:avLst/>
                        </a:prstGeom>
                        <a:solidFill>
                          <a:srgbClr val="FFC000"/>
                        </a:solidFill>
                        <a:ln w="9525">
                          <a:noFill/>
                          <a:miter lim="800000"/>
                          <a:headEnd/>
                          <a:tailEnd/>
                        </a:ln>
                      </wps:spPr>
                      <wps:txbx>
                        <w:txbxContent>
                          <w:p w14:paraId="5EACFFE0" w14:textId="7B7D89C4" w:rsidR="00B706D4" w:rsidRPr="00A45FA9" w:rsidRDefault="00B706D4" w:rsidP="004E326F">
                            <w:pPr>
                              <w:spacing w:before="0" w:after="0" w:line="240" w:lineRule="auto"/>
                              <w:rPr>
                                <w:i/>
                                <w:iCs/>
                                <w:sz w:val="13"/>
                                <w:szCs w:val="13"/>
                                <w:u w:val="single"/>
                              </w:rPr>
                            </w:pPr>
                            <w:r w:rsidRPr="00A45FA9">
                              <w:rPr>
                                <w:i/>
                                <w:iCs/>
                                <w:sz w:val="13"/>
                                <w:szCs w:val="13"/>
                                <w:u w:val="single"/>
                                <w:lang w:val="en-NZ"/>
                              </w:rPr>
                              <w:t>See section 6.4</w:t>
                            </w:r>
                          </w:p>
                        </w:txbxContent>
                      </wps:txbx>
                      <wps:bodyPr rot="0" vert="horz" wrap="none" lIns="36000" tIns="0" rIns="36000" bIns="0" anchor="ctr" anchorCtr="0">
                        <a:noAutofit/>
                      </wps:bodyPr>
                    </wps:wsp>
                  </a:graphicData>
                </a:graphic>
              </wp:anchor>
            </w:drawing>
          </mc:Choice>
          <mc:Fallback>
            <w:pict>
              <v:shape w14:anchorId="0D9B04A3" id="_x0000_s1045" type="#_x0000_t202" alt="&quot;&quot;" href="#Section64ManagementOfPatientsWithPersist" title="Click here to go to section 6.4" style="position:absolute;margin-left:297.1pt;margin-top:639pt;width:51.25pt;height:8.4pt;z-index:251658262;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" o:button="t" fillcolor="#ffc000" stroked="f">
                <v:fill o:detectmouseclick="t"/>
                <v:textbox inset="1mm,0,1mm,0">
                  <w:txbxContent>
                    <w:p w14:paraId="5EACFFE0" w14:textId="7B7D89C4" w:rsidR="00B706D4" w:rsidRPr="00A45FA9" w:rsidRDefault="00B706D4" w:rsidP="004E326F">
                      <w:pPr>
                        <w:spacing w:before="0" w:after="0" w:line="240" w:lineRule="auto"/>
                        <w:rPr>
                          <w:i/>
                          <w:iCs/>
                          <w:sz w:val="13"/>
                          <w:szCs w:val="13"/>
                          <w:u w:val="single"/>
                        </w:rPr>
                      </w:pPr>
                      <w:r w:rsidRPr="00A45FA9">
                        <w:rPr>
                          <w:i/>
                          <w:iCs/>
                          <w:sz w:val="13"/>
                          <w:szCs w:val="13"/>
                          <w:u w:val="single"/>
                          <w:lang w:val="en-NZ"/>
                        </w:rPr>
                        <w:t>See section 6.4</w:t>
                      </w:r>
                    </w:p>
                  </w:txbxContent>
                </v:textbox>
                <w10:wrap anchory="page"/>
              </v:shape>
            </w:pict>
          </mc:Fallback>
        </mc:AlternateContent>
      </w:r>
      <w:r w:rsidR="006C0FF0" w:rsidRPr="00D03260">
        <w:rPr>
          <w:noProof/>
        </w:rPr>
        <mc:AlternateContent>
          <mc:Choice Requires="wps">
            <w:drawing>
              <wp:anchor distT="0" distB="0" distL="114300" distR="114300" simplePos="0" relativeHeight="251658263" behindDoc="0" locked="0" layoutInCell="1" allowOverlap="1" wp14:anchorId="22AE1206" wp14:editId="52C35BE3">
                <wp:simplePos x="0" y="0"/>
                <wp:positionH relativeFrom="column">
                  <wp:posOffset>1085597</wp:posOffset>
                </wp:positionH>
                <wp:positionV relativeFrom="page">
                  <wp:posOffset>8833683</wp:posOffset>
                </wp:positionV>
                <wp:extent cx="621665" cy="107315"/>
                <wp:effectExtent l="0" t="0" r="6985" b="6985"/>
                <wp:wrapNone/>
                <wp:docPr id="35" name="Text Box 2">
                  <a:hlinkClick xmlns:a="http://schemas.openxmlformats.org/drawingml/2006/main" r:id="rId32" tooltip="Click here to go to section 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07315"/>
                        </a:xfrm>
                        <a:prstGeom prst="rect">
                          <a:avLst/>
                        </a:prstGeom>
                        <a:solidFill>
                          <a:srgbClr val="CC99FF"/>
                        </a:solidFill>
                        <a:ln w="9525">
                          <a:noFill/>
                          <a:miter lim="800000"/>
                          <a:headEnd/>
                          <a:tailEnd/>
                        </a:ln>
                      </wps:spPr>
                      <wps:txbx>
                        <w:txbxContent>
                          <w:p w14:paraId="555ADE2A" w14:textId="38788D31" w:rsidR="00B706D4" w:rsidRPr="0050393E" w:rsidRDefault="00B706D4" w:rsidP="004E326F">
                            <w:pPr>
                              <w:spacing w:before="0" w:after="0" w:line="240" w:lineRule="auto"/>
                              <w:rPr>
                                <w:i/>
                                <w:iCs/>
                                <w:sz w:val="11"/>
                                <w:szCs w:val="11"/>
                                <w:u w:val="single"/>
                              </w:rPr>
                            </w:pPr>
                            <w:r w:rsidRPr="0050393E">
                              <w:rPr>
                                <w:i/>
                                <w:iCs/>
                                <w:sz w:val="11"/>
                                <w:szCs w:val="11"/>
                                <w:u w:val="single"/>
                                <w:lang w:val="en-NZ"/>
                              </w:rPr>
                              <w:t xml:space="preserve">See </w:t>
                            </w:r>
                            <w:r>
                              <w:rPr>
                                <w:i/>
                                <w:iCs/>
                                <w:sz w:val="11"/>
                                <w:szCs w:val="11"/>
                                <w:u w:val="single"/>
                                <w:lang w:val="en-NZ"/>
                              </w:rPr>
                              <w:t>section 7.1.2</w:t>
                            </w:r>
                          </w:p>
                        </w:txbxContent>
                      </wps:txbx>
                      <wps:bodyPr rot="0" vert="horz" wrap="none" lIns="36000" tIns="0" rIns="36000" bIns="0" anchor="ctr" anchorCtr="0">
                        <a:noAutofit/>
                      </wps:bodyPr>
                    </wps:wsp>
                  </a:graphicData>
                </a:graphic>
              </wp:anchor>
            </w:drawing>
          </mc:Choice>
          <mc:Fallback>
            <w:pict>
              <v:shape w14:anchorId="22AE1206" id="_x0000_s1046" type="#_x0000_t202" alt="&quot;&quot;" href="#Section712MouldAllergy" title="Click here to go to section 7.1.2" style="position:absolute;margin-left:85.5pt;margin-top:695.55pt;width:48.95pt;height:8.45pt;z-index:251658263;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" o:button="t" fillcolor="#c9f" stroked="f">
                <v:fill o:detectmouseclick="t"/>
                <v:textbox inset="1mm,0,1mm,0">
                  <w:txbxContent>
                    <w:p w14:paraId="555ADE2A" w14:textId="38788D31" w:rsidR="00B706D4" w:rsidRPr="0050393E" w:rsidRDefault="00B706D4" w:rsidP="004E326F">
                      <w:pPr>
                        <w:spacing w:before="0" w:after="0" w:line="240" w:lineRule="auto"/>
                        <w:rPr>
                          <w:i/>
                          <w:iCs/>
                          <w:sz w:val="11"/>
                          <w:szCs w:val="11"/>
                          <w:u w:val="single"/>
                        </w:rPr>
                      </w:pPr>
                      <w:r w:rsidRPr="0050393E">
                        <w:rPr>
                          <w:i/>
                          <w:iCs/>
                          <w:sz w:val="11"/>
                          <w:szCs w:val="11"/>
                          <w:u w:val="single"/>
                          <w:lang w:val="en-NZ"/>
                        </w:rPr>
                        <w:t xml:space="preserve">See </w:t>
                      </w:r>
                      <w:r>
                        <w:rPr>
                          <w:i/>
                          <w:iCs/>
                          <w:sz w:val="11"/>
                          <w:szCs w:val="11"/>
                          <w:u w:val="single"/>
                          <w:lang w:val="en-NZ"/>
                        </w:rPr>
                        <w:t>section 7.1.2</w:t>
                      </w:r>
                    </w:p>
                  </w:txbxContent>
                </v:textbox>
                <w10:wrap anchory="page"/>
              </v:shape>
            </w:pict>
          </mc:Fallback>
        </mc:AlternateContent>
      </w:r>
      <w:r w:rsidR="006C0FF0" w:rsidRPr="00D03260">
        <w:rPr>
          <w:noProof/>
        </w:rPr>
        <mc:AlternateContent>
          <mc:Choice Requires="wps">
            <w:drawing>
              <wp:anchor distT="0" distB="0" distL="114300" distR="114300" simplePos="0" relativeHeight="251658264" behindDoc="0" locked="0" layoutInCell="1" allowOverlap="1" wp14:anchorId="22875DC5" wp14:editId="2BA8E2F7">
                <wp:simplePos x="0" y="0"/>
                <wp:positionH relativeFrom="column">
                  <wp:posOffset>2033098</wp:posOffset>
                </wp:positionH>
                <wp:positionV relativeFrom="page">
                  <wp:posOffset>8750932</wp:posOffset>
                </wp:positionV>
                <wp:extent cx="563245" cy="107315"/>
                <wp:effectExtent l="0" t="0" r="8255" b="6985"/>
                <wp:wrapNone/>
                <wp:docPr id="36" name="Text Box 2">
                  <a:hlinkClick xmlns:a="http://schemas.openxmlformats.org/drawingml/2006/main" r:id="rId33" tooltip="Click here to go to section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07315"/>
                        </a:xfrm>
                        <a:prstGeom prst="rect">
                          <a:avLst/>
                        </a:prstGeom>
                        <a:solidFill>
                          <a:srgbClr val="CC99FF"/>
                        </a:solidFill>
                        <a:ln w="9525">
                          <a:noFill/>
                          <a:miter lim="800000"/>
                          <a:headEnd/>
                          <a:tailEnd/>
                        </a:ln>
                      </wps:spPr>
                      <wps:txbx>
                        <w:txbxContent>
                          <w:p w14:paraId="1E29DDBF" w14:textId="20088032" w:rsidR="00B706D4" w:rsidRPr="0050393E" w:rsidRDefault="00B706D4" w:rsidP="004E326F">
                            <w:pPr>
                              <w:spacing w:before="0" w:after="0" w:line="240" w:lineRule="auto"/>
                              <w:rPr>
                                <w:i/>
                                <w:iCs/>
                                <w:sz w:val="11"/>
                                <w:szCs w:val="11"/>
                                <w:u w:val="single"/>
                              </w:rPr>
                            </w:pPr>
                            <w:r w:rsidRPr="0050393E">
                              <w:rPr>
                                <w:i/>
                                <w:iCs/>
                                <w:sz w:val="11"/>
                                <w:szCs w:val="11"/>
                                <w:u w:val="single"/>
                                <w:lang w:val="en-NZ"/>
                              </w:rPr>
                              <w:t xml:space="preserve">See </w:t>
                            </w:r>
                            <w:r>
                              <w:rPr>
                                <w:i/>
                                <w:iCs/>
                                <w:sz w:val="11"/>
                                <w:szCs w:val="11"/>
                                <w:u w:val="single"/>
                                <w:lang w:val="en-NZ"/>
                              </w:rPr>
                              <w:t>section 7.2</w:t>
                            </w:r>
                          </w:p>
                        </w:txbxContent>
                      </wps:txbx>
                      <wps:bodyPr rot="0" vert="horz" wrap="none" lIns="36000" tIns="0" rIns="36000" bIns="0" anchor="ctr" anchorCtr="0">
                        <a:noAutofit/>
                      </wps:bodyPr>
                    </wps:wsp>
                  </a:graphicData>
                </a:graphic>
              </wp:anchor>
            </w:drawing>
          </mc:Choice>
          <mc:Fallback>
            <w:pict>
              <v:shape w14:anchorId="22875DC5" id="_x0000_s1047" type="#_x0000_t202" alt="&quot;&quot;" href="#Section72HPMouldRelatedInfectionsAndAlle" title="Click here to go to section 7.2" style="position:absolute;margin-left:160.1pt;margin-top:689.05pt;width:44.35pt;height:8.45pt;z-index:251658264;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" o:button="t" fillcolor="#c9f" stroked="f">
                <v:fill o:detectmouseclick="t"/>
                <v:textbox inset="1mm,0,1mm,0">
                  <w:txbxContent>
                    <w:p w14:paraId="1E29DDBF" w14:textId="20088032" w:rsidR="00B706D4" w:rsidRPr="0050393E" w:rsidRDefault="00B706D4" w:rsidP="004E326F">
                      <w:pPr>
                        <w:spacing w:before="0" w:after="0" w:line="240" w:lineRule="auto"/>
                        <w:rPr>
                          <w:i/>
                          <w:iCs/>
                          <w:sz w:val="11"/>
                          <w:szCs w:val="11"/>
                          <w:u w:val="single"/>
                        </w:rPr>
                      </w:pPr>
                      <w:r w:rsidRPr="0050393E">
                        <w:rPr>
                          <w:i/>
                          <w:iCs/>
                          <w:sz w:val="11"/>
                          <w:szCs w:val="11"/>
                          <w:u w:val="single"/>
                          <w:lang w:val="en-NZ"/>
                        </w:rPr>
                        <w:t xml:space="preserve">See </w:t>
                      </w:r>
                      <w:r>
                        <w:rPr>
                          <w:i/>
                          <w:iCs/>
                          <w:sz w:val="11"/>
                          <w:szCs w:val="11"/>
                          <w:u w:val="single"/>
                          <w:lang w:val="en-NZ"/>
                        </w:rPr>
                        <w:t>section 7.2</w:t>
                      </w:r>
                    </w:p>
                  </w:txbxContent>
                </v:textbox>
                <w10:wrap anchory="page"/>
              </v:shape>
            </w:pict>
          </mc:Fallback>
        </mc:AlternateContent>
      </w:r>
      <w:r w:rsidR="006C0FF0" w:rsidRPr="00D03260">
        <w:rPr>
          <w:noProof/>
        </w:rPr>
        <mc:AlternateContent>
          <mc:Choice Requires="wps">
            <w:drawing>
              <wp:anchor distT="0" distB="0" distL="114300" distR="114300" simplePos="0" relativeHeight="251658265" behindDoc="0" locked="0" layoutInCell="1" allowOverlap="1" wp14:anchorId="43FE0FEB" wp14:editId="0917ECDC">
                <wp:simplePos x="0" y="0"/>
                <wp:positionH relativeFrom="column">
                  <wp:posOffset>3779146</wp:posOffset>
                </wp:positionH>
                <wp:positionV relativeFrom="page">
                  <wp:posOffset>8709557</wp:posOffset>
                </wp:positionV>
                <wp:extent cx="650875" cy="107315"/>
                <wp:effectExtent l="0" t="0" r="0" b="6985"/>
                <wp:wrapNone/>
                <wp:docPr id="37" name="Text Box 2">
                  <a:hlinkClick xmlns:a="http://schemas.openxmlformats.org/drawingml/2006/main" r:id="rId34" tooltip="Click here to go to section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07315"/>
                        </a:xfrm>
                        <a:prstGeom prst="rect">
                          <a:avLst/>
                        </a:prstGeom>
                        <a:solidFill>
                          <a:srgbClr val="CC99FF"/>
                        </a:solidFill>
                        <a:ln w="9525">
                          <a:noFill/>
                          <a:miter lim="800000"/>
                          <a:headEnd/>
                          <a:tailEnd/>
                        </a:ln>
                      </wps:spPr>
                      <wps:txbx>
                        <w:txbxContent>
                          <w:p w14:paraId="18B79060" w14:textId="74FD1CF7" w:rsidR="00B706D4" w:rsidRPr="003451AA" w:rsidRDefault="00B706D4" w:rsidP="004E326F">
                            <w:pPr>
                              <w:spacing w:before="0" w:after="0" w:line="240" w:lineRule="auto"/>
                              <w:rPr>
                                <w:i/>
                                <w:iCs/>
                                <w:sz w:val="12"/>
                                <w:szCs w:val="12"/>
                                <w:u w:val="single"/>
                              </w:rPr>
                            </w:pPr>
                            <w:r w:rsidRPr="003451AA">
                              <w:rPr>
                                <w:i/>
                                <w:iCs/>
                                <w:sz w:val="12"/>
                                <w:szCs w:val="12"/>
                                <w:u w:val="single"/>
                                <w:lang w:val="en-NZ"/>
                              </w:rPr>
                              <w:t>See section 7.3</w:t>
                            </w:r>
                          </w:p>
                        </w:txbxContent>
                      </wps:txbx>
                      <wps:bodyPr rot="0" vert="horz" wrap="none" lIns="36000" tIns="0" rIns="36000" bIns="0" anchor="ctr" anchorCtr="0">
                        <a:noAutofit/>
                      </wps:bodyPr>
                    </wps:wsp>
                  </a:graphicData>
                </a:graphic>
              </wp:anchor>
            </w:drawing>
          </mc:Choice>
          <mc:Fallback>
            <w:pict>
              <v:shape w14:anchorId="43FE0FEB" id="_x0000_s1048" type="#_x0000_t202" alt="&quot;&quot;" href="#Section73ManagementOfPatientsWithPersist" title="Click here to go to section 7.3" style="position:absolute;margin-left:297.55pt;margin-top:685.8pt;width:51.25pt;height:8.45pt;z-index:251658265;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" o:button="t" fillcolor="#c9f" stroked="f">
                <v:fill o:detectmouseclick="t"/>
                <v:textbox inset="1mm,0,1mm,0">
                  <w:txbxContent>
                    <w:p w14:paraId="18B79060" w14:textId="74FD1CF7" w:rsidR="00B706D4" w:rsidRPr="003451AA" w:rsidRDefault="00B706D4" w:rsidP="004E326F">
                      <w:pPr>
                        <w:spacing w:before="0" w:after="0" w:line="240" w:lineRule="auto"/>
                        <w:rPr>
                          <w:i/>
                          <w:iCs/>
                          <w:sz w:val="12"/>
                          <w:szCs w:val="12"/>
                          <w:u w:val="single"/>
                        </w:rPr>
                      </w:pPr>
                      <w:r w:rsidRPr="003451AA">
                        <w:rPr>
                          <w:i/>
                          <w:iCs/>
                          <w:sz w:val="12"/>
                          <w:szCs w:val="12"/>
                          <w:u w:val="single"/>
                          <w:lang w:val="en-NZ"/>
                        </w:rPr>
                        <w:t>See section 7.3</w:t>
                      </w:r>
                    </w:p>
                  </w:txbxContent>
                </v:textbox>
                <w10:wrap anchory="page"/>
              </v:shape>
            </w:pict>
          </mc:Fallback>
        </mc:AlternateContent>
      </w:r>
      <w:r w:rsidR="006C0FF0" w:rsidRPr="00D03260">
        <w:rPr>
          <w:noProof/>
        </w:rPr>
        <mc:AlternateContent>
          <mc:Choice Requires="wps">
            <w:drawing>
              <wp:anchor distT="0" distB="0" distL="114300" distR="114300" simplePos="0" relativeHeight="251658270" behindDoc="0" locked="0" layoutInCell="1" allowOverlap="1" wp14:anchorId="2E35D152" wp14:editId="75E66034">
                <wp:simplePos x="0" y="0"/>
                <wp:positionH relativeFrom="column">
                  <wp:posOffset>477376</wp:posOffset>
                </wp:positionH>
                <wp:positionV relativeFrom="page">
                  <wp:posOffset>8626805</wp:posOffset>
                </wp:positionV>
                <wp:extent cx="621665" cy="107315"/>
                <wp:effectExtent l="0" t="0" r="6985" b="6985"/>
                <wp:wrapNone/>
                <wp:docPr id="41" name="Text Box 2">
                  <a:hlinkClick xmlns:a="http://schemas.openxmlformats.org/drawingml/2006/main" r:id="rId35" tooltip="Click here to go to section 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07315"/>
                        </a:xfrm>
                        <a:prstGeom prst="rect">
                          <a:avLst/>
                        </a:prstGeom>
                        <a:solidFill>
                          <a:srgbClr val="CC99FF"/>
                        </a:solidFill>
                        <a:ln w="9525">
                          <a:noFill/>
                          <a:miter lim="800000"/>
                          <a:headEnd/>
                          <a:tailEnd/>
                        </a:ln>
                      </wps:spPr>
                      <wps:txbx>
                        <w:txbxContent>
                          <w:p w14:paraId="6B773014" w14:textId="78406B15" w:rsidR="002A519B" w:rsidRPr="0050393E" w:rsidRDefault="002A519B" w:rsidP="004E326F">
                            <w:pPr>
                              <w:spacing w:before="0" w:after="0" w:line="240" w:lineRule="auto"/>
                              <w:rPr>
                                <w:i/>
                                <w:iCs/>
                                <w:sz w:val="11"/>
                                <w:szCs w:val="11"/>
                                <w:u w:val="single"/>
                              </w:rPr>
                            </w:pPr>
                            <w:r w:rsidRPr="0050393E">
                              <w:rPr>
                                <w:i/>
                                <w:iCs/>
                                <w:sz w:val="11"/>
                                <w:szCs w:val="11"/>
                                <w:u w:val="single"/>
                                <w:lang w:val="en-NZ"/>
                              </w:rPr>
                              <w:t xml:space="preserve">See </w:t>
                            </w:r>
                            <w:r>
                              <w:rPr>
                                <w:i/>
                                <w:iCs/>
                                <w:sz w:val="11"/>
                                <w:szCs w:val="11"/>
                                <w:u w:val="single"/>
                                <w:lang w:val="en-NZ"/>
                              </w:rPr>
                              <w:t>section 7.1.1</w:t>
                            </w:r>
                          </w:p>
                        </w:txbxContent>
                      </wps:txbx>
                      <wps:bodyPr rot="0" vert="horz" wrap="none" lIns="36000" tIns="0" rIns="36000" bIns="0" anchor="ctr" anchorCtr="0">
                        <a:noAutofit/>
                      </wps:bodyPr>
                    </wps:wsp>
                  </a:graphicData>
                </a:graphic>
              </wp:anchor>
            </w:drawing>
          </mc:Choice>
          <mc:Fallback>
            <w:pict>
              <v:shape w14:anchorId="2E35D152" id="_x0000_s1049" type="#_x0000_t202" alt="&quot;&quot;" href="#Section711Asthma" title="Click here to go to section 7.1.1" style="position:absolute;margin-left:37.6pt;margin-top:679.3pt;width:48.95pt;height:8.45pt;z-index:251658270;visibility:visible;mso-wrap-style:non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" o:button="t" fillcolor="#c9f" stroked="f">
                <v:fill o:detectmouseclick="t"/>
                <v:textbox inset="1mm,0,1mm,0">
                  <w:txbxContent>
                    <w:p w14:paraId="6B773014" w14:textId="78406B15" w:rsidR="002A519B" w:rsidRPr="0050393E" w:rsidRDefault="002A519B" w:rsidP="004E326F">
                      <w:pPr>
                        <w:spacing w:before="0" w:after="0" w:line="240" w:lineRule="auto"/>
                        <w:rPr>
                          <w:i/>
                          <w:iCs/>
                          <w:sz w:val="11"/>
                          <w:szCs w:val="11"/>
                          <w:u w:val="single"/>
                        </w:rPr>
                      </w:pPr>
                      <w:r w:rsidRPr="0050393E">
                        <w:rPr>
                          <w:i/>
                          <w:iCs/>
                          <w:sz w:val="11"/>
                          <w:szCs w:val="11"/>
                          <w:u w:val="single"/>
                          <w:lang w:val="en-NZ"/>
                        </w:rPr>
                        <w:t xml:space="preserve">See </w:t>
                      </w:r>
                      <w:r>
                        <w:rPr>
                          <w:i/>
                          <w:iCs/>
                          <w:sz w:val="11"/>
                          <w:szCs w:val="11"/>
                          <w:u w:val="single"/>
                          <w:lang w:val="en-NZ"/>
                        </w:rPr>
                        <w:t>section 7.1.1</w:t>
                      </w:r>
                    </w:p>
                  </w:txbxContent>
                </v:textbox>
                <w10:wrap anchory="page"/>
              </v:shape>
            </w:pict>
          </mc:Fallback>
        </mc:AlternateContent>
      </w:r>
      <w:r w:rsidR="00E32D45" w:rsidRPr="00D03260">
        <w:rPr>
          <w:noProof/>
        </w:rPr>
        <w:drawing>
          <wp:inline distT="0" distB="0" distL="0" distR="0" wp14:anchorId="249C0602" wp14:editId="4DC71AE2">
            <wp:extent cx="5664679" cy="7155978"/>
            <wp:effectExtent l="0" t="0" r="0" b="6985"/>
            <wp:docPr id="225" name="Picture 225" descr="Biotoxins (indoor damp and mould) Clinical algorithm in flowchart format with links to relevant sections of the Biotoxins Clinical Pathway. Phases of algorithm include: &#10;1. Initial assessment and support&#10;2. Differential diagnosis&#10;3. Diagnostic testing&#10;4. Diagnosis +/- referral &#10;5. Initial Management&#10;6. Ongoing management&#10;Exit Clinical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Biotoxins (indoor damp and mould) Clinical algorithm in flowchart format with links to relevant sections of the Biotoxins Clinical Pathway. Phases of algorithm include: &#10;1. Initial assessment and support&#10;2. Differential diagnosis&#10;3. Diagnostic testing&#10;4. Diagnosis +/- referral &#10;5. Initial Management&#10;6. Ongoing management&#10;Exit Clinical Pathway"/>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664679" cy="7155978"/>
                    </a:xfrm>
                    <a:prstGeom prst="rect">
                      <a:avLst/>
                    </a:prstGeom>
                    <a:noFill/>
                  </pic:spPr>
                </pic:pic>
              </a:graphicData>
            </a:graphic>
          </wp:inline>
        </w:drawing>
      </w:r>
    </w:p>
    <w:p w14:paraId="6C3E086A" w14:textId="3DDBB024" w:rsidR="0091313B" w:rsidRPr="00D03260" w:rsidRDefault="00375DF6" w:rsidP="008837B8">
      <w:pPr>
        <w:pStyle w:val="Caption"/>
      </w:pPr>
      <w:bookmarkStart w:id="2" w:name="Table1"/>
      <w:bookmarkStart w:id="3" w:name="_Toc125034708"/>
      <w:r w:rsidRPr="00D03260">
        <w:lastRenderedPageBreak/>
        <w:t xml:space="preserve">Table </w:t>
      </w:r>
      <w:fldSimple w:instr=" SEQ Table \* ARABIC ">
        <w:r w:rsidR="0015383F" w:rsidRPr="00D03260">
          <w:rPr>
            <w:noProof/>
          </w:rPr>
          <w:t>1</w:t>
        </w:r>
      </w:fldSimple>
      <w:bookmarkEnd w:id="2"/>
      <w:r w:rsidRPr="00D03260">
        <w:t>:</w:t>
      </w:r>
      <w:r w:rsidR="00B668D1" w:rsidRPr="00D03260">
        <w:t xml:space="preserve"> </w:t>
      </w:r>
      <w:r w:rsidR="00154A09" w:rsidRPr="00D03260">
        <w:t xml:space="preserve">Likely, less likely, and unlikely differential diagnoses </w:t>
      </w:r>
      <w:r w:rsidR="00154A09" w:rsidRPr="00D03260">
        <w:rPr>
          <w:rFonts w:eastAsia="Cambria"/>
        </w:rPr>
        <w:t>or symptoms</w:t>
      </w:r>
      <w:r w:rsidR="00154A09" w:rsidRPr="00D03260">
        <w:t xml:space="preserve"> in patients with a history of exposure to indoor damp and mould</w:t>
      </w:r>
      <w:bookmarkEnd w:id="3"/>
    </w:p>
    <w:tbl>
      <w:tblPr>
        <w:tblStyle w:val="TableGrid"/>
        <w:tblW w:w="0" w:type="auto"/>
        <w:tblLook w:val="04A0" w:firstRow="1" w:lastRow="0" w:firstColumn="1" w:lastColumn="0" w:noHBand="0" w:noVBand="1"/>
      </w:tblPr>
      <w:tblGrid>
        <w:gridCol w:w="2830"/>
        <w:gridCol w:w="2835"/>
        <w:gridCol w:w="3395"/>
      </w:tblGrid>
      <w:tr w:rsidR="00E55A7A" w:rsidRPr="00D03260" w14:paraId="7403F24B" w14:textId="77777777" w:rsidTr="00213298">
        <w:tc>
          <w:tcPr>
            <w:tcW w:w="2830" w:type="dxa"/>
          </w:tcPr>
          <w:p w14:paraId="272A3744" w14:textId="70D4E45C" w:rsidR="00220D38" w:rsidRPr="00D03260" w:rsidRDefault="00882DC9" w:rsidP="00A43D7F">
            <w:pPr>
              <w:pStyle w:val="Tablehead"/>
              <w:rPr>
                <w:sz w:val="22"/>
                <w:szCs w:val="22"/>
              </w:rPr>
            </w:pPr>
            <w:r w:rsidRPr="00D03260">
              <w:rPr>
                <w:sz w:val="22"/>
                <w:szCs w:val="22"/>
              </w:rPr>
              <w:t>Likely differential diagnoses</w:t>
            </w:r>
            <w:r w:rsidR="00B35183" w:rsidRPr="00D03260">
              <w:rPr>
                <w:sz w:val="22"/>
                <w:szCs w:val="22"/>
              </w:rPr>
              <w:t xml:space="preserve"> or symptoms</w:t>
            </w:r>
          </w:p>
        </w:tc>
        <w:tc>
          <w:tcPr>
            <w:tcW w:w="2835" w:type="dxa"/>
          </w:tcPr>
          <w:p w14:paraId="1996F0CA" w14:textId="3C1D9B41" w:rsidR="00BB178F" w:rsidRPr="00D03260" w:rsidRDefault="00882DC9" w:rsidP="00A43D7F">
            <w:pPr>
              <w:pStyle w:val="Tablehead"/>
              <w:rPr>
                <w:b w:val="0"/>
                <w:bCs/>
                <w:sz w:val="22"/>
                <w:szCs w:val="22"/>
              </w:rPr>
            </w:pPr>
            <w:r w:rsidRPr="00D03260">
              <w:rPr>
                <w:sz w:val="22"/>
                <w:szCs w:val="22"/>
              </w:rPr>
              <w:t>Less lik</w:t>
            </w:r>
            <w:r w:rsidR="001C0DD7" w:rsidRPr="00D03260">
              <w:rPr>
                <w:sz w:val="22"/>
                <w:szCs w:val="22"/>
              </w:rPr>
              <w:t>e</w:t>
            </w:r>
            <w:r w:rsidRPr="00D03260">
              <w:rPr>
                <w:sz w:val="22"/>
                <w:szCs w:val="22"/>
              </w:rPr>
              <w:t xml:space="preserve">ly differential diagnoses </w:t>
            </w:r>
            <w:r w:rsidR="00B35183" w:rsidRPr="00D03260">
              <w:rPr>
                <w:sz w:val="22"/>
                <w:szCs w:val="22"/>
              </w:rPr>
              <w:t xml:space="preserve">or symptoms </w:t>
            </w:r>
          </w:p>
        </w:tc>
        <w:tc>
          <w:tcPr>
            <w:tcW w:w="3395" w:type="dxa"/>
          </w:tcPr>
          <w:p w14:paraId="4EA03AFE" w14:textId="50A6E4E8" w:rsidR="00BB178F" w:rsidRPr="00D03260" w:rsidRDefault="00882DC9" w:rsidP="00A43D7F">
            <w:pPr>
              <w:pStyle w:val="Tablehead"/>
              <w:rPr>
                <w:sz w:val="22"/>
                <w:szCs w:val="22"/>
              </w:rPr>
            </w:pPr>
            <w:r w:rsidRPr="00D03260">
              <w:rPr>
                <w:sz w:val="22"/>
                <w:szCs w:val="22"/>
              </w:rPr>
              <w:t>Unlikely differential diagnoses</w:t>
            </w:r>
            <w:r w:rsidR="00B35183" w:rsidRPr="00D03260">
              <w:rPr>
                <w:sz w:val="22"/>
                <w:szCs w:val="22"/>
              </w:rPr>
              <w:t xml:space="preserve"> or symptoms </w:t>
            </w:r>
          </w:p>
        </w:tc>
      </w:tr>
      <w:tr w:rsidR="00E55A7A" w:rsidRPr="00D03260" w14:paraId="461D01ED" w14:textId="77777777" w:rsidTr="00941D37">
        <w:trPr>
          <w:trHeight w:val="11185"/>
        </w:trPr>
        <w:tc>
          <w:tcPr>
            <w:tcW w:w="2830" w:type="dxa"/>
          </w:tcPr>
          <w:p w14:paraId="49FD833A" w14:textId="7AB7C106" w:rsidR="00856961" w:rsidRPr="00D03260" w:rsidRDefault="00856961" w:rsidP="0032596A">
            <w:pPr>
              <w:pStyle w:val="Tabletextleft"/>
              <w:rPr>
                <w:sz w:val="22"/>
                <w:szCs w:val="22"/>
              </w:rPr>
            </w:pPr>
            <w:r w:rsidRPr="00D03260">
              <w:rPr>
                <w:sz w:val="22"/>
                <w:szCs w:val="22"/>
              </w:rPr>
              <w:t xml:space="preserve">Health effects for which there is </w:t>
            </w:r>
            <w:r w:rsidRPr="00D03260">
              <w:rPr>
                <w:b/>
                <w:bCs/>
                <w:sz w:val="22"/>
                <w:szCs w:val="22"/>
              </w:rPr>
              <w:t>sufficient evidence of association</w:t>
            </w:r>
            <w:r w:rsidRPr="00D03260">
              <w:rPr>
                <w:sz w:val="22"/>
                <w:szCs w:val="22"/>
              </w:rPr>
              <w:t xml:space="preserve"> </w:t>
            </w:r>
            <w:r w:rsidR="001C0DD7" w:rsidRPr="00D03260">
              <w:rPr>
                <w:sz w:val="22"/>
                <w:szCs w:val="22"/>
              </w:rPr>
              <w:t>with exposure to indoor damp and mould:</w:t>
            </w:r>
          </w:p>
          <w:p w14:paraId="2A2AF557" w14:textId="7918DDAF" w:rsidR="007B2999" w:rsidRPr="00D03260" w:rsidRDefault="007B2999" w:rsidP="00D219C5">
            <w:pPr>
              <w:pStyle w:val="Tablelistbullet"/>
              <w:ind w:left="284" w:hanging="284"/>
              <w:rPr>
                <w:sz w:val="22"/>
                <w:szCs w:val="22"/>
                <w:lang w:val="en-AU"/>
              </w:rPr>
            </w:pPr>
            <w:r w:rsidRPr="00D03260">
              <w:rPr>
                <w:sz w:val="22"/>
                <w:szCs w:val="22"/>
                <w:lang w:val="en-AU"/>
              </w:rPr>
              <w:t>asthma (development, current, exacerbation)</w:t>
            </w:r>
          </w:p>
          <w:p w14:paraId="4D12CA98" w14:textId="77777777" w:rsidR="007B2999" w:rsidRPr="00D03260" w:rsidRDefault="007B2999" w:rsidP="00D219C5">
            <w:pPr>
              <w:pStyle w:val="Tablelistbullet"/>
              <w:ind w:left="284" w:hanging="284"/>
              <w:rPr>
                <w:sz w:val="22"/>
                <w:szCs w:val="22"/>
                <w:lang w:val="en-AU"/>
              </w:rPr>
            </w:pPr>
            <w:r w:rsidRPr="00D03260">
              <w:rPr>
                <w:sz w:val="22"/>
                <w:szCs w:val="22"/>
                <w:lang w:val="en-AU"/>
              </w:rPr>
              <w:t>allergic rhinitis</w:t>
            </w:r>
          </w:p>
          <w:p w14:paraId="64F307B4" w14:textId="77777777" w:rsidR="007B2999" w:rsidRPr="00D03260" w:rsidRDefault="007B2999" w:rsidP="00D219C5">
            <w:pPr>
              <w:pStyle w:val="Tablelistbullet"/>
              <w:ind w:left="284" w:hanging="284"/>
              <w:rPr>
                <w:sz w:val="22"/>
                <w:szCs w:val="22"/>
                <w:lang w:val="en-AU"/>
              </w:rPr>
            </w:pPr>
            <w:r w:rsidRPr="00D03260">
              <w:rPr>
                <w:sz w:val="22"/>
                <w:szCs w:val="22"/>
                <w:lang w:val="en-AU"/>
              </w:rPr>
              <w:t>dyspnoea</w:t>
            </w:r>
          </w:p>
          <w:p w14:paraId="5A7B601A" w14:textId="77777777" w:rsidR="007B2999" w:rsidRPr="00D03260" w:rsidRDefault="007B2999" w:rsidP="00D219C5">
            <w:pPr>
              <w:pStyle w:val="Tablelistbullet"/>
              <w:ind w:left="284" w:hanging="284"/>
              <w:rPr>
                <w:sz w:val="22"/>
                <w:szCs w:val="22"/>
                <w:lang w:val="en-AU"/>
              </w:rPr>
            </w:pPr>
            <w:r w:rsidRPr="00D03260">
              <w:rPr>
                <w:sz w:val="22"/>
                <w:szCs w:val="22"/>
                <w:lang w:val="en-AU"/>
              </w:rPr>
              <w:t>wheeze</w:t>
            </w:r>
          </w:p>
          <w:p w14:paraId="4A22ABDF" w14:textId="77777777" w:rsidR="007B2999" w:rsidRPr="00D03260" w:rsidRDefault="007B2999" w:rsidP="00D219C5">
            <w:pPr>
              <w:pStyle w:val="Tablelistbullet"/>
              <w:ind w:left="284" w:hanging="284"/>
              <w:rPr>
                <w:sz w:val="22"/>
                <w:szCs w:val="22"/>
                <w:lang w:val="en-AU"/>
              </w:rPr>
            </w:pPr>
            <w:r w:rsidRPr="00D03260">
              <w:rPr>
                <w:sz w:val="22"/>
                <w:szCs w:val="22"/>
                <w:lang w:val="en-AU"/>
              </w:rPr>
              <w:t>cough</w:t>
            </w:r>
          </w:p>
          <w:p w14:paraId="2F286F77" w14:textId="77777777" w:rsidR="007B2999" w:rsidRPr="00D03260" w:rsidRDefault="007B2999" w:rsidP="00D219C5">
            <w:pPr>
              <w:pStyle w:val="Tablelistbullet"/>
              <w:ind w:left="284" w:hanging="284"/>
              <w:rPr>
                <w:sz w:val="22"/>
                <w:szCs w:val="22"/>
                <w:lang w:val="en-AU"/>
              </w:rPr>
            </w:pPr>
            <w:r w:rsidRPr="00D03260">
              <w:rPr>
                <w:sz w:val="22"/>
                <w:szCs w:val="22"/>
                <w:lang w:val="en-AU"/>
              </w:rPr>
              <w:t>respiratory infection</w:t>
            </w:r>
          </w:p>
          <w:p w14:paraId="3D48FFD2" w14:textId="77777777" w:rsidR="007B2999" w:rsidRPr="00D03260" w:rsidRDefault="007B2999" w:rsidP="00D219C5">
            <w:pPr>
              <w:pStyle w:val="Tablelistbullet"/>
              <w:ind w:left="284" w:hanging="284"/>
              <w:rPr>
                <w:sz w:val="22"/>
                <w:szCs w:val="22"/>
                <w:lang w:val="en-AU"/>
              </w:rPr>
            </w:pPr>
            <w:r w:rsidRPr="00D03260">
              <w:rPr>
                <w:sz w:val="22"/>
                <w:szCs w:val="22"/>
                <w:lang w:val="en-AU"/>
              </w:rPr>
              <w:t>bronchitis</w:t>
            </w:r>
          </w:p>
          <w:p w14:paraId="348B0217" w14:textId="77777777" w:rsidR="007B2999" w:rsidRPr="00D03260" w:rsidRDefault="007B2999" w:rsidP="00D219C5">
            <w:pPr>
              <w:pStyle w:val="Tablelistbullet"/>
              <w:ind w:left="284" w:hanging="284"/>
              <w:rPr>
                <w:sz w:val="22"/>
                <w:szCs w:val="22"/>
                <w:lang w:val="en-AU"/>
              </w:rPr>
            </w:pPr>
            <w:r w:rsidRPr="00D03260">
              <w:rPr>
                <w:sz w:val="22"/>
                <w:szCs w:val="22"/>
                <w:lang w:val="en-AU"/>
              </w:rPr>
              <w:t>eczema</w:t>
            </w:r>
          </w:p>
          <w:p w14:paraId="53DC0E49" w14:textId="77777777" w:rsidR="007B2999" w:rsidRPr="00D03260" w:rsidRDefault="007B2999" w:rsidP="00D219C5">
            <w:pPr>
              <w:pStyle w:val="Tablelistbullet"/>
              <w:ind w:left="284" w:hanging="284"/>
              <w:rPr>
                <w:sz w:val="22"/>
                <w:szCs w:val="22"/>
                <w:lang w:val="en-AU"/>
              </w:rPr>
            </w:pPr>
            <w:r w:rsidRPr="00D03260">
              <w:rPr>
                <w:sz w:val="22"/>
                <w:szCs w:val="22"/>
                <w:lang w:val="en-AU"/>
              </w:rPr>
              <w:t>upper respiratory tract symptoms</w:t>
            </w:r>
          </w:p>
          <w:p w14:paraId="3961D927" w14:textId="77777777" w:rsidR="00E55A7A" w:rsidRPr="00D03260" w:rsidRDefault="007B2999" w:rsidP="00D219C5">
            <w:pPr>
              <w:pStyle w:val="Tablelistbullet"/>
              <w:ind w:left="284" w:hanging="284"/>
              <w:rPr>
                <w:sz w:val="22"/>
                <w:szCs w:val="22"/>
                <w:lang w:val="en-AU"/>
              </w:rPr>
            </w:pPr>
            <w:r w:rsidRPr="00D03260">
              <w:rPr>
                <w:sz w:val="22"/>
                <w:szCs w:val="22"/>
                <w:lang w:val="en-AU"/>
              </w:rPr>
              <w:t>hypersensitivity pneumonitis (HP), mycoses and allergic effects in susceptible people.</w:t>
            </w:r>
          </w:p>
          <w:p w14:paraId="0CBB8662" w14:textId="77777777" w:rsidR="009A1E5D" w:rsidRPr="00D03260" w:rsidRDefault="009A1E5D" w:rsidP="002A0819">
            <w:pPr>
              <w:pStyle w:val="Tablelistbullet"/>
              <w:numPr>
                <w:ilvl w:val="0"/>
                <w:numId w:val="0"/>
              </w:numPr>
              <w:ind w:left="284"/>
              <w:rPr>
                <w:sz w:val="22"/>
                <w:szCs w:val="22"/>
                <w:lang w:val="en-AU"/>
              </w:rPr>
            </w:pPr>
          </w:p>
          <w:p w14:paraId="56732726" w14:textId="76F5423E" w:rsidR="00CA3FE7" w:rsidRPr="00D03260" w:rsidRDefault="00CA3FE7" w:rsidP="00C513F3">
            <w:pPr>
              <w:pStyle w:val="Tablelistbullet"/>
              <w:numPr>
                <w:ilvl w:val="0"/>
                <w:numId w:val="0"/>
              </w:numPr>
              <w:ind w:left="284"/>
              <w:rPr>
                <w:sz w:val="22"/>
                <w:szCs w:val="22"/>
                <w:lang w:val="en-AU"/>
              </w:rPr>
            </w:pPr>
            <w:r w:rsidRPr="00D03260">
              <w:rPr>
                <w:sz w:val="22"/>
                <w:szCs w:val="22"/>
                <w:lang w:val="en-AU"/>
              </w:rPr>
              <w:t xml:space="preserve">See </w:t>
            </w:r>
            <w:hyperlink w:anchor="Sect131DifferentialDiagnosesOrSymptomsFo" w:history="1">
              <w:r w:rsidR="004E187D" w:rsidRPr="00D03260">
                <w:rPr>
                  <w:rStyle w:val="Hyperlink"/>
                  <w:sz w:val="22"/>
                  <w:szCs w:val="22"/>
                  <w:lang w:val="en-AU"/>
                </w:rPr>
                <w:t>s</w:t>
              </w:r>
              <w:r w:rsidRPr="00D03260">
                <w:rPr>
                  <w:rStyle w:val="Hyperlink"/>
                  <w:sz w:val="22"/>
                  <w:szCs w:val="22"/>
                  <w:lang w:val="en-AU"/>
                </w:rPr>
                <w:t>ection 1.3.1</w:t>
              </w:r>
            </w:hyperlink>
            <w:r w:rsidR="00926B0E" w:rsidRPr="00D03260">
              <w:rPr>
                <w:sz w:val="22"/>
                <w:szCs w:val="22"/>
                <w:lang w:val="en-AU"/>
              </w:rPr>
              <w:t xml:space="preserve">, </w:t>
            </w:r>
            <w:hyperlink w:anchor="Sect312HPMouldRelatedInfectionsAndAllerg" w:history="1">
              <w:r w:rsidR="00926B0E" w:rsidRPr="00D03260">
                <w:rPr>
                  <w:rStyle w:val="Hyperlink"/>
                  <w:sz w:val="22"/>
                  <w:szCs w:val="22"/>
                  <w:lang w:val="en-AU"/>
                </w:rPr>
                <w:t>section 3.1.2</w:t>
              </w:r>
            </w:hyperlink>
            <w:r w:rsidR="00926B0E" w:rsidRPr="00D03260">
              <w:rPr>
                <w:sz w:val="22"/>
                <w:szCs w:val="22"/>
                <w:lang w:val="en-AU"/>
              </w:rPr>
              <w:t xml:space="preserve"> </w:t>
            </w:r>
            <w:r w:rsidRPr="00D03260">
              <w:rPr>
                <w:sz w:val="22"/>
                <w:szCs w:val="22"/>
                <w:lang w:val="en-AU"/>
              </w:rPr>
              <w:t xml:space="preserve">and </w:t>
            </w:r>
            <w:hyperlink w:anchor="AppendixALikelyDifferentialDiagnosesOrSy" w:history="1">
              <w:r w:rsidRPr="00D03260">
                <w:rPr>
                  <w:rStyle w:val="Hyperlink"/>
                  <w:sz w:val="22"/>
                  <w:szCs w:val="22"/>
                  <w:lang w:val="en-AU"/>
                </w:rPr>
                <w:t xml:space="preserve">Appendix </w:t>
              </w:r>
              <w:r w:rsidR="001D1110" w:rsidRPr="00D03260">
                <w:rPr>
                  <w:rStyle w:val="Hyperlink"/>
                  <w:sz w:val="22"/>
                  <w:szCs w:val="22"/>
                  <w:lang w:val="en-AU"/>
                </w:rPr>
                <w:t>A</w:t>
              </w:r>
            </w:hyperlink>
            <w:r w:rsidRPr="00D03260">
              <w:rPr>
                <w:sz w:val="22"/>
                <w:szCs w:val="22"/>
                <w:lang w:val="en-AU"/>
              </w:rPr>
              <w:t xml:space="preserve"> for </w:t>
            </w:r>
            <w:r w:rsidR="00F73939" w:rsidRPr="00D03260">
              <w:rPr>
                <w:sz w:val="22"/>
                <w:szCs w:val="22"/>
                <w:lang w:val="en-AU"/>
              </w:rPr>
              <w:t>further details</w:t>
            </w:r>
            <w:r w:rsidRPr="00D03260">
              <w:rPr>
                <w:sz w:val="22"/>
                <w:szCs w:val="22"/>
                <w:lang w:val="en-AU"/>
              </w:rPr>
              <w:t xml:space="preserve">. </w:t>
            </w:r>
          </w:p>
        </w:tc>
        <w:tc>
          <w:tcPr>
            <w:tcW w:w="2835" w:type="dxa"/>
          </w:tcPr>
          <w:p w14:paraId="2A6EA74E" w14:textId="5D100C5F" w:rsidR="00E55A7A" w:rsidRPr="00D03260" w:rsidRDefault="00E626A7" w:rsidP="00375DF6">
            <w:pPr>
              <w:rPr>
                <w:szCs w:val="22"/>
              </w:rPr>
            </w:pPr>
            <w:r w:rsidRPr="00D03260">
              <w:rPr>
                <w:szCs w:val="22"/>
              </w:rPr>
              <w:t xml:space="preserve">Health effects for which there is </w:t>
            </w:r>
            <w:r w:rsidRPr="00D03260">
              <w:rPr>
                <w:b/>
                <w:bCs/>
                <w:szCs w:val="22"/>
              </w:rPr>
              <w:t>limited or suggested evidenced of association</w:t>
            </w:r>
            <w:r w:rsidRPr="00D03260">
              <w:rPr>
                <w:szCs w:val="22"/>
              </w:rPr>
              <w:t xml:space="preserve"> with exposure to indoor damp and mould:</w:t>
            </w:r>
          </w:p>
          <w:p w14:paraId="2FAEF231" w14:textId="376DC58F" w:rsidR="00B75B51" w:rsidRPr="00D03260" w:rsidRDefault="00B75B51" w:rsidP="00D219C5">
            <w:pPr>
              <w:pStyle w:val="Tablelistbullet"/>
              <w:ind w:left="284" w:hanging="284"/>
              <w:rPr>
                <w:sz w:val="22"/>
                <w:szCs w:val="22"/>
                <w:lang w:val="en-AU"/>
              </w:rPr>
            </w:pPr>
            <w:r w:rsidRPr="00D03260">
              <w:rPr>
                <w:sz w:val="22"/>
                <w:szCs w:val="22"/>
                <w:lang w:val="en-AU"/>
              </w:rPr>
              <w:t>common cold</w:t>
            </w:r>
          </w:p>
          <w:p w14:paraId="0B7C169D" w14:textId="6239E4BA" w:rsidR="00D36682" w:rsidRPr="00D03260" w:rsidRDefault="00D36682" w:rsidP="00D219C5">
            <w:pPr>
              <w:pStyle w:val="Tablelistbullet"/>
              <w:ind w:left="284" w:hanging="284"/>
              <w:rPr>
                <w:sz w:val="22"/>
                <w:szCs w:val="22"/>
                <w:lang w:val="en-AU"/>
              </w:rPr>
            </w:pPr>
            <w:r w:rsidRPr="00D03260">
              <w:rPr>
                <w:sz w:val="22"/>
                <w:szCs w:val="22"/>
                <w:lang w:val="en-AU"/>
              </w:rPr>
              <w:t>allergy/atopy</w:t>
            </w:r>
          </w:p>
          <w:p w14:paraId="3B4B42B7" w14:textId="77777777" w:rsidR="00C75B15" w:rsidRPr="00D03260" w:rsidRDefault="009E659A" w:rsidP="00D219C5">
            <w:pPr>
              <w:pStyle w:val="Tablelistbullet"/>
              <w:ind w:left="284" w:hanging="284"/>
              <w:rPr>
                <w:sz w:val="22"/>
                <w:szCs w:val="22"/>
                <w:lang w:val="en-AU"/>
              </w:rPr>
            </w:pPr>
            <w:r w:rsidRPr="00D03260">
              <w:rPr>
                <w:sz w:val="22"/>
                <w:szCs w:val="22"/>
                <w:lang w:val="en-AU"/>
              </w:rPr>
              <w:t>mucous membrane irritation</w:t>
            </w:r>
            <w:r w:rsidR="005E43E8" w:rsidRPr="00D03260">
              <w:rPr>
                <w:sz w:val="22"/>
                <w:szCs w:val="22"/>
                <w:lang w:val="en-AU"/>
              </w:rPr>
              <w:t>.</w:t>
            </w:r>
          </w:p>
          <w:p w14:paraId="706EB778" w14:textId="77777777" w:rsidR="009A1E5D" w:rsidRPr="00D03260" w:rsidRDefault="009A1E5D" w:rsidP="002A0819">
            <w:pPr>
              <w:pStyle w:val="Tablelistbullet"/>
              <w:numPr>
                <w:ilvl w:val="0"/>
                <w:numId w:val="0"/>
              </w:numPr>
              <w:ind w:left="284"/>
              <w:rPr>
                <w:sz w:val="22"/>
                <w:szCs w:val="22"/>
                <w:lang w:val="en-AU"/>
              </w:rPr>
            </w:pPr>
          </w:p>
          <w:p w14:paraId="1AB1B90B" w14:textId="32B1E8DA" w:rsidR="00C75B15" w:rsidRPr="00D03260" w:rsidRDefault="001D61AF" w:rsidP="00C513F3">
            <w:pPr>
              <w:pStyle w:val="Tablelistbullet"/>
              <w:numPr>
                <w:ilvl w:val="0"/>
                <w:numId w:val="0"/>
              </w:numPr>
              <w:ind w:left="284"/>
              <w:rPr>
                <w:sz w:val="22"/>
                <w:szCs w:val="22"/>
                <w:lang w:val="en-AU"/>
              </w:rPr>
            </w:pPr>
            <w:r w:rsidRPr="00D03260">
              <w:rPr>
                <w:sz w:val="22"/>
                <w:szCs w:val="22"/>
                <w:lang w:val="en-AU"/>
              </w:rPr>
              <w:t xml:space="preserve">See </w:t>
            </w:r>
            <w:hyperlink w:anchor="Sect132HealthEffectsForWhichThereIsLimit" w:history="1">
              <w:r w:rsidR="004E187D" w:rsidRPr="00D03260">
                <w:rPr>
                  <w:rStyle w:val="Hyperlink"/>
                  <w:sz w:val="22"/>
                  <w:szCs w:val="22"/>
                  <w:lang w:val="en-AU"/>
                </w:rPr>
                <w:t>s</w:t>
              </w:r>
              <w:r w:rsidRPr="00D03260">
                <w:rPr>
                  <w:rStyle w:val="Hyperlink"/>
                  <w:sz w:val="22"/>
                  <w:szCs w:val="22"/>
                  <w:lang w:val="en-AU"/>
                </w:rPr>
                <w:t xml:space="preserve">ection </w:t>
              </w:r>
              <w:r w:rsidR="00675664" w:rsidRPr="00D03260">
                <w:rPr>
                  <w:rStyle w:val="Hyperlink"/>
                  <w:sz w:val="22"/>
                  <w:szCs w:val="22"/>
                  <w:lang w:val="en-AU"/>
                </w:rPr>
                <w:t>1.3.2</w:t>
              </w:r>
            </w:hyperlink>
            <w:r w:rsidR="00675664" w:rsidRPr="00D03260">
              <w:rPr>
                <w:sz w:val="22"/>
                <w:szCs w:val="22"/>
                <w:lang w:val="en-AU"/>
              </w:rPr>
              <w:t xml:space="preserve"> and </w:t>
            </w:r>
            <w:hyperlink w:anchor="AppendixBLessLikelyDifferentialDiagnoses" w:history="1">
              <w:r w:rsidR="00675664" w:rsidRPr="00D03260">
                <w:rPr>
                  <w:rStyle w:val="Hyperlink"/>
                  <w:sz w:val="22"/>
                  <w:szCs w:val="22"/>
                  <w:lang w:val="en-AU"/>
                </w:rPr>
                <w:t xml:space="preserve">Appendix </w:t>
              </w:r>
              <w:r w:rsidR="00AD63C7" w:rsidRPr="00D03260">
                <w:rPr>
                  <w:rStyle w:val="Hyperlink"/>
                  <w:sz w:val="22"/>
                  <w:szCs w:val="22"/>
                  <w:lang w:val="en-AU"/>
                </w:rPr>
                <w:t>B</w:t>
              </w:r>
            </w:hyperlink>
            <w:r w:rsidR="00675664" w:rsidRPr="00D03260">
              <w:rPr>
                <w:sz w:val="22"/>
                <w:szCs w:val="22"/>
                <w:lang w:val="en-AU"/>
              </w:rPr>
              <w:t xml:space="preserve"> for </w:t>
            </w:r>
            <w:r w:rsidR="00F73939" w:rsidRPr="00D03260">
              <w:rPr>
                <w:sz w:val="22"/>
                <w:szCs w:val="22"/>
                <w:lang w:val="en-AU"/>
              </w:rPr>
              <w:t>further details</w:t>
            </w:r>
            <w:r w:rsidR="00B228BD" w:rsidRPr="00D03260">
              <w:rPr>
                <w:sz w:val="22"/>
                <w:szCs w:val="22"/>
                <w:lang w:val="en-AU"/>
              </w:rPr>
              <w:t xml:space="preserve">. </w:t>
            </w:r>
          </w:p>
        </w:tc>
        <w:tc>
          <w:tcPr>
            <w:tcW w:w="3395" w:type="dxa"/>
          </w:tcPr>
          <w:p w14:paraId="70477713" w14:textId="5ECA43C6" w:rsidR="00E55A7A" w:rsidRPr="00D03260" w:rsidRDefault="009E659A" w:rsidP="00375DF6">
            <w:pPr>
              <w:rPr>
                <w:szCs w:val="22"/>
              </w:rPr>
            </w:pPr>
            <w:r w:rsidRPr="00D03260">
              <w:rPr>
                <w:szCs w:val="22"/>
              </w:rPr>
              <w:t>Health effects for which ther</w:t>
            </w:r>
            <w:r w:rsidR="003F596E" w:rsidRPr="00D03260">
              <w:rPr>
                <w:szCs w:val="22"/>
              </w:rPr>
              <w:t>e</w:t>
            </w:r>
            <w:r w:rsidRPr="00D03260">
              <w:rPr>
                <w:szCs w:val="22"/>
              </w:rPr>
              <w:t xml:space="preserve"> is </w:t>
            </w:r>
            <w:r w:rsidR="003F596E" w:rsidRPr="00D03260">
              <w:rPr>
                <w:b/>
                <w:bCs/>
                <w:szCs w:val="22"/>
              </w:rPr>
              <w:t xml:space="preserve">inadequate or insufficient evidence </w:t>
            </w:r>
            <w:r w:rsidR="00112D79" w:rsidRPr="00D03260">
              <w:rPr>
                <w:b/>
                <w:bCs/>
                <w:szCs w:val="22"/>
              </w:rPr>
              <w:t>of an association</w:t>
            </w:r>
            <w:r w:rsidR="00112D79" w:rsidRPr="00D03260">
              <w:rPr>
                <w:szCs w:val="22"/>
              </w:rPr>
              <w:t xml:space="preserve"> with indoor damp and mould:</w:t>
            </w:r>
          </w:p>
          <w:p w14:paraId="146C0DAA" w14:textId="77777777" w:rsidR="00112D79" w:rsidRPr="00D03260" w:rsidRDefault="00112D79" w:rsidP="00D219C5">
            <w:pPr>
              <w:pStyle w:val="Tablelistbullet"/>
              <w:ind w:left="284" w:hanging="284"/>
              <w:rPr>
                <w:sz w:val="22"/>
                <w:szCs w:val="22"/>
                <w:lang w:val="en-AU"/>
              </w:rPr>
            </w:pPr>
            <w:r w:rsidRPr="00D03260">
              <w:rPr>
                <w:sz w:val="22"/>
                <w:szCs w:val="22"/>
                <w:lang w:val="en-AU"/>
              </w:rPr>
              <w:t>acute idiopathic pulmonary haemorrhage (acute idiopathic pulmonary hemosiderosis) in infants</w:t>
            </w:r>
          </w:p>
          <w:p w14:paraId="1054FF6A" w14:textId="77777777" w:rsidR="00112D79" w:rsidRPr="00D03260" w:rsidRDefault="00112D79" w:rsidP="00D219C5">
            <w:pPr>
              <w:pStyle w:val="Tablelistbullet"/>
              <w:ind w:left="284" w:hanging="284"/>
              <w:rPr>
                <w:sz w:val="22"/>
                <w:szCs w:val="22"/>
                <w:lang w:val="en-AU"/>
              </w:rPr>
            </w:pPr>
            <w:r w:rsidRPr="00D03260">
              <w:rPr>
                <w:sz w:val="22"/>
                <w:szCs w:val="22"/>
                <w:lang w:val="en-AU"/>
              </w:rPr>
              <w:t>altered lung function/airway obstruction</w:t>
            </w:r>
          </w:p>
          <w:p w14:paraId="27D73204" w14:textId="77777777" w:rsidR="00112D79" w:rsidRPr="00D03260" w:rsidRDefault="00112D79" w:rsidP="00D219C5">
            <w:pPr>
              <w:pStyle w:val="Tablelistbullet"/>
              <w:ind w:left="284" w:hanging="284"/>
              <w:rPr>
                <w:sz w:val="22"/>
                <w:szCs w:val="22"/>
                <w:lang w:val="en-AU"/>
              </w:rPr>
            </w:pPr>
            <w:r w:rsidRPr="00D03260">
              <w:rPr>
                <w:sz w:val="22"/>
                <w:szCs w:val="22"/>
                <w:lang w:val="en-AU"/>
              </w:rPr>
              <w:t>COPD (development of COPD)</w:t>
            </w:r>
          </w:p>
          <w:p w14:paraId="05A69940" w14:textId="77777777" w:rsidR="00112D79" w:rsidRPr="00D03260" w:rsidRDefault="00112D79" w:rsidP="00D219C5">
            <w:pPr>
              <w:pStyle w:val="Tablelistbullet"/>
              <w:ind w:left="284" w:hanging="284"/>
              <w:rPr>
                <w:sz w:val="22"/>
                <w:szCs w:val="22"/>
                <w:lang w:val="en-AU"/>
              </w:rPr>
            </w:pPr>
            <w:r w:rsidRPr="00D03260">
              <w:rPr>
                <w:sz w:val="22"/>
                <w:szCs w:val="22"/>
                <w:lang w:val="en-AU"/>
              </w:rPr>
              <w:t>rheumatic disorders and autoimmune disease</w:t>
            </w:r>
          </w:p>
          <w:p w14:paraId="6351DEE6" w14:textId="77777777" w:rsidR="00112D79" w:rsidRPr="00D03260" w:rsidRDefault="00112D79" w:rsidP="00D219C5">
            <w:pPr>
              <w:pStyle w:val="Tablelistbullet"/>
              <w:ind w:left="284" w:hanging="284"/>
              <w:rPr>
                <w:sz w:val="22"/>
                <w:szCs w:val="22"/>
                <w:lang w:val="en-AU"/>
              </w:rPr>
            </w:pPr>
            <w:r w:rsidRPr="00D03260">
              <w:rPr>
                <w:sz w:val="22"/>
                <w:szCs w:val="22"/>
                <w:lang w:val="en-AU"/>
              </w:rPr>
              <w:t>cancer</w:t>
            </w:r>
          </w:p>
          <w:p w14:paraId="56E115AA" w14:textId="77777777" w:rsidR="00112D79" w:rsidRPr="00D03260" w:rsidRDefault="00112D79" w:rsidP="00D219C5">
            <w:pPr>
              <w:pStyle w:val="Tablelistbullet"/>
              <w:ind w:left="284" w:hanging="284"/>
              <w:rPr>
                <w:sz w:val="22"/>
                <w:szCs w:val="22"/>
                <w:lang w:val="en-AU"/>
              </w:rPr>
            </w:pPr>
            <w:r w:rsidRPr="00D03260">
              <w:rPr>
                <w:sz w:val="22"/>
                <w:szCs w:val="22"/>
                <w:lang w:val="en-AU"/>
              </w:rPr>
              <w:t>reproductive effects</w:t>
            </w:r>
          </w:p>
          <w:p w14:paraId="1408FB1E" w14:textId="77777777" w:rsidR="00112D79" w:rsidRPr="00D03260" w:rsidRDefault="00112D79" w:rsidP="00D219C5">
            <w:pPr>
              <w:pStyle w:val="Tablelistbullet"/>
              <w:ind w:left="284" w:hanging="284"/>
              <w:rPr>
                <w:sz w:val="22"/>
                <w:szCs w:val="22"/>
                <w:lang w:val="en-AU"/>
              </w:rPr>
            </w:pPr>
            <w:r w:rsidRPr="00D03260">
              <w:rPr>
                <w:sz w:val="22"/>
                <w:szCs w:val="22"/>
                <w:lang w:val="en-AU"/>
              </w:rPr>
              <w:t>gastrointestinal effects</w:t>
            </w:r>
          </w:p>
          <w:p w14:paraId="37967801" w14:textId="77777777" w:rsidR="00112D79" w:rsidRPr="00D03260" w:rsidRDefault="00112D79" w:rsidP="00D219C5">
            <w:pPr>
              <w:pStyle w:val="Tablelistbullet"/>
              <w:ind w:left="284" w:hanging="284"/>
              <w:rPr>
                <w:sz w:val="22"/>
                <w:szCs w:val="22"/>
                <w:lang w:val="en-AU"/>
              </w:rPr>
            </w:pPr>
            <w:r w:rsidRPr="00D03260">
              <w:rPr>
                <w:sz w:val="22"/>
                <w:szCs w:val="22"/>
                <w:lang w:val="en-AU"/>
              </w:rPr>
              <w:t>renal effects</w:t>
            </w:r>
          </w:p>
          <w:p w14:paraId="22868A7E" w14:textId="77777777" w:rsidR="00112D79" w:rsidRPr="00D03260" w:rsidRDefault="00112D79" w:rsidP="00D219C5">
            <w:pPr>
              <w:pStyle w:val="Tablelistbullet"/>
              <w:ind w:left="284" w:hanging="284"/>
              <w:rPr>
                <w:sz w:val="22"/>
                <w:szCs w:val="22"/>
                <w:lang w:val="en-AU"/>
              </w:rPr>
            </w:pPr>
            <w:r w:rsidRPr="00D03260">
              <w:rPr>
                <w:sz w:val="22"/>
                <w:szCs w:val="22"/>
                <w:lang w:val="en-AU"/>
              </w:rPr>
              <w:t xml:space="preserve">teratogenicity </w:t>
            </w:r>
          </w:p>
          <w:p w14:paraId="1E7BCC3B" w14:textId="77777777" w:rsidR="00112D79" w:rsidRPr="00D03260" w:rsidRDefault="00112D79" w:rsidP="00D219C5">
            <w:pPr>
              <w:pStyle w:val="Tablelistbullet"/>
              <w:ind w:left="284" w:hanging="284"/>
              <w:rPr>
                <w:sz w:val="22"/>
                <w:szCs w:val="22"/>
                <w:lang w:val="en-AU"/>
              </w:rPr>
            </w:pPr>
            <w:r w:rsidRPr="00D03260">
              <w:rPr>
                <w:sz w:val="22"/>
                <w:szCs w:val="22"/>
                <w:lang w:val="en-AU"/>
              </w:rPr>
              <w:t>sarcoidosis</w:t>
            </w:r>
          </w:p>
          <w:p w14:paraId="22F36FD3" w14:textId="77777777" w:rsidR="00DD3D72" w:rsidRPr="00D03260" w:rsidRDefault="00DD3D72" w:rsidP="00D219C5">
            <w:pPr>
              <w:pStyle w:val="Tablelistbullet"/>
              <w:ind w:left="284" w:hanging="284"/>
              <w:rPr>
                <w:sz w:val="22"/>
                <w:szCs w:val="22"/>
                <w:lang w:val="en-AU"/>
              </w:rPr>
            </w:pPr>
            <w:r w:rsidRPr="00D03260">
              <w:rPr>
                <w:sz w:val="22"/>
                <w:szCs w:val="22"/>
                <w:lang w:val="en-AU"/>
              </w:rPr>
              <w:t>skin problems</w:t>
            </w:r>
          </w:p>
          <w:p w14:paraId="7015C532" w14:textId="77777777" w:rsidR="00DD3D72" w:rsidRPr="00D03260" w:rsidRDefault="00DD3D72" w:rsidP="00D219C5">
            <w:pPr>
              <w:pStyle w:val="Tablelistbullet"/>
              <w:ind w:left="284" w:hanging="284"/>
              <w:rPr>
                <w:sz w:val="22"/>
                <w:szCs w:val="22"/>
                <w:lang w:val="en-AU"/>
              </w:rPr>
            </w:pPr>
            <w:r w:rsidRPr="00D03260">
              <w:rPr>
                <w:sz w:val="22"/>
                <w:szCs w:val="22"/>
                <w:lang w:val="en-AU"/>
              </w:rPr>
              <w:t xml:space="preserve">neuropsychological and neurotoxic effects </w:t>
            </w:r>
          </w:p>
          <w:p w14:paraId="0E3AFD50" w14:textId="77777777" w:rsidR="00DD3D72" w:rsidRPr="00D03260" w:rsidRDefault="00DD3D72" w:rsidP="00D219C5">
            <w:pPr>
              <w:pStyle w:val="Tablelistbullet"/>
              <w:ind w:left="284" w:hanging="284"/>
              <w:rPr>
                <w:sz w:val="22"/>
                <w:szCs w:val="22"/>
                <w:lang w:val="en-AU"/>
              </w:rPr>
            </w:pPr>
            <w:r w:rsidRPr="00D03260">
              <w:rPr>
                <w:sz w:val="22"/>
                <w:szCs w:val="22"/>
                <w:lang w:val="en-AU"/>
              </w:rPr>
              <w:t>sleep issues</w:t>
            </w:r>
          </w:p>
          <w:p w14:paraId="08149A24" w14:textId="77777777" w:rsidR="00DD3D72" w:rsidRPr="00D03260" w:rsidRDefault="00DD3D72" w:rsidP="00D219C5">
            <w:pPr>
              <w:pStyle w:val="Tablelistbullet"/>
              <w:ind w:left="284" w:hanging="284"/>
              <w:rPr>
                <w:sz w:val="22"/>
                <w:szCs w:val="22"/>
                <w:lang w:val="en-AU"/>
              </w:rPr>
            </w:pPr>
            <w:r w:rsidRPr="00D03260">
              <w:rPr>
                <w:sz w:val="22"/>
                <w:szCs w:val="22"/>
                <w:lang w:val="en-AU"/>
              </w:rPr>
              <w:t xml:space="preserve">fatigue </w:t>
            </w:r>
          </w:p>
          <w:p w14:paraId="196A13C6" w14:textId="77777777" w:rsidR="00DD3D72" w:rsidRPr="00D03260" w:rsidRDefault="00DD3D72" w:rsidP="00D219C5">
            <w:pPr>
              <w:pStyle w:val="Tablelistbullet"/>
              <w:ind w:left="284" w:hanging="284"/>
              <w:rPr>
                <w:sz w:val="22"/>
                <w:szCs w:val="22"/>
                <w:lang w:val="en-AU"/>
              </w:rPr>
            </w:pPr>
            <w:r w:rsidRPr="00D03260">
              <w:rPr>
                <w:sz w:val="22"/>
                <w:szCs w:val="22"/>
                <w:lang w:val="en-AU"/>
              </w:rPr>
              <w:t>mood disorders and non-specific symptoms</w:t>
            </w:r>
          </w:p>
          <w:p w14:paraId="15854B5B" w14:textId="77777777" w:rsidR="00DD3D72" w:rsidRPr="00D03260" w:rsidRDefault="00DD3D72" w:rsidP="00D219C5">
            <w:pPr>
              <w:pStyle w:val="Tablelistbullet"/>
              <w:ind w:left="284" w:hanging="284"/>
              <w:rPr>
                <w:sz w:val="22"/>
                <w:szCs w:val="22"/>
                <w:lang w:val="en-AU"/>
              </w:rPr>
            </w:pPr>
            <w:r w:rsidRPr="00D03260">
              <w:rPr>
                <w:sz w:val="22"/>
                <w:szCs w:val="22"/>
                <w:lang w:val="en-AU"/>
              </w:rPr>
              <w:t>mycotoxicosis</w:t>
            </w:r>
          </w:p>
          <w:p w14:paraId="35A88CEB" w14:textId="5379CC96" w:rsidR="00DD3D72" w:rsidRPr="00D03260" w:rsidRDefault="00DD3D72" w:rsidP="00D219C5">
            <w:pPr>
              <w:pStyle w:val="Tablelistbullet"/>
              <w:ind w:left="284" w:hanging="284"/>
              <w:rPr>
                <w:sz w:val="22"/>
                <w:szCs w:val="22"/>
                <w:lang w:val="en-AU"/>
              </w:rPr>
            </w:pPr>
            <w:r w:rsidRPr="00D03260">
              <w:rPr>
                <w:sz w:val="22"/>
                <w:szCs w:val="22"/>
                <w:lang w:val="en-AU"/>
              </w:rPr>
              <w:t>sick building syndrome (SBS) and toxic mold syndrome (TMS)</w:t>
            </w:r>
          </w:p>
          <w:p w14:paraId="7AE33C20" w14:textId="77777777" w:rsidR="00112D79" w:rsidRPr="00D03260" w:rsidRDefault="00DD3D72" w:rsidP="00D219C5">
            <w:pPr>
              <w:pStyle w:val="Tablelistbullet"/>
              <w:ind w:left="284" w:hanging="284"/>
              <w:rPr>
                <w:sz w:val="22"/>
                <w:szCs w:val="22"/>
                <w:lang w:val="en-AU"/>
              </w:rPr>
            </w:pPr>
            <w:r w:rsidRPr="00D03260">
              <w:rPr>
                <w:sz w:val="22"/>
                <w:szCs w:val="22"/>
                <w:lang w:val="en-AU"/>
              </w:rPr>
              <w:t>Chronic Inflammatory Response Syndrome (CIRS)</w:t>
            </w:r>
          </w:p>
          <w:p w14:paraId="1983DB35" w14:textId="77777777" w:rsidR="009A1E5D" w:rsidRPr="00D03260" w:rsidRDefault="009A1E5D" w:rsidP="002A0819">
            <w:pPr>
              <w:pStyle w:val="Tablelistbullet"/>
              <w:numPr>
                <w:ilvl w:val="0"/>
                <w:numId w:val="0"/>
              </w:numPr>
              <w:ind w:left="284"/>
              <w:rPr>
                <w:sz w:val="22"/>
                <w:szCs w:val="22"/>
                <w:lang w:val="en-AU"/>
              </w:rPr>
            </w:pPr>
          </w:p>
          <w:p w14:paraId="2F14A57A" w14:textId="54D83390" w:rsidR="00EA225D" w:rsidRPr="00D03260" w:rsidRDefault="00640747" w:rsidP="008244DF">
            <w:pPr>
              <w:pStyle w:val="Tablelistbullet"/>
              <w:numPr>
                <w:ilvl w:val="0"/>
                <w:numId w:val="0"/>
              </w:numPr>
              <w:ind w:left="284"/>
              <w:rPr>
                <w:sz w:val="22"/>
                <w:szCs w:val="22"/>
                <w:lang w:val="en-AU"/>
              </w:rPr>
            </w:pPr>
            <w:r w:rsidRPr="00D03260">
              <w:rPr>
                <w:sz w:val="22"/>
                <w:szCs w:val="22"/>
                <w:lang w:val="en-AU"/>
              </w:rPr>
              <w:t xml:space="preserve">See </w:t>
            </w:r>
            <w:hyperlink w:anchor="Sect133HealthEffectsForWhichThereIsInade" w:history="1">
              <w:r w:rsidR="004E187D" w:rsidRPr="00D03260">
                <w:rPr>
                  <w:rStyle w:val="Hyperlink"/>
                  <w:sz w:val="22"/>
                  <w:szCs w:val="22"/>
                  <w:lang w:val="en-AU"/>
                </w:rPr>
                <w:t>s</w:t>
              </w:r>
              <w:r w:rsidRPr="00D03260">
                <w:rPr>
                  <w:rStyle w:val="Hyperlink"/>
                  <w:sz w:val="22"/>
                  <w:szCs w:val="22"/>
                  <w:lang w:val="en-AU"/>
                </w:rPr>
                <w:t>ection 1.3.</w:t>
              </w:r>
              <w:r w:rsidR="00CA3FE7" w:rsidRPr="00D03260">
                <w:rPr>
                  <w:rStyle w:val="Hyperlink"/>
                  <w:sz w:val="22"/>
                  <w:szCs w:val="22"/>
                  <w:lang w:val="en-AU"/>
                </w:rPr>
                <w:t>3</w:t>
              </w:r>
            </w:hyperlink>
            <w:r w:rsidRPr="00D03260">
              <w:rPr>
                <w:sz w:val="22"/>
                <w:szCs w:val="22"/>
                <w:lang w:val="en-AU"/>
              </w:rPr>
              <w:t xml:space="preserve"> and </w:t>
            </w:r>
            <w:hyperlink w:anchor="AppendixCUnlikelyDifferentialDiagnosesOr" w:history="1">
              <w:r w:rsidRPr="00D03260">
                <w:rPr>
                  <w:rStyle w:val="Hyperlink"/>
                  <w:sz w:val="22"/>
                  <w:szCs w:val="22"/>
                  <w:lang w:val="en-AU"/>
                </w:rPr>
                <w:t xml:space="preserve">Appendix </w:t>
              </w:r>
              <w:r w:rsidR="00AD63C7" w:rsidRPr="00D03260">
                <w:rPr>
                  <w:rStyle w:val="Hyperlink"/>
                  <w:sz w:val="22"/>
                  <w:szCs w:val="22"/>
                  <w:lang w:val="en-AU"/>
                </w:rPr>
                <w:t>C</w:t>
              </w:r>
            </w:hyperlink>
            <w:r w:rsidR="00C92F3B" w:rsidRPr="00D03260">
              <w:rPr>
                <w:sz w:val="22"/>
                <w:szCs w:val="22"/>
                <w:lang w:val="en-AU"/>
              </w:rPr>
              <w:t>,</w:t>
            </w:r>
            <w:r w:rsidR="003B2B61" w:rsidRPr="00D03260">
              <w:rPr>
                <w:sz w:val="22"/>
                <w:szCs w:val="22"/>
                <w:lang w:val="en-AU"/>
              </w:rPr>
              <w:t xml:space="preserve"> </w:t>
            </w:r>
            <w:hyperlink w:anchor="AppendixECIRS" w:history="1">
              <w:r w:rsidR="00C92F3B" w:rsidRPr="00D03260">
                <w:rPr>
                  <w:rStyle w:val="Hyperlink"/>
                  <w:sz w:val="22"/>
                  <w:szCs w:val="22"/>
                  <w:lang w:val="en-AU"/>
                </w:rPr>
                <w:t>Appendix E</w:t>
              </w:r>
            </w:hyperlink>
            <w:r w:rsidR="00065683" w:rsidRPr="00D03260">
              <w:rPr>
                <w:sz w:val="22"/>
                <w:szCs w:val="22"/>
                <w:lang w:val="en-AU"/>
              </w:rPr>
              <w:t xml:space="preserve"> and </w:t>
            </w:r>
            <w:hyperlink w:anchor="AppendixFPotentialSideEffectsOfPharmaceu" w:history="1">
              <w:r w:rsidR="00C92F3B" w:rsidRPr="00D03260">
                <w:rPr>
                  <w:rStyle w:val="Hyperlink"/>
                  <w:sz w:val="22"/>
                  <w:szCs w:val="22"/>
                  <w:lang w:val="en-AU"/>
                </w:rPr>
                <w:t>Appendix F</w:t>
              </w:r>
            </w:hyperlink>
            <w:r w:rsidR="00065683" w:rsidRPr="00D03260">
              <w:rPr>
                <w:sz w:val="22"/>
                <w:szCs w:val="22"/>
                <w:lang w:val="en-AU"/>
              </w:rPr>
              <w:t xml:space="preserve"> </w:t>
            </w:r>
            <w:r w:rsidR="00C92F3B" w:rsidRPr="00D03260">
              <w:rPr>
                <w:sz w:val="22"/>
                <w:szCs w:val="22"/>
                <w:lang w:val="en-AU"/>
              </w:rPr>
              <w:t>for further details</w:t>
            </w:r>
            <w:r w:rsidR="00583FFE" w:rsidRPr="00D03260">
              <w:rPr>
                <w:sz w:val="22"/>
                <w:szCs w:val="22"/>
                <w:lang w:val="en-AU"/>
              </w:rPr>
              <w:t xml:space="preserve">. </w:t>
            </w:r>
          </w:p>
        </w:tc>
      </w:tr>
    </w:tbl>
    <w:p w14:paraId="28EC9A8E" w14:textId="6571674C" w:rsidR="008B3C6B" w:rsidRPr="00D03260" w:rsidRDefault="008B3C6B" w:rsidP="00A43D7F">
      <w:r w:rsidRPr="00D03260">
        <w:br w:type="page"/>
      </w:r>
    </w:p>
    <w:p w14:paraId="3CF0C827" w14:textId="43243606" w:rsidR="00D90CED" w:rsidRPr="00D03260" w:rsidRDefault="00B176A0" w:rsidP="00100F6D">
      <w:pPr>
        <w:pStyle w:val="Heading1"/>
      </w:pPr>
      <w:bookmarkStart w:id="4" w:name="_Toc121329098"/>
      <w:bookmarkStart w:id="5" w:name="_Toc141885838"/>
      <w:r w:rsidRPr="00D03260">
        <w:lastRenderedPageBreak/>
        <w:t>Summary information</w:t>
      </w:r>
      <w:bookmarkEnd w:id="4"/>
      <w:bookmarkEnd w:id="5"/>
    </w:p>
    <w:p w14:paraId="50DD5F67" w14:textId="7809D811" w:rsidR="00D90CED" w:rsidRPr="00D03260" w:rsidRDefault="008B026D" w:rsidP="00D90CED">
      <w:bookmarkStart w:id="6" w:name="_Hlk123724861"/>
      <w:r w:rsidRPr="00D03260">
        <w:t>The Biotoxins (</w:t>
      </w:r>
      <w:r w:rsidR="009654CE" w:rsidRPr="00D03260">
        <w:t>i</w:t>
      </w:r>
      <w:r w:rsidRPr="00D03260">
        <w:t>ndoor damp and/or mould) Clinical Pathway has been developed to support decision-making on differential diagnosis</w:t>
      </w:r>
      <w:r w:rsidR="001E43C8" w:rsidRPr="00D03260">
        <w:t>, treatment</w:t>
      </w:r>
      <w:r w:rsidRPr="00D03260">
        <w:t xml:space="preserve"> and referral pathways for patients </w:t>
      </w:r>
      <w:r w:rsidR="001360D7" w:rsidRPr="00D03260">
        <w:t xml:space="preserve">who report </w:t>
      </w:r>
      <w:r w:rsidRPr="00D03260">
        <w:t xml:space="preserve">debilitating symptoms </w:t>
      </w:r>
      <w:r w:rsidR="001360D7" w:rsidRPr="00D03260">
        <w:t>with</w:t>
      </w:r>
      <w:r w:rsidR="001360D7" w:rsidRPr="00D03260" w:rsidDel="001360D7">
        <w:t xml:space="preserve"> </w:t>
      </w:r>
      <w:r w:rsidRPr="00D03260">
        <w:t>a history of exposure to indoor damp or mould, and that cannot be attributed to another condition. The Biotoxins (</w:t>
      </w:r>
      <w:r w:rsidR="009654CE" w:rsidRPr="00D03260">
        <w:t>i</w:t>
      </w:r>
      <w:r w:rsidRPr="00D03260">
        <w:t>ndoor damp and mould) Clinical Pathway is not instructive; rather a tool/pathway to help structure assessments and management of patients with a wide variety of symptoms and severity of disability</w:t>
      </w:r>
      <w:r w:rsidR="00433685" w:rsidRPr="00D03260">
        <w:t>, including new onset or unresolved symptoms</w:t>
      </w:r>
      <w:r w:rsidR="00FB49A2" w:rsidRPr="00D03260">
        <w:t>. This pathway is for patients assessed</w:t>
      </w:r>
      <w:r w:rsidR="00623A3B" w:rsidRPr="00D03260">
        <w:t xml:space="preserve"> </w:t>
      </w:r>
      <w:r w:rsidR="00192377" w:rsidRPr="00D03260">
        <w:t>to be</w:t>
      </w:r>
      <w:r w:rsidR="00623A3B" w:rsidRPr="00D03260">
        <w:t xml:space="preserve"> clinically stable</w:t>
      </w:r>
      <w:r w:rsidR="00192377" w:rsidRPr="00D03260">
        <w:t>.</w:t>
      </w:r>
    </w:p>
    <w:tbl>
      <w:tblPr>
        <w:tblStyle w:val="DepartmentofHealthtable"/>
        <w:tblW w:w="0" w:type="auto"/>
        <w:tblBorders>
          <w:top w:val="none" w:sz="0" w:space="0" w:color="auto"/>
          <w:bottom w:val="none" w:sz="0" w:space="0" w:color="auto"/>
          <w:insideH w:val="none" w:sz="0" w:space="0" w:color="auto"/>
        </w:tblBorders>
        <w:tblLook w:val="04A0" w:firstRow="1" w:lastRow="0" w:firstColumn="1" w:lastColumn="0" w:noHBand="0" w:noVBand="1"/>
        <w:tblDescription w:val="Add Alt Text describing the content of the table"/>
      </w:tblPr>
      <w:tblGrid>
        <w:gridCol w:w="9070"/>
      </w:tblGrid>
      <w:tr w:rsidR="00575026" w:rsidRPr="00D03260" w14:paraId="3B947C6A" w14:textId="77777777" w:rsidTr="007707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bookmarkEnd w:id="6"/>
          <w:p w14:paraId="65710332" w14:textId="4B8183E2" w:rsidR="00575026" w:rsidRPr="00D03260" w:rsidRDefault="000E6365" w:rsidP="00575026">
            <w:pPr>
              <w:pStyle w:val="TableHeaderWhite"/>
              <w:rPr>
                <w:lang w:val="en-AU"/>
              </w:rPr>
            </w:pPr>
            <w:r w:rsidRPr="00D03260">
              <w:rPr>
                <w:lang w:val="en-AU"/>
              </w:rPr>
              <w:t>Initial assessment</w:t>
            </w:r>
          </w:p>
        </w:tc>
      </w:tr>
      <w:tr w:rsidR="008B3C6B" w:rsidRPr="00D03260" w14:paraId="59AD2F7C" w14:textId="77777777" w:rsidTr="00770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32C3CAE3" w14:textId="34C47D54" w:rsidR="005C339B" w:rsidRPr="00D03260" w:rsidRDefault="008B3C6B" w:rsidP="00E16337">
            <w:pPr>
              <w:pStyle w:val="Tablelistbullet"/>
              <w:ind w:left="284" w:hanging="284"/>
              <w:rPr>
                <w:rFonts w:cs="Arial"/>
                <w:lang w:val="en-AU"/>
              </w:rPr>
            </w:pPr>
            <w:r w:rsidRPr="00D03260">
              <w:rPr>
                <w:rFonts w:cs="Arial"/>
                <w:lang w:val="en-AU"/>
              </w:rPr>
              <w:t xml:space="preserve">Follow usual clinical assessment practice in the case of suspected health </w:t>
            </w:r>
            <w:r w:rsidR="00921129" w:rsidRPr="00D03260">
              <w:rPr>
                <w:rFonts w:cs="Arial"/>
                <w:lang w:val="en-AU"/>
              </w:rPr>
              <w:t xml:space="preserve">effects or symptoms </w:t>
            </w:r>
            <w:r w:rsidRPr="00D03260">
              <w:rPr>
                <w:rFonts w:cs="Arial"/>
                <w:lang w:val="en-AU"/>
              </w:rPr>
              <w:t>due to indoor damp and mould including</w:t>
            </w:r>
            <w:r w:rsidR="00375DF6" w:rsidRPr="00D03260">
              <w:rPr>
                <w:rFonts w:cs="Arial"/>
                <w:lang w:val="en-AU"/>
              </w:rPr>
              <w:t>:</w:t>
            </w:r>
            <w:r w:rsidRPr="00D03260">
              <w:rPr>
                <w:rFonts w:cs="Arial"/>
                <w:lang w:val="en-AU"/>
              </w:rPr>
              <w:t xml:space="preserve"> </w:t>
            </w:r>
          </w:p>
          <w:p w14:paraId="2B373B31" w14:textId="48A1D374" w:rsidR="00AB0E2D" w:rsidRPr="00D03260" w:rsidRDefault="008B3C6B" w:rsidP="00C84099">
            <w:pPr>
              <w:pStyle w:val="Tablelistbullet2"/>
              <w:numPr>
                <w:ilvl w:val="0"/>
                <w:numId w:val="88"/>
              </w:numPr>
              <w:spacing w:line="240" w:lineRule="auto"/>
              <w:rPr>
                <w:rFonts w:eastAsiaTheme="minorHAnsi" w:cs="Arial"/>
              </w:rPr>
            </w:pPr>
            <w:r w:rsidRPr="00D03260">
              <w:rPr>
                <w:rFonts w:eastAsiaTheme="minorHAnsi" w:cs="Arial"/>
              </w:rPr>
              <w:t>a history of recent or long-term exposure to damp and/or visible mould</w:t>
            </w:r>
            <w:r w:rsidR="00955255" w:rsidRPr="00D03260">
              <w:rPr>
                <w:rFonts w:eastAsiaTheme="minorHAnsi" w:cs="Arial"/>
              </w:rPr>
              <w:t>,</w:t>
            </w:r>
            <w:r w:rsidRPr="00D03260">
              <w:rPr>
                <w:rFonts w:eastAsiaTheme="minorHAnsi" w:cs="Arial"/>
              </w:rPr>
              <w:t xml:space="preserve"> </w:t>
            </w:r>
            <w:r w:rsidR="00DA1599" w:rsidRPr="00D03260">
              <w:rPr>
                <w:rFonts w:eastAsiaTheme="minorHAnsi" w:cs="Arial"/>
              </w:rPr>
              <w:t xml:space="preserve">and/or mouldy odour </w:t>
            </w:r>
            <w:r w:rsidRPr="00D03260">
              <w:rPr>
                <w:rFonts w:eastAsiaTheme="minorHAnsi" w:cs="Arial"/>
              </w:rPr>
              <w:t>in indoor environments, at both home and work,</w:t>
            </w:r>
            <w:r w:rsidR="00B74A81" w:rsidRPr="00D03260">
              <w:rPr>
                <w:rFonts w:eastAsiaTheme="minorHAnsi" w:cs="Arial"/>
              </w:rPr>
              <w:t xml:space="preserve"> and during leisure time (such as holiday homes where exposure can be forgotten, and may be severe</w:t>
            </w:r>
            <w:r w:rsidR="00B9187A" w:rsidRPr="00D03260">
              <w:rPr>
                <w:rFonts w:eastAsiaTheme="minorHAnsi" w:cs="Arial"/>
              </w:rPr>
              <w:t>)</w:t>
            </w:r>
            <w:r w:rsidR="00B74A81" w:rsidRPr="00D03260">
              <w:rPr>
                <w:rFonts w:eastAsiaTheme="minorHAnsi" w:cs="Arial"/>
              </w:rPr>
              <w:t xml:space="preserve"> </w:t>
            </w:r>
            <w:r w:rsidRPr="00D03260">
              <w:rPr>
                <w:rFonts w:eastAsiaTheme="minorHAnsi" w:cs="Arial"/>
              </w:rPr>
              <w:t xml:space="preserve">(e.g., leaking roofs and walls, faulty plumbing, condensation), </w:t>
            </w:r>
            <w:r w:rsidR="00AB0E2D" w:rsidRPr="00D03260">
              <w:rPr>
                <w:rFonts w:eastAsiaTheme="minorHAnsi" w:cs="Arial"/>
              </w:rPr>
              <w:t>and</w:t>
            </w:r>
          </w:p>
          <w:p w14:paraId="29EA1DFF" w14:textId="053EFB13" w:rsidR="008B3C6B" w:rsidRPr="00D03260" w:rsidRDefault="008B3C6B" w:rsidP="00C84099">
            <w:pPr>
              <w:pStyle w:val="Tablelistbullet2"/>
              <w:numPr>
                <w:ilvl w:val="0"/>
                <w:numId w:val="88"/>
              </w:numPr>
              <w:spacing w:line="240" w:lineRule="auto"/>
              <w:rPr>
                <w:rFonts w:eastAsiaTheme="minorHAnsi" w:cs="Arial"/>
                <w:i/>
              </w:rPr>
            </w:pPr>
            <w:r w:rsidRPr="00D03260">
              <w:rPr>
                <w:rFonts w:eastAsiaTheme="minorHAnsi" w:cs="Arial"/>
              </w:rPr>
              <w:t>whether symptoms get worse when in such environments</w:t>
            </w:r>
            <w:r w:rsidR="006A7798" w:rsidRPr="00D03260">
              <w:rPr>
                <w:rFonts w:eastAsiaTheme="minorHAnsi" w:cs="Arial"/>
              </w:rPr>
              <w:t xml:space="preserve"> </w:t>
            </w:r>
            <w:r w:rsidR="00446586" w:rsidRPr="00D03260">
              <w:rPr>
                <w:rFonts w:eastAsiaTheme="minorHAnsi" w:cs="Arial"/>
              </w:rPr>
              <w:t>(</w:t>
            </w:r>
            <w:r w:rsidR="00A72F84" w:rsidRPr="00D03260">
              <w:rPr>
                <w:rFonts w:eastAsiaTheme="minorHAnsi" w:cs="Arial"/>
              </w:rPr>
              <w:t>s</w:t>
            </w:r>
            <w:r w:rsidR="006A7798" w:rsidRPr="00D03260">
              <w:rPr>
                <w:rFonts w:eastAsiaTheme="minorHAnsi" w:cs="Arial"/>
              </w:rPr>
              <w:t xml:space="preserve">ee </w:t>
            </w:r>
            <w:hyperlink w:anchor="Sect21FollowUsualClinicalAssessmentPract" w:history="1">
              <w:r w:rsidR="004E187D" w:rsidRPr="00D03260">
                <w:rPr>
                  <w:rStyle w:val="Hyperlink"/>
                  <w:rFonts w:eastAsiaTheme="minorHAnsi" w:cs="Arial"/>
                </w:rPr>
                <w:t>s</w:t>
              </w:r>
              <w:r w:rsidR="00DE030A" w:rsidRPr="00D03260">
                <w:rPr>
                  <w:rStyle w:val="Hyperlink"/>
                  <w:rFonts w:eastAsiaTheme="minorHAnsi" w:cs="Arial"/>
                </w:rPr>
                <w:t>ection 2.1</w:t>
              </w:r>
            </w:hyperlink>
            <w:r w:rsidR="00DE030A" w:rsidRPr="00D03260">
              <w:rPr>
                <w:rFonts w:eastAsiaTheme="minorHAnsi" w:cs="Arial"/>
              </w:rPr>
              <w:t xml:space="preserve"> </w:t>
            </w:r>
            <w:r w:rsidR="0075212D" w:rsidRPr="00D03260">
              <w:rPr>
                <w:rFonts w:eastAsiaTheme="minorHAnsi" w:cs="Arial"/>
              </w:rPr>
              <w:t xml:space="preserve">and </w:t>
            </w:r>
            <w:hyperlink w:anchor="Sect211ClinicalAdviceForMedicalProfessio" w:history="1">
              <w:r w:rsidR="004E187D" w:rsidRPr="00D03260">
                <w:rPr>
                  <w:rStyle w:val="Hyperlink"/>
                  <w:rFonts w:eastAsiaTheme="minorHAnsi" w:cs="Arial"/>
                </w:rPr>
                <w:t>s</w:t>
              </w:r>
              <w:r w:rsidR="0075212D" w:rsidRPr="00D03260">
                <w:rPr>
                  <w:rStyle w:val="Hyperlink"/>
                  <w:rFonts w:eastAsiaTheme="minorHAnsi" w:cs="Arial"/>
                </w:rPr>
                <w:t>ection</w:t>
              </w:r>
              <w:r w:rsidR="00A72F84" w:rsidRPr="00D03260">
                <w:rPr>
                  <w:rStyle w:val="Hyperlink"/>
                  <w:rFonts w:eastAsiaTheme="minorHAnsi" w:cs="Arial"/>
                </w:rPr>
                <w:t> </w:t>
              </w:r>
              <w:r w:rsidR="00EE1A11" w:rsidRPr="00D03260">
                <w:rPr>
                  <w:rStyle w:val="Hyperlink"/>
                  <w:rFonts w:eastAsiaTheme="minorHAnsi" w:cs="Arial"/>
                </w:rPr>
                <w:t>2.1.1</w:t>
              </w:r>
            </w:hyperlink>
            <w:r w:rsidR="00EE1A11" w:rsidRPr="00D03260">
              <w:rPr>
                <w:rFonts w:eastAsiaTheme="minorHAnsi" w:cs="Arial"/>
              </w:rPr>
              <w:t xml:space="preserve"> </w:t>
            </w:r>
            <w:r w:rsidR="00E367EE" w:rsidRPr="00D03260">
              <w:rPr>
                <w:rFonts w:eastAsiaTheme="minorHAnsi" w:cs="Arial"/>
              </w:rPr>
              <w:t>for further details</w:t>
            </w:r>
            <w:r w:rsidR="00A72F84" w:rsidRPr="00D03260">
              <w:rPr>
                <w:rFonts w:eastAsiaTheme="minorHAnsi" w:cs="Arial"/>
              </w:rPr>
              <w:t>).</w:t>
            </w:r>
          </w:p>
          <w:p w14:paraId="681893EC" w14:textId="16BA3FD6" w:rsidR="008B3C6B" w:rsidRPr="00D03260" w:rsidRDefault="008B3C6B" w:rsidP="00E16337">
            <w:pPr>
              <w:pStyle w:val="Tablelistbullet"/>
              <w:ind w:left="284" w:hanging="284"/>
              <w:rPr>
                <w:rFonts w:cs="Arial"/>
                <w:lang w:val="en-AU"/>
              </w:rPr>
            </w:pPr>
            <w:r w:rsidRPr="00D03260">
              <w:rPr>
                <w:rFonts w:cs="Arial"/>
                <w:lang w:val="en-AU"/>
              </w:rPr>
              <w:t xml:space="preserve">Breathing in mould spores and fragments can trigger nasal congestion, sneezing, </w:t>
            </w:r>
            <w:proofErr w:type="gramStart"/>
            <w:r w:rsidRPr="00D03260">
              <w:rPr>
                <w:rFonts w:cs="Arial"/>
                <w:lang w:val="en-AU"/>
              </w:rPr>
              <w:t>coughing</w:t>
            </w:r>
            <w:proofErr w:type="gramEnd"/>
            <w:r w:rsidRPr="00D03260">
              <w:rPr>
                <w:rFonts w:cs="Arial"/>
                <w:lang w:val="en-AU"/>
              </w:rPr>
              <w:t xml:space="preserve"> or wheezing and respiratory infections. It can also exacerbate asthma and allergic conditions. Contact with mould can also irritate eyes and skin.</w:t>
            </w:r>
          </w:p>
          <w:p w14:paraId="5330195B" w14:textId="60F29B6D" w:rsidR="008B3C6B" w:rsidRPr="00D03260" w:rsidRDefault="008B3C6B">
            <w:pPr>
              <w:pStyle w:val="Tablelistbullet"/>
              <w:ind w:left="284" w:hanging="284"/>
              <w:rPr>
                <w:rFonts w:cs="Arial"/>
                <w:i/>
                <w:lang w:val="en-AU"/>
              </w:rPr>
            </w:pPr>
            <w:r w:rsidRPr="00D03260">
              <w:rPr>
                <w:rFonts w:cs="Arial"/>
                <w:lang w:val="en-AU"/>
              </w:rPr>
              <w:t>Response to exposure to mould varies between individuals and is influenced by personal susceptibility: age, health status, immune status, concurrent exposures, previous sensitisations, socioeconomic status, and genetic factors</w:t>
            </w:r>
            <w:r w:rsidR="00E41EAE" w:rsidRPr="00D03260">
              <w:rPr>
                <w:rFonts w:cs="Arial"/>
                <w:lang w:val="en-AU"/>
              </w:rPr>
              <w:t xml:space="preserve"> </w:t>
            </w:r>
            <w:r w:rsidR="00627344" w:rsidRPr="00D03260">
              <w:rPr>
                <w:rFonts w:cs="Arial"/>
                <w:lang w:val="en-AU"/>
              </w:rPr>
              <w:t>(</w:t>
            </w:r>
            <w:r w:rsidR="00A72F84" w:rsidRPr="00D03260">
              <w:rPr>
                <w:rFonts w:cs="Arial"/>
                <w:lang w:val="en-AU"/>
              </w:rPr>
              <w:t>s</w:t>
            </w:r>
            <w:r w:rsidR="00E41EAE" w:rsidRPr="00D03260">
              <w:rPr>
                <w:rFonts w:cs="Arial"/>
                <w:lang w:val="en-AU"/>
              </w:rPr>
              <w:t xml:space="preserve">ee </w:t>
            </w:r>
            <w:hyperlink w:anchor="Sect123ResponseToExposureToMouldVariesBe" w:history="1">
              <w:r w:rsidR="004E187D" w:rsidRPr="00D03260">
                <w:rPr>
                  <w:rStyle w:val="Hyperlink"/>
                  <w:rFonts w:cs="Arial"/>
                  <w:szCs w:val="21"/>
                  <w:lang w:val="en-AU"/>
                </w:rPr>
                <w:t>s</w:t>
              </w:r>
              <w:r w:rsidR="00E41EAE" w:rsidRPr="00D03260">
                <w:rPr>
                  <w:rStyle w:val="Hyperlink"/>
                  <w:rFonts w:cs="Arial"/>
                  <w:szCs w:val="21"/>
                  <w:lang w:val="en-AU"/>
                </w:rPr>
                <w:t>ection 1.2.3</w:t>
              </w:r>
            </w:hyperlink>
            <w:r w:rsidR="00E41EAE" w:rsidRPr="00D03260">
              <w:rPr>
                <w:rFonts w:cs="Arial"/>
                <w:lang w:val="en-AU"/>
              </w:rPr>
              <w:t xml:space="preserve"> </w:t>
            </w:r>
            <w:r w:rsidR="00E367EE" w:rsidRPr="00D03260">
              <w:rPr>
                <w:rFonts w:cs="Arial"/>
                <w:lang w:val="en-AU"/>
              </w:rPr>
              <w:t>for</w:t>
            </w:r>
            <w:r w:rsidR="002A0494" w:rsidRPr="00D03260">
              <w:rPr>
                <w:rFonts w:cs="Arial"/>
                <w:lang w:val="en-AU"/>
              </w:rPr>
              <w:t xml:space="preserve"> further details</w:t>
            </w:r>
            <w:r w:rsidR="00A72F84" w:rsidRPr="00D03260">
              <w:rPr>
                <w:rFonts w:cs="Arial"/>
                <w:lang w:val="en-AU"/>
              </w:rPr>
              <w:t>).</w:t>
            </w:r>
          </w:p>
          <w:p w14:paraId="4D1102C9" w14:textId="7108E27E" w:rsidR="00FA73DA" w:rsidRPr="00D03260" w:rsidRDefault="00FA73DA">
            <w:pPr>
              <w:pStyle w:val="Tablelistbullet"/>
              <w:ind w:left="284" w:hanging="284"/>
              <w:rPr>
                <w:rFonts w:cs="Arial"/>
                <w:lang w:val="en-AU"/>
              </w:rPr>
            </w:pPr>
            <w:r w:rsidRPr="00D03260">
              <w:rPr>
                <w:rFonts w:cs="Arial"/>
                <w:lang w:val="en-AU"/>
              </w:rPr>
              <w:t>A causal relationship to any health effect from exposure to indoor damp or mould in the general population is yet to be established</w:t>
            </w:r>
            <w:r w:rsidR="002B3070" w:rsidRPr="00D03260">
              <w:rPr>
                <w:rFonts w:cs="Arial"/>
                <w:lang w:val="en-AU"/>
              </w:rPr>
              <w:t>. F</w:t>
            </w:r>
            <w:r w:rsidRPr="00D03260">
              <w:rPr>
                <w:rFonts w:cs="Arial"/>
                <w:lang w:val="en-AU"/>
              </w:rPr>
              <w:t>or individuals it is not possible to prove unambiguous causality between mould exposure and particular health complaints or disease</w:t>
            </w:r>
            <w:r w:rsidR="008E1BCA" w:rsidRPr="00D03260">
              <w:rPr>
                <w:rFonts w:cs="Arial"/>
                <w:lang w:val="en-AU"/>
              </w:rPr>
              <w:t xml:space="preserve"> </w:t>
            </w:r>
            <w:r w:rsidR="001B3EE2" w:rsidRPr="00D03260">
              <w:rPr>
                <w:rFonts w:cs="Arial"/>
                <w:lang w:val="en-AU"/>
              </w:rPr>
              <w:t>(</w:t>
            </w:r>
            <w:r w:rsidR="00A72F84" w:rsidRPr="00D03260">
              <w:rPr>
                <w:rFonts w:cs="Arial"/>
                <w:iCs/>
                <w:lang w:val="en-AU"/>
              </w:rPr>
              <w:t>s</w:t>
            </w:r>
            <w:r w:rsidR="00E21FCE" w:rsidRPr="00D03260">
              <w:rPr>
                <w:rFonts w:cs="Arial"/>
                <w:iCs/>
                <w:lang w:val="en-AU"/>
              </w:rPr>
              <w:t xml:space="preserve">ee </w:t>
            </w:r>
            <w:hyperlink w:anchor="Sect121ACausalRelationshipBetweenMouldDa" w:history="1">
              <w:r w:rsidR="004E187D" w:rsidRPr="00D03260">
                <w:rPr>
                  <w:rStyle w:val="Hyperlink"/>
                  <w:rFonts w:cs="Arial"/>
                  <w:iCs/>
                  <w:szCs w:val="21"/>
                  <w:lang w:val="en-AU"/>
                </w:rPr>
                <w:t>s</w:t>
              </w:r>
              <w:r w:rsidR="00E21FCE" w:rsidRPr="00D03260">
                <w:rPr>
                  <w:rStyle w:val="Hyperlink"/>
                  <w:rFonts w:cs="Arial"/>
                  <w:iCs/>
                  <w:szCs w:val="21"/>
                  <w:lang w:val="en-AU"/>
                </w:rPr>
                <w:t xml:space="preserve">ection </w:t>
              </w:r>
              <w:r w:rsidR="008E1BCA" w:rsidRPr="00D03260">
                <w:rPr>
                  <w:rStyle w:val="Hyperlink"/>
                  <w:rFonts w:cs="Arial"/>
                  <w:iCs/>
                  <w:szCs w:val="21"/>
                  <w:lang w:val="en-AU"/>
                </w:rPr>
                <w:t>1.2.</w:t>
              </w:r>
              <w:r w:rsidR="00E32450" w:rsidRPr="00D03260">
                <w:rPr>
                  <w:rStyle w:val="Hyperlink"/>
                  <w:rFonts w:cs="Arial"/>
                  <w:iCs/>
                  <w:szCs w:val="21"/>
                  <w:lang w:val="en-AU"/>
                </w:rPr>
                <w:t>1</w:t>
              </w:r>
            </w:hyperlink>
            <w:r w:rsidR="00E05202" w:rsidRPr="00D03260">
              <w:rPr>
                <w:rFonts w:cs="Arial"/>
                <w:iCs/>
                <w:lang w:val="en-AU"/>
              </w:rPr>
              <w:t xml:space="preserve">, </w:t>
            </w:r>
            <w:hyperlink w:anchor="Sect125MechanismsToExplainVariousHealthE" w:history="1">
              <w:r w:rsidR="004E187D" w:rsidRPr="00D03260">
                <w:rPr>
                  <w:rStyle w:val="Hyperlink"/>
                  <w:rFonts w:cs="Arial"/>
                  <w:iCs/>
                  <w:szCs w:val="21"/>
                  <w:lang w:val="en-AU"/>
                </w:rPr>
                <w:t>s</w:t>
              </w:r>
              <w:r w:rsidR="00D04A11" w:rsidRPr="00D03260">
                <w:rPr>
                  <w:rStyle w:val="Hyperlink"/>
                  <w:rFonts w:cs="Arial"/>
                  <w:iCs/>
                  <w:szCs w:val="21"/>
                  <w:lang w:val="en-AU"/>
                </w:rPr>
                <w:t>ection 1.2.5</w:t>
              </w:r>
            </w:hyperlink>
            <w:r w:rsidR="004432FF" w:rsidRPr="00D03260">
              <w:rPr>
                <w:rFonts w:cs="Arial"/>
                <w:iCs/>
                <w:lang w:val="en-AU"/>
              </w:rPr>
              <w:t xml:space="preserve">, </w:t>
            </w:r>
            <w:hyperlink w:anchor="Sect126LimitationsAndIssuesAboutTheHuman" w:history="1">
              <w:r w:rsidR="004E187D" w:rsidRPr="00D03260">
                <w:rPr>
                  <w:rStyle w:val="Hyperlink"/>
                  <w:rFonts w:cs="Arial"/>
                  <w:iCs/>
                  <w:szCs w:val="21"/>
                  <w:lang w:val="en-AU"/>
                </w:rPr>
                <w:t>s</w:t>
              </w:r>
              <w:r w:rsidR="004432FF" w:rsidRPr="00D03260">
                <w:rPr>
                  <w:rStyle w:val="Hyperlink"/>
                  <w:rFonts w:cs="Arial"/>
                  <w:iCs/>
                  <w:szCs w:val="21"/>
                  <w:lang w:val="en-AU"/>
                </w:rPr>
                <w:t>ection</w:t>
              </w:r>
              <w:r w:rsidR="00BD4C28" w:rsidRPr="00D03260">
                <w:rPr>
                  <w:rStyle w:val="Hyperlink"/>
                  <w:rFonts w:cs="Arial"/>
                  <w:iCs/>
                  <w:szCs w:val="21"/>
                  <w:lang w:val="en-AU"/>
                </w:rPr>
                <w:t xml:space="preserve"> 1.2.6</w:t>
              </w:r>
            </w:hyperlink>
            <w:r w:rsidR="009E46B5" w:rsidRPr="00D03260">
              <w:rPr>
                <w:rFonts w:cs="Arial"/>
                <w:iCs/>
                <w:lang w:val="en-AU"/>
              </w:rPr>
              <w:t>,</w:t>
            </w:r>
            <w:r w:rsidR="00F85692" w:rsidRPr="00D03260">
              <w:rPr>
                <w:rFonts w:cs="Arial"/>
                <w:iCs/>
                <w:lang w:val="en-AU"/>
              </w:rPr>
              <w:t xml:space="preserve"> </w:t>
            </w:r>
            <w:r w:rsidR="004432FF" w:rsidRPr="00D03260">
              <w:rPr>
                <w:rFonts w:cs="Arial"/>
                <w:iCs/>
                <w:lang w:val="en-AU"/>
              </w:rPr>
              <w:t xml:space="preserve">and </w:t>
            </w:r>
            <w:hyperlink w:anchor="Sect216PrecautionaryAdviceAboutLinkingMo" w:history="1">
              <w:r w:rsidR="004E187D" w:rsidRPr="00D03260">
                <w:rPr>
                  <w:rStyle w:val="Hyperlink"/>
                  <w:rFonts w:cs="Arial"/>
                  <w:iCs/>
                  <w:szCs w:val="21"/>
                  <w:lang w:val="en-AU"/>
                </w:rPr>
                <w:t>s</w:t>
              </w:r>
              <w:r w:rsidR="004432FF" w:rsidRPr="00D03260">
                <w:rPr>
                  <w:rStyle w:val="Hyperlink"/>
                  <w:rFonts w:cs="Arial"/>
                  <w:iCs/>
                  <w:szCs w:val="21"/>
                  <w:lang w:val="en-AU"/>
                </w:rPr>
                <w:t xml:space="preserve">ection </w:t>
              </w:r>
              <w:r w:rsidR="000125E9" w:rsidRPr="00D03260">
                <w:rPr>
                  <w:rStyle w:val="Hyperlink"/>
                  <w:rFonts w:cs="Arial"/>
                  <w:iCs/>
                  <w:szCs w:val="21"/>
                  <w:lang w:val="en-AU"/>
                </w:rPr>
                <w:t>2.1.6</w:t>
              </w:r>
            </w:hyperlink>
            <w:r w:rsidR="00764D11" w:rsidRPr="00D03260">
              <w:rPr>
                <w:rFonts w:cs="Arial"/>
                <w:iCs/>
                <w:lang w:val="en-AU"/>
              </w:rPr>
              <w:t xml:space="preserve"> f</w:t>
            </w:r>
            <w:r w:rsidR="00764D11" w:rsidRPr="00D03260">
              <w:rPr>
                <w:rFonts w:cs="Arial"/>
                <w:lang w:val="en-AU"/>
              </w:rPr>
              <w:t xml:space="preserve">or </w:t>
            </w:r>
            <w:r w:rsidR="00A72F84" w:rsidRPr="00D03260">
              <w:rPr>
                <w:rFonts w:cs="Arial"/>
                <w:iCs/>
                <w:lang w:val="en-AU"/>
              </w:rPr>
              <w:t>further details</w:t>
            </w:r>
            <w:r w:rsidR="001B3EE2" w:rsidRPr="00D03260">
              <w:rPr>
                <w:rFonts w:cs="Arial"/>
                <w:iCs/>
                <w:lang w:val="en-AU"/>
              </w:rPr>
              <w:t>)</w:t>
            </w:r>
            <w:r w:rsidR="00A72F84" w:rsidRPr="00D03260">
              <w:rPr>
                <w:rFonts w:cs="Arial"/>
                <w:iCs/>
                <w:lang w:val="en-AU"/>
              </w:rPr>
              <w:t>.</w:t>
            </w:r>
          </w:p>
          <w:p w14:paraId="12ECFF66" w14:textId="7CE5F9F3" w:rsidR="0036637D" w:rsidRPr="00D03260" w:rsidRDefault="0036637D">
            <w:pPr>
              <w:pStyle w:val="Tablelistbullet"/>
              <w:ind w:left="284" w:hanging="284"/>
              <w:rPr>
                <w:rFonts w:cs="Arial"/>
                <w:i/>
                <w:sz w:val="20"/>
                <w:lang w:val="en-AU"/>
              </w:rPr>
            </w:pPr>
            <w:r w:rsidRPr="00D03260">
              <w:rPr>
                <w:rFonts w:cs="Arial"/>
                <w:lang w:val="en-AU"/>
              </w:rPr>
              <w:t xml:space="preserve">Patients with pre-existing health conditions </w:t>
            </w:r>
            <w:r w:rsidR="002B3070" w:rsidRPr="00D03260">
              <w:rPr>
                <w:rFonts w:cs="Arial"/>
                <w:lang w:val="en-AU"/>
              </w:rPr>
              <w:t xml:space="preserve">are </w:t>
            </w:r>
            <w:r w:rsidRPr="00D03260">
              <w:rPr>
                <w:rFonts w:cs="Arial"/>
                <w:lang w:val="en-AU"/>
              </w:rPr>
              <w:t>more likely to experience symptoms associated with exposure to indoor damp or mould or poor indoor air quality. The medical history should identify the most vulnerable and sensitive persons, such as immunocompromised individuals, allergic (atopic) persons and individuals with pre-existing pulmonary diseases like asthma, chronic obstructive pulmonary disease (COPD), and cystic fibrosis (CF). These people are also more susceptible to other serious health effects, such as aspergillosis (‘Farmer’s lung’)</w:t>
            </w:r>
            <w:r w:rsidR="001B1320" w:rsidRPr="00D03260">
              <w:rPr>
                <w:rFonts w:cs="Arial"/>
                <w:lang w:val="en-AU"/>
              </w:rPr>
              <w:t xml:space="preserve"> </w:t>
            </w:r>
            <w:r w:rsidR="00B204CC" w:rsidRPr="00D03260">
              <w:rPr>
                <w:rFonts w:cs="Arial"/>
                <w:lang w:val="en-AU"/>
              </w:rPr>
              <w:t>(</w:t>
            </w:r>
            <w:r w:rsidR="00A72F84" w:rsidRPr="00D03260">
              <w:rPr>
                <w:rFonts w:cs="Arial"/>
                <w:iCs/>
                <w:lang w:val="en-AU"/>
              </w:rPr>
              <w:t>s</w:t>
            </w:r>
            <w:r w:rsidR="001B1320" w:rsidRPr="00D03260">
              <w:rPr>
                <w:rFonts w:cs="Arial"/>
                <w:iCs/>
                <w:lang w:val="en-AU"/>
              </w:rPr>
              <w:t xml:space="preserve">ee </w:t>
            </w:r>
            <w:hyperlink w:anchor="Sect124IndividualsAndPatientsAtRiskOfHea" w:history="1">
              <w:r w:rsidR="004E187D" w:rsidRPr="00D03260">
                <w:rPr>
                  <w:rStyle w:val="Hyperlink"/>
                  <w:rFonts w:cs="Arial"/>
                  <w:iCs/>
                  <w:szCs w:val="21"/>
                  <w:lang w:val="en-AU"/>
                </w:rPr>
                <w:t>s</w:t>
              </w:r>
              <w:r w:rsidR="001B1320" w:rsidRPr="00D03260">
                <w:rPr>
                  <w:rStyle w:val="Hyperlink"/>
                  <w:rFonts w:cs="Arial"/>
                  <w:iCs/>
                  <w:szCs w:val="21"/>
                  <w:lang w:val="en-AU"/>
                </w:rPr>
                <w:t xml:space="preserve">ection </w:t>
              </w:r>
              <w:r w:rsidR="00DE552E" w:rsidRPr="00D03260">
                <w:rPr>
                  <w:rStyle w:val="Hyperlink"/>
                  <w:rFonts w:cs="Arial"/>
                  <w:iCs/>
                  <w:szCs w:val="21"/>
                  <w:lang w:val="en-AU"/>
                </w:rPr>
                <w:t>1.2.4</w:t>
              </w:r>
            </w:hyperlink>
            <w:r w:rsidR="001A1BEE" w:rsidRPr="00D03260">
              <w:rPr>
                <w:rFonts w:cs="Arial"/>
                <w:iCs/>
                <w:lang w:val="en-AU"/>
              </w:rPr>
              <w:t xml:space="preserve"> </w:t>
            </w:r>
            <w:r w:rsidR="00611423" w:rsidRPr="00D03260">
              <w:rPr>
                <w:rFonts w:cs="Arial"/>
                <w:iCs/>
                <w:lang w:val="en-AU"/>
              </w:rPr>
              <w:t xml:space="preserve">and </w:t>
            </w:r>
            <w:hyperlink w:anchor="Sect212IdentifySusceptiblePeople" w:history="1">
              <w:r w:rsidR="004E187D" w:rsidRPr="00D03260">
                <w:rPr>
                  <w:rStyle w:val="Hyperlink"/>
                  <w:rFonts w:cs="Arial"/>
                  <w:iCs/>
                  <w:szCs w:val="21"/>
                  <w:lang w:val="en-AU"/>
                </w:rPr>
                <w:t>s</w:t>
              </w:r>
              <w:r w:rsidR="00611423" w:rsidRPr="00D03260">
                <w:rPr>
                  <w:rStyle w:val="Hyperlink"/>
                  <w:rFonts w:cs="Arial"/>
                  <w:iCs/>
                  <w:szCs w:val="21"/>
                  <w:lang w:val="en-AU"/>
                </w:rPr>
                <w:t xml:space="preserve">ection </w:t>
              </w:r>
              <w:r w:rsidR="00A55A7D" w:rsidRPr="00D03260">
                <w:rPr>
                  <w:rStyle w:val="Hyperlink"/>
                  <w:rFonts w:cs="Arial"/>
                  <w:iCs/>
                  <w:szCs w:val="21"/>
                  <w:lang w:val="en-AU"/>
                </w:rPr>
                <w:t>2.1.2</w:t>
              </w:r>
            </w:hyperlink>
            <w:r w:rsidR="001A1BEE" w:rsidRPr="00D03260">
              <w:rPr>
                <w:rFonts w:cs="Arial"/>
                <w:iCs/>
                <w:lang w:val="en-AU"/>
              </w:rPr>
              <w:t xml:space="preserve"> </w:t>
            </w:r>
            <w:r w:rsidR="00764D11" w:rsidRPr="00D03260">
              <w:rPr>
                <w:rFonts w:cs="Arial"/>
                <w:iCs/>
                <w:lang w:val="en-AU"/>
              </w:rPr>
              <w:t>for further</w:t>
            </w:r>
            <w:r w:rsidR="00FB4D01" w:rsidRPr="00D03260">
              <w:rPr>
                <w:rFonts w:cs="Arial"/>
                <w:iCs/>
                <w:lang w:val="en-AU"/>
              </w:rPr>
              <w:t xml:space="preserve"> details</w:t>
            </w:r>
            <w:r w:rsidR="00A72F84" w:rsidRPr="00D03260">
              <w:rPr>
                <w:rFonts w:cs="Arial"/>
                <w:iCs/>
                <w:lang w:val="en-AU"/>
              </w:rPr>
              <w:t>)</w:t>
            </w:r>
            <w:r w:rsidR="00764D11" w:rsidRPr="00D03260">
              <w:rPr>
                <w:rFonts w:cs="Arial"/>
                <w:iCs/>
                <w:lang w:val="en-AU"/>
              </w:rPr>
              <w:t>.</w:t>
            </w:r>
          </w:p>
          <w:p w14:paraId="71335768" w14:textId="22B5BDA6" w:rsidR="001C3C4B" w:rsidRPr="00D03260" w:rsidRDefault="001C3C4B">
            <w:pPr>
              <w:pStyle w:val="Tablelistbullet"/>
              <w:ind w:left="284" w:hanging="284"/>
              <w:rPr>
                <w:rFonts w:cs="Arial"/>
                <w:i/>
                <w:lang w:val="en-AU"/>
              </w:rPr>
            </w:pPr>
            <w:r w:rsidRPr="00D03260">
              <w:rPr>
                <w:rFonts w:cs="Arial"/>
                <w:lang w:val="en-AU"/>
              </w:rPr>
              <w:t xml:space="preserve">People living in vulnerable circumstances may be more susceptible to exposure to indoor damp and mould and potential health effects from exposure. International evidence indicates dampness and mould may be particularly prevalent in poorly maintained housing </w:t>
            </w:r>
            <w:r w:rsidR="002744EA" w:rsidRPr="00D03260">
              <w:rPr>
                <w:rFonts w:cs="Arial"/>
                <w:lang w:val="en-AU"/>
              </w:rPr>
              <w:t xml:space="preserve">in </w:t>
            </w:r>
            <w:r w:rsidRPr="00D03260">
              <w:rPr>
                <w:rFonts w:cs="Arial"/>
                <w:lang w:val="en-AU"/>
              </w:rPr>
              <w:t xml:space="preserve">low-income </w:t>
            </w:r>
            <w:r w:rsidR="002744EA" w:rsidRPr="00D03260">
              <w:rPr>
                <w:rFonts w:cs="Arial"/>
                <w:lang w:val="en-AU"/>
              </w:rPr>
              <w:t>communities</w:t>
            </w:r>
            <w:r w:rsidRPr="00D03260">
              <w:rPr>
                <w:rFonts w:cs="Arial"/>
                <w:lang w:val="en-AU"/>
              </w:rPr>
              <w:t>. Furthermore, the prevalence of indoor damp in low-income communities can be higher, as dampness is more likely to occur in houses that are overcrowded and lack appropriate heating, ventilation and insulation</w:t>
            </w:r>
            <w:r w:rsidR="00AF61F6" w:rsidRPr="00D03260">
              <w:rPr>
                <w:rFonts w:cs="Arial"/>
                <w:lang w:val="en-AU"/>
              </w:rPr>
              <w:t xml:space="preserve"> (</w:t>
            </w:r>
            <w:r w:rsidR="00ED453C" w:rsidRPr="00D03260">
              <w:rPr>
                <w:rFonts w:cs="Arial"/>
                <w:lang w:val="en-AU"/>
              </w:rPr>
              <w:t>see</w:t>
            </w:r>
            <w:r w:rsidR="00C35962" w:rsidRPr="00D03260">
              <w:rPr>
                <w:rFonts w:cs="Arial"/>
                <w:lang w:val="en-AU"/>
              </w:rPr>
              <w:t> </w:t>
            </w:r>
            <w:hyperlink w:anchor="Sect124IndividualsAndPatientsAtRiskOfHea" w:history="1">
              <w:r w:rsidR="00C35962" w:rsidRPr="00D03260">
                <w:rPr>
                  <w:rStyle w:val="Hyperlink"/>
                  <w:rFonts w:cs="Arial"/>
                  <w:iCs/>
                  <w:szCs w:val="21"/>
                  <w:lang w:val="en-AU"/>
                </w:rPr>
                <w:t>section 1.2.4</w:t>
              </w:r>
            </w:hyperlink>
            <w:r w:rsidR="001E551E" w:rsidRPr="00D03260">
              <w:rPr>
                <w:rFonts w:cs="Arial"/>
                <w:lang w:val="en-AU"/>
              </w:rPr>
              <w:t xml:space="preserve"> </w:t>
            </w:r>
            <w:r w:rsidR="00ED453C" w:rsidRPr="00D03260">
              <w:rPr>
                <w:rFonts w:cs="Arial"/>
                <w:lang w:val="en-AU"/>
              </w:rPr>
              <w:t>for further details)</w:t>
            </w:r>
            <w:r w:rsidR="00C35962" w:rsidRPr="00D03260">
              <w:rPr>
                <w:rFonts w:cs="Arial"/>
                <w:lang w:val="en-AU"/>
              </w:rPr>
              <w:t>.</w:t>
            </w:r>
          </w:p>
        </w:tc>
      </w:tr>
      <w:tr w:rsidR="00575026" w:rsidRPr="00D03260" w14:paraId="5A7A3D2F" w14:textId="77777777" w:rsidTr="0077078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70" w:type="dxa"/>
          </w:tcPr>
          <w:p w14:paraId="55AAB950" w14:textId="77777777" w:rsidR="00B92834" w:rsidRPr="00D03260" w:rsidRDefault="00B92834" w:rsidP="00E16337">
            <w:pPr>
              <w:pStyle w:val="Tablelistbullet"/>
              <w:ind w:left="284" w:hanging="284"/>
              <w:rPr>
                <w:rFonts w:cs="Arial"/>
                <w:i/>
                <w:lang w:val="en-AU"/>
              </w:rPr>
            </w:pPr>
            <w:r w:rsidRPr="00D03260">
              <w:rPr>
                <w:rFonts w:cs="Arial"/>
                <w:lang w:val="en-AU"/>
              </w:rPr>
              <w:lastRenderedPageBreak/>
              <w:t>A thorough subjective and objective clinical assessment will assist in forming a differential diagnosis. Adopt a multidisciplinary approach to patient care, involving general practitioners (GP), and where necessary, non-GP specialists such as general physicians, respiratory physicians, infectious diseases (ID) physicians, clinical allergists, clinical immunologists, occupational and environmental physicians, and psychiatrists. The multidisciplinary approach to patient care also involves allied health and non-medical health professionals, including occupational health nurses. A</w:t>
            </w:r>
            <w:r w:rsidR="00A31A97" w:rsidRPr="00D03260">
              <w:rPr>
                <w:rFonts w:cs="Arial"/>
                <w:lang w:val="en-AU"/>
              </w:rPr>
              <w:t xml:space="preserve"> </w:t>
            </w:r>
            <w:r w:rsidRPr="00D03260">
              <w:rPr>
                <w:rFonts w:cs="Arial"/>
                <w:lang w:val="en-AU"/>
              </w:rPr>
              <w:t>number of potential causes of these debilitating symptoms may be relevant and, as a result, each patient should undergo a thorough clinical assessment that considers the patient's complete history</w:t>
            </w:r>
            <w:r w:rsidRPr="00D03260">
              <w:rPr>
                <w:rFonts w:cs="Arial"/>
                <w:iCs/>
                <w:lang w:val="en-AU"/>
              </w:rPr>
              <w:t xml:space="preserve"> </w:t>
            </w:r>
            <w:r w:rsidR="003E71B7" w:rsidRPr="00D03260">
              <w:rPr>
                <w:rFonts w:cs="Arial"/>
                <w:iCs/>
                <w:lang w:val="en-AU"/>
              </w:rPr>
              <w:t>(</w:t>
            </w:r>
            <w:r w:rsidR="00A72F84" w:rsidRPr="00D03260">
              <w:rPr>
                <w:rFonts w:cs="Arial"/>
                <w:iCs/>
                <w:lang w:val="en-AU"/>
              </w:rPr>
              <w:t>s</w:t>
            </w:r>
            <w:r w:rsidRPr="00D03260">
              <w:rPr>
                <w:rFonts w:cs="Arial"/>
                <w:iCs/>
                <w:lang w:val="en-AU"/>
              </w:rPr>
              <w:t xml:space="preserve">ee </w:t>
            </w:r>
            <w:hyperlink w:anchor="Sect22ConsultWithAndReferToAppropriateEx" w:history="1">
              <w:r w:rsidR="004E187D" w:rsidRPr="00D03260">
                <w:rPr>
                  <w:rStyle w:val="Hyperlink"/>
                  <w:rFonts w:cs="Arial"/>
                  <w:iCs/>
                  <w:szCs w:val="21"/>
                  <w:lang w:val="en-AU"/>
                </w:rPr>
                <w:t>s</w:t>
              </w:r>
              <w:r w:rsidRPr="00D03260">
                <w:rPr>
                  <w:rStyle w:val="Hyperlink"/>
                  <w:rFonts w:cs="Arial"/>
                  <w:iCs/>
                  <w:szCs w:val="21"/>
                  <w:lang w:val="en-AU"/>
                </w:rPr>
                <w:t>ection 2.2</w:t>
              </w:r>
            </w:hyperlink>
            <w:r w:rsidR="00764D11" w:rsidRPr="00D03260">
              <w:rPr>
                <w:rFonts w:cs="Arial"/>
                <w:iCs/>
                <w:lang w:val="en-AU"/>
              </w:rPr>
              <w:t xml:space="preserve"> for further details</w:t>
            </w:r>
            <w:r w:rsidR="00A72F84" w:rsidRPr="00D03260">
              <w:rPr>
                <w:rFonts w:cs="Arial"/>
                <w:iCs/>
                <w:lang w:val="en-AU"/>
              </w:rPr>
              <w:t>).</w:t>
            </w:r>
          </w:p>
          <w:p w14:paraId="3DF98668" w14:textId="41533618" w:rsidR="00FF2693" w:rsidRPr="00D03260" w:rsidRDefault="00FF2693" w:rsidP="00E16337">
            <w:pPr>
              <w:pStyle w:val="Tablelistbullet"/>
              <w:ind w:left="284" w:hanging="284"/>
              <w:rPr>
                <w:rFonts w:cs="Arial"/>
                <w:i/>
                <w:lang w:val="en-AU"/>
              </w:rPr>
            </w:pPr>
            <w:r w:rsidRPr="00D03260">
              <w:rPr>
                <w:rFonts w:cs="Arial"/>
                <w:lang w:val="en-AU"/>
              </w:rPr>
              <w:t xml:space="preserve">In the case of suspected health </w:t>
            </w:r>
            <w:r w:rsidR="00063F39" w:rsidRPr="00D03260">
              <w:rPr>
                <w:rFonts w:cs="Arial"/>
                <w:lang w:val="en-AU"/>
              </w:rPr>
              <w:t xml:space="preserve">effects or symptoms </w:t>
            </w:r>
            <w:r w:rsidRPr="00D03260">
              <w:rPr>
                <w:rFonts w:cs="Arial"/>
                <w:lang w:val="en-AU"/>
              </w:rPr>
              <w:t>due to mould, the target organs noted in the medical history should take priority in the physical examination</w:t>
            </w:r>
            <w:r w:rsidR="00E250A4" w:rsidRPr="00D03260">
              <w:rPr>
                <w:rFonts w:cs="Arial"/>
                <w:lang w:val="en-AU"/>
              </w:rPr>
              <w:t xml:space="preserve">. </w:t>
            </w:r>
            <w:r w:rsidR="00BC262D" w:rsidRPr="00D03260">
              <w:rPr>
                <w:rFonts w:cs="Arial"/>
                <w:lang w:val="en-AU"/>
              </w:rPr>
              <w:t>P</w:t>
            </w:r>
            <w:r w:rsidRPr="00D03260">
              <w:rPr>
                <w:rFonts w:cs="Arial"/>
                <w:lang w:val="en-AU"/>
              </w:rPr>
              <w:t xml:space="preserve">articular attention </w:t>
            </w:r>
            <w:r w:rsidR="00E250A4" w:rsidRPr="00D03260">
              <w:rPr>
                <w:rFonts w:cs="Arial"/>
                <w:lang w:val="en-AU"/>
              </w:rPr>
              <w:t xml:space="preserve">should be </w:t>
            </w:r>
            <w:r w:rsidRPr="00D03260">
              <w:rPr>
                <w:rFonts w:cs="Arial"/>
                <w:lang w:val="en-AU"/>
              </w:rPr>
              <w:t xml:space="preserve">paid to the mucosa of the eyes, the skin, and </w:t>
            </w:r>
            <w:r w:rsidR="004A72A2" w:rsidRPr="00D03260">
              <w:rPr>
                <w:rFonts w:cs="Arial"/>
                <w:lang w:val="en-AU"/>
              </w:rPr>
              <w:t xml:space="preserve">the </w:t>
            </w:r>
            <w:r w:rsidRPr="00D03260">
              <w:rPr>
                <w:rFonts w:cs="Arial"/>
                <w:lang w:val="en-AU"/>
              </w:rPr>
              <w:t>upper airways</w:t>
            </w:r>
            <w:r w:rsidR="004A72A2" w:rsidRPr="00D03260">
              <w:rPr>
                <w:rFonts w:cs="Arial"/>
                <w:lang w:val="en-AU"/>
              </w:rPr>
              <w:t xml:space="preserve"> as</w:t>
            </w:r>
            <w:r w:rsidRPr="00D03260">
              <w:rPr>
                <w:rFonts w:cs="Arial"/>
                <w:lang w:val="en-AU"/>
              </w:rPr>
              <w:t xml:space="preserve"> the non-specific symptoms </w:t>
            </w:r>
            <w:r w:rsidR="004A72A2" w:rsidRPr="00D03260">
              <w:rPr>
                <w:rFonts w:cs="Arial"/>
                <w:lang w:val="en-AU"/>
              </w:rPr>
              <w:t xml:space="preserve">that </w:t>
            </w:r>
            <w:r w:rsidRPr="00D03260">
              <w:rPr>
                <w:rFonts w:cs="Arial"/>
                <w:lang w:val="en-AU"/>
              </w:rPr>
              <w:t xml:space="preserve">patients often complain relate to these organs </w:t>
            </w:r>
            <w:r w:rsidR="001C0C75" w:rsidRPr="00D03260">
              <w:rPr>
                <w:rFonts w:cs="Arial"/>
                <w:iCs/>
                <w:lang w:val="en-AU"/>
              </w:rPr>
              <w:t>(</w:t>
            </w:r>
            <w:r w:rsidR="00A72F84" w:rsidRPr="00D03260">
              <w:rPr>
                <w:rFonts w:cs="Arial"/>
                <w:iCs/>
                <w:lang w:val="en-AU"/>
              </w:rPr>
              <w:t>s</w:t>
            </w:r>
            <w:r w:rsidR="007B27BD" w:rsidRPr="00D03260">
              <w:rPr>
                <w:rFonts w:cs="Arial"/>
                <w:iCs/>
                <w:lang w:val="en-AU"/>
              </w:rPr>
              <w:t xml:space="preserve">ee </w:t>
            </w:r>
            <w:hyperlink w:anchor="Sect213ClinicalExamination" w:history="1">
              <w:r w:rsidR="004E187D" w:rsidRPr="00D03260">
                <w:rPr>
                  <w:rStyle w:val="Hyperlink"/>
                  <w:rFonts w:cs="Arial"/>
                  <w:iCs/>
                  <w:szCs w:val="21"/>
                  <w:lang w:val="en-AU"/>
                </w:rPr>
                <w:t>s</w:t>
              </w:r>
              <w:r w:rsidR="007B27BD" w:rsidRPr="00D03260">
                <w:rPr>
                  <w:rStyle w:val="Hyperlink"/>
                  <w:rFonts w:cs="Arial"/>
                  <w:iCs/>
                  <w:szCs w:val="21"/>
                  <w:lang w:val="en-AU"/>
                </w:rPr>
                <w:t>ection 2.1.3</w:t>
              </w:r>
            </w:hyperlink>
            <w:r w:rsidR="00A31A97" w:rsidRPr="00D03260">
              <w:rPr>
                <w:rFonts w:cs="Arial"/>
                <w:iCs/>
                <w:lang w:val="en-AU"/>
              </w:rPr>
              <w:t xml:space="preserve"> </w:t>
            </w:r>
            <w:r w:rsidR="00BB6B0F" w:rsidRPr="00D03260">
              <w:rPr>
                <w:rFonts w:cs="Arial"/>
                <w:iCs/>
                <w:lang w:val="en-AU"/>
              </w:rPr>
              <w:t xml:space="preserve">for </w:t>
            </w:r>
            <w:r w:rsidR="000C008C" w:rsidRPr="00D03260">
              <w:rPr>
                <w:rFonts w:cs="Arial"/>
                <w:iCs/>
                <w:lang w:val="en-AU"/>
              </w:rPr>
              <w:t>further details</w:t>
            </w:r>
            <w:r w:rsidR="00A72F84" w:rsidRPr="00D03260">
              <w:rPr>
                <w:rFonts w:cs="Arial"/>
                <w:iCs/>
                <w:lang w:val="en-AU"/>
              </w:rPr>
              <w:t>).</w:t>
            </w:r>
          </w:p>
          <w:p w14:paraId="77CB9558" w14:textId="1D9AAFCB" w:rsidR="001A7395" w:rsidRPr="00D03260" w:rsidRDefault="009844C4">
            <w:pPr>
              <w:pStyle w:val="Tablelistbullet"/>
              <w:ind w:left="284" w:hanging="284"/>
              <w:rPr>
                <w:rFonts w:cs="Arial"/>
                <w:i/>
                <w:lang w:val="en-AU"/>
              </w:rPr>
            </w:pPr>
            <w:r w:rsidRPr="00D03260">
              <w:rPr>
                <w:rFonts w:cs="Arial"/>
                <w:lang w:val="en-AU"/>
              </w:rPr>
              <w:t xml:space="preserve">Infants aged zero to 12 months with clinically significant wheezing should be referred to a paediatric respiratory physician or paediatrician as per the Australian Asthma Handbook guideline </w:t>
            </w:r>
            <w:hyperlink r:id="rId37" w:history="1">
              <w:r w:rsidR="00E90382" w:rsidRPr="00D03260">
                <w:rPr>
                  <w:rStyle w:val="Hyperlink"/>
                  <w:rFonts w:cs="Arial"/>
                  <w:szCs w:val="21"/>
                  <w:shd w:val="clear" w:color="auto" w:fill="FBFBFB"/>
                  <w:lang w:val="en-AU"/>
                </w:rPr>
                <w:t>https://www.asthmahandbook.org.au/diagnosis/children</w:t>
              </w:r>
            </w:hyperlink>
            <w:r w:rsidR="00E90382" w:rsidRPr="00D03260">
              <w:rPr>
                <w:rFonts w:cs="Arial"/>
                <w:lang w:val="en-AU"/>
              </w:rPr>
              <w:t xml:space="preserve"> </w:t>
            </w:r>
            <w:r w:rsidR="002C2EEB" w:rsidRPr="00D03260">
              <w:rPr>
                <w:rFonts w:cs="Arial"/>
                <w:lang w:val="en-AU"/>
              </w:rPr>
              <w:t>(</w:t>
            </w:r>
            <w:r w:rsidR="00A72F84" w:rsidRPr="00D03260">
              <w:rPr>
                <w:rFonts w:cs="Arial"/>
                <w:lang w:val="en-AU"/>
              </w:rPr>
              <w:t>s</w:t>
            </w:r>
            <w:r w:rsidR="00E90382" w:rsidRPr="00D03260">
              <w:rPr>
                <w:rFonts w:cs="Arial"/>
                <w:iCs/>
                <w:lang w:val="en-AU"/>
              </w:rPr>
              <w:t>ee</w:t>
            </w:r>
            <w:r w:rsidR="002C2EEB" w:rsidRPr="00D03260">
              <w:rPr>
                <w:rFonts w:cs="Arial"/>
                <w:iCs/>
                <w:lang w:val="en-AU"/>
              </w:rPr>
              <w:t xml:space="preserve"> </w:t>
            </w:r>
            <w:hyperlink w:anchor="Section414InfantsAged0To12Months" w:history="1">
              <w:r w:rsidR="004E187D" w:rsidRPr="00D03260">
                <w:rPr>
                  <w:rStyle w:val="Hyperlink"/>
                  <w:rFonts w:cs="Arial"/>
                  <w:iCs/>
                  <w:szCs w:val="21"/>
                  <w:lang w:val="en-AU"/>
                </w:rPr>
                <w:t>s</w:t>
              </w:r>
              <w:r w:rsidR="00E90382" w:rsidRPr="00D03260">
                <w:rPr>
                  <w:rStyle w:val="Hyperlink"/>
                  <w:rFonts w:cs="Arial"/>
                  <w:iCs/>
                  <w:szCs w:val="21"/>
                  <w:lang w:val="en-AU"/>
                </w:rPr>
                <w:t>ection 4.1.4</w:t>
              </w:r>
            </w:hyperlink>
            <w:r w:rsidR="00E90382" w:rsidRPr="00D03260">
              <w:rPr>
                <w:rFonts w:cs="Arial"/>
                <w:iCs/>
                <w:lang w:val="en-AU"/>
              </w:rPr>
              <w:t xml:space="preserve"> </w:t>
            </w:r>
            <w:r w:rsidR="000C008C" w:rsidRPr="00D03260">
              <w:rPr>
                <w:rFonts w:cs="Arial"/>
                <w:iCs/>
                <w:lang w:val="en-AU"/>
              </w:rPr>
              <w:t>for further details</w:t>
            </w:r>
            <w:r w:rsidR="00290A60" w:rsidRPr="00D03260">
              <w:rPr>
                <w:rFonts w:cs="Arial"/>
                <w:iCs/>
                <w:lang w:val="en-AU"/>
              </w:rPr>
              <w:t>)</w:t>
            </w:r>
            <w:r w:rsidR="004756D1" w:rsidRPr="00D03260">
              <w:rPr>
                <w:rFonts w:cs="Arial"/>
                <w:iCs/>
                <w:lang w:val="en-AU"/>
              </w:rPr>
              <w:t>.</w:t>
            </w:r>
          </w:p>
          <w:p w14:paraId="29CA43A5" w14:textId="61BB6B20" w:rsidR="008B3C6B" w:rsidRPr="00D03260" w:rsidRDefault="008B3C6B">
            <w:pPr>
              <w:pStyle w:val="Tablelistbullet"/>
              <w:ind w:left="284" w:hanging="284"/>
              <w:rPr>
                <w:rFonts w:cs="Arial"/>
                <w:lang w:val="en-AU"/>
              </w:rPr>
            </w:pPr>
            <w:r w:rsidRPr="00D03260">
              <w:rPr>
                <w:rFonts w:cs="Arial"/>
                <w:lang w:val="en-AU"/>
              </w:rPr>
              <w:t>Make appropriate referral for diagnostic investigations as part of a multidisciplinary approach to care. Refer to other specialists, for investigations on sensitivity to mould and fungus, (such as clinical immunologists, or allergy specialists). These specialists then in turn can undertake tests or refer to a pathologist for “</w:t>
            </w:r>
            <w:r w:rsidRPr="00D03260">
              <w:rPr>
                <w:rFonts w:cs="Arial"/>
                <w:i/>
                <w:iCs/>
                <w:lang w:val="en-AU"/>
              </w:rPr>
              <w:t>in vitro</w:t>
            </w:r>
            <w:r w:rsidRPr="00D03260">
              <w:rPr>
                <w:rFonts w:cs="Arial"/>
                <w:lang w:val="en-AU"/>
              </w:rPr>
              <w:t xml:space="preserve"> laboratory-based testing”. If respiratory symptoms are present, patients can be referred to a respiratory physician for management and/or further investigations.</w:t>
            </w:r>
          </w:p>
          <w:p w14:paraId="0E295693" w14:textId="2222DC5F" w:rsidR="00EF5B16" w:rsidRPr="00D03260" w:rsidRDefault="008B3C6B">
            <w:pPr>
              <w:pStyle w:val="Tablelistbullet"/>
              <w:ind w:left="284" w:hanging="284"/>
              <w:rPr>
                <w:rFonts w:cs="Arial"/>
                <w:lang w:val="en-AU"/>
              </w:rPr>
            </w:pPr>
            <w:r w:rsidRPr="00D03260">
              <w:rPr>
                <w:rFonts w:cs="Arial"/>
                <w:lang w:val="en-AU"/>
              </w:rPr>
              <w:t>Provide advice on avoiding or minimising exposure to indoor mould and damp, even in the absence of a health effect</w:t>
            </w:r>
            <w:r w:rsidR="00E250A4" w:rsidRPr="00D03260">
              <w:rPr>
                <w:rFonts w:cs="Arial"/>
                <w:lang w:val="en-AU"/>
              </w:rPr>
              <w:t>.</w:t>
            </w:r>
            <w:r w:rsidRPr="00D03260">
              <w:rPr>
                <w:rFonts w:cs="Arial"/>
                <w:lang w:val="en-AU"/>
              </w:rPr>
              <w:t xml:space="preserve"> </w:t>
            </w:r>
            <w:r w:rsidR="00E250A4" w:rsidRPr="00D03260">
              <w:rPr>
                <w:rFonts w:cs="Arial"/>
                <w:lang w:val="en-AU"/>
              </w:rPr>
              <w:t>A</w:t>
            </w:r>
            <w:r w:rsidRPr="00D03260">
              <w:rPr>
                <w:rFonts w:cs="Arial"/>
                <w:lang w:val="en-AU"/>
              </w:rPr>
              <w:t xml:space="preserve">lso </w:t>
            </w:r>
            <w:r w:rsidR="00E250A4" w:rsidRPr="00D03260">
              <w:rPr>
                <w:rFonts w:cs="Arial"/>
                <w:lang w:val="en-AU"/>
              </w:rPr>
              <w:t xml:space="preserve">provide advice on </w:t>
            </w:r>
            <w:r w:rsidRPr="00D03260">
              <w:rPr>
                <w:rFonts w:cs="Arial"/>
                <w:lang w:val="en-AU"/>
              </w:rPr>
              <w:t xml:space="preserve">prevention </w:t>
            </w:r>
            <w:r w:rsidR="00E250A4" w:rsidRPr="00D03260">
              <w:rPr>
                <w:rFonts w:cs="Arial"/>
                <w:lang w:val="en-AU"/>
              </w:rPr>
              <w:t xml:space="preserve">and remediation </w:t>
            </w:r>
            <w:r w:rsidRPr="00D03260">
              <w:rPr>
                <w:rFonts w:cs="Arial"/>
                <w:lang w:val="en-AU"/>
              </w:rPr>
              <w:t xml:space="preserve">of indoor damp and mould when it is present, as per the Environmental Health Standing Committee (enHealth) of the Australian Health Protection Principal Committee factsheet </w:t>
            </w:r>
            <w:r w:rsidR="002744EA" w:rsidRPr="00D03260">
              <w:rPr>
                <w:rFonts w:cs="Arial"/>
                <w:lang w:val="en-AU"/>
              </w:rPr>
              <w:t xml:space="preserve">(enHealth factsheet) </w:t>
            </w:r>
            <w:r w:rsidRPr="00D03260">
              <w:rPr>
                <w:rFonts w:cs="Arial"/>
                <w:lang w:val="en-AU"/>
              </w:rPr>
              <w:t>on potential health effects of mould</w:t>
            </w:r>
            <w:r w:rsidR="0071110D" w:rsidRPr="00D03260">
              <w:rPr>
                <w:rFonts w:cs="Arial"/>
                <w:lang w:val="en-AU"/>
              </w:rPr>
              <w:t xml:space="preserve"> in the environment</w:t>
            </w:r>
            <w:r w:rsidRPr="00D03260">
              <w:rPr>
                <w:rFonts w:cs="Arial"/>
                <w:lang w:val="en-AU"/>
              </w:rPr>
              <w:t xml:space="preserve">. </w:t>
            </w:r>
            <w:r w:rsidR="009B18B6" w:rsidRPr="00D03260">
              <w:rPr>
                <w:rFonts w:cs="Arial"/>
                <w:lang w:val="en-AU"/>
              </w:rPr>
              <w:t xml:space="preserve">The enHealth factsheet </w:t>
            </w:r>
            <w:r w:rsidR="005D2ED7" w:rsidRPr="00D03260">
              <w:rPr>
                <w:rFonts w:cs="Arial"/>
                <w:lang w:val="en-AU"/>
              </w:rPr>
              <w:t xml:space="preserve">is </w:t>
            </w:r>
            <w:r w:rsidR="009B18B6" w:rsidRPr="00D03260">
              <w:rPr>
                <w:rFonts w:cs="Arial"/>
                <w:lang w:val="en-AU"/>
              </w:rPr>
              <w:t xml:space="preserve">available </w:t>
            </w:r>
            <w:r w:rsidR="0023326D" w:rsidRPr="00D03260">
              <w:rPr>
                <w:rFonts w:cs="Arial"/>
                <w:lang w:val="en-AU"/>
              </w:rPr>
              <w:t>at</w:t>
            </w:r>
            <w:r w:rsidR="0034608A" w:rsidRPr="00D03260">
              <w:rPr>
                <w:rFonts w:cs="Arial"/>
                <w:lang w:val="en-AU"/>
              </w:rPr>
              <w:t xml:space="preserve"> </w:t>
            </w:r>
            <w:hyperlink r:id="rId38" w:history="1">
              <w:r w:rsidR="00C458ED" w:rsidRPr="00D03260">
                <w:rPr>
                  <w:rStyle w:val="Hyperlink"/>
                  <w:rFonts w:cs="Arial"/>
                  <w:szCs w:val="21"/>
                  <w:lang w:val="en-AU"/>
                </w:rPr>
                <w:t>https://www.health.gov.au/resources/publications/enhealth-guidance-potential-health-effects-of-mould-in-the-environment</w:t>
              </w:r>
            </w:hyperlink>
            <w:r w:rsidR="00C458ED" w:rsidRPr="00D03260">
              <w:rPr>
                <w:rFonts w:cs="Arial"/>
                <w:lang w:val="en-AU"/>
              </w:rPr>
              <w:t xml:space="preserve"> </w:t>
            </w:r>
            <w:r w:rsidR="002C2EEB" w:rsidRPr="00D03260">
              <w:rPr>
                <w:rFonts w:cs="Arial"/>
                <w:lang w:val="en-AU"/>
              </w:rPr>
              <w:t>(</w:t>
            </w:r>
            <w:r w:rsidR="00A72F84" w:rsidRPr="00D03260">
              <w:rPr>
                <w:rFonts w:cs="Arial"/>
                <w:lang w:val="en-AU"/>
              </w:rPr>
              <w:t>s</w:t>
            </w:r>
            <w:r w:rsidR="00E90382" w:rsidRPr="00D03260">
              <w:rPr>
                <w:rFonts w:cs="Arial"/>
                <w:lang w:val="en-AU"/>
              </w:rPr>
              <w:t xml:space="preserve">ee </w:t>
            </w:r>
            <w:hyperlink w:anchor="Sect214ProvideAdviceOnAvoidingOrMinimisi" w:history="1">
              <w:r w:rsidR="000C008C" w:rsidRPr="00D03260">
                <w:rPr>
                  <w:rStyle w:val="Hyperlink"/>
                  <w:rFonts w:cs="Arial"/>
                  <w:szCs w:val="21"/>
                  <w:lang w:val="en-AU"/>
                </w:rPr>
                <w:t>s</w:t>
              </w:r>
              <w:r w:rsidR="00E90382" w:rsidRPr="00D03260">
                <w:rPr>
                  <w:rStyle w:val="Hyperlink"/>
                  <w:rFonts w:cs="Arial"/>
                  <w:szCs w:val="21"/>
                  <w:lang w:val="en-AU"/>
                </w:rPr>
                <w:t>ection 2.1.4</w:t>
              </w:r>
            </w:hyperlink>
            <w:r w:rsidR="000C008C" w:rsidRPr="00D03260">
              <w:rPr>
                <w:rFonts w:cs="Arial"/>
                <w:lang w:val="en-AU"/>
              </w:rPr>
              <w:t xml:space="preserve"> for further details</w:t>
            </w:r>
            <w:r w:rsidR="005D55F1" w:rsidRPr="00D03260">
              <w:rPr>
                <w:rFonts w:cs="Arial"/>
                <w:lang w:val="en-AU"/>
              </w:rPr>
              <w:t>)</w:t>
            </w:r>
            <w:r w:rsidR="00A72F84" w:rsidRPr="00D03260">
              <w:rPr>
                <w:rFonts w:cs="Arial"/>
                <w:lang w:val="en-AU"/>
              </w:rPr>
              <w:t>.</w:t>
            </w:r>
          </w:p>
          <w:p w14:paraId="2B89F099" w14:textId="71D0BFDD" w:rsidR="008B3C6B" w:rsidRPr="00D03260" w:rsidRDefault="008B3C6B">
            <w:pPr>
              <w:pStyle w:val="Tablelistbullet"/>
              <w:ind w:left="284" w:hanging="284"/>
              <w:rPr>
                <w:rFonts w:cs="Arial"/>
                <w:lang w:val="en-AU"/>
              </w:rPr>
            </w:pPr>
            <w:r w:rsidRPr="00D03260">
              <w:rPr>
                <w:rFonts w:cs="Arial"/>
                <w:lang w:val="en-AU"/>
              </w:rPr>
              <w:t>Provide patients with a hard copy of the enHealth factsheet on mould</w:t>
            </w:r>
            <w:r w:rsidR="004518D3" w:rsidRPr="00D03260">
              <w:rPr>
                <w:rFonts w:cs="Arial"/>
                <w:lang w:val="en-AU"/>
              </w:rPr>
              <w:t xml:space="preserve"> (</w:t>
            </w:r>
            <w:hyperlink w:anchor="AppendixDenHealthFactsheetOnPotentialHea" w:history="1">
              <w:r w:rsidR="004518D3" w:rsidRPr="00D03260">
                <w:rPr>
                  <w:rStyle w:val="Hyperlink"/>
                  <w:rFonts w:cs="Arial"/>
                  <w:szCs w:val="21"/>
                  <w:lang w:val="en-AU"/>
                </w:rPr>
                <w:t>Appendix D</w:t>
              </w:r>
            </w:hyperlink>
            <w:r w:rsidR="004518D3" w:rsidRPr="00D03260">
              <w:rPr>
                <w:rFonts w:cs="Arial"/>
                <w:lang w:val="en-AU"/>
              </w:rPr>
              <w:t>)</w:t>
            </w:r>
            <w:r w:rsidRPr="00D03260">
              <w:rPr>
                <w:rFonts w:cs="Arial"/>
                <w:lang w:val="en-AU"/>
              </w:rPr>
              <w:t>. The enHealth factsheet also provides advice about various professional and consumer bodies that people can go to for more information or advice, including on remediation</w:t>
            </w:r>
            <w:r w:rsidR="008F719E" w:rsidRPr="00D03260">
              <w:rPr>
                <w:rFonts w:cs="Arial"/>
                <w:lang w:val="en-AU"/>
              </w:rPr>
              <w:t xml:space="preserve"> </w:t>
            </w:r>
            <w:r w:rsidR="005D55F1" w:rsidRPr="00D03260">
              <w:rPr>
                <w:rFonts w:cs="Arial"/>
                <w:lang w:val="en-AU"/>
              </w:rPr>
              <w:t>(</w:t>
            </w:r>
            <w:r w:rsidR="004E5544" w:rsidRPr="00D03260">
              <w:rPr>
                <w:rFonts w:cs="Arial"/>
                <w:lang w:val="en-AU"/>
              </w:rPr>
              <w:t>s</w:t>
            </w:r>
            <w:r w:rsidR="008F719E" w:rsidRPr="00D03260">
              <w:rPr>
                <w:rFonts w:cs="Arial"/>
                <w:lang w:val="en-AU"/>
              </w:rPr>
              <w:t xml:space="preserve">ee </w:t>
            </w:r>
            <w:hyperlink w:anchor="AppendixDenHealthFactsheetOnPotentialHea" w:history="1">
              <w:r w:rsidR="008F719E" w:rsidRPr="00D03260">
                <w:rPr>
                  <w:rStyle w:val="Hyperlink"/>
                  <w:rFonts w:cs="Arial"/>
                  <w:szCs w:val="21"/>
                  <w:lang w:val="en-AU"/>
                </w:rPr>
                <w:t>Appendix D</w:t>
              </w:r>
            </w:hyperlink>
            <w:r w:rsidR="008F719E" w:rsidRPr="00D03260">
              <w:rPr>
                <w:rFonts w:cs="Arial"/>
                <w:lang w:val="en-AU"/>
              </w:rPr>
              <w:t xml:space="preserve"> for the enHealth factsheet on Potential health effects of mould in the environment</w:t>
            </w:r>
            <w:r w:rsidR="005D55F1" w:rsidRPr="00D03260">
              <w:rPr>
                <w:rFonts w:cs="Arial"/>
                <w:lang w:val="en-AU"/>
              </w:rPr>
              <w:t>)</w:t>
            </w:r>
            <w:r w:rsidR="008F719E" w:rsidRPr="00D03260">
              <w:rPr>
                <w:rFonts w:cs="Arial"/>
                <w:lang w:val="en-AU"/>
              </w:rPr>
              <w:t>.</w:t>
            </w:r>
          </w:p>
          <w:p w14:paraId="277C91C1" w14:textId="10C22870" w:rsidR="005018A4" w:rsidRPr="00D03260" w:rsidRDefault="008B3C6B">
            <w:pPr>
              <w:pStyle w:val="Tablelistbullet"/>
              <w:ind w:left="284" w:hanging="284"/>
              <w:rPr>
                <w:rFonts w:cs="Arial"/>
                <w:lang w:val="en-AU"/>
              </w:rPr>
            </w:pPr>
            <w:r w:rsidRPr="00D03260">
              <w:rPr>
                <w:rFonts w:cs="Arial"/>
                <w:lang w:val="en-AU"/>
              </w:rPr>
              <w:t xml:space="preserve">Chronic Inflammatory Response Syndrome (CIRS) </w:t>
            </w:r>
            <w:r w:rsidR="00D74CE6" w:rsidRPr="00D03260">
              <w:rPr>
                <w:rFonts w:cs="Arial"/>
                <w:lang w:val="en-AU"/>
              </w:rPr>
              <w:t xml:space="preserve">was the subject of </w:t>
            </w:r>
            <w:r w:rsidR="00392B8E" w:rsidRPr="00D03260">
              <w:rPr>
                <w:rFonts w:cs="Arial"/>
                <w:lang w:val="en-AU"/>
              </w:rPr>
              <w:t xml:space="preserve">a House of Representatives Standing </w:t>
            </w:r>
            <w:r w:rsidR="001A7395" w:rsidRPr="00D03260">
              <w:rPr>
                <w:rFonts w:cs="Arial"/>
                <w:lang w:val="en-AU"/>
              </w:rPr>
              <w:t>C</w:t>
            </w:r>
            <w:r w:rsidR="00392B8E" w:rsidRPr="00D03260">
              <w:rPr>
                <w:rFonts w:cs="Arial"/>
                <w:lang w:val="en-AU"/>
              </w:rPr>
              <w:t>ommittee on Health, Aged Care and Sport Inquiry in 201</w:t>
            </w:r>
            <w:r w:rsidR="001F4D8A" w:rsidRPr="00D03260">
              <w:rPr>
                <w:rFonts w:cs="Arial"/>
                <w:lang w:val="en-AU"/>
              </w:rPr>
              <w:t xml:space="preserve">8 into Biotoxin-related illnesses. CIRS </w:t>
            </w:r>
            <w:r w:rsidRPr="00D03260">
              <w:rPr>
                <w:rFonts w:cs="Arial"/>
                <w:lang w:val="en-AU"/>
              </w:rPr>
              <w:t>is not a recognised disease in Australia, with no</w:t>
            </w:r>
            <w:r w:rsidR="00D03260">
              <w:rPr>
                <w:rFonts w:cs="Arial"/>
                <w:lang w:val="en-AU"/>
              </w:rPr>
              <w:t xml:space="preserve"> </w:t>
            </w:r>
            <w:r w:rsidRPr="00D03260">
              <w:rPr>
                <w:rFonts w:cs="Arial"/>
                <w:lang w:val="en-AU"/>
              </w:rPr>
              <w:t xml:space="preserve">scientifically validated or approved diagnostic criteria, and it is not a notifiable disease. The </w:t>
            </w:r>
            <w:proofErr w:type="gramStart"/>
            <w:r w:rsidRPr="00D03260">
              <w:rPr>
                <w:rFonts w:cs="Arial"/>
                <w:lang w:val="en-AU"/>
              </w:rPr>
              <w:t>most commonly described</w:t>
            </w:r>
            <w:proofErr w:type="gramEnd"/>
            <w:r w:rsidRPr="00D03260">
              <w:rPr>
                <w:rFonts w:cs="Arial"/>
                <w:lang w:val="en-AU"/>
              </w:rPr>
              <w:t xml:space="preserve"> symptoms reported by patients experiencing CIRS include fatigue, pain, memory and concentration problems, disorientation, insomnia, gastrointestinal issues, sinus issues, fever, headaches, and respiratory issues. These symptoms can have multiple different causes, depending on the </w:t>
            </w:r>
            <w:proofErr w:type="gramStart"/>
            <w:r w:rsidRPr="00D03260">
              <w:rPr>
                <w:rFonts w:cs="Arial"/>
                <w:lang w:val="en-AU"/>
              </w:rPr>
              <w:t>particular symptoms</w:t>
            </w:r>
            <w:proofErr w:type="gramEnd"/>
            <w:r w:rsidRPr="00D03260">
              <w:rPr>
                <w:rFonts w:cs="Arial"/>
                <w:lang w:val="en-AU"/>
              </w:rPr>
              <w:t>, cluster, and timeframe of symptoms.</w:t>
            </w:r>
          </w:p>
          <w:p w14:paraId="1842EC91" w14:textId="55016024" w:rsidR="001C3C4B" w:rsidRPr="00D03260" w:rsidRDefault="001C3C4B">
            <w:pPr>
              <w:pStyle w:val="Tablelistbullet"/>
              <w:ind w:left="284" w:hanging="284"/>
              <w:rPr>
                <w:rFonts w:cs="Arial"/>
                <w:lang w:val="en-AU"/>
              </w:rPr>
            </w:pPr>
            <w:r w:rsidRPr="00D03260">
              <w:rPr>
                <w:rFonts w:cs="Arial"/>
                <w:lang w:val="en-AU"/>
              </w:rPr>
              <w:t xml:space="preserve">None of the international guidelines, or </w:t>
            </w:r>
            <w:r w:rsidR="002A4CB8" w:rsidRPr="00D03260">
              <w:rPr>
                <w:rFonts w:cs="Arial"/>
                <w:lang w:val="en-AU"/>
              </w:rPr>
              <w:t xml:space="preserve">advice from </w:t>
            </w:r>
            <w:r w:rsidRPr="00D03260">
              <w:rPr>
                <w:rFonts w:cs="Arial"/>
                <w:lang w:val="en-AU"/>
              </w:rPr>
              <w:t>international authorit</w:t>
            </w:r>
            <w:r w:rsidR="002A4CB8" w:rsidRPr="00D03260">
              <w:rPr>
                <w:rFonts w:cs="Arial"/>
                <w:lang w:val="en-AU"/>
              </w:rPr>
              <w:t>ies</w:t>
            </w:r>
            <w:r w:rsidRPr="00D03260">
              <w:rPr>
                <w:rFonts w:cs="Arial"/>
                <w:lang w:val="en-AU"/>
              </w:rPr>
              <w:t xml:space="preserve"> or medical professional association evidence reviews </w:t>
            </w:r>
            <w:r w:rsidR="002A4CB8" w:rsidRPr="00D03260">
              <w:rPr>
                <w:rFonts w:cs="Arial"/>
                <w:lang w:val="en-AU"/>
              </w:rPr>
              <w:t xml:space="preserve">include </w:t>
            </w:r>
            <w:r w:rsidRPr="00D03260">
              <w:rPr>
                <w:rFonts w:cs="Arial"/>
                <w:lang w:val="en-AU"/>
              </w:rPr>
              <w:t xml:space="preserve">CIRS or Chronic Inflammatory Response Syndrome – Water-Damaged Buildings (CIRS-WDB) as a possible health effect from exposure to indoor damp or mould. As such, CIRS or CIRS-WBD has been categorised in this Clinical Pathway as a syndrome or health effect for which there is insufficient or inadequate evidence of an association with exposure to indoor damp or mould (see </w:t>
            </w:r>
            <w:hyperlink w:anchor="AppendixECIRS" w:history="1">
              <w:r w:rsidRPr="00D03260">
                <w:rPr>
                  <w:rStyle w:val="Hyperlink"/>
                  <w:rFonts w:cs="Arial"/>
                  <w:szCs w:val="21"/>
                  <w:lang w:val="en-AU"/>
                </w:rPr>
                <w:t>Appendix E</w:t>
              </w:r>
            </w:hyperlink>
            <w:r w:rsidRPr="00D03260">
              <w:rPr>
                <w:rStyle w:val="CommentReference"/>
                <w:rFonts w:eastAsia="Times New Roman" w:cs="Arial"/>
                <w:lang w:val="en-AU"/>
              </w:rPr>
              <w:t>,</w:t>
            </w:r>
            <w:r w:rsidRPr="00D03260">
              <w:rPr>
                <w:rStyle w:val="CommentReference"/>
                <w:rFonts w:cs="Arial"/>
                <w:lang w:val="en-AU"/>
              </w:rPr>
              <w:t xml:space="preserve"> </w:t>
            </w:r>
            <w:hyperlink w:anchor="AppendixFPotentialSideEffectsOfPharmaceu" w:history="1">
              <w:r w:rsidRPr="00D03260">
                <w:rPr>
                  <w:rStyle w:val="Hyperlink"/>
                  <w:rFonts w:cs="Arial"/>
                  <w:szCs w:val="21"/>
                  <w:lang w:val="en-AU"/>
                </w:rPr>
                <w:t>Appendix F</w:t>
              </w:r>
            </w:hyperlink>
            <w:r w:rsidRPr="00D03260">
              <w:rPr>
                <w:rFonts w:cs="Arial"/>
                <w:lang w:val="en-AU"/>
              </w:rPr>
              <w:t xml:space="preserve">, </w:t>
            </w:r>
            <w:r w:rsidR="0082117A" w:rsidRPr="00D03260">
              <w:rPr>
                <w:rFonts w:cs="Arial"/>
                <w:lang w:val="en-AU"/>
              </w:rPr>
              <w:t xml:space="preserve">section on </w:t>
            </w:r>
            <w:hyperlink w:anchor="Section3314SBSandTMS" w:history="1">
              <w:r w:rsidR="0082117A" w:rsidRPr="00D03260">
                <w:rPr>
                  <w:rStyle w:val="Hyperlink"/>
                  <w:rFonts w:cs="Arial"/>
                  <w:szCs w:val="21"/>
                  <w:lang w:val="en-AU"/>
                </w:rPr>
                <w:t>‘</w:t>
              </w:r>
              <w:r w:rsidRPr="00D03260">
                <w:rPr>
                  <w:rStyle w:val="Hyperlink"/>
                  <w:rFonts w:cs="Arial"/>
                  <w:szCs w:val="21"/>
                  <w:lang w:val="en-AU"/>
                </w:rPr>
                <w:t>SBS and TMS</w:t>
              </w:r>
            </w:hyperlink>
            <w:r w:rsidR="0082117A" w:rsidRPr="00D03260">
              <w:rPr>
                <w:rStyle w:val="Hyperlink"/>
                <w:rFonts w:cs="Arial"/>
                <w:szCs w:val="21"/>
                <w:lang w:val="en-AU"/>
              </w:rPr>
              <w:t>’</w:t>
            </w:r>
            <w:r w:rsidRPr="00D03260">
              <w:rPr>
                <w:rFonts w:cs="Arial"/>
                <w:lang w:val="en-AU"/>
              </w:rPr>
              <w:t xml:space="preserve"> in Appendix C, </w:t>
            </w:r>
            <w:hyperlink w:anchor="Sect215MouldTestingAndMouldTestingReport" w:history="1">
              <w:r w:rsidRPr="00D03260">
                <w:rPr>
                  <w:rStyle w:val="Hyperlink"/>
                  <w:rFonts w:cs="Arial"/>
                  <w:szCs w:val="21"/>
                  <w:lang w:val="en-AU"/>
                </w:rPr>
                <w:t>section 2.1.5</w:t>
              </w:r>
            </w:hyperlink>
            <w:r w:rsidRPr="00D03260">
              <w:rPr>
                <w:rFonts w:cs="Arial"/>
                <w:lang w:val="en-AU"/>
              </w:rPr>
              <w:t xml:space="preserve">, and </w:t>
            </w:r>
            <w:hyperlink w:anchor="Sect217AdviceOnManagingDiscussionsAboutS" w:history="1">
              <w:r w:rsidRPr="00D03260">
                <w:rPr>
                  <w:rStyle w:val="Hyperlink"/>
                  <w:rFonts w:cs="Arial"/>
                  <w:szCs w:val="21"/>
                  <w:lang w:val="en-AU"/>
                </w:rPr>
                <w:t>section 2.1.7</w:t>
              </w:r>
            </w:hyperlink>
            <w:r w:rsidRPr="00D03260">
              <w:rPr>
                <w:rFonts w:cs="Arial"/>
                <w:lang w:val="en-AU"/>
              </w:rPr>
              <w:t xml:space="preserve"> for further details).</w:t>
            </w:r>
          </w:p>
        </w:tc>
      </w:tr>
      <w:tr w:rsidR="008B3C6B" w:rsidRPr="00D03260" w14:paraId="2A1470B3" w14:textId="77777777" w:rsidTr="00770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shd w:val="clear" w:color="auto" w:fill="3F4A75" w:themeFill="text2"/>
          </w:tcPr>
          <w:p w14:paraId="459CC3E8" w14:textId="5DFC026B" w:rsidR="008B3C6B" w:rsidRPr="00D03260" w:rsidRDefault="008B3C6B">
            <w:pPr>
              <w:pStyle w:val="TableHeaderWhite"/>
              <w:rPr>
                <w:rFonts w:cs="Arial"/>
                <w:lang w:val="en-AU"/>
              </w:rPr>
            </w:pPr>
            <w:r w:rsidRPr="00D03260">
              <w:rPr>
                <w:rFonts w:cs="Arial"/>
                <w:lang w:val="en-AU"/>
              </w:rPr>
              <w:lastRenderedPageBreak/>
              <w:t>Likely differential diagnoses</w:t>
            </w:r>
            <w:r w:rsidR="0027790A" w:rsidRPr="00D03260">
              <w:rPr>
                <w:rFonts w:cs="Arial"/>
                <w:lang w:val="en-AU"/>
              </w:rPr>
              <w:t xml:space="preserve"> or symptoms</w:t>
            </w:r>
            <w:r w:rsidRPr="00D03260">
              <w:rPr>
                <w:rFonts w:cs="Arial"/>
                <w:lang w:val="en-AU"/>
              </w:rPr>
              <w:t xml:space="preserve">: health effects for which there is sufficient evidence </w:t>
            </w:r>
            <w:r w:rsidR="002B7693" w:rsidRPr="00D03260">
              <w:rPr>
                <w:rFonts w:cs="Arial"/>
                <w:lang w:val="en-AU"/>
              </w:rPr>
              <w:t xml:space="preserve">of </w:t>
            </w:r>
            <w:r w:rsidRPr="00D03260">
              <w:rPr>
                <w:rFonts w:cs="Arial"/>
                <w:lang w:val="en-AU"/>
              </w:rPr>
              <w:t>an association with exposure to indoor damp or mould</w:t>
            </w:r>
          </w:p>
        </w:tc>
      </w:tr>
      <w:tr w:rsidR="00370144" w:rsidRPr="00D03260" w14:paraId="320AEE3D" w14:textId="77777777" w:rsidTr="007707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33115DF1" w14:textId="77777777" w:rsidR="00370144" w:rsidRPr="00D03260" w:rsidRDefault="00370144" w:rsidP="00E16337">
            <w:pPr>
              <w:pStyle w:val="Tablelistbullet"/>
              <w:ind w:left="284" w:hanging="284"/>
              <w:rPr>
                <w:rFonts w:cs="Arial"/>
                <w:lang w:val="en-AU"/>
              </w:rPr>
            </w:pPr>
            <w:r w:rsidRPr="00D03260">
              <w:rPr>
                <w:rFonts w:cs="Arial"/>
                <w:lang w:val="en-AU"/>
              </w:rPr>
              <w:t>In patients presenting with a history of exposure to indoor damp and/or mould and with relevant symptoms, likely differential diagnoses (based on epidemiological evidence) are:</w:t>
            </w:r>
          </w:p>
          <w:p w14:paraId="3C4DBD18" w14:textId="77777777" w:rsidR="00370144" w:rsidRPr="00D03260" w:rsidRDefault="00370144" w:rsidP="00002ECA">
            <w:pPr>
              <w:pStyle w:val="Tablelistbullet2"/>
              <w:numPr>
                <w:ilvl w:val="0"/>
                <w:numId w:val="95"/>
              </w:numPr>
              <w:ind w:right="57"/>
              <w:rPr>
                <w:rFonts w:cs="Arial"/>
              </w:rPr>
            </w:pPr>
            <w:r w:rsidRPr="00D03260">
              <w:rPr>
                <w:rFonts w:cs="Arial"/>
              </w:rPr>
              <w:t>asthma (development, current, exacerbation)</w:t>
            </w:r>
          </w:p>
          <w:p w14:paraId="0D5C13B2" w14:textId="77777777" w:rsidR="00370144" w:rsidRPr="00D03260" w:rsidRDefault="00370144" w:rsidP="00002ECA">
            <w:pPr>
              <w:pStyle w:val="Tablelistbullet2"/>
              <w:numPr>
                <w:ilvl w:val="0"/>
                <w:numId w:val="95"/>
              </w:numPr>
              <w:ind w:right="57"/>
              <w:rPr>
                <w:rFonts w:cs="Arial"/>
              </w:rPr>
            </w:pPr>
            <w:r w:rsidRPr="00D03260">
              <w:rPr>
                <w:rFonts w:cs="Arial"/>
              </w:rPr>
              <w:t>allergic rhinitis</w:t>
            </w:r>
          </w:p>
          <w:p w14:paraId="206C3C34" w14:textId="77777777" w:rsidR="00370144" w:rsidRPr="00D03260" w:rsidRDefault="00370144" w:rsidP="00002ECA">
            <w:pPr>
              <w:pStyle w:val="Tablelistbullet2"/>
              <w:numPr>
                <w:ilvl w:val="0"/>
                <w:numId w:val="95"/>
              </w:numPr>
              <w:ind w:right="57"/>
              <w:rPr>
                <w:rFonts w:cs="Arial"/>
              </w:rPr>
            </w:pPr>
            <w:r w:rsidRPr="00D03260">
              <w:rPr>
                <w:rFonts w:cs="Arial"/>
              </w:rPr>
              <w:t>dyspnoea</w:t>
            </w:r>
          </w:p>
          <w:p w14:paraId="734E54A1" w14:textId="77777777" w:rsidR="00370144" w:rsidRPr="00D03260" w:rsidRDefault="00370144" w:rsidP="00002ECA">
            <w:pPr>
              <w:pStyle w:val="Tablelistbullet2"/>
              <w:numPr>
                <w:ilvl w:val="0"/>
                <w:numId w:val="95"/>
              </w:numPr>
              <w:ind w:right="57"/>
              <w:rPr>
                <w:rFonts w:cs="Arial"/>
              </w:rPr>
            </w:pPr>
            <w:r w:rsidRPr="00D03260">
              <w:rPr>
                <w:rFonts w:cs="Arial"/>
              </w:rPr>
              <w:t>wheeze</w:t>
            </w:r>
          </w:p>
          <w:p w14:paraId="1F11981B" w14:textId="77777777" w:rsidR="00370144" w:rsidRPr="00D03260" w:rsidRDefault="00370144" w:rsidP="00002ECA">
            <w:pPr>
              <w:pStyle w:val="Tablelistbullet2"/>
              <w:numPr>
                <w:ilvl w:val="0"/>
                <w:numId w:val="95"/>
              </w:numPr>
              <w:ind w:right="57"/>
              <w:rPr>
                <w:rFonts w:cs="Arial"/>
              </w:rPr>
            </w:pPr>
            <w:r w:rsidRPr="00D03260">
              <w:rPr>
                <w:rFonts w:cs="Arial"/>
              </w:rPr>
              <w:t>cough</w:t>
            </w:r>
          </w:p>
          <w:p w14:paraId="010501C7" w14:textId="77777777" w:rsidR="00370144" w:rsidRPr="00D03260" w:rsidRDefault="00370144" w:rsidP="00002ECA">
            <w:pPr>
              <w:pStyle w:val="Tablelistbullet2"/>
              <w:numPr>
                <w:ilvl w:val="0"/>
                <w:numId w:val="95"/>
              </w:numPr>
              <w:ind w:right="57"/>
              <w:rPr>
                <w:rFonts w:cs="Arial"/>
              </w:rPr>
            </w:pPr>
            <w:r w:rsidRPr="00D03260">
              <w:rPr>
                <w:rFonts w:cs="Arial"/>
              </w:rPr>
              <w:t>respiratory infection</w:t>
            </w:r>
          </w:p>
          <w:p w14:paraId="3821EB16" w14:textId="77777777" w:rsidR="00370144" w:rsidRPr="00D03260" w:rsidRDefault="00370144" w:rsidP="00002ECA">
            <w:pPr>
              <w:pStyle w:val="Tablelistbullet2"/>
              <w:numPr>
                <w:ilvl w:val="0"/>
                <w:numId w:val="95"/>
              </w:numPr>
              <w:ind w:right="57"/>
              <w:rPr>
                <w:rFonts w:cs="Arial"/>
              </w:rPr>
            </w:pPr>
            <w:r w:rsidRPr="00D03260">
              <w:rPr>
                <w:rFonts w:cs="Arial"/>
              </w:rPr>
              <w:t>bronchitis</w:t>
            </w:r>
          </w:p>
          <w:p w14:paraId="084482E3" w14:textId="77777777" w:rsidR="00370144" w:rsidRPr="00D03260" w:rsidRDefault="00370144" w:rsidP="00002ECA">
            <w:pPr>
              <w:pStyle w:val="Tablelistbullet2"/>
              <w:numPr>
                <w:ilvl w:val="0"/>
                <w:numId w:val="95"/>
              </w:numPr>
              <w:ind w:right="57"/>
              <w:rPr>
                <w:rFonts w:cs="Arial"/>
              </w:rPr>
            </w:pPr>
            <w:r w:rsidRPr="00D03260">
              <w:rPr>
                <w:rFonts w:cs="Arial"/>
              </w:rPr>
              <w:t>eczema</w:t>
            </w:r>
          </w:p>
          <w:p w14:paraId="475DFFE1" w14:textId="77777777" w:rsidR="00370144" w:rsidRPr="00D03260" w:rsidRDefault="00370144" w:rsidP="00002ECA">
            <w:pPr>
              <w:pStyle w:val="Tablelistbullet2"/>
              <w:numPr>
                <w:ilvl w:val="0"/>
                <w:numId w:val="95"/>
              </w:numPr>
              <w:ind w:right="57"/>
              <w:rPr>
                <w:rFonts w:cs="Arial"/>
              </w:rPr>
            </w:pPr>
            <w:r w:rsidRPr="00D03260">
              <w:rPr>
                <w:rFonts w:cs="Arial"/>
              </w:rPr>
              <w:t>upper respiratory tract symptoms</w:t>
            </w:r>
          </w:p>
          <w:p w14:paraId="7C2E242A" w14:textId="77777777" w:rsidR="00370144" w:rsidRPr="00D03260" w:rsidRDefault="00370144" w:rsidP="00002ECA">
            <w:pPr>
              <w:pStyle w:val="Tablelistbullet2"/>
              <w:numPr>
                <w:ilvl w:val="0"/>
                <w:numId w:val="95"/>
              </w:numPr>
              <w:ind w:right="57"/>
              <w:rPr>
                <w:rFonts w:cs="Arial"/>
              </w:rPr>
            </w:pPr>
            <w:r w:rsidRPr="00D03260">
              <w:rPr>
                <w:rFonts w:cs="Arial"/>
              </w:rPr>
              <w:t>hypersensitivity pneumonitis (HP), mycoses and allergic effects in susceptible people.</w:t>
            </w:r>
          </w:p>
          <w:p w14:paraId="270B505C" w14:textId="076AB352" w:rsidR="00D754BC" w:rsidRPr="00D03260" w:rsidRDefault="009A1E5D" w:rsidP="003A39AB">
            <w:pPr>
              <w:pStyle w:val="Tablelistbullet2"/>
              <w:numPr>
                <w:ilvl w:val="0"/>
                <w:numId w:val="0"/>
              </w:numPr>
              <w:spacing w:line="240" w:lineRule="auto"/>
              <w:ind w:left="284" w:right="57" w:hanging="284"/>
              <w:rPr>
                <w:rFonts w:cs="Arial"/>
                <w:iCs/>
              </w:rPr>
            </w:pPr>
            <w:r w:rsidRPr="00D03260">
              <w:rPr>
                <w:rFonts w:cs="Arial"/>
                <w:iCs/>
              </w:rPr>
              <w:t xml:space="preserve">    </w:t>
            </w:r>
            <w:r w:rsidR="00D70F5E" w:rsidRPr="00D03260">
              <w:rPr>
                <w:rFonts w:cs="Arial"/>
                <w:iCs/>
              </w:rPr>
              <w:t>(</w:t>
            </w:r>
            <w:r w:rsidR="00370144" w:rsidRPr="00D03260">
              <w:rPr>
                <w:rFonts w:cs="Arial"/>
                <w:iCs/>
              </w:rPr>
              <w:t xml:space="preserve">See </w:t>
            </w:r>
            <w:hyperlink w:anchor="AppendixALikelyDifferentialDiagnosesOrSy" w:history="1">
              <w:r w:rsidR="00370144" w:rsidRPr="00D03260">
                <w:rPr>
                  <w:rStyle w:val="Hyperlink"/>
                  <w:rFonts w:cs="Arial"/>
                  <w:iCs/>
                </w:rPr>
                <w:t>Appendix A</w:t>
              </w:r>
            </w:hyperlink>
            <w:r w:rsidR="00370144" w:rsidRPr="00D03260">
              <w:rPr>
                <w:rFonts w:cs="Arial"/>
                <w:iCs/>
              </w:rPr>
              <w:t xml:space="preserve"> for an overview of the epidemiologic evidence </w:t>
            </w:r>
            <w:r w:rsidR="00472DC3" w:rsidRPr="00D03260">
              <w:rPr>
                <w:rFonts w:cs="Arial"/>
                <w:iCs/>
              </w:rPr>
              <w:t>on</w:t>
            </w:r>
            <w:r w:rsidR="00AA45C6" w:rsidRPr="00D03260">
              <w:rPr>
                <w:rFonts w:cs="Arial"/>
                <w:iCs/>
              </w:rPr>
              <w:t xml:space="preserve">  </w:t>
            </w:r>
            <w:r w:rsidR="00370144" w:rsidRPr="00D03260">
              <w:rPr>
                <w:rFonts w:cs="Arial"/>
                <w:iCs/>
              </w:rPr>
              <w:t xml:space="preserve">exposure to indoor damp and mould, and asthma, allergic rhinitis, dyspnoea, wheeze, cough, respiratory infection, bronchitis, </w:t>
            </w:r>
            <w:r w:rsidR="00D30911" w:rsidRPr="00D03260">
              <w:rPr>
                <w:rFonts w:cs="Arial"/>
                <w:iCs/>
              </w:rPr>
              <w:t xml:space="preserve">and </w:t>
            </w:r>
            <w:r w:rsidR="00370144" w:rsidRPr="00D03260">
              <w:rPr>
                <w:rFonts w:cs="Arial"/>
                <w:iCs/>
              </w:rPr>
              <w:t>eczema.</w:t>
            </w:r>
            <w:r w:rsidR="000E12A2" w:rsidRPr="00D03260">
              <w:rPr>
                <w:rFonts w:cs="Arial"/>
                <w:iCs/>
              </w:rPr>
              <w:t>)</w:t>
            </w:r>
            <w:r w:rsidR="00370144" w:rsidRPr="00D03260">
              <w:rPr>
                <w:rFonts w:cs="Arial"/>
                <w:iCs/>
              </w:rPr>
              <w:t xml:space="preserve"> </w:t>
            </w:r>
          </w:p>
          <w:p w14:paraId="3B1C8319" w14:textId="1BC47FC9" w:rsidR="00370144" w:rsidRPr="00D03260" w:rsidRDefault="00370144" w:rsidP="00E16337">
            <w:pPr>
              <w:pStyle w:val="Tablelistbullet"/>
              <w:ind w:left="284" w:hanging="284"/>
              <w:rPr>
                <w:rFonts w:cs="Arial"/>
                <w:lang w:val="en-AU"/>
              </w:rPr>
            </w:pPr>
            <w:r w:rsidRPr="00D03260">
              <w:rPr>
                <w:rFonts w:cs="Arial"/>
                <w:lang w:val="en-AU"/>
              </w:rPr>
              <w:t xml:space="preserve">Exposure to indoor dampness and mould is associated with asthma, particularly in children. Sufficient evidence for an association between moisture/mould damage and the manifestations, progression and exacerbation of asthma has been established. </w:t>
            </w:r>
            <w:r w:rsidR="00035A58" w:rsidRPr="00D03260">
              <w:rPr>
                <w:rFonts w:cs="Arial"/>
                <w:lang w:val="en-AU"/>
              </w:rPr>
              <w:t>Particularly in children, t</w:t>
            </w:r>
            <w:r w:rsidRPr="00D03260">
              <w:rPr>
                <w:rFonts w:cs="Arial"/>
                <w:lang w:val="en-AU"/>
              </w:rPr>
              <w:t>h</w:t>
            </w:r>
            <w:r w:rsidR="00035A58" w:rsidRPr="00D03260">
              <w:rPr>
                <w:rFonts w:cs="Arial"/>
                <w:lang w:val="en-AU"/>
              </w:rPr>
              <w:t>is</w:t>
            </w:r>
            <w:r w:rsidRPr="00D03260">
              <w:rPr>
                <w:rFonts w:cs="Arial"/>
                <w:lang w:val="en-AU"/>
              </w:rPr>
              <w:t xml:space="preserve"> link can be considered undisputed.</w:t>
            </w:r>
          </w:p>
          <w:p w14:paraId="4FDE25F4" w14:textId="77777777" w:rsidR="00370144" w:rsidRPr="00D03260" w:rsidRDefault="00370144">
            <w:pPr>
              <w:pStyle w:val="Tablelistbullet"/>
              <w:ind w:left="284" w:hanging="284"/>
              <w:rPr>
                <w:rFonts w:cs="Arial"/>
                <w:lang w:val="en-AU"/>
              </w:rPr>
            </w:pPr>
            <w:r w:rsidRPr="00D03260">
              <w:rPr>
                <w:rFonts w:cs="Arial"/>
                <w:lang w:val="en-AU"/>
              </w:rPr>
              <w:t>In 2015, the Institute of Medicine updated its conclusions for dampness and dampness-related agents to be:</w:t>
            </w:r>
          </w:p>
          <w:p w14:paraId="1862F39C" w14:textId="77777777" w:rsidR="00370144" w:rsidRPr="00D03260" w:rsidRDefault="00370144" w:rsidP="00002ECA">
            <w:pPr>
              <w:pStyle w:val="Tablelistbullet2"/>
              <w:numPr>
                <w:ilvl w:val="0"/>
                <w:numId w:val="96"/>
              </w:numPr>
              <w:ind w:right="57"/>
              <w:rPr>
                <w:rFonts w:cs="Arial"/>
              </w:rPr>
            </w:pPr>
            <w:r w:rsidRPr="00D03260">
              <w:rPr>
                <w:rFonts w:cs="Arial"/>
              </w:rPr>
              <w:t>in children, there was sufficient evidence of a causal association between dampness and dampness-related agents and exacerbation of asthma</w:t>
            </w:r>
          </w:p>
          <w:p w14:paraId="58EE0589" w14:textId="42D2F542" w:rsidR="00370144" w:rsidRPr="00D03260" w:rsidRDefault="00370144" w:rsidP="00002ECA">
            <w:pPr>
              <w:pStyle w:val="Tablelistbullet2"/>
              <w:numPr>
                <w:ilvl w:val="0"/>
                <w:numId w:val="96"/>
              </w:numPr>
              <w:ind w:right="57"/>
              <w:rPr>
                <w:rFonts w:cs="Arial"/>
              </w:rPr>
            </w:pPr>
            <w:r w:rsidRPr="00D03260">
              <w:rPr>
                <w:rFonts w:cs="Arial"/>
              </w:rPr>
              <w:t>in adults there was sufficient evidence of an association.</w:t>
            </w:r>
          </w:p>
          <w:p w14:paraId="3ED78B15" w14:textId="77777777" w:rsidR="00370144" w:rsidRPr="00D03260" w:rsidRDefault="00370144" w:rsidP="00E16337">
            <w:pPr>
              <w:pStyle w:val="Tablelistbullet"/>
              <w:ind w:left="284" w:hanging="284"/>
              <w:rPr>
                <w:rFonts w:cs="Arial"/>
                <w:lang w:val="en-AU"/>
              </w:rPr>
            </w:pPr>
            <w:r w:rsidRPr="00D03260">
              <w:rPr>
                <w:rFonts w:cs="Arial"/>
                <w:lang w:val="en-AU"/>
              </w:rPr>
              <w:t>Young children appear to be at higher risk of developing bronchial asthma where moisture damage or mould exposure occurs in the bedroom or living room.</w:t>
            </w:r>
          </w:p>
          <w:p w14:paraId="252FEE6D" w14:textId="3AA58123" w:rsidR="001C3C4B" w:rsidRPr="00D03260" w:rsidRDefault="001C3C4B" w:rsidP="00E16337">
            <w:pPr>
              <w:pStyle w:val="Tablelistbullet"/>
              <w:ind w:left="284" w:hanging="284"/>
              <w:rPr>
                <w:rFonts w:cs="Arial"/>
                <w:lang w:val="en-AU"/>
              </w:rPr>
            </w:pPr>
            <w:r w:rsidRPr="00D03260">
              <w:rPr>
                <w:rFonts w:cs="Arial"/>
                <w:lang w:val="en-AU"/>
              </w:rPr>
              <w:t>While there is sufficient evidence of a</w:t>
            </w:r>
            <w:r w:rsidR="000F02EC" w:rsidRPr="00D03260">
              <w:rPr>
                <w:rFonts w:cs="Arial"/>
                <w:lang w:val="en-AU"/>
              </w:rPr>
              <w:t xml:space="preserve"> causal</w:t>
            </w:r>
            <w:r w:rsidRPr="00D03260">
              <w:rPr>
                <w:rFonts w:cs="Arial"/>
                <w:lang w:val="en-AU"/>
              </w:rPr>
              <w:t xml:space="preserve"> association</w:t>
            </w:r>
            <w:r w:rsidR="00577544" w:rsidRPr="00D03260">
              <w:rPr>
                <w:rFonts w:cs="Arial"/>
                <w:lang w:val="en-AU"/>
              </w:rPr>
              <w:t xml:space="preserve"> </w:t>
            </w:r>
            <w:r w:rsidR="00A23EA2" w:rsidRPr="00D03260">
              <w:rPr>
                <w:rFonts w:cs="Arial"/>
                <w:lang w:val="en-AU"/>
              </w:rPr>
              <w:t xml:space="preserve">between </w:t>
            </w:r>
            <w:r w:rsidR="00577544" w:rsidRPr="00D03260">
              <w:rPr>
                <w:rFonts w:cs="Arial"/>
                <w:lang w:val="en-AU"/>
              </w:rPr>
              <w:t xml:space="preserve">asthma </w:t>
            </w:r>
            <w:r w:rsidR="007A00A2" w:rsidRPr="00D03260">
              <w:rPr>
                <w:rFonts w:cs="Arial"/>
                <w:lang w:val="en-AU"/>
              </w:rPr>
              <w:t>(</w:t>
            </w:r>
            <w:r w:rsidR="00F31D74" w:rsidRPr="00D03260">
              <w:rPr>
                <w:rFonts w:cs="Arial"/>
                <w:lang w:val="en-AU"/>
              </w:rPr>
              <w:t>exacerbation</w:t>
            </w:r>
            <w:r w:rsidR="007A00A2" w:rsidRPr="00D03260">
              <w:rPr>
                <w:rFonts w:cs="Arial"/>
                <w:lang w:val="en-AU"/>
              </w:rPr>
              <w:t>)</w:t>
            </w:r>
            <w:r w:rsidR="00F31D74" w:rsidRPr="00D03260">
              <w:rPr>
                <w:rFonts w:cs="Arial"/>
                <w:lang w:val="en-AU"/>
              </w:rPr>
              <w:t xml:space="preserve"> </w:t>
            </w:r>
            <w:r w:rsidR="00577544" w:rsidRPr="00D03260">
              <w:rPr>
                <w:rFonts w:cs="Arial"/>
                <w:lang w:val="en-AU"/>
              </w:rPr>
              <w:t>in children</w:t>
            </w:r>
            <w:r w:rsidRPr="00D03260">
              <w:rPr>
                <w:rFonts w:cs="Arial"/>
                <w:lang w:val="en-AU"/>
              </w:rPr>
              <w:t xml:space="preserve">, </w:t>
            </w:r>
            <w:r w:rsidR="00F31D74" w:rsidRPr="00D03260">
              <w:rPr>
                <w:rFonts w:cs="Arial"/>
                <w:lang w:val="en-AU"/>
              </w:rPr>
              <w:t xml:space="preserve">and exposure to </w:t>
            </w:r>
            <w:r w:rsidR="0052176E" w:rsidRPr="00D03260">
              <w:rPr>
                <w:rFonts w:cs="Arial"/>
                <w:lang w:val="en-AU"/>
              </w:rPr>
              <w:t xml:space="preserve">dampness and dampness related agents, </w:t>
            </w:r>
            <w:r w:rsidRPr="00D03260">
              <w:rPr>
                <w:rFonts w:cs="Arial"/>
                <w:lang w:val="en-AU"/>
              </w:rPr>
              <w:t xml:space="preserve">there is not sufficient evidence of causation </w:t>
            </w:r>
            <w:r w:rsidR="00C630D8" w:rsidRPr="00D03260">
              <w:rPr>
                <w:rFonts w:cs="Arial"/>
                <w:lang w:val="en-AU"/>
              </w:rPr>
              <w:t xml:space="preserve">(i.e. </w:t>
            </w:r>
            <w:r w:rsidR="00E22D3A" w:rsidRPr="00D03260">
              <w:rPr>
                <w:rFonts w:cs="Arial"/>
                <w:lang w:val="en-AU"/>
              </w:rPr>
              <w:t xml:space="preserve">there is no evidence for a </w:t>
            </w:r>
            <w:r w:rsidR="00C630D8" w:rsidRPr="00D03260">
              <w:rPr>
                <w:rFonts w:cs="Arial"/>
                <w:lang w:val="en-AU"/>
              </w:rPr>
              <w:t>direct cause and effect relationship)</w:t>
            </w:r>
            <w:r w:rsidR="0052176E" w:rsidRPr="00D03260">
              <w:rPr>
                <w:rFonts w:cs="Arial"/>
                <w:lang w:val="en-AU"/>
              </w:rPr>
              <w:t xml:space="preserve">. </w:t>
            </w:r>
            <w:r w:rsidR="00C630D8" w:rsidRPr="00D03260">
              <w:rPr>
                <w:rFonts w:cs="Arial"/>
                <w:lang w:val="en-AU"/>
              </w:rPr>
              <w:t xml:space="preserve"> </w:t>
            </w:r>
            <w:r w:rsidR="00C405F4" w:rsidRPr="00D03260">
              <w:rPr>
                <w:rFonts w:cs="Arial"/>
                <w:lang w:val="en-AU"/>
              </w:rPr>
              <w:t xml:space="preserve"> For other indoor exposures, there </w:t>
            </w:r>
            <w:r w:rsidR="00032904" w:rsidRPr="00D03260">
              <w:rPr>
                <w:rFonts w:cs="Arial"/>
                <w:lang w:val="en-AU"/>
              </w:rPr>
              <w:t>is</w:t>
            </w:r>
            <w:r w:rsidR="00C405F4" w:rsidRPr="00D03260">
              <w:rPr>
                <w:rFonts w:cs="Arial"/>
                <w:lang w:val="en-AU"/>
              </w:rPr>
              <w:t xml:space="preserve"> sufficient evidence for causation for asthma exacerbation from exposure to house dust mite allergens, cat allergens and cockroach allergens</w:t>
            </w:r>
            <w:r w:rsidR="007D6E49" w:rsidRPr="00D03260">
              <w:rPr>
                <w:rFonts w:cs="Arial"/>
                <w:lang w:val="en-AU"/>
              </w:rPr>
              <w:t xml:space="preserve"> (in individuals </w:t>
            </w:r>
            <w:r w:rsidR="00C405F4" w:rsidRPr="00D03260">
              <w:rPr>
                <w:rFonts w:cs="Arial"/>
                <w:lang w:val="en-AU"/>
              </w:rPr>
              <w:t>sensiti</w:t>
            </w:r>
            <w:r w:rsidR="00015778" w:rsidRPr="00D03260">
              <w:rPr>
                <w:rFonts w:cs="Arial"/>
                <w:lang w:val="en-AU"/>
              </w:rPr>
              <w:t>s</w:t>
            </w:r>
            <w:r w:rsidR="00C405F4" w:rsidRPr="00D03260">
              <w:rPr>
                <w:rFonts w:cs="Arial"/>
                <w:lang w:val="en-AU"/>
              </w:rPr>
              <w:t xml:space="preserve">ed </w:t>
            </w:r>
            <w:r w:rsidR="007D6E49" w:rsidRPr="00D03260">
              <w:rPr>
                <w:rFonts w:cs="Arial"/>
                <w:lang w:val="en-AU"/>
              </w:rPr>
              <w:t>to these allergens)</w:t>
            </w:r>
            <w:r w:rsidRPr="00D03260">
              <w:rPr>
                <w:rFonts w:cs="Arial"/>
                <w:lang w:val="en-AU"/>
              </w:rPr>
              <w:t>.</w:t>
            </w:r>
            <w:r w:rsidR="00C630D8" w:rsidRPr="00D03260">
              <w:rPr>
                <w:rFonts w:cs="Arial"/>
                <w:lang w:val="en-AU"/>
              </w:rPr>
              <w:t xml:space="preserve">   </w:t>
            </w:r>
          </w:p>
          <w:p w14:paraId="3ADA81B2" w14:textId="7E9F7184" w:rsidR="001C3C4B" w:rsidRPr="00D03260" w:rsidRDefault="001C3C4B">
            <w:pPr>
              <w:pStyle w:val="Tablelistbullet"/>
              <w:ind w:left="284" w:hanging="284"/>
              <w:rPr>
                <w:rFonts w:cs="Arial"/>
                <w:lang w:val="en-AU"/>
              </w:rPr>
            </w:pPr>
            <w:r w:rsidRPr="00D03260">
              <w:rPr>
                <w:rFonts w:cs="Arial"/>
                <w:lang w:val="en-AU"/>
              </w:rPr>
              <w:t>The sensitising potential of mould is considered significantly lower compared with other environmental allergens</w:t>
            </w:r>
            <w:r w:rsidR="00483A85" w:rsidRPr="00D03260">
              <w:rPr>
                <w:rFonts w:cs="Arial"/>
                <w:lang w:val="en-AU"/>
              </w:rPr>
              <w:t xml:space="preserve"> such as</w:t>
            </w:r>
            <w:r w:rsidRPr="00D03260">
              <w:rPr>
                <w:rFonts w:cs="Arial"/>
                <w:lang w:val="en-AU"/>
              </w:rPr>
              <w:t xml:space="preserve"> fur-bearing pets, grass and tree pollen, house dust mites, or cockroaches. The sensitising prevalence of mould is comparatively low at </w:t>
            </w:r>
            <w:r w:rsidR="00317649" w:rsidRPr="00D03260">
              <w:rPr>
                <w:rFonts w:cs="Arial"/>
                <w:lang w:val="en-AU"/>
              </w:rPr>
              <w:t xml:space="preserve">3–10%. </w:t>
            </w:r>
          </w:p>
          <w:p w14:paraId="5727EF0F" w14:textId="67C02A1A" w:rsidR="001C3C4B" w:rsidRPr="00D03260" w:rsidRDefault="001C3C4B">
            <w:pPr>
              <w:pStyle w:val="Tablelistbullet"/>
              <w:ind w:left="284" w:hanging="284"/>
              <w:rPr>
                <w:rFonts w:cs="Arial"/>
                <w:lang w:val="en-AU"/>
              </w:rPr>
            </w:pPr>
            <w:r w:rsidRPr="00D03260">
              <w:rPr>
                <w:rFonts w:cs="Arial"/>
                <w:lang w:val="en-AU"/>
              </w:rPr>
              <w:t xml:space="preserve">The risk of respiratory infection from common indoor mould species is low in healthy individuals. In developed countries, fungal infections such as mucormycosis occurs primarily in severely immunocompromised patients (e.g., those with haematological malignancies, organ transplantation, neutropenia, autoimmune disorders, or other impairments in immunity). Only </w:t>
            </w:r>
            <w:r w:rsidR="00DE2627" w:rsidRPr="00D03260">
              <w:rPr>
                <w:rFonts w:cs="Arial"/>
                <w:lang w:val="en-AU"/>
              </w:rPr>
              <w:t>6–10% of cases occur in people with no underlying disease</w:t>
            </w:r>
          </w:p>
        </w:tc>
      </w:tr>
    </w:tbl>
    <w:p w14:paraId="4A730CB1" w14:textId="177DF690" w:rsidR="0036637D" w:rsidRPr="00D03260" w:rsidRDefault="0036637D" w:rsidP="00D90CED">
      <w:pPr>
        <w:rPr>
          <w:rFonts w:cs="Arial"/>
        </w:rPr>
      </w:pPr>
      <w:r w:rsidRPr="00D03260">
        <w:rPr>
          <w:rFonts w:cs="Arial"/>
        </w:rPr>
        <w:br w:type="page"/>
      </w:r>
    </w:p>
    <w:tbl>
      <w:tblPr>
        <w:tblStyle w:val="DepartmentofHealthtable"/>
        <w:tblW w:w="0" w:type="auto"/>
        <w:tblBorders>
          <w:top w:val="none" w:sz="0" w:space="0" w:color="auto"/>
          <w:bottom w:val="none" w:sz="0" w:space="0" w:color="auto"/>
          <w:insideH w:val="none" w:sz="0" w:space="0" w:color="auto"/>
        </w:tblBorders>
        <w:tblLook w:val="0020" w:firstRow="1" w:lastRow="0" w:firstColumn="0" w:lastColumn="0" w:noHBand="0" w:noVBand="0"/>
      </w:tblPr>
      <w:tblGrid>
        <w:gridCol w:w="9070"/>
      </w:tblGrid>
      <w:tr w:rsidR="00003A6C" w:rsidRPr="00D03260" w14:paraId="6DE47071" w14:textId="77777777" w:rsidTr="009D6102">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FFFFFF" w:themeFill="background1"/>
          </w:tcPr>
          <w:p w14:paraId="05C52625" w14:textId="51AC4DEF" w:rsidR="00003A6C" w:rsidRPr="00D03260" w:rsidRDefault="00003A6C" w:rsidP="00E16337">
            <w:pPr>
              <w:pStyle w:val="Tablelistbullet"/>
              <w:ind w:left="284" w:hanging="284"/>
              <w:rPr>
                <w:rFonts w:cs="Arial"/>
                <w:lang w:val="en-AU"/>
              </w:rPr>
            </w:pPr>
            <w:r w:rsidRPr="00D03260">
              <w:rPr>
                <w:rFonts w:cs="Arial"/>
                <w:lang w:val="en-AU"/>
              </w:rPr>
              <w:lastRenderedPageBreak/>
              <w:t>In susceptible individuals presenting with a history of exposure to indoor damp and/or mould</w:t>
            </w:r>
            <w:r w:rsidR="00483A85" w:rsidRPr="00D03260">
              <w:rPr>
                <w:rFonts w:cs="Arial"/>
                <w:lang w:val="en-AU"/>
              </w:rPr>
              <w:t>,</w:t>
            </w:r>
            <w:r w:rsidRPr="00D03260">
              <w:rPr>
                <w:rFonts w:cs="Arial"/>
                <w:lang w:val="en-AU"/>
              </w:rPr>
              <w:t xml:space="preserve"> there is sufficient clinical evidence of an association between mould and other dampness-associated microbiological agents and diseases such as HP, allergic alveolitis and mould infections, as well as humidifier fever and inhalation fevers (see </w:t>
            </w:r>
            <w:hyperlink w:anchor="Sect3121HP" w:history="1">
              <w:r w:rsidRPr="00D03260">
                <w:rPr>
                  <w:rStyle w:val="Hyperlink"/>
                  <w:rFonts w:cs="Arial"/>
                  <w:lang w:val="en-AU"/>
                </w:rPr>
                <w:t>section 3.1.2.1</w:t>
              </w:r>
            </w:hyperlink>
            <w:r w:rsidRPr="00D03260">
              <w:rPr>
                <w:rFonts w:cs="Arial"/>
                <w:lang w:val="en-AU"/>
              </w:rPr>
              <w:t xml:space="preserve">, </w:t>
            </w:r>
            <w:hyperlink w:anchor="Sect3122ClinicalPresentationOfHPAndPoten" w:history="1">
              <w:r w:rsidRPr="00D03260">
                <w:rPr>
                  <w:rStyle w:val="Hyperlink"/>
                  <w:rFonts w:cs="Arial"/>
                  <w:lang w:val="en-AU"/>
                </w:rPr>
                <w:t>section 3.1.2.2</w:t>
              </w:r>
            </w:hyperlink>
            <w:r w:rsidRPr="00D03260">
              <w:rPr>
                <w:rFonts w:cs="Arial"/>
                <w:lang w:val="en-AU"/>
              </w:rPr>
              <w:t xml:space="preserve">, </w:t>
            </w:r>
            <w:hyperlink w:anchor="Sect3123ABPAandAFRSinSusceptiblePeople" w:history="1">
              <w:r w:rsidRPr="00D03260">
                <w:rPr>
                  <w:rStyle w:val="Hyperlink"/>
                  <w:rFonts w:cs="Arial"/>
                  <w:lang w:val="en-AU"/>
                </w:rPr>
                <w:t>section 3.1.2.3</w:t>
              </w:r>
            </w:hyperlink>
            <w:r w:rsidRPr="00D03260">
              <w:rPr>
                <w:rFonts w:cs="Arial"/>
                <w:lang w:val="en-AU"/>
              </w:rPr>
              <w:t xml:space="preserve">, and </w:t>
            </w:r>
            <w:hyperlink w:anchor="Sect3124MycosesMouldRelatedInfectionsInS" w:history="1">
              <w:r w:rsidRPr="00D03260">
                <w:rPr>
                  <w:rStyle w:val="Hyperlink"/>
                  <w:rFonts w:cs="Arial"/>
                  <w:lang w:val="en-AU"/>
                </w:rPr>
                <w:t>section 3.1.2.4</w:t>
              </w:r>
            </w:hyperlink>
            <w:r w:rsidRPr="00D03260">
              <w:rPr>
                <w:rFonts w:cs="Arial"/>
                <w:lang w:val="en-AU"/>
              </w:rPr>
              <w:t xml:space="preserve"> for further details). </w:t>
            </w:r>
          </w:p>
          <w:p w14:paraId="775507BE" w14:textId="58468913" w:rsidR="00003A6C" w:rsidRPr="00D03260" w:rsidRDefault="00003A6C" w:rsidP="00E16337">
            <w:pPr>
              <w:pStyle w:val="Tablelistbullet"/>
              <w:ind w:left="284" w:hanging="284"/>
              <w:rPr>
                <w:rFonts w:cs="Arial"/>
                <w:szCs w:val="21"/>
                <w:lang w:val="en-AU"/>
              </w:rPr>
            </w:pPr>
            <w:r w:rsidRPr="00D03260">
              <w:rPr>
                <w:rFonts w:cs="Arial"/>
                <w:lang w:val="en-AU"/>
              </w:rPr>
              <w:t>HP (extrinsic allergic alveolitis) is an interstitial granulomatous, cell-mediated lung inflammation caused by repeated inhalation of antigens from microorganisms or other sources in susceptible people</w:t>
            </w:r>
            <w:r w:rsidR="00113518" w:rsidRPr="00D03260">
              <w:rPr>
                <w:rFonts w:cs="Arial"/>
                <w:lang w:val="en-AU"/>
              </w:rPr>
              <w:t>.</w:t>
            </w:r>
            <w:r w:rsidRPr="00D03260">
              <w:rPr>
                <w:rFonts w:cs="Arial"/>
                <w:lang w:val="en-AU"/>
              </w:rPr>
              <w:t xml:space="preserve"> Many different fungi, bacteria, animal </w:t>
            </w:r>
            <w:r w:rsidRPr="00D03260">
              <w:rPr>
                <w:rFonts w:cs="Arial"/>
                <w:szCs w:val="21"/>
                <w:lang w:val="en-AU"/>
              </w:rPr>
              <w:t>proteins, plants, and chemicals are known causes of HP. The most frequent causal antigens are bird proteins and bacteria such as thermophilic actinomycetes</w:t>
            </w:r>
            <w:r w:rsidR="00C023DC" w:rsidRPr="00D03260">
              <w:rPr>
                <w:rFonts w:cs="Arial"/>
                <w:szCs w:val="21"/>
                <w:lang w:val="en-AU"/>
              </w:rPr>
              <w:t>.</w:t>
            </w:r>
            <w:r w:rsidRPr="00D03260">
              <w:rPr>
                <w:rFonts w:cs="Arial"/>
                <w:szCs w:val="21"/>
                <w:lang w:val="en-AU"/>
              </w:rPr>
              <w:t xml:space="preserve"> </w:t>
            </w:r>
            <w:r w:rsidR="00C023DC" w:rsidRPr="00D03260">
              <w:rPr>
                <w:rFonts w:cs="Arial"/>
                <w:szCs w:val="21"/>
                <w:lang w:val="en-AU"/>
              </w:rPr>
              <w:t>In addition</w:t>
            </w:r>
            <w:r w:rsidRPr="00D03260">
              <w:rPr>
                <w:rFonts w:cs="Arial"/>
                <w:szCs w:val="21"/>
                <w:lang w:val="en-AU"/>
              </w:rPr>
              <w:t>, fungi have also been implicated in both occupational and non-occupational outbreaks. Damp in office buildings or homes or air conditioning and humification systems has been acknowledged to have a role in the development of HP. HP is frequently misdiagnosed as a pneumonia of infectious aetiology.</w:t>
            </w:r>
          </w:p>
          <w:p w14:paraId="14170DF8" w14:textId="25059411" w:rsidR="00003A6C" w:rsidRPr="00D03260" w:rsidRDefault="00806403" w:rsidP="00E16337">
            <w:pPr>
              <w:pStyle w:val="Tablelistbullet"/>
              <w:ind w:left="284" w:hanging="284"/>
              <w:rPr>
                <w:rFonts w:cs="Arial"/>
                <w:lang w:val="en-AU"/>
              </w:rPr>
            </w:pPr>
            <w:r w:rsidRPr="00D03260">
              <w:rPr>
                <w:rFonts w:cs="Arial"/>
                <w:lang w:val="en-AU"/>
              </w:rPr>
              <w:t xml:space="preserve">Immuno-compromise or immunosuppression has been linked with increased mould infection in susceptible patients. </w:t>
            </w:r>
            <w:r w:rsidR="00003A6C" w:rsidRPr="00D03260">
              <w:rPr>
                <w:rFonts w:cs="Arial"/>
                <w:lang w:val="en-AU"/>
              </w:rPr>
              <w:t xml:space="preserve">Infection with </w:t>
            </w:r>
            <w:r w:rsidR="00003A6C" w:rsidRPr="00D03260">
              <w:rPr>
                <w:rFonts w:cs="Arial"/>
                <w:i/>
                <w:iCs/>
                <w:lang w:val="en-AU"/>
              </w:rPr>
              <w:t xml:space="preserve">Aspergillus </w:t>
            </w:r>
            <w:r w:rsidR="00003A6C" w:rsidRPr="00D03260">
              <w:rPr>
                <w:rFonts w:cs="Arial"/>
                <w:lang w:val="en-AU"/>
              </w:rPr>
              <w:t xml:space="preserve">and other fungi such as </w:t>
            </w:r>
            <w:r w:rsidR="00003A6C" w:rsidRPr="00D03260">
              <w:rPr>
                <w:rFonts w:cs="Arial"/>
                <w:i/>
                <w:iCs/>
                <w:lang w:val="en-AU"/>
              </w:rPr>
              <w:t>Fusarium</w:t>
            </w:r>
            <w:r w:rsidR="00003A6C" w:rsidRPr="00D03260">
              <w:rPr>
                <w:rFonts w:cs="Arial"/>
                <w:lang w:val="en-AU"/>
              </w:rPr>
              <w:t xml:space="preserve"> spp. </w:t>
            </w:r>
            <w:r w:rsidR="00C023DC" w:rsidRPr="00D03260">
              <w:rPr>
                <w:rFonts w:cs="Arial"/>
                <w:lang w:val="en-AU"/>
              </w:rPr>
              <w:t xml:space="preserve">is </w:t>
            </w:r>
            <w:r w:rsidR="00003A6C" w:rsidRPr="00D03260">
              <w:rPr>
                <w:rFonts w:cs="Arial"/>
                <w:lang w:val="en-AU"/>
              </w:rPr>
              <w:t xml:space="preserve">a well-known complication in the treatment of </w:t>
            </w:r>
            <w:r w:rsidR="00C023DC" w:rsidRPr="00D03260">
              <w:rPr>
                <w:rFonts w:cs="Arial"/>
                <w:lang w:val="en-AU"/>
              </w:rPr>
              <w:t xml:space="preserve">immuno-compromised </w:t>
            </w:r>
            <w:r w:rsidR="00003A6C" w:rsidRPr="00D03260">
              <w:rPr>
                <w:rFonts w:cs="Arial"/>
                <w:lang w:val="en-AU"/>
              </w:rPr>
              <w:t xml:space="preserve">patients </w:t>
            </w:r>
            <w:r w:rsidR="00C023DC" w:rsidRPr="00D03260">
              <w:rPr>
                <w:rFonts w:cs="Arial"/>
                <w:lang w:val="en-AU"/>
              </w:rPr>
              <w:t>(</w:t>
            </w:r>
            <w:r w:rsidR="00003A6C" w:rsidRPr="00D03260">
              <w:rPr>
                <w:rFonts w:cs="Arial"/>
                <w:lang w:val="en-AU"/>
              </w:rPr>
              <w:t xml:space="preserve">for example, cancer treatment or infection with human immunodeficiency virus. </w:t>
            </w:r>
            <w:r w:rsidRPr="00D03260">
              <w:rPr>
                <w:rFonts w:cs="Arial"/>
                <w:lang w:val="en-AU"/>
              </w:rPr>
              <w:t xml:space="preserve">Invasive </w:t>
            </w:r>
            <w:r w:rsidRPr="00D03260">
              <w:rPr>
                <w:rFonts w:cs="Arial"/>
                <w:i/>
                <w:iCs/>
                <w:lang w:val="en-AU"/>
              </w:rPr>
              <w:t>Aspergillus</w:t>
            </w:r>
            <w:r w:rsidRPr="00D03260">
              <w:rPr>
                <w:rFonts w:cs="Arial"/>
                <w:lang w:val="en-AU"/>
              </w:rPr>
              <w:t xml:space="preserve"> infections are an important cause of morbidity and mortality in immunodeficient patients and are associated with high mortality rates of between 30–95% in the more than 200,000 annual cases of life-threatening </w:t>
            </w:r>
            <w:r w:rsidRPr="00D03260">
              <w:rPr>
                <w:rFonts w:cs="Arial"/>
                <w:i/>
                <w:iCs/>
                <w:lang w:val="en-AU"/>
              </w:rPr>
              <w:t>Aspergillus</w:t>
            </w:r>
            <w:r w:rsidRPr="00D03260">
              <w:rPr>
                <w:rFonts w:cs="Arial"/>
                <w:lang w:val="en-AU"/>
              </w:rPr>
              <w:t xml:space="preserve"> infection globally. Increased f</w:t>
            </w:r>
            <w:r w:rsidR="00003A6C" w:rsidRPr="00D03260">
              <w:rPr>
                <w:rFonts w:cs="Arial"/>
                <w:lang w:val="en-AU"/>
              </w:rPr>
              <w:t xml:space="preserve">ungal infections </w:t>
            </w:r>
            <w:r w:rsidRPr="00D03260">
              <w:rPr>
                <w:rFonts w:cs="Arial"/>
                <w:lang w:val="en-AU"/>
              </w:rPr>
              <w:t>are linked with</w:t>
            </w:r>
            <w:r w:rsidR="00003A6C" w:rsidRPr="00D03260">
              <w:rPr>
                <w:rFonts w:cs="Arial"/>
                <w:lang w:val="en-AU"/>
              </w:rPr>
              <w:t xml:space="preserve"> high incidence in haemato-oncological patients with long phases of neutropenia, as well as in recipients of allogeneic stem cell transplantation. Other forms of immunosuppression, such as prolonged corticosteroid use and interstitial lung disease (including residual cavitation, e.g., following tuberculosis) as well as a combination of these factors, especially in COPD, have also been linked to increased mould infection rates.</w:t>
            </w:r>
          </w:p>
          <w:p w14:paraId="537FA601" w14:textId="50DAAABF" w:rsidR="00003A6C" w:rsidRPr="00D03260" w:rsidRDefault="00003A6C" w:rsidP="00E16337">
            <w:pPr>
              <w:pStyle w:val="Tablelistbullet"/>
              <w:ind w:left="284" w:hanging="284"/>
              <w:rPr>
                <w:rFonts w:cs="Arial"/>
                <w:lang w:val="en-AU"/>
              </w:rPr>
            </w:pPr>
            <w:r w:rsidRPr="00D03260">
              <w:rPr>
                <w:rFonts w:cs="Arial"/>
                <w:lang w:val="en-AU"/>
              </w:rPr>
              <w:t xml:space="preserve">Follow the Australian Asthma Handbook guidelines </w:t>
            </w:r>
            <w:hyperlink r:id="rId39" w:history="1">
              <w:r w:rsidR="0023326D" w:rsidRPr="00D03260">
                <w:rPr>
                  <w:rStyle w:val="Hyperlink"/>
                  <w:rFonts w:cs="Arial"/>
                  <w:szCs w:val="21"/>
                  <w:lang w:val="en-AU"/>
                </w:rPr>
                <w:t>https://www.asthmahandbook.org.au/</w:t>
              </w:r>
            </w:hyperlink>
            <w:r w:rsidR="0023326D" w:rsidRPr="00D03260">
              <w:rPr>
                <w:rFonts w:cs="Arial"/>
                <w:lang w:val="en-AU"/>
              </w:rPr>
              <w:t xml:space="preserve"> </w:t>
            </w:r>
            <w:r w:rsidRPr="00D03260">
              <w:rPr>
                <w:rFonts w:cs="Arial"/>
                <w:lang w:val="en-AU"/>
              </w:rPr>
              <w:t xml:space="preserve">in diagnosing and managing asthma in adults, </w:t>
            </w:r>
            <w:proofErr w:type="gramStart"/>
            <w:r w:rsidRPr="00D03260">
              <w:rPr>
                <w:rFonts w:cs="Arial"/>
                <w:lang w:val="en-AU"/>
              </w:rPr>
              <w:t>adolescents</w:t>
            </w:r>
            <w:proofErr w:type="gramEnd"/>
            <w:r w:rsidRPr="00D03260">
              <w:rPr>
                <w:rFonts w:cs="Arial"/>
                <w:lang w:val="en-AU"/>
              </w:rPr>
              <w:t xml:space="preserve"> and children. </w:t>
            </w:r>
            <w:r w:rsidR="00B4398A" w:rsidRPr="00D03260">
              <w:rPr>
                <w:rFonts w:cs="Arial"/>
                <w:lang w:val="en-AU"/>
              </w:rPr>
              <w:t xml:space="preserve">Provide referral </w:t>
            </w:r>
            <w:r w:rsidRPr="00D03260">
              <w:rPr>
                <w:rFonts w:cs="Arial"/>
                <w:lang w:val="en-AU"/>
              </w:rPr>
              <w:t>to respiratory physicians or paediatricians, where appropriate.</w:t>
            </w:r>
          </w:p>
          <w:p w14:paraId="69FEC550" w14:textId="123C154D" w:rsidR="00003A6C" w:rsidRPr="00D03260" w:rsidRDefault="00B4398A" w:rsidP="00E16337">
            <w:pPr>
              <w:pStyle w:val="Tablelistbullet"/>
              <w:ind w:left="284" w:hanging="284"/>
              <w:rPr>
                <w:rFonts w:cs="Arial"/>
                <w:lang w:val="en-AU"/>
              </w:rPr>
            </w:pPr>
            <w:r w:rsidRPr="00D03260">
              <w:rPr>
                <w:rFonts w:cs="Arial"/>
                <w:lang w:val="en-AU"/>
              </w:rPr>
              <w:t xml:space="preserve">Where appropriate, provide referral </w:t>
            </w:r>
            <w:r w:rsidR="00003A6C" w:rsidRPr="00D03260">
              <w:rPr>
                <w:rFonts w:cs="Arial"/>
                <w:lang w:val="en-AU"/>
              </w:rPr>
              <w:t xml:space="preserve">to other specialists </w:t>
            </w:r>
            <w:r w:rsidRPr="00D03260">
              <w:rPr>
                <w:rFonts w:cs="Arial"/>
                <w:lang w:val="en-AU"/>
              </w:rPr>
              <w:t xml:space="preserve">such as clinical immunologists, or allergy specialists </w:t>
            </w:r>
            <w:r w:rsidR="00003A6C" w:rsidRPr="00D03260">
              <w:rPr>
                <w:rFonts w:cs="Arial"/>
                <w:lang w:val="en-AU"/>
              </w:rPr>
              <w:t>for investigations on sensitivity to mould and fungus. These specialists then in turn can undertake tests or refer to a pathologist for “</w:t>
            </w:r>
            <w:r w:rsidR="00003A6C" w:rsidRPr="00D03260">
              <w:rPr>
                <w:rFonts w:cs="Arial"/>
                <w:i/>
                <w:iCs/>
                <w:lang w:val="en-AU"/>
              </w:rPr>
              <w:t>in vitro</w:t>
            </w:r>
            <w:r w:rsidR="00003A6C" w:rsidRPr="00D03260">
              <w:rPr>
                <w:rFonts w:cs="Arial"/>
                <w:lang w:val="en-AU"/>
              </w:rPr>
              <w:t xml:space="preserve"> laboratory-based testing”. If respiratory symptoms are present, patients can be referred to a respiratory physician for management and/or further investigations.</w:t>
            </w:r>
            <w:r w:rsidR="009D6102" w:rsidRPr="00D03260">
              <w:rPr>
                <w:rFonts w:cs="Arial"/>
                <w:lang w:val="en-AU"/>
              </w:rPr>
              <w:br/>
            </w:r>
          </w:p>
        </w:tc>
      </w:tr>
      <w:tr w:rsidR="001C3C4B" w:rsidRPr="00D03260" w14:paraId="43730FB6" w14:textId="77777777" w:rsidTr="009D6102">
        <w:trPr>
          <w:cnfStyle w:val="000000100000" w:firstRow="0" w:lastRow="0" w:firstColumn="0" w:lastColumn="0" w:oddVBand="0" w:evenVBand="0" w:oddHBand="1" w:evenHBand="0" w:firstRowFirstColumn="0" w:firstRowLastColumn="0" w:lastRowFirstColumn="0" w:lastRowLastColumn="0"/>
        </w:trPr>
        <w:tc>
          <w:tcPr>
            <w:tcW w:w="9070" w:type="dxa"/>
            <w:shd w:val="clear" w:color="auto" w:fill="3F4A75" w:themeFill="text2"/>
          </w:tcPr>
          <w:p w14:paraId="379E0002" w14:textId="778FC31E" w:rsidR="001C3C4B" w:rsidRPr="00D03260" w:rsidRDefault="001C3C4B" w:rsidP="003179A7">
            <w:pPr>
              <w:pStyle w:val="TableHeaderWhite"/>
              <w:rPr>
                <w:lang w:val="en-AU"/>
              </w:rPr>
            </w:pPr>
            <w:r w:rsidRPr="00D03260">
              <w:rPr>
                <w:lang w:val="en-AU"/>
              </w:rPr>
              <w:t>Diagnostic testing</w:t>
            </w:r>
          </w:p>
        </w:tc>
      </w:tr>
      <w:tr w:rsidR="001C3C4B" w:rsidRPr="00D03260" w14:paraId="39FF531E" w14:textId="77777777" w:rsidTr="009C3EA5">
        <w:trPr>
          <w:cnfStyle w:val="000000010000" w:firstRow="0" w:lastRow="0" w:firstColumn="0" w:lastColumn="0" w:oddVBand="0" w:evenVBand="0" w:oddHBand="0" w:evenHBand="1" w:firstRowFirstColumn="0" w:firstRowLastColumn="0" w:lastRowFirstColumn="0" w:lastRowLastColumn="0"/>
        </w:trPr>
        <w:tc>
          <w:tcPr>
            <w:tcW w:w="9070" w:type="dxa"/>
          </w:tcPr>
          <w:p w14:paraId="3430AA58" w14:textId="77777777" w:rsidR="001C3C4B" w:rsidRPr="00D03260" w:rsidRDefault="001C3C4B" w:rsidP="00E16337">
            <w:pPr>
              <w:pStyle w:val="Tablelistbullet"/>
              <w:ind w:left="284" w:hanging="284"/>
              <w:rPr>
                <w:rFonts w:cs="Arial"/>
                <w:i/>
                <w:lang w:val="en-AU"/>
              </w:rPr>
            </w:pPr>
            <w:r w:rsidRPr="00D03260">
              <w:rPr>
                <w:rFonts w:cs="Arial"/>
                <w:lang w:val="en-AU"/>
              </w:rPr>
              <w:t xml:space="preserve">Follow the Australian national guidelines in the Australian Asthma Handbook for diagnostic testing and clinical considerations for diagnosing asthma in adults, adolescents and children (see </w:t>
            </w:r>
            <w:hyperlink w:anchor="Section41Asthma" w:history="1">
              <w:r w:rsidRPr="00D03260">
                <w:rPr>
                  <w:rStyle w:val="Hyperlink"/>
                  <w:rFonts w:cs="Arial"/>
                  <w:szCs w:val="21"/>
                  <w:lang w:val="en-AU"/>
                </w:rPr>
                <w:t>section 4.1</w:t>
              </w:r>
            </w:hyperlink>
            <w:r w:rsidRPr="00D03260">
              <w:rPr>
                <w:rFonts w:cs="Arial"/>
                <w:lang w:val="en-AU"/>
              </w:rPr>
              <w:t xml:space="preserve">, </w:t>
            </w:r>
            <w:hyperlink w:anchor="Section411Adults" w:history="1">
              <w:r w:rsidRPr="00D03260">
                <w:rPr>
                  <w:rStyle w:val="Hyperlink"/>
                  <w:rFonts w:cs="Arial"/>
                  <w:szCs w:val="21"/>
                  <w:lang w:val="en-AU"/>
                </w:rPr>
                <w:t>section 4.1.1</w:t>
              </w:r>
            </w:hyperlink>
            <w:r w:rsidRPr="00D03260">
              <w:rPr>
                <w:rFonts w:cs="Arial"/>
                <w:lang w:val="en-AU"/>
              </w:rPr>
              <w:t xml:space="preserve">, </w:t>
            </w:r>
            <w:hyperlink w:anchor="Section412Adolescents" w:history="1">
              <w:r w:rsidRPr="00D03260">
                <w:rPr>
                  <w:rStyle w:val="Hyperlink"/>
                  <w:rFonts w:cs="Arial"/>
                  <w:szCs w:val="21"/>
                  <w:lang w:val="en-AU"/>
                </w:rPr>
                <w:t>section 4.1.2</w:t>
              </w:r>
            </w:hyperlink>
            <w:r w:rsidRPr="00D03260">
              <w:rPr>
                <w:rFonts w:cs="Arial"/>
                <w:lang w:val="en-AU"/>
              </w:rPr>
              <w:t xml:space="preserve">, </w:t>
            </w:r>
            <w:hyperlink w:anchor="Section413ChildrenAged1Year" w:history="1">
              <w:r w:rsidRPr="00D03260">
                <w:rPr>
                  <w:rStyle w:val="Hyperlink"/>
                  <w:rFonts w:cs="Arial"/>
                  <w:szCs w:val="21"/>
                  <w:lang w:val="en-AU"/>
                </w:rPr>
                <w:t>section 4.1.3</w:t>
              </w:r>
            </w:hyperlink>
            <w:r w:rsidRPr="00D03260">
              <w:rPr>
                <w:rFonts w:cs="Arial"/>
                <w:lang w:val="en-AU"/>
              </w:rPr>
              <w:t xml:space="preserve">, and </w:t>
            </w:r>
            <w:hyperlink w:anchor="Section414InfantsAged0To12Months" w:history="1">
              <w:r w:rsidRPr="00D03260">
                <w:rPr>
                  <w:rStyle w:val="Hyperlink"/>
                  <w:rFonts w:cs="Arial"/>
                  <w:szCs w:val="21"/>
                  <w:lang w:val="en-AU"/>
                </w:rPr>
                <w:t>section 4.1.4</w:t>
              </w:r>
            </w:hyperlink>
            <w:r w:rsidRPr="00D03260">
              <w:rPr>
                <w:rFonts w:cs="Arial"/>
                <w:lang w:val="en-AU"/>
              </w:rPr>
              <w:t xml:space="preserve"> for further details).</w:t>
            </w:r>
          </w:p>
          <w:p w14:paraId="4A03BE8C" w14:textId="73E5440D" w:rsidR="001C3C4B" w:rsidRPr="00D03260" w:rsidRDefault="001C3C4B" w:rsidP="00E16337">
            <w:pPr>
              <w:pStyle w:val="Tablelistbullet"/>
              <w:ind w:left="284" w:hanging="284"/>
              <w:rPr>
                <w:rFonts w:cs="Arial"/>
                <w:lang w:val="en-AU"/>
              </w:rPr>
            </w:pPr>
            <w:r w:rsidRPr="00D03260">
              <w:rPr>
                <w:rFonts w:cs="Arial"/>
                <w:lang w:val="en-AU"/>
              </w:rPr>
              <w:t>Core elements of the diagnostic work-up for mould infection include microbiological, immunological, molecular biological, and radiological</w:t>
            </w:r>
            <w:r w:rsidR="00CC3964" w:rsidRPr="00D03260">
              <w:rPr>
                <w:rFonts w:cs="Arial"/>
                <w:lang w:val="en-AU"/>
              </w:rPr>
              <w:t xml:space="preserve"> testing</w:t>
            </w:r>
            <w:r w:rsidRPr="00D03260">
              <w:rPr>
                <w:rFonts w:cs="Arial"/>
                <w:lang w:val="en-AU"/>
              </w:rPr>
              <w:t xml:space="preserve">. Lung or airways infection by endemic fungi or </w:t>
            </w:r>
            <w:r w:rsidRPr="00D03260">
              <w:rPr>
                <w:rFonts w:cs="Arial"/>
                <w:i/>
                <w:iCs/>
                <w:lang w:val="en-AU"/>
              </w:rPr>
              <w:t>Aspergillus</w:t>
            </w:r>
            <w:r w:rsidRPr="00D03260">
              <w:rPr>
                <w:rFonts w:cs="Arial"/>
                <w:lang w:val="en-AU"/>
              </w:rPr>
              <w:t xml:space="preserve"> can be diagnosed with respiratory sample culture or serum IgG testing. Sputum, induced sputum, or bronchial specimens are suitable specimens for detecting fungi. Microscopy, fungal culture, galactomannan antigen, and </w:t>
            </w:r>
            <w:r w:rsidRPr="00D03260">
              <w:rPr>
                <w:rFonts w:cs="Arial"/>
                <w:i/>
                <w:iCs/>
                <w:lang w:val="en-AU"/>
              </w:rPr>
              <w:t>Aspergillus</w:t>
            </w:r>
            <w:r w:rsidRPr="00D03260">
              <w:rPr>
                <w:rFonts w:cs="Arial"/>
                <w:lang w:val="en-AU"/>
              </w:rPr>
              <w:t xml:space="preserve"> polymerised chain reaction (PCR) are </w:t>
            </w:r>
            <w:r w:rsidR="000475A7" w:rsidRPr="00D03260">
              <w:rPr>
                <w:rFonts w:cs="Arial"/>
                <w:lang w:val="en-AU"/>
              </w:rPr>
              <w:t xml:space="preserve">also </w:t>
            </w:r>
            <w:r w:rsidRPr="00D03260">
              <w:rPr>
                <w:rFonts w:cs="Arial"/>
                <w:lang w:val="en-AU"/>
              </w:rPr>
              <w:t>useful tests (</w:t>
            </w:r>
            <w:r w:rsidRPr="00D03260">
              <w:rPr>
                <w:rFonts w:cs="Arial"/>
                <w:iCs/>
                <w:lang w:val="en-AU"/>
              </w:rPr>
              <w:t xml:space="preserve">see </w:t>
            </w:r>
            <w:hyperlink w:anchor="Section42MouldInfectionDiagnostics" w:history="1">
              <w:r w:rsidRPr="00D03260">
                <w:rPr>
                  <w:rStyle w:val="Hyperlink"/>
                  <w:rFonts w:cs="Arial"/>
                  <w:iCs/>
                  <w:szCs w:val="21"/>
                  <w:lang w:val="en-AU"/>
                </w:rPr>
                <w:t>section 4.2</w:t>
              </w:r>
            </w:hyperlink>
            <w:r w:rsidRPr="00D03260">
              <w:rPr>
                <w:rFonts w:cs="Arial"/>
                <w:lang w:val="en-AU"/>
              </w:rPr>
              <w:t xml:space="preserve"> </w:t>
            </w:r>
            <w:r w:rsidRPr="00D03260">
              <w:rPr>
                <w:rFonts w:cs="Arial"/>
                <w:iCs/>
                <w:lang w:val="en-AU"/>
              </w:rPr>
              <w:t>f</w:t>
            </w:r>
            <w:r w:rsidRPr="00D03260">
              <w:rPr>
                <w:rFonts w:cs="Arial"/>
                <w:lang w:val="en-AU"/>
              </w:rPr>
              <w:t>or further details</w:t>
            </w:r>
            <w:r w:rsidRPr="00D03260">
              <w:rPr>
                <w:rFonts w:cs="Arial"/>
                <w:iCs/>
                <w:lang w:val="en-AU"/>
              </w:rPr>
              <w:t>).</w:t>
            </w:r>
          </w:p>
          <w:p w14:paraId="6A14C610" w14:textId="5C0E2F8C" w:rsidR="001C3C4B" w:rsidRPr="00D03260" w:rsidRDefault="001C3C4B" w:rsidP="00E16337">
            <w:pPr>
              <w:pStyle w:val="Tablelistbullet"/>
              <w:ind w:left="284" w:hanging="284"/>
              <w:rPr>
                <w:rFonts w:cs="Arial"/>
                <w:lang w:val="en-AU"/>
              </w:rPr>
            </w:pPr>
            <w:r w:rsidRPr="00D03260">
              <w:rPr>
                <w:rFonts w:cs="Arial"/>
                <w:lang w:val="en-AU"/>
              </w:rPr>
              <w:t xml:space="preserve">Allergic disorders due to mould allergens can essentially manifest as conjunctivitis, rhinitis, rhinosinusitis, allergic bronchial asthma, urticaria, HP and allergic bronchopulmonary aspergillosis (ABPA). As such, the differential diagnosis based on the medical history and clinical laboratory </w:t>
            </w:r>
            <w:r w:rsidRPr="00D03260">
              <w:rPr>
                <w:rFonts w:cs="Arial"/>
                <w:i/>
                <w:iCs/>
                <w:lang w:val="en-AU"/>
              </w:rPr>
              <w:t>in vitro/in vivo</w:t>
            </w:r>
            <w:r w:rsidRPr="00D03260">
              <w:rPr>
                <w:rFonts w:cs="Arial"/>
                <w:lang w:val="en-AU"/>
              </w:rPr>
              <w:t xml:space="preserve"> testing is of central importance</w:t>
            </w:r>
            <w:r w:rsidR="000475A7" w:rsidRPr="00D03260">
              <w:rPr>
                <w:rFonts w:cs="Arial"/>
                <w:lang w:val="en-AU"/>
              </w:rPr>
              <w:t xml:space="preserve"> </w:t>
            </w:r>
            <w:r w:rsidR="00BE5FF2" w:rsidRPr="00D03260">
              <w:rPr>
                <w:rFonts w:cs="Arial"/>
                <w:lang w:val="en-AU"/>
              </w:rPr>
              <w:t>for</w:t>
            </w:r>
            <w:r w:rsidR="000475A7" w:rsidRPr="00D03260">
              <w:rPr>
                <w:rFonts w:cs="Arial"/>
                <w:lang w:val="en-AU"/>
              </w:rPr>
              <w:t xml:space="preserve"> managing patients</w:t>
            </w:r>
            <w:r w:rsidRPr="00D03260">
              <w:rPr>
                <w:rFonts w:cs="Arial"/>
                <w:lang w:val="en-AU"/>
              </w:rPr>
              <w:t>. In individual cases, the allergic reaction needs to be confirmed and the allergy trigger identified.</w:t>
            </w:r>
          </w:p>
        </w:tc>
      </w:tr>
      <w:tr w:rsidR="00370144" w:rsidRPr="00D03260" w14:paraId="3B475864" w14:textId="77777777" w:rsidTr="009D61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70" w:type="dxa"/>
            <w:shd w:val="clear" w:color="auto" w:fill="auto"/>
          </w:tcPr>
          <w:p w14:paraId="5FD61A77" w14:textId="2609F873" w:rsidR="00370144" w:rsidRPr="00D03260" w:rsidRDefault="00003A6C" w:rsidP="00E16337">
            <w:pPr>
              <w:pStyle w:val="Tablelistbullet"/>
              <w:ind w:left="284" w:hanging="284"/>
              <w:rPr>
                <w:rFonts w:cs="Arial"/>
                <w:i/>
                <w:lang w:val="en-AU"/>
              </w:rPr>
            </w:pPr>
            <w:r w:rsidRPr="00D03260">
              <w:rPr>
                <w:rFonts w:cs="Arial"/>
                <w:lang w:val="en-AU"/>
              </w:rPr>
              <w:lastRenderedPageBreak/>
              <w:br w:type="page"/>
            </w:r>
            <w:r w:rsidR="00370144" w:rsidRPr="00D03260">
              <w:rPr>
                <w:rFonts w:cs="Arial"/>
                <w:lang w:val="en-AU"/>
              </w:rPr>
              <w:t xml:space="preserve">In principle, the same guidelines and recommendations apply to the diagnostics of mould allergy as to other allergen sources that cause immediate-type allergies </w:t>
            </w:r>
            <w:r w:rsidR="00256629" w:rsidRPr="00D03260">
              <w:rPr>
                <w:rFonts w:cs="Arial"/>
                <w:lang w:val="en-AU"/>
              </w:rPr>
              <w:t>(</w:t>
            </w:r>
            <w:r w:rsidRPr="00D03260">
              <w:rPr>
                <w:rFonts w:cs="Arial"/>
                <w:lang w:val="en-AU"/>
              </w:rPr>
              <w:t>s</w:t>
            </w:r>
            <w:r w:rsidR="00370144" w:rsidRPr="00D03260">
              <w:rPr>
                <w:rFonts w:cs="Arial"/>
                <w:lang w:val="en-AU"/>
              </w:rPr>
              <w:t xml:space="preserve">ee </w:t>
            </w:r>
            <w:hyperlink w:anchor="Section43MouldAllergyDiagnostics" w:history="1">
              <w:r w:rsidR="00256629" w:rsidRPr="00D03260">
                <w:rPr>
                  <w:rStyle w:val="Hyperlink"/>
                  <w:rFonts w:cs="Arial"/>
                  <w:szCs w:val="21"/>
                  <w:lang w:val="en-AU"/>
                </w:rPr>
                <w:t>s</w:t>
              </w:r>
              <w:r w:rsidR="00370144" w:rsidRPr="00D03260">
                <w:rPr>
                  <w:rStyle w:val="Hyperlink"/>
                  <w:rFonts w:cs="Arial"/>
                  <w:szCs w:val="21"/>
                  <w:lang w:val="en-AU"/>
                </w:rPr>
                <w:t>ection 4.3</w:t>
              </w:r>
            </w:hyperlink>
            <w:r w:rsidR="00091CB9" w:rsidRPr="00D03260">
              <w:rPr>
                <w:rStyle w:val="Hyperlink"/>
                <w:rFonts w:cs="Arial"/>
                <w:color w:val="000000" w:themeColor="text1"/>
                <w:szCs w:val="21"/>
                <w:u w:val="none"/>
                <w:lang w:val="en-AU"/>
              </w:rPr>
              <w:t>,</w:t>
            </w:r>
            <w:r w:rsidR="00091CB9" w:rsidRPr="00D03260">
              <w:rPr>
                <w:rStyle w:val="Hyperlink"/>
                <w:rFonts w:cs="Arial"/>
                <w:color w:val="000000" w:themeColor="text1"/>
                <w:szCs w:val="21"/>
                <w:lang w:val="en-AU"/>
              </w:rPr>
              <w:t xml:space="preserve"> </w:t>
            </w:r>
            <w:hyperlink w:anchor="Sect431RecommendedDiagnosticTests" w:history="1">
              <w:r w:rsidR="002C4686" w:rsidRPr="00D03260">
                <w:rPr>
                  <w:rStyle w:val="Hyperlink"/>
                  <w:rFonts w:cs="Arial"/>
                  <w:lang w:val="en-AU"/>
                </w:rPr>
                <w:t xml:space="preserve">section </w:t>
              </w:r>
              <w:r w:rsidR="00091CB9" w:rsidRPr="00D03260">
                <w:rPr>
                  <w:rStyle w:val="Hyperlink"/>
                  <w:rFonts w:cs="Arial"/>
                  <w:lang w:val="en-AU"/>
                </w:rPr>
                <w:t>4.3.1</w:t>
              </w:r>
            </w:hyperlink>
            <w:r w:rsidR="00091CB9" w:rsidRPr="00D03260">
              <w:rPr>
                <w:rFonts w:cs="Arial"/>
                <w:lang w:val="en-AU"/>
              </w:rPr>
              <w:t xml:space="preserve"> </w:t>
            </w:r>
            <w:r w:rsidR="00370144" w:rsidRPr="00D03260">
              <w:rPr>
                <w:rFonts w:cs="Arial"/>
                <w:lang w:val="en-AU"/>
              </w:rPr>
              <w:t xml:space="preserve">and </w:t>
            </w:r>
            <w:hyperlink w:anchor="Section432ProvideAdviceToPatientsAboutTh" w:history="1">
              <w:r w:rsidR="00256629" w:rsidRPr="00D03260">
                <w:rPr>
                  <w:rStyle w:val="Hyperlink"/>
                  <w:rFonts w:cs="Arial"/>
                  <w:szCs w:val="21"/>
                  <w:lang w:val="en-AU"/>
                </w:rPr>
                <w:t>s</w:t>
              </w:r>
              <w:r w:rsidR="00370144" w:rsidRPr="00D03260">
                <w:rPr>
                  <w:rStyle w:val="Hyperlink"/>
                  <w:rFonts w:cs="Arial"/>
                  <w:szCs w:val="21"/>
                  <w:lang w:val="en-AU"/>
                </w:rPr>
                <w:t>ection 4.3.2</w:t>
              </w:r>
            </w:hyperlink>
            <w:r w:rsidR="00256629" w:rsidRPr="00D03260">
              <w:rPr>
                <w:rFonts w:cs="Arial"/>
                <w:lang w:val="en-AU"/>
              </w:rPr>
              <w:t xml:space="preserve"> for further details)</w:t>
            </w:r>
            <w:r w:rsidRPr="00D03260">
              <w:rPr>
                <w:rFonts w:cs="Arial"/>
                <w:lang w:val="en-AU"/>
              </w:rPr>
              <w:t>.</w:t>
            </w:r>
            <w:r w:rsidR="00370144" w:rsidRPr="00D03260">
              <w:rPr>
                <w:rFonts w:cs="Arial"/>
                <w:i/>
                <w:iCs/>
                <w:lang w:val="en-AU"/>
              </w:rPr>
              <w:t xml:space="preserve"> </w:t>
            </w:r>
          </w:p>
          <w:p w14:paraId="33C21E99" w14:textId="77777777" w:rsidR="00370144" w:rsidRPr="00D03260" w:rsidRDefault="00370144" w:rsidP="00092C61">
            <w:pPr>
              <w:pStyle w:val="Tablelistbullet"/>
              <w:ind w:left="284" w:hanging="284"/>
              <w:rPr>
                <w:rFonts w:cs="Arial"/>
                <w:lang w:val="en-AU"/>
              </w:rPr>
            </w:pPr>
            <w:r w:rsidRPr="00D03260">
              <w:rPr>
                <w:rFonts w:cs="Arial"/>
                <w:lang w:val="en-AU"/>
              </w:rPr>
              <w:t>The core element of allergy diagnostics include:</w:t>
            </w:r>
          </w:p>
          <w:p w14:paraId="391CA57B" w14:textId="77777777" w:rsidR="00370144" w:rsidRPr="00D03260" w:rsidRDefault="00370144" w:rsidP="00002ECA">
            <w:pPr>
              <w:pStyle w:val="Tablelistbullet2"/>
              <w:numPr>
                <w:ilvl w:val="0"/>
                <w:numId w:val="97"/>
              </w:numPr>
              <w:ind w:right="57"/>
              <w:rPr>
                <w:rFonts w:cs="Arial"/>
              </w:rPr>
            </w:pPr>
            <w:r w:rsidRPr="00D03260">
              <w:rPr>
                <w:rFonts w:cs="Arial"/>
              </w:rPr>
              <w:t>medical history</w:t>
            </w:r>
          </w:p>
          <w:p w14:paraId="1B05279E" w14:textId="77777777" w:rsidR="00370144" w:rsidRPr="00D03260" w:rsidRDefault="00370144" w:rsidP="00002ECA">
            <w:pPr>
              <w:pStyle w:val="Tablelistbullet2"/>
              <w:numPr>
                <w:ilvl w:val="0"/>
                <w:numId w:val="97"/>
              </w:numPr>
              <w:ind w:right="57"/>
              <w:rPr>
                <w:rFonts w:cs="Arial"/>
              </w:rPr>
            </w:pPr>
            <w:r w:rsidRPr="00D03260">
              <w:rPr>
                <w:rFonts w:cs="Arial"/>
              </w:rPr>
              <w:t>skin prick testing</w:t>
            </w:r>
          </w:p>
          <w:p w14:paraId="2FCD9A43" w14:textId="5B950327" w:rsidR="00370144" w:rsidRPr="00D03260" w:rsidRDefault="00370144" w:rsidP="00002ECA">
            <w:pPr>
              <w:pStyle w:val="Tablelistbullet2"/>
              <w:numPr>
                <w:ilvl w:val="0"/>
                <w:numId w:val="97"/>
              </w:numPr>
              <w:ind w:right="57"/>
              <w:rPr>
                <w:rFonts w:cs="Arial"/>
              </w:rPr>
            </w:pPr>
            <w:r w:rsidRPr="00D03260">
              <w:rPr>
                <w:rFonts w:cs="Arial"/>
                <w:i/>
                <w:iCs/>
              </w:rPr>
              <w:t>in vitro</w:t>
            </w:r>
            <w:r w:rsidRPr="00D03260">
              <w:rPr>
                <w:rFonts w:cs="Arial"/>
              </w:rPr>
              <w:t xml:space="preserve"> serological examination of specific IgE antibodies in type I sensitisation</w:t>
            </w:r>
            <w:r w:rsidR="00DE2627" w:rsidRPr="00D03260">
              <w:rPr>
                <w:rFonts w:cs="Arial"/>
              </w:rPr>
              <w:t>,</w:t>
            </w:r>
            <w:r w:rsidRPr="00D03260">
              <w:rPr>
                <w:rFonts w:cs="Arial"/>
              </w:rPr>
              <w:t xml:space="preserve"> or specific IgG antibodies in HP</w:t>
            </w:r>
            <w:r w:rsidR="00402FA2" w:rsidRPr="00D03260">
              <w:rPr>
                <w:rFonts w:cs="Arial"/>
              </w:rPr>
              <w:t xml:space="preserve"> only</w:t>
            </w:r>
            <w:r w:rsidRPr="00D03260">
              <w:rPr>
                <w:rFonts w:cs="Arial"/>
              </w:rPr>
              <w:t xml:space="preserve"> (noted as being extremely rare in non-occupational indoor exposure)</w:t>
            </w:r>
          </w:p>
          <w:p w14:paraId="7DA3C936" w14:textId="77777777" w:rsidR="00370144" w:rsidRPr="00D03260" w:rsidRDefault="00370144" w:rsidP="00002ECA">
            <w:pPr>
              <w:pStyle w:val="Tablelistbullet2"/>
              <w:numPr>
                <w:ilvl w:val="0"/>
                <w:numId w:val="97"/>
              </w:numPr>
              <w:ind w:right="57"/>
              <w:rPr>
                <w:rFonts w:cs="Arial"/>
              </w:rPr>
            </w:pPr>
            <w:r w:rsidRPr="00D03260">
              <w:rPr>
                <w:rFonts w:cs="Arial"/>
              </w:rPr>
              <w:t>provocation testing (nasal, conjunctival, bronchial, as indicated).</w:t>
            </w:r>
          </w:p>
          <w:p w14:paraId="6C709E38" w14:textId="77777777" w:rsidR="002852E1" w:rsidRPr="00D03260" w:rsidRDefault="00A16350" w:rsidP="00092C61">
            <w:pPr>
              <w:pStyle w:val="Tablelistbullet"/>
              <w:ind w:left="284" w:hanging="284"/>
              <w:rPr>
                <w:rFonts w:cs="Arial"/>
                <w:lang w:val="en-AU"/>
              </w:rPr>
            </w:pPr>
            <w:r w:rsidRPr="00D03260">
              <w:rPr>
                <w:rFonts w:cs="Arial"/>
                <w:lang w:val="en-AU"/>
              </w:rPr>
              <w:t xml:space="preserve">Mould-specific IgG antibody determination is recommended only in the case of suspected ABPA (type I and III allergy) or HP (type III and intravenous (IV) allergy). It can make a helpful contribution to diagnosis of ABPA and HP as </w:t>
            </w:r>
            <w:proofErr w:type="gramStart"/>
            <w:r w:rsidRPr="00D03260">
              <w:rPr>
                <w:rFonts w:cs="Arial"/>
                <w:lang w:val="en-AU"/>
              </w:rPr>
              <w:t>b</w:t>
            </w:r>
            <w:r w:rsidR="00B93258" w:rsidRPr="00D03260">
              <w:rPr>
                <w:rFonts w:cs="Arial"/>
                <w:lang w:val="en-AU"/>
              </w:rPr>
              <w:t>oth of these</w:t>
            </w:r>
            <w:proofErr w:type="gramEnd"/>
            <w:r w:rsidR="00B93258" w:rsidRPr="00D03260">
              <w:rPr>
                <w:rFonts w:cs="Arial"/>
                <w:lang w:val="en-AU"/>
              </w:rPr>
              <w:t xml:space="preserve"> conditions show significant increase in overall IgE and specific IgEs and IgGs against </w:t>
            </w:r>
            <w:r w:rsidR="00B93258" w:rsidRPr="00D03260">
              <w:rPr>
                <w:rFonts w:cs="Arial"/>
                <w:i/>
                <w:iCs/>
                <w:lang w:val="en-AU"/>
              </w:rPr>
              <w:t>A. fumigatus</w:t>
            </w:r>
            <w:r w:rsidR="00757459" w:rsidRPr="00D03260">
              <w:rPr>
                <w:rFonts w:cs="Arial"/>
                <w:lang w:val="en-AU"/>
              </w:rPr>
              <w:t>.</w:t>
            </w:r>
            <w:r w:rsidR="00B93258" w:rsidRPr="00D03260">
              <w:rPr>
                <w:rFonts w:cs="Arial"/>
                <w:lang w:val="en-AU"/>
              </w:rPr>
              <w:t xml:space="preserve"> </w:t>
            </w:r>
          </w:p>
          <w:p w14:paraId="1D541DFC" w14:textId="6AEB70BC" w:rsidR="00370144" w:rsidRPr="00D03260" w:rsidRDefault="00370144">
            <w:pPr>
              <w:pStyle w:val="Tablelistbullet"/>
              <w:ind w:left="284" w:hanging="284"/>
              <w:rPr>
                <w:rFonts w:cs="Arial"/>
                <w:lang w:val="en-AU"/>
              </w:rPr>
            </w:pPr>
            <w:r w:rsidRPr="00D03260">
              <w:rPr>
                <w:rFonts w:cs="Arial"/>
                <w:lang w:val="en-AU"/>
              </w:rPr>
              <w:t xml:space="preserve">The determination of specific IgG antibodies in the diagnostic work-up for immediate-type IgE mould allergy (type 1 allergy) is of no diagnostic relevance and is not recommended. </w:t>
            </w:r>
            <w:r w:rsidR="00A16350" w:rsidRPr="00D03260">
              <w:rPr>
                <w:rFonts w:cs="Arial"/>
                <w:lang w:val="en-AU"/>
              </w:rPr>
              <w:t>This is because p</w:t>
            </w:r>
            <w:r w:rsidRPr="00D03260">
              <w:rPr>
                <w:rFonts w:cs="Arial"/>
                <w:lang w:val="en-AU"/>
              </w:rPr>
              <w:t xml:space="preserve">eople develop IgGs to foreign proteins when exposed to them; however, IgGs do not measure allergies. IgG testing is highly costly to patients and there is no clinical benefit to performing these tests. </w:t>
            </w:r>
          </w:p>
          <w:p w14:paraId="3F0F074B" w14:textId="7E2667F9" w:rsidR="00370144" w:rsidRPr="00D03260" w:rsidRDefault="00370144">
            <w:pPr>
              <w:pStyle w:val="Tablelistbullet"/>
              <w:ind w:left="284" w:hanging="284"/>
              <w:rPr>
                <w:rFonts w:cs="Arial"/>
                <w:lang w:val="en-AU"/>
              </w:rPr>
            </w:pPr>
            <w:r w:rsidRPr="00D03260">
              <w:rPr>
                <w:rFonts w:cs="Arial"/>
                <w:lang w:val="en-AU"/>
              </w:rPr>
              <w:t xml:space="preserve">The analysis of immune complexes is confined to </w:t>
            </w:r>
            <w:proofErr w:type="gramStart"/>
            <w:r w:rsidRPr="00D03260">
              <w:rPr>
                <w:rFonts w:cs="Arial"/>
                <w:lang w:val="en-AU"/>
              </w:rPr>
              <w:t>particular disorders</w:t>
            </w:r>
            <w:proofErr w:type="gramEnd"/>
            <w:r w:rsidRPr="00D03260">
              <w:rPr>
                <w:rFonts w:cs="Arial"/>
                <w:lang w:val="en-AU"/>
              </w:rPr>
              <w:t xml:space="preserve"> of type III allergic reactions such as HP. Beyond this, it has no </w:t>
            </w:r>
            <w:r w:rsidR="00A35FA2" w:rsidRPr="00D03260">
              <w:rPr>
                <w:rFonts w:cs="Arial"/>
                <w:lang w:val="en-AU"/>
              </w:rPr>
              <w:t xml:space="preserve">value </w:t>
            </w:r>
            <w:r w:rsidRPr="00D03260">
              <w:rPr>
                <w:rFonts w:cs="Arial"/>
                <w:lang w:val="en-AU"/>
              </w:rPr>
              <w:t xml:space="preserve">in the diagnostics of mould exposure. </w:t>
            </w:r>
          </w:p>
          <w:p w14:paraId="3E978B4F" w14:textId="1DFEFAA8" w:rsidR="00370144" w:rsidRPr="00D03260" w:rsidRDefault="00370144">
            <w:pPr>
              <w:pStyle w:val="Tablelistbullet"/>
              <w:ind w:left="284" w:hanging="284"/>
              <w:rPr>
                <w:rFonts w:cs="Arial"/>
                <w:lang w:val="en-AU"/>
              </w:rPr>
            </w:pPr>
            <w:r w:rsidRPr="00D03260">
              <w:rPr>
                <w:rFonts w:cs="Arial"/>
                <w:lang w:val="en-AU"/>
              </w:rPr>
              <w:t>HP is diagnosed with various clinical and paraclinical tests, including pathological examination and imaging of the lungs</w:t>
            </w:r>
            <w:r w:rsidR="00256629" w:rsidRPr="00D03260">
              <w:rPr>
                <w:rFonts w:cs="Arial"/>
                <w:lang w:val="en-AU"/>
              </w:rPr>
              <w:t xml:space="preserve"> (</w:t>
            </w:r>
            <w:r w:rsidR="00003A6C" w:rsidRPr="00D03260">
              <w:rPr>
                <w:rFonts w:cs="Arial"/>
                <w:iCs/>
                <w:lang w:val="en-AU"/>
              </w:rPr>
              <w:t>s</w:t>
            </w:r>
            <w:r w:rsidRPr="00D03260">
              <w:rPr>
                <w:rFonts w:cs="Arial"/>
                <w:iCs/>
                <w:lang w:val="en-AU"/>
              </w:rPr>
              <w:t xml:space="preserve">ee </w:t>
            </w:r>
            <w:hyperlink w:anchor="Section44HPDiagnostics" w:history="1">
              <w:r w:rsidR="00256629" w:rsidRPr="00D03260">
                <w:rPr>
                  <w:rStyle w:val="Hyperlink"/>
                  <w:rFonts w:cs="Arial"/>
                  <w:iCs/>
                  <w:szCs w:val="21"/>
                  <w:lang w:val="en-AU"/>
                </w:rPr>
                <w:t>s</w:t>
              </w:r>
              <w:r w:rsidRPr="00D03260">
                <w:rPr>
                  <w:rStyle w:val="Hyperlink"/>
                  <w:rFonts w:cs="Arial"/>
                  <w:iCs/>
                  <w:szCs w:val="21"/>
                  <w:lang w:val="en-AU"/>
                </w:rPr>
                <w:t>ection 4.4</w:t>
              </w:r>
            </w:hyperlink>
            <w:r w:rsidR="00256629" w:rsidRPr="00D03260">
              <w:rPr>
                <w:rFonts w:cs="Arial"/>
                <w:lang w:val="en-AU"/>
              </w:rPr>
              <w:t xml:space="preserve"> for further details)</w:t>
            </w:r>
            <w:r w:rsidR="00003A6C" w:rsidRPr="00D03260">
              <w:rPr>
                <w:rFonts w:cs="Arial"/>
                <w:lang w:val="en-AU"/>
              </w:rPr>
              <w:t>.</w:t>
            </w:r>
          </w:p>
          <w:p w14:paraId="4B6AAF2D" w14:textId="6B025162" w:rsidR="00370144" w:rsidRPr="00D03260" w:rsidRDefault="00370144">
            <w:pPr>
              <w:pStyle w:val="Tablelistbullet"/>
              <w:ind w:left="284" w:hanging="284"/>
              <w:rPr>
                <w:rFonts w:cs="Arial"/>
                <w:lang w:val="en-AU"/>
              </w:rPr>
            </w:pPr>
            <w:r w:rsidRPr="00D03260">
              <w:rPr>
                <w:rFonts w:cs="Arial"/>
                <w:lang w:val="en-AU"/>
              </w:rPr>
              <w:t>Diagnostic testing in Australia should only be undertaken in a pathology laboratory accredited by National Association of Testing Authorities, Australia (NATA), and the Royal College of Pathologists of Australasia (RCPA).</w:t>
            </w:r>
            <w:r w:rsidR="00B2366A" w:rsidRPr="00D03260">
              <w:rPr>
                <w:rFonts w:cs="Arial"/>
                <w:lang w:val="en-AU"/>
              </w:rPr>
              <w:t xml:space="preserve"> </w:t>
            </w:r>
            <w:r w:rsidRPr="00D03260">
              <w:rPr>
                <w:rFonts w:cs="Arial"/>
                <w:lang w:val="en-AU"/>
              </w:rPr>
              <w:t xml:space="preserve">NATA accreditation is highly regarded both nationally and internationally as a reliable indicator of technical competence. </w:t>
            </w:r>
          </w:p>
          <w:p w14:paraId="56594F62" w14:textId="7AC420E4" w:rsidR="001C3C4B" w:rsidRPr="00D03260" w:rsidRDefault="001C3C4B">
            <w:pPr>
              <w:pStyle w:val="Tablelistbullet"/>
              <w:ind w:left="284" w:hanging="284"/>
              <w:rPr>
                <w:rFonts w:cs="Arial"/>
                <w:lang w:val="en-AU"/>
              </w:rPr>
            </w:pPr>
            <w:r w:rsidRPr="00D03260">
              <w:rPr>
                <w:rFonts w:cs="Arial"/>
                <w:lang w:val="en-AU"/>
              </w:rPr>
              <w:t xml:space="preserve">Lymphocyte transformation test, mycotoxins in serum, cytokines and eosinophil cationic protein (ECP), and toxicological diagnostics are not recommended as diagnostic tests by international mainstream medical guidance (see </w:t>
            </w:r>
            <w:hyperlink w:anchor="Section46DiagnosticTestsThatAreNotRecomm" w:history="1">
              <w:r w:rsidRPr="00D03260">
                <w:rPr>
                  <w:rStyle w:val="Hyperlink"/>
                  <w:rFonts w:cs="Arial"/>
                  <w:lang w:val="en-AU"/>
                </w:rPr>
                <w:t>section 4.6</w:t>
              </w:r>
            </w:hyperlink>
            <w:r w:rsidRPr="00D03260">
              <w:rPr>
                <w:rFonts w:cs="Arial"/>
                <w:szCs w:val="21"/>
                <w:lang w:val="en-AU"/>
              </w:rPr>
              <w:t xml:space="preserve"> and </w:t>
            </w:r>
            <w:hyperlink w:anchor="AppendixCUnlikelyDifferentialDiagnosesOr" w:history="1">
              <w:r w:rsidRPr="00D03260">
                <w:rPr>
                  <w:rStyle w:val="Hyperlink"/>
                  <w:rFonts w:cs="Arial"/>
                  <w:lang w:val="en-AU"/>
                </w:rPr>
                <w:t>Appendix C</w:t>
              </w:r>
            </w:hyperlink>
            <w:r w:rsidRPr="00D03260">
              <w:rPr>
                <w:rFonts w:cs="Arial"/>
                <w:szCs w:val="21"/>
                <w:lang w:val="en-AU"/>
              </w:rPr>
              <w:t xml:space="preserve"> for further details</w:t>
            </w:r>
            <w:r w:rsidRPr="00D03260">
              <w:rPr>
                <w:rFonts w:cs="Arial"/>
                <w:lang w:val="en-AU"/>
              </w:rPr>
              <w:t>).</w:t>
            </w:r>
          </w:p>
        </w:tc>
      </w:tr>
      <w:tr w:rsidR="001C3C4B" w:rsidRPr="00D03260" w14:paraId="683BDC99" w14:textId="77777777" w:rsidTr="009D61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070" w:type="dxa"/>
            <w:shd w:val="clear" w:color="auto" w:fill="3F4A75" w:themeFill="text2"/>
          </w:tcPr>
          <w:p w14:paraId="4C4AAF82" w14:textId="4AB7D823" w:rsidR="001C3C4B" w:rsidRPr="00D03260" w:rsidRDefault="00490001">
            <w:pPr>
              <w:pStyle w:val="TableHeaderWhite"/>
              <w:rPr>
                <w:rFonts w:cs="Arial"/>
                <w:lang w:val="en-AU"/>
              </w:rPr>
            </w:pPr>
            <w:r w:rsidRPr="00D03260">
              <w:rPr>
                <w:rFonts w:cs="Arial"/>
                <w:lang w:val="en-AU"/>
              </w:rPr>
              <w:br w:type="page"/>
            </w:r>
            <w:r w:rsidR="001C3C4B" w:rsidRPr="00D03260">
              <w:rPr>
                <w:rFonts w:cs="Arial"/>
                <w:lang w:val="en-AU"/>
              </w:rPr>
              <w:t>Diagnosis</w:t>
            </w:r>
          </w:p>
        </w:tc>
      </w:tr>
      <w:tr w:rsidR="001C3C4B" w:rsidRPr="00D03260" w14:paraId="6763E778" w14:textId="77777777" w:rsidTr="009D61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9070" w:type="dxa"/>
          </w:tcPr>
          <w:p w14:paraId="5B8AD9A2" w14:textId="5256B871" w:rsidR="001C3C4B" w:rsidRPr="00D03260" w:rsidRDefault="001C3C4B" w:rsidP="00092C61">
            <w:pPr>
              <w:pStyle w:val="Tablelistbullet"/>
              <w:ind w:left="284" w:hanging="284"/>
              <w:rPr>
                <w:rFonts w:cs="Arial"/>
                <w:i/>
                <w:lang w:val="en-AU"/>
              </w:rPr>
            </w:pPr>
            <w:r w:rsidRPr="00D03260">
              <w:rPr>
                <w:rFonts w:cs="Arial"/>
                <w:lang w:val="en-AU"/>
              </w:rPr>
              <w:t>Follow</w:t>
            </w:r>
            <w:r w:rsidR="00175A84" w:rsidRPr="00D03260">
              <w:rPr>
                <w:rFonts w:cs="Arial"/>
                <w:lang w:val="en-AU"/>
              </w:rPr>
              <w:t xml:space="preserve"> </w:t>
            </w:r>
            <w:r w:rsidRPr="00D03260">
              <w:rPr>
                <w:rFonts w:cs="Arial"/>
                <w:lang w:val="en-AU"/>
              </w:rPr>
              <w:t xml:space="preserve">the Australian Asthma Handbook guidelines </w:t>
            </w:r>
            <w:hyperlink r:id="rId40" w:history="1">
              <w:r w:rsidR="00175A84" w:rsidRPr="00D03260">
                <w:rPr>
                  <w:rStyle w:val="Hyperlink"/>
                  <w:rFonts w:cs="Arial"/>
                  <w:szCs w:val="21"/>
                  <w:lang w:val="en-AU"/>
                </w:rPr>
                <w:t>https://www.asthmahandbook.org.au/</w:t>
              </w:r>
            </w:hyperlink>
            <w:r w:rsidRPr="00D03260">
              <w:rPr>
                <w:rFonts w:cs="Arial"/>
                <w:lang w:val="en-AU"/>
              </w:rPr>
              <w:t xml:space="preserve"> and recommendations on making a diagnosis of asthma in adults, and in children aged one year and over (</w:t>
            </w:r>
            <w:r w:rsidRPr="00D03260">
              <w:rPr>
                <w:rFonts w:cs="Arial"/>
                <w:iCs/>
                <w:lang w:val="en-AU"/>
              </w:rPr>
              <w:t xml:space="preserve">see </w:t>
            </w:r>
            <w:hyperlink w:anchor="Section51Asthma" w:history="1">
              <w:r w:rsidRPr="00D03260">
                <w:rPr>
                  <w:rStyle w:val="Hyperlink"/>
                  <w:rFonts w:cs="Arial"/>
                  <w:iCs/>
                  <w:szCs w:val="21"/>
                  <w:lang w:val="en-AU"/>
                </w:rPr>
                <w:t>section 5.1</w:t>
              </w:r>
            </w:hyperlink>
            <w:r w:rsidRPr="00D03260">
              <w:rPr>
                <w:rFonts w:cs="Arial"/>
                <w:iCs/>
                <w:lang w:val="en-AU"/>
              </w:rPr>
              <w:t xml:space="preserve"> for further details).</w:t>
            </w:r>
          </w:p>
          <w:p w14:paraId="78CC05F2" w14:textId="77777777" w:rsidR="001C3C4B" w:rsidRPr="00D03260" w:rsidRDefault="001C3C4B" w:rsidP="00092C61">
            <w:pPr>
              <w:pStyle w:val="Tablelistbullet"/>
              <w:ind w:left="284" w:hanging="284"/>
              <w:rPr>
                <w:rFonts w:cs="Arial"/>
                <w:lang w:val="en-AU"/>
              </w:rPr>
            </w:pPr>
            <w:r w:rsidRPr="00D03260">
              <w:rPr>
                <w:rFonts w:cs="Arial"/>
                <w:lang w:val="en-AU"/>
              </w:rPr>
              <w:t xml:space="preserve">The 2015 National Allergy Strategy advises accurate diagnosis of allergy is essential and requires appropriate specialist care. </w:t>
            </w:r>
          </w:p>
          <w:p w14:paraId="460D1CE9" w14:textId="77777777" w:rsidR="001C3C4B" w:rsidRPr="00D03260" w:rsidRDefault="001C3C4B">
            <w:pPr>
              <w:pStyle w:val="Tablelistbullet"/>
              <w:ind w:left="284" w:hanging="284"/>
              <w:rPr>
                <w:rFonts w:cs="Arial"/>
                <w:lang w:val="en-AU"/>
              </w:rPr>
            </w:pPr>
            <w:r w:rsidRPr="00D03260">
              <w:rPr>
                <w:rFonts w:cs="Arial"/>
                <w:lang w:val="en-AU"/>
              </w:rPr>
              <w:t>The following five conditions need to be met for a mould allergy diagnosis:</w:t>
            </w:r>
          </w:p>
          <w:p w14:paraId="001AE433" w14:textId="77777777" w:rsidR="001C3C4B" w:rsidRPr="00D03260" w:rsidRDefault="001C3C4B" w:rsidP="00002ECA">
            <w:pPr>
              <w:pStyle w:val="Tablelistbullet2"/>
              <w:numPr>
                <w:ilvl w:val="0"/>
                <w:numId w:val="98"/>
              </w:numPr>
              <w:ind w:right="57"/>
              <w:rPr>
                <w:rFonts w:cs="Arial"/>
              </w:rPr>
            </w:pPr>
            <w:r w:rsidRPr="00D03260">
              <w:rPr>
                <w:rFonts w:cs="Arial"/>
              </w:rPr>
              <w:t>A pathogenic mould antigen is present in the environment</w:t>
            </w:r>
          </w:p>
          <w:p w14:paraId="22B12BEE" w14:textId="77777777" w:rsidR="001C3C4B" w:rsidRPr="00D03260" w:rsidRDefault="001C3C4B" w:rsidP="00002ECA">
            <w:pPr>
              <w:pStyle w:val="Tablelistbullet2"/>
              <w:numPr>
                <w:ilvl w:val="0"/>
                <w:numId w:val="98"/>
              </w:numPr>
              <w:ind w:right="57"/>
              <w:rPr>
                <w:rFonts w:cs="Arial"/>
              </w:rPr>
            </w:pPr>
            <w:r w:rsidRPr="00D03260">
              <w:rPr>
                <w:rFonts w:cs="Arial"/>
              </w:rPr>
              <w:t>There is an unequivocal temporal relationship between allergic symptoms and exposure to the mould allergen</w:t>
            </w:r>
          </w:p>
          <w:p w14:paraId="01EF142C" w14:textId="77777777" w:rsidR="001C3C4B" w:rsidRPr="00D03260" w:rsidRDefault="001C3C4B" w:rsidP="00002ECA">
            <w:pPr>
              <w:pStyle w:val="Tablelistbullet2"/>
              <w:numPr>
                <w:ilvl w:val="0"/>
                <w:numId w:val="98"/>
              </w:numPr>
              <w:ind w:right="57"/>
              <w:rPr>
                <w:rFonts w:cs="Arial"/>
              </w:rPr>
            </w:pPr>
            <w:r w:rsidRPr="00D03260">
              <w:rPr>
                <w:rFonts w:cs="Arial"/>
              </w:rPr>
              <w:t>Atopic predisposition is present</w:t>
            </w:r>
          </w:p>
          <w:p w14:paraId="4BE57B27" w14:textId="77777777" w:rsidR="001C3C4B" w:rsidRPr="00D03260" w:rsidRDefault="001C3C4B" w:rsidP="00002ECA">
            <w:pPr>
              <w:pStyle w:val="Tablelistbullet2"/>
              <w:numPr>
                <w:ilvl w:val="0"/>
                <w:numId w:val="98"/>
              </w:numPr>
              <w:ind w:right="57"/>
              <w:rPr>
                <w:rFonts w:cs="Arial"/>
              </w:rPr>
            </w:pPr>
            <w:r w:rsidRPr="00D03260">
              <w:rPr>
                <w:rFonts w:cs="Arial"/>
              </w:rPr>
              <w:t>There is evidence of speciﬁc IgE formation to mould antigens</w:t>
            </w:r>
          </w:p>
          <w:p w14:paraId="3DB27697" w14:textId="77777777" w:rsidR="001C3C4B" w:rsidRPr="00D03260" w:rsidRDefault="001C3C4B" w:rsidP="00002ECA">
            <w:pPr>
              <w:pStyle w:val="Tablelistbullet2"/>
              <w:numPr>
                <w:ilvl w:val="0"/>
                <w:numId w:val="98"/>
              </w:numPr>
              <w:ind w:right="57"/>
              <w:rPr>
                <w:rFonts w:cs="Arial"/>
                <w:i/>
              </w:rPr>
            </w:pPr>
            <w:r w:rsidRPr="00D03260">
              <w:rPr>
                <w:rFonts w:cs="Arial"/>
              </w:rPr>
              <w:t>Measures to avoid mould allergens exhibit clear clinical effects (</w:t>
            </w:r>
            <w:r w:rsidRPr="00D03260">
              <w:rPr>
                <w:rFonts w:cs="Arial"/>
                <w:iCs/>
              </w:rPr>
              <w:t xml:space="preserve">see </w:t>
            </w:r>
            <w:hyperlink w:anchor="Section52MouldAllergy" w:history="1">
              <w:r w:rsidRPr="00D03260">
                <w:rPr>
                  <w:rStyle w:val="Hyperlink"/>
                  <w:rFonts w:cs="Arial"/>
                  <w:iCs/>
                </w:rPr>
                <w:t>section 5.2</w:t>
              </w:r>
            </w:hyperlink>
            <w:r w:rsidRPr="00D03260">
              <w:rPr>
                <w:rFonts w:cs="Arial"/>
                <w:iCs/>
              </w:rPr>
              <w:t xml:space="preserve"> for further details).</w:t>
            </w:r>
          </w:p>
          <w:p w14:paraId="027C4D29" w14:textId="62F139A6" w:rsidR="001C3C4B" w:rsidRPr="00D03260" w:rsidRDefault="001C3C4B" w:rsidP="00092C61">
            <w:pPr>
              <w:pStyle w:val="Tablelistbullet"/>
              <w:ind w:left="284" w:hanging="284"/>
              <w:rPr>
                <w:rFonts w:cs="Arial"/>
                <w:lang w:val="en-AU"/>
              </w:rPr>
            </w:pPr>
            <w:r w:rsidRPr="00D03260">
              <w:rPr>
                <w:rFonts w:cs="Arial"/>
                <w:lang w:val="en-AU"/>
              </w:rPr>
              <w:lastRenderedPageBreak/>
              <w:t>Mould-allergic patients and patients with a weak immune system should be provided with specialist patient information about the hazards of indoor mould exposure and preventative steps they can take to minimise exposure.</w:t>
            </w:r>
            <w:r w:rsidR="00377A26" w:rsidRPr="00D03260">
              <w:rPr>
                <w:rFonts w:cs="Arial"/>
                <w:lang w:val="en-AU"/>
              </w:rPr>
              <w:t xml:space="preserve"> </w:t>
            </w:r>
          </w:p>
          <w:p w14:paraId="27A91C02" w14:textId="71B8921F" w:rsidR="001C3C4B" w:rsidRPr="00D03260" w:rsidRDefault="001C3C4B">
            <w:pPr>
              <w:pStyle w:val="Tablelistbullet"/>
              <w:ind w:left="284" w:hanging="284"/>
              <w:rPr>
                <w:rFonts w:cs="Arial"/>
                <w:lang w:val="en-AU"/>
              </w:rPr>
            </w:pPr>
            <w:r w:rsidRPr="00D03260">
              <w:rPr>
                <w:rFonts w:cs="Arial"/>
                <w:lang w:val="en-AU"/>
              </w:rPr>
              <w:t xml:space="preserve">Diagnosis of mould infection is based on positive diagnostic findings for microbiological, immunological, molecular biological, and radiological tests (see </w:t>
            </w:r>
            <w:hyperlink w:anchor="Section53MouldRelatedInfection" w:history="1">
              <w:r w:rsidR="007C4F07" w:rsidRPr="00D03260">
                <w:rPr>
                  <w:rStyle w:val="Hyperlink"/>
                  <w:rFonts w:cs="Arial"/>
                  <w:szCs w:val="21"/>
                  <w:lang w:val="en-AU"/>
                </w:rPr>
                <w:t>section 5.3</w:t>
              </w:r>
            </w:hyperlink>
            <w:r w:rsidRPr="00D03260">
              <w:rPr>
                <w:rFonts w:cs="Arial"/>
                <w:lang w:val="en-AU"/>
              </w:rPr>
              <w:t xml:space="preserve"> for further details).</w:t>
            </w:r>
          </w:p>
          <w:p w14:paraId="75A8CA40" w14:textId="452C4A47" w:rsidR="006070DC" w:rsidRPr="00D03260" w:rsidRDefault="005D5916">
            <w:pPr>
              <w:pStyle w:val="Tablelistbullet"/>
              <w:ind w:left="284" w:hanging="284"/>
              <w:rPr>
                <w:rFonts w:cs="Arial"/>
                <w:lang w:val="en-AU"/>
              </w:rPr>
            </w:pPr>
            <w:r w:rsidRPr="00D03260">
              <w:rPr>
                <w:rFonts w:cs="Arial"/>
                <w:szCs w:val="21"/>
                <w:lang w:val="en-AU"/>
              </w:rPr>
              <w:t>Diagnosis of HP will be made by a</w:t>
            </w:r>
            <w:r w:rsidR="0035476B" w:rsidRPr="00D03260">
              <w:rPr>
                <w:rFonts w:cs="Arial"/>
                <w:szCs w:val="21"/>
                <w:lang w:val="en-AU"/>
              </w:rPr>
              <w:t xml:space="preserve"> specialist, based on</w:t>
            </w:r>
            <w:r w:rsidR="0035476B" w:rsidRPr="00D03260">
              <w:rPr>
                <w:rFonts w:cs="Arial"/>
                <w:lang w:val="en-AU"/>
              </w:rPr>
              <w:t xml:space="preserve"> </w:t>
            </w:r>
            <w:r w:rsidR="00621AC8" w:rsidRPr="00D03260">
              <w:rPr>
                <w:rFonts w:cs="Arial"/>
                <w:lang w:val="en-AU"/>
              </w:rPr>
              <w:t>relevant diagnostic tests (see</w:t>
            </w:r>
            <w:r w:rsidR="0093143F" w:rsidRPr="00D03260">
              <w:rPr>
                <w:rFonts w:cs="Arial"/>
                <w:lang w:val="en-AU"/>
              </w:rPr>
              <w:t> </w:t>
            </w:r>
            <w:hyperlink w:anchor="Section54HP" w:history="1">
              <w:r w:rsidR="0093143F" w:rsidRPr="00D03260">
                <w:rPr>
                  <w:rStyle w:val="Hyperlink"/>
                  <w:rFonts w:cs="Arial"/>
                  <w:lang w:val="en-AU"/>
                </w:rPr>
                <w:t>section 5.4</w:t>
              </w:r>
            </w:hyperlink>
            <w:r w:rsidR="0093143F" w:rsidRPr="00D03260">
              <w:rPr>
                <w:rFonts w:cs="Arial"/>
                <w:lang w:val="en-AU"/>
              </w:rPr>
              <w:t xml:space="preserve"> </w:t>
            </w:r>
            <w:r w:rsidR="00621AC8" w:rsidRPr="00D03260">
              <w:rPr>
                <w:rFonts w:cs="Arial"/>
                <w:lang w:val="en-AU"/>
              </w:rPr>
              <w:t>for further details)</w:t>
            </w:r>
            <w:r w:rsidR="0093143F" w:rsidRPr="00D03260">
              <w:rPr>
                <w:rFonts w:cs="Arial"/>
                <w:lang w:val="en-AU"/>
              </w:rPr>
              <w:t>.</w:t>
            </w:r>
          </w:p>
        </w:tc>
      </w:tr>
      <w:tr w:rsidR="001C3C4B" w:rsidRPr="00D03260" w14:paraId="55793F7D" w14:textId="77777777" w:rsidTr="009D61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070" w:type="dxa"/>
            <w:shd w:val="clear" w:color="auto" w:fill="3F4A75" w:themeFill="text2"/>
          </w:tcPr>
          <w:p w14:paraId="7EB3DEDA" w14:textId="0A685982" w:rsidR="001C3C4B" w:rsidRPr="00D03260" w:rsidRDefault="001C3C4B">
            <w:pPr>
              <w:pStyle w:val="TableHeaderWhite"/>
              <w:rPr>
                <w:rFonts w:cs="Arial"/>
                <w:lang w:val="en-AU"/>
              </w:rPr>
            </w:pPr>
            <w:r w:rsidRPr="00D03260">
              <w:rPr>
                <w:rFonts w:cs="Arial"/>
                <w:lang w:val="en-AU"/>
              </w:rPr>
              <w:lastRenderedPageBreak/>
              <w:t xml:space="preserve">Initial </w:t>
            </w:r>
            <w:r w:rsidR="007F4D31" w:rsidRPr="00D03260">
              <w:rPr>
                <w:rFonts w:cs="Arial"/>
                <w:lang w:val="en-AU"/>
              </w:rPr>
              <w:t xml:space="preserve">patient </w:t>
            </w:r>
            <w:r w:rsidRPr="00D03260">
              <w:rPr>
                <w:rFonts w:cs="Arial"/>
                <w:lang w:val="en-AU"/>
              </w:rPr>
              <w:t>management</w:t>
            </w:r>
            <w:r w:rsidR="00373443" w:rsidRPr="00D03260">
              <w:rPr>
                <w:rFonts w:cs="Arial"/>
                <w:lang w:val="en-AU"/>
              </w:rPr>
              <w:t xml:space="preserve"> </w:t>
            </w:r>
          </w:p>
        </w:tc>
      </w:tr>
      <w:tr w:rsidR="001C3C4B" w:rsidRPr="00D03260" w14:paraId="6206E5C8" w14:textId="77777777" w:rsidTr="009D61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9070" w:type="dxa"/>
          </w:tcPr>
          <w:p w14:paraId="488AE817" w14:textId="315C56CB" w:rsidR="001C3C4B" w:rsidRPr="00D03260" w:rsidRDefault="001C3C4B" w:rsidP="00092C61">
            <w:pPr>
              <w:pStyle w:val="Tablelistbullet"/>
              <w:ind w:left="284" w:hanging="284"/>
              <w:rPr>
                <w:rFonts w:cs="Arial"/>
                <w:bCs/>
                <w:lang w:val="en-AU"/>
              </w:rPr>
            </w:pPr>
            <w:r w:rsidRPr="00D03260">
              <w:rPr>
                <w:rFonts w:cs="Arial"/>
                <w:lang w:val="en-AU"/>
              </w:rPr>
              <w:t xml:space="preserve">Reinforce advice to patients regarding minimising/avoiding, </w:t>
            </w:r>
            <w:proofErr w:type="gramStart"/>
            <w:r w:rsidRPr="00D03260">
              <w:rPr>
                <w:rFonts w:cs="Arial"/>
                <w:lang w:val="en-AU"/>
              </w:rPr>
              <w:t>preventing</w:t>
            </w:r>
            <w:proofErr w:type="gramEnd"/>
            <w:r w:rsidRPr="00D03260">
              <w:rPr>
                <w:rFonts w:cs="Arial"/>
                <w:lang w:val="en-AU"/>
              </w:rPr>
              <w:t xml:space="preserve"> and remediating exposure to indoor damp and mould. Provide patients with a hard copy handout of the enHealth factsheet on mould</w:t>
            </w:r>
            <w:r w:rsidR="004518D3" w:rsidRPr="00D03260">
              <w:rPr>
                <w:rFonts w:cs="Arial"/>
                <w:lang w:val="en-AU"/>
              </w:rPr>
              <w:t xml:space="preserve"> (</w:t>
            </w:r>
            <w:hyperlink w:anchor="AppendixDenHealthFactsheetOnPotentialHea" w:history="1">
              <w:r w:rsidR="004518D3" w:rsidRPr="00D03260">
                <w:rPr>
                  <w:rStyle w:val="Hyperlink"/>
                  <w:rFonts w:cs="Arial"/>
                  <w:szCs w:val="21"/>
                  <w:lang w:val="en-AU"/>
                </w:rPr>
                <w:t>Appendix D</w:t>
              </w:r>
            </w:hyperlink>
            <w:r w:rsidR="004518D3" w:rsidRPr="00D03260">
              <w:rPr>
                <w:rFonts w:cs="Arial"/>
                <w:lang w:val="en-AU"/>
              </w:rPr>
              <w:t>)</w:t>
            </w:r>
            <w:r w:rsidRPr="00D03260">
              <w:rPr>
                <w:rFonts w:cs="Arial"/>
                <w:lang w:val="en-AU"/>
              </w:rPr>
              <w:t xml:space="preserve">. It is available </w:t>
            </w:r>
            <w:r w:rsidR="00A8569D" w:rsidRPr="00D03260">
              <w:rPr>
                <w:rFonts w:cs="Arial"/>
                <w:lang w:val="en-AU"/>
              </w:rPr>
              <w:t>at</w:t>
            </w:r>
            <w:r w:rsidR="00676DD3" w:rsidRPr="00D03260">
              <w:rPr>
                <w:rFonts w:cs="Arial"/>
                <w:lang w:val="en-AU"/>
              </w:rPr>
              <w:t xml:space="preserve"> </w:t>
            </w:r>
            <w:hyperlink r:id="rId41" w:history="1">
              <w:r w:rsidR="00676DD3" w:rsidRPr="00D03260">
                <w:rPr>
                  <w:rStyle w:val="Hyperlink"/>
                  <w:rFonts w:cs="Arial"/>
                  <w:szCs w:val="21"/>
                  <w:lang w:val="en-AU"/>
                </w:rPr>
                <w:t>https://www.health.gov.au/resources/publications/enhealth-guidance-potential-health-effects-of-mould-in-the-environment</w:t>
              </w:r>
            </w:hyperlink>
            <w:r w:rsidRPr="00D03260">
              <w:rPr>
                <w:rFonts w:cs="Arial"/>
                <w:bCs/>
                <w:lang w:val="en-AU"/>
              </w:rPr>
              <w:t xml:space="preserve"> (see </w:t>
            </w:r>
            <w:hyperlink w:anchor="Sect61ReinforceMinimisingOrAvoidingExpos" w:history="1">
              <w:r w:rsidRPr="00D03260">
                <w:rPr>
                  <w:rStyle w:val="Hyperlink"/>
                  <w:rFonts w:cs="Arial"/>
                  <w:bCs/>
                  <w:szCs w:val="21"/>
                  <w:lang w:val="en-AU"/>
                </w:rPr>
                <w:t>section 6.1</w:t>
              </w:r>
            </w:hyperlink>
            <w:r w:rsidRPr="00D03260">
              <w:rPr>
                <w:rFonts w:cs="Arial"/>
                <w:lang w:val="en-AU"/>
              </w:rPr>
              <w:t xml:space="preserve"> for further details</w:t>
            </w:r>
            <w:r w:rsidRPr="00D03260">
              <w:rPr>
                <w:rFonts w:cs="Arial"/>
                <w:bCs/>
                <w:lang w:val="en-AU"/>
              </w:rPr>
              <w:t xml:space="preserve">). </w:t>
            </w:r>
          </w:p>
          <w:p w14:paraId="13F6A222" w14:textId="3F09C794" w:rsidR="001C3C4B" w:rsidRPr="00D03260" w:rsidRDefault="001C3C4B" w:rsidP="00092C61">
            <w:pPr>
              <w:pStyle w:val="Tablelistbullet"/>
              <w:ind w:left="284" w:hanging="284"/>
              <w:rPr>
                <w:rFonts w:cs="Arial"/>
                <w:i/>
                <w:lang w:val="en-AU"/>
              </w:rPr>
            </w:pPr>
            <w:r w:rsidRPr="00D03260">
              <w:rPr>
                <w:rFonts w:cs="Arial"/>
                <w:lang w:val="en-AU"/>
              </w:rPr>
              <w:t xml:space="preserve">Follow usual clinical practice for patients diagnosed with mould allergy or mould-related infection. For information refer to Therapeutic Guidelines </w:t>
            </w:r>
            <w:r w:rsidR="00652D95" w:rsidRPr="00D03260">
              <w:rPr>
                <w:rFonts w:cs="Arial"/>
                <w:lang w:val="en-AU"/>
              </w:rPr>
              <w:t>(</w:t>
            </w:r>
            <w:hyperlink r:id="rId42" w:history="1">
              <w:r w:rsidR="00652D95" w:rsidRPr="00D03260">
                <w:rPr>
                  <w:rStyle w:val="Hyperlink"/>
                  <w:rFonts w:cs="Arial"/>
                  <w:szCs w:val="21"/>
                  <w:lang w:val="en-AU"/>
                </w:rPr>
                <w:t>https://www.tg.org.au/</w:t>
              </w:r>
            </w:hyperlink>
            <w:r w:rsidR="00652D95" w:rsidRPr="00D03260">
              <w:rPr>
                <w:rFonts w:cs="Arial"/>
                <w:lang w:val="en-AU"/>
              </w:rPr>
              <w:t>)</w:t>
            </w:r>
            <w:r w:rsidRPr="00D03260">
              <w:rPr>
                <w:rFonts w:cs="Arial"/>
                <w:lang w:val="en-AU"/>
              </w:rPr>
              <w:t xml:space="preserve"> Australian Medicines Handbook, NPS MedicineWise, Australian Prescriber or the TGA (see </w:t>
            </w:r>
            <w:hyperlink w:anchor="Sect62GeneralMedicationTreatment" w:history="1">
              <w:r w:rsidRPr="00D03260">
                <w:rPr>
                  <w:rStyle w:val="Hyperlink"/>
                  <w:rFonts w:cs="Arial"/>
                  <w:szCs w:val="21"/>
                  <w:lang w:val="en-AU"/>
                </w:rPr>
                <w:t>section 6.2</w:t>
              </w:r>
            </w:hyperlink>
            <w:r w:rsidRPr="00D03260">
              <w:rPr>
                <w:rFonts w:cs="Arial"/>
                <w:lang w:val="en-AU"/>
              </w:rPr>
              <w:t xml:space="preserve"> for further details).</w:t>
            </w:r>
          </w:p>
          <w:p w14:paraId="77B6BBC7" w14:textId="5AC7873C" w:rsidR="001C3C4B" w:rsidRPr="00D03260" w:rsidRDefault="001C3C4B">
            <w:pPr>
              <w:pStyle w:val="Tablelistbullet"/>
              <w:ind w:left="284" w:hanging="284"/>
              <w:rPr>
                <w:rFonts w:cs="Arial"/>
                <w:lang w:val="en-AU"/>
              </w:rPr>
            </w:pPr>
            <w:r w:rsidRPr="00D03260">
              <w:rPr>
                <w:rFonts w:cs="Arial"/>
                <w:lang w:val="en-AU"/>
              </w:rPr>
              <w:t xml:space="preserve">Follow the Australian Asthma Handbook </w:t>
            </w:r>
            <w:r w:rsidR="00652D95" w:rsidRPr="00D03260">
              <w:rPr>
                <w:rFonts w:cs="Arial"/>
                <w:lang w:val="en-AU"/>
              </w:rPr>
              <w:t>(</w:t>
            </w:r>
            <w:hyperlink r:id="rId43" w:history="1">
              <w:r w:rsidR="00652D95" w:rsidRPr="00D03260">
                <w:rPr>
                  <w:rStyle w:val="Hyperlink"/>
                  <w:rFonts w:cs="Arial"/>
                  <w:szCs w:val="21"/>
                  <w:lang w:val="en-AU"/>
                </w:rPr>
                <w:t>https://www.asthmahandbook.org.au/</w:t>
              </w:r>
            </w:hyperlink>
            <w:r w:rsidR="00652D95" w:rsidRPr="00D03260">
              <w:rPr>
                <w:rFonts w:cs="Arial"/>
                <w:lang w:val="en-AU"/>
              </w:rPr>
              <w:t>)</w:t>
            </w:r>
            <w:r w:rsidRPr="00D03260">
              <w:rPr>
                <w:rFonts w:cs="Arial"/>
                <w:lang w:val="en-AU"/>
              </w:rPr>
              <w:t xml:space="preserve"> for management of asthma in adults, adolescents and young adults, and children (</w:t>
            </w:r>
            <w:r w:rsidRPr="00D03260">
              <w:rPr>
                <w:rFonts w:cs="Arial"/>
                <w:iCs/>
                <w:lang w:val="en-AU"/>
              </w:rPr>
              <w:t xml:space="preserve">see </w:t>
            </w:r>
            <w:hyperlink w:anchor="Sect621Asthma" w:history="1">
              <w:r w:rsidRPr="00D03260">
                <w:rPr>
                  <w:rStyle w:val="Hyperlink"/>
                  <w:rFonts w:cs="Arial"/>
                  <w:iCs/>
                  <w:szCs w:val="21"/>
                  <w:lang w:val="en-AU"/>
                </w:rPr>
                <w:t>section 6.2.1</w:t>
              </w:r>
            </w:hyperlink>
            <w:r w:rsidRPr="00D03260">
              <w:rPr>
                <w:rFonts w:cs="Arial"/>
                <w:lang w:val="en-AU"/>
              </w:rPr>
              <w:t xml:space="preserve"> for further details</w:t>
            </w:r>
            <w:r w:rsidRPr="00D03260">
              <w:rPr>
                <w:rFonts w:cs="Arial"/>
                <w:iCs/>
                <w:lang w:val="en-AU"/>
              </w:rPr>
              <w:t>)</w:t>
            </w:r>
            <w:r w:rsidR="00652D95" w:rsidRPr="00D03260">
              <w:rPr>
                <w:rFonts w:cs="Arial"/>
                <w:lang w:val="en-AU"/>
              </w:rPr>
              <w:t xml:space="preserve"> </w:t>
            </w:r>
            <w:r w:rsidR="00652D95" w:rsidRPr="00D03260">
              <w:rPr>
                <w:rFonts w:cs="Arial"/>
                <w:lang w:val="en-AU"/>
              </w:rPr>
              <w:fldChar w:fldCharType="begin"/>
            </w:r>
            <w:r w:rsidR="00652D95" w:rsidRPr="00D03260">
              <w:rPr>
                <w:rFonts w:cs="Arial"/>
                <w:lang w:val="en-AU"/>
              </w:rPr>
              <w:instrText xml:space="preserve"> ADDIN ZOTERO_ITEM CSL_CITATION {"citationID":"6corTU00","properties":{"formattedCitation":"(National Asthma Council Australia, 2022)","plainCitation":"(National Asthma Council Australia, 2022)","noteIndex":0},"citationItems":[{"id":4705,"uris":["http://zotero.org/groups/4371185/items/5Y5IQIDN"],"itemData":{"id":4705,"type":"document","publisher":"National Asthma Council Australia, Melbourne","title":"Australian Asthma Handbook- Version 2.2","URL":"http://www.asthmahandbook.org.au","author":[{"family":"National Asthma Council Australia","given":""}],"issued":{"date-parts":[["2022"]]}}}],"schema":"https://github.com/citation-style-language/schema/raw/master/csl-citation.json"} </w:instrText>
            </w:r>
            <w:r w:rsidR="00652D95" w:rsidRPr="00D03260">
              <w:rPr>
                <w:rFonts w:cs="Arial"/>
                <w:lang w:val="en-AU"/>
              </w:rPr>
              <w:fldChar w:fldCharType="separate"/>
            </w:r>
            <w:r w:rsidR="00652D95" w:rsidRPr="00D03260">
              <w:rPr>
                <w:rFonts w:cs="Arial"/>
                <w:lang w:val="en-AU"/>
              </w:rPr>
              <w:t>(National Asthma Council Australia, 2022)</w:t>
            </w:r>
            <w:r w:rsidR="00652D95" w:rsidRPr="00D03260">
              <w:rPr>
                <w:rFonts w:cs="Arial"/>
                <w:lang w:val="en-AU"/>
              </w:rPr>
              <w:fldChar w:fldCharType="end"/>
            </w:r>
            <w:r w:rsidRPr="00D03260">
              <w:rPr>
                <w:rFonts w:cs="Arial"/>
                <w:iCs/>
                <w:lang w:val="en-AU"/>
              </w:rPr>
              <w:t>.</w:t>
            </w:r>
          </w:p>
          <w:p w14:paraId="384EC1CC" w14:textId="77777777" w:rsidR="001C3C4B" w:rsidRPr="00D03260" w:rsidRDefault="001C3C4B">
            <w:pPr>
              <w:pStyle w:val="Tablelistbullet"/>
              <w:ind w:left="284" w:hanging="284"/>
              <w:rPr>
                <w:rFonts w:cs="Arial"/>
                <w:lang w:val="en-AU"/>
              </w:rPr>
            </w:pPr>
            <w:r w:rsidRPr="00D03260">
              <w:rPr>
                <w:rFonts w:cs="Arial"/>
                <w:lang w:val="en-AU"/>
              </w:rPr>
              <w:t xml:space="preserve">While exposure avoidance (allergen avoidance) takes priority, as with all allergic diseases, prompt medication is required in order that a symptom-free period is not followed by full-blown allergic disease. It is of paramount importance to eliminate the causes of the dampness creating a basis for indoor mould growth. </w:t>
            </w:r>
          </w:p>
          <w:p w14:paraId="406D765E" w14:textId="70E425BB" w:rsidR="001C3C4B" w:rsidRPr="00D03260" w:rsidRDefault="001C3C4B">
            <w:pPr>
              <w:pStyle w:val="Tablelistbullet"/>
              <w:ind w:left="284" w:hanging="284"/>
              <w:rPr>
                <w:rFonts w:cs="Arial"/>
                <w:i/>
                <w:lang w:val="en-AU"/>
              </w:rPr>
            </w:pPr>
            <w:r w:rsidRPr="00D03260">
              <w:rPr>
                <w:rFonts w:cs="Arial"/>
                <w:lang w:val="en-AU"/>
              </w:rPr>
              <w:t>In principle, topical and/or systemic treatment is indicated in mould allergy depending on the organ-specific manifestation of the allergic disorder (</w:t>
            </w:r>
            <w:r w:rsidRPr="00D03260">
              <w:rPr>
                <w:rFonts w:cs="Arial"/>
                <w:iCs/>
                <w:lang w:val="en-AU"/>
              </w:rPr>
              <w:t xml:space="preserve">see </w:t>
            </w:r>
            <w:hyperlink w:anchor="Section622MouldAllergy" w:history="1">
              <w:r w:rsidRPr="00D03260">
                <w:rPr>
                  <w:rStyle w:val="Hyperlink"/>
                  <w:rFonts w:cs="Arial"/>
                  <w:iCs/>
                  <w:szCs w:val="21"/>
                  <w:lang w:val="en-AU"/>
                </w:rPr>
                <w:t>section 6.2.2</w:t>
              </w:r>
            </w:hyperlink>
            <w:r w:rsidRPr="00D03260">
              <w:rPr>
                <w:rFonts w:cs="Arial"/>
                <w:lang w:val="en-AU"/>
              </w:rPr>
              <w:t xml:space="preserve"> for further details). </w:t>
            </w:r>
          </w:p>
          <w:p w14:paraId="4262C406" w14:textId="6993917C" w:rsidR="001C3C4B" w:rsidRPr="00D03260" w:rsidRDefault="001C3C4B">
            <w:pPr>
              <w:pStyle w:val="Tablelistbullet"/>
              <w:ind w:left="284" w:hanging="284"/>
              <w:rPr>
                <w:rFonts w:cs="Arial"/>
                <w:lang w:val="en-AU"/>
              </w:rPr>
            </w:pPr>
            <w:r w:rsidRPr="00D03260">
              <w:rPr>
                <w:rFonts w:cs="Arial"/>
                <w:lang w:val="en-AU"/>
              </w:rPr>
              <w:t>Antifungal treatment is indicated in almost all patients with chronic cavit</w:t>
            </w:r>
            <w:r w:rsidR="00A04D21" w:rsidRPr="00D03260">
              <w:rPr>
                <w:rFonts w:cs="Arial"/>
                <w:lang w:val="en-AU"/>
              </w:rPr>
              <w:t>ar</w:t>
            </w:r>
            <w:r w:rsidRPr="00D03260">
              <w:rPr>
                <w:rFonts w:cs="Arial"/>
                <w:lang w:val="en-AU"/>
              </w:rPr>
              <w:t>y pulmonary infections, chronic invasive and granulomatous rhinosinusitis, and aspergillosis bronchitis (</w:t>
            </w:r>
            <w:r w:rsidR="00CA075C" w:rsidRPr="00D03260">
              <w:rPr>
                <w:rFonts w:cs="Arial"/>
                <w:iCs/>
                <w:lang w:val="en-AU"/>
              </w:rPr>
              <w:t>s</w:t>
            </w:r>
            <w:r w:rsidRPr="00D03260">
              <w:rPr>
                <w:rFonts w:cs="Arial"/>
                <w:iCs/>
                <w:lang w:val="en-AU"/>
              </w:rPr>
              <w:t>ee </w:t>
            </w:r>
            <w:hyperlink w:anchor="Section623MouldRelatedInfection" w:history="1">
              <w:r w:rsidRPr="00D03260">
                <w:rPr>
                  <w:rStyle w:val="Hyperlink"/>
                  <w:rFonts w:cs="Arial"/>
                  <w:iCs/>
                  <w:szCs w:val="21"/>
                  <w:lang w:val="en-AU"/>
                </w:rPr>
                <w:t>section 6.2.3</w:t>
              </w:r>
            </w:hyperlink>
            <w:r w:rsidRPr="00D03260">
              <w:rPr>
                <w:rFonts w:cs="Arial"/>
                <w:lang w:val="en-AU"/>
              </w:rPr>
              <w:t xml:space="preserve"> and </w:t>
            </w:r>
            <w:hyperlink w:anchor="Sect6231AustralianConsensusGuidelinesFor" w:history="1">
              <w:r w:rsidRPr="00D03260">
                <w:rPr>
                  <w:rStyle w:val="Hyperlink"/>
                  <w:rFonts w:cs="Arial"/>
                  <w:iCs/>
                  <w:szCs w:val="21"/>
                  <w:lang w:val="en-AU"/>
                </w:rPr>
                <w:t>section 6.2.3.1</w:t>
              </w:r>
            </w:hyperlink>
            <w:r w:rsidRPr="00D03260">
              <w:rPr>
                <w:rFonts w:cs="Arial"/>
                <w:lang w:val="en-AU"/>
              </w:rPr>
              <w:t xml:space="preserve"> for further details</w:t>
            </w:r>
            <w:r w:rsidRPr="00D03260">
              <w:rPr>
                <w:rFonts w:cs="Arial"/>
                <w:iCs/>
                <w:lang w:val="en-AU"/>
              </w:rPr>
              <w:t>).</w:t>
            </w:r>
            <w:r w:rsidR="009D6102" w:rsidRPr="00D03260">
              <w:rPr>
                <w:rFonts w:cs="Arial"/>
                <w:iCs/>
                <w:lang w:val="en-AU"/>
              </w:rPr>
              <w:br/>
            </w:r>
          </w:p>
        </w:tc>
      </w:tr>
      <w:tr w:rsidR="00003A6C" w:rsidRPr="00D03260" w14:paraId="6E9DFD96" w14:textId="77777777" w:rsidTr="009C3EA5">
        <w:tblPrEx>
          <w:tblBorders>
            <w:top w:val="single" w:sz="4" w:space="0" w:color="auto"/>
            <w:bottom w:val="single" w:sz="4" w:space="0" w:color="auto"/>
            <w:insideH w:val="single" w:sz="4" w:space="0" w:color="auto"/>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bottom w:val="nil"/>
            </w:tcBorders>
            <w:shd w:val="clear" w:color="auto" w:fill="3F4A75" w:themeFill="text2"/>
          </w:tcPr>
          <w:p w14:paraId="3C00327F" w14:textId="77777777" w:rsidR="00003A6C" w:rsidRPr="00D03260" w:rsidRDefault="00003A6C" w:rsidP="00003A6C">
            <w:pPr>
              <w:spacing w:before="80" w:after="80"/>
              <w:rPr>
                <w:rFonts w:eastAsia="Cambria" w:cs="Arial"/>
                <w:b/>
                <w:color w:val="FFFFFF" w:themeColor="background1"/>
                <w:szCs w:val="22"/>
              </w:rPr>
            </w:pPr>
            <w:r w:rsidRPr="00D03260">
              <w:rPr>
                <w:rFonts w:eastAsia="Cambria" w:cs="Arial"/>
                <w:b/>
                <w:color w:val="FFFFFF" w:themeColor="background1"/>
                <w:szCs w:val="22"/>
              </w:rPr>
              <w:t>Management of patients who have persistent symptoms or remain undiagnosed</w:t>
            </w:r>
          </w:p>
        </w:tc>
      </w:tr>
      <w:tr w:rsidR="00003A6C" w:rsidRPr="00D03260" w14:paraId="51EE4283" w14:textId="77777777" w:rsidTr="009C3EA5">
        <w:tblPrEx>
          <w:tblBorders>
            <w:top w:val="single" w:sz="4" w:space="0" w:color="auto"/>
            <w:bottom w:val="single" w:sz="4" w:space="0" w:color="auto"/>
            <w:insideH w:val="single" w:sz="4"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top w:val="nil"/>
              <w:bottom w:val="nil"/>
            </w:tcBorders>
          </w:tcPr>
          <w:p w14:paraId="58E015F5" w14:textId="0D989645" w:rsidR="00FB5F6E" w:rsidRPr="00D03260" w:rsidRDefault="00FB5F6E" w:rsidP="000A4CD9">
            <w:pPr>
              <w:pStyle w:val="Boxtext"/>
              <w:rPr>
                <w:lang w:val="en-AU"/>
              </w:rPr>
            </w:pPr>
            <w:r w:rsidRPr="00D03260">
              <w:rPr>
                <w:lang w:val="en-AU"/>
              </w:rPr>
              <w:t xml:space="preserve">This section on ‘Management of patients who have persistent symptoms or remain undiagnosed’ is aligned with the Australian Government Department of Health and Aged Care’s Debilitating Symptom Complexes Attributed to Ticks (DSCATT) Clinical Pathway. </w:t>
            </w:r>
          </w:p>
          <w:p w14:paraId="3E166053" w14:textId="346FD68A" w:rsidR="00003A6C" w:rsidRPr="00D03260" w:rsidRDefault="00FE60A5" w:rsidP="00092C61">
            <w:pPr>
              <w:pStyle w:val="Tablelistbullet"/>
              <w:ind w:left="284" w:hanging="284"/>
              <w:rPr>
                <w:rFonts w:cs="Arial"/>
                <w:lang w:val="en-AU"/>
              </w:rPr>
            </w:pPr>
            <w:r w:rsidRPr="00D03260">
              <w:rPr>
                <w:rFonts w:cs="Arial"/>
                <w:lang w:val="en-AU"/>
              </w:rPr>
              <w:t>This section applies f</w:t>
            </w:r>
            <w:r w:rsidR="00003A6C" w:rsidRPr="00D03260">
              <w:rPr>
                <w:rFonts w:cs="Arial"/>
                <w:lang w:val="en-AU"/>
              </w:rPr>
              <w:t xml:space="preserve">or patients who </w:t>
            </w:r>
            <w:r w:rsidRPr="00D03260">
              <w:rPr>
                <w:rFonts w:cs="Arial"/>
                <w:lang w:val="en-AU"/>
              </w:rPr>
              <w:t xml:space="preserve">have medically unexplained symptoms i.e. patients with </w:t>
            </w:r>
            <w:r w:rsidR="00003A6C" w:rsidRPr="00D03260">
              <w:rPr>
                <w:rFonts w:cs="Arial"/>
                <w:lang w:val="en-AU"/>
              </w:rPr>
              <w:t>a history of exposure to indoor damp and mould</w:t>
            </w:r>
            <w:r w:rsidR="005A45AB" w:rsidRPr="00D03260">
              <w:rPr>
                <w:rFonts w:cs="Arial"/>
                <w:lang w:val="en-AU"/>
              </w:rPr>
              <w:t>,</w:t>
            </w:r>
            <w:r w:rsidR="00003A6C" w:rsidRPr="00D03260">
              <w:rPr>
                <w:rFonts w:cs="Arial"/>
                <w:lang w:val="en-AU"/>
              </w:rPr>
              <w:t xml:space="preserve"> whose symptoms have been investigated through this clinical pathway</w:t>
            </w:r>
            <w:r w:rsidRPr="00D03260">
              <w:rPr>
                <w:rFonts w:cs="Arial"/>
                <w:lang w:val="en-AU"/>
              </w:rPr>
              <w:t xml:space="preserve"> but</w:t>
            </w:r>
            <w:r w:rsidR="00003A6C" w:rsidRPr="00D03260">
              <w:rPr>
                <w:rFonts w:cs="Arial"/>
                <w:lang w:val="en-AU"/>
              </w:rPr>
              <w:t xml:space="preserve"> no diagnosis of a specific disease(s) is established</w:t>
            </w:r>
            <w:r w:rsidRPr="00D03260">
              <w:rPr>
                <w:rFonts w:cs="Arial"/>
                <w:lang w:val="en-AU"/>
              </w:rPr>
              <w:t>.</w:t>
            </w:r>
          </w:p>
          <w:p w14:paraId="7B7A1B4D" w14:textId="77777777" w:rsidR="00003A6C" w:rsidRPr="00D03260" w:rsidRDefault="00003A6C" w:rsidP="00092C61">
            <w:pPr>
              <w:pStyle w:val="Tablelistbullet"/>
              <w:ind w:left="284" w:hanging="284"/>
              <w:rPr>
                <w:rFonts w:cs="Arial"/>
                <w:lang w:val="en-AU"/>
              </w:rPr>
            </w:pPr>
            <w:r w:rsidRPr="00D03260">
              <w:rPr>
                <w:rFonts w:cs="Arial"/>
                <w:lang w:val="en-AU"/>
              </w:rPr>
              <w:t>If the symptoms are medically unexplained, GPs and other medical professionals should treat and manage symptoms according to common best-practice and provide person-centred, stepped care. Stepped care includes:</w:t>
            </w:r>
          </w:p>
          <w:p w14:paraId="1676604C" w14:textId="77777777" w:rsidR="00003A6C" w:rsidRPr="00D03260" w:rsidRDefault="00003A6C" w:rsidP="00002ECA">
            <w:pPr>
              <w:pStyle w:val="Tablelistbullet2"/>
              <w:numPr>
                <w:ilvl w:val="0"/>
                <w:numId w:val="99"/>
              </w:numPr>
              <w:ind w:right="57"/>
              <w:rPr>
                <w:rFonts w:cs="Arial"/>
              </w:rPr>
            </w:pPr>
            <w:r w:rsidRPr="00D03260">
              <w:rPr>
                <w:rFonts w:cs="Arial"/>
              </w:rPr>
              <w:t>developing an individualised, time contingent, care plan</w:t>
            </w:r>
          </w:p>
          <w:p w14:paraId="5658F8E2" w14:textId="77777777" w:rsidR="00003A6C" w:rsidRPr="00D03260" w:rsidRDefault="00003A6C" w:rsidP="00002ECA">
            <w:pPr>
              <w:pStyle w:val="Tablelistbullet2"/>
              <w:numPr>
                <w:ilvl w:val="0"/>
                <w:numId w:val="99"/>
              </w:numPr>
              <w:ind w:right="57"/>
              <w:rPr>
                <w:rFonts w:cs="Arial"/>
              </w:rPr>
            </w:pPr>
            <w:r w:rsidRPr="00D03260">
              <w:rPr>
                <w:rFonts w:cs="Arial"/>
              </w:rPr>
              <w:lastRenderedPageBreak/>
              <w:t>actively managing symptoms to improve the functioning of the patient in accordance with evidence-based guidelines</w:t>
            </w:r>
          </w:p>
          <w:p w14:paraId="2E50D590" w14:textId="4292B1F6" w:rsidR="00003A6C" w:rsidRPr="00D03260" w:rsidRDefault="00003A6C" w:rsidP="00002ECA">
            <w:pPr>
              <w:pStyle w:val="Tablelistbullet2"/>
              <w:numPr>
                <w:ilvl w:val="0"/>
                <w:numId w:val="99"/>
              </w:numPr>
              <w:ind w:right="57"/>
              <w:rPr>
                <w:rFonts w:cs="Arial"/>
              </w:rPr>
            </w:pPr>
            <w:r w:rsidRPr="00D03260">
              <w:rPr>
                <w:rFonts w:cs="Arial"/>
              </w:rPr>
              <w:t>offering a variety of support</w:t>
            </w:r>
            <w:r w:rsidR="00E506DB" w:rsidRPr="00D03260">
              <w:rPr>
                <w:rFonts w:cs="Arial"/>
              </w:rPr>
              <w:t>/care</w:t>
            </w:r>
            <w:r w:rsidRPr="00D03260">
              <w:rPr>
                <w:rFonts w:cs="Arial"/>
              </w:rPr>
              <w:t xml:space="preserve"> options for people with different levels and types of need, from low intensity to high intensity</w:t>
            </w:r>
          </w:p>
          <w:p w14:paraId="6E1DB885" w14:textId="77777777" w:rsidR="00003A6C" w:rsidRPr="00D03260" w:rsidRDefault="00003A6C" w:rsidP="00002ECA">
            <w:pPr>
              <w:pStyle w:val="Tablelistbullet2"/>
              <w:numPr>
                <w:ilvl w:val="0"/>
                <w:numId w:val="99"/>
              </w:numPr>
              <w:ind w:right="57"/>
              <w:rPr>
                <w:rFonts w:cs="Arial"/>
              </w:rPr>
            </w:pPr>
            <w:r w:rsidRPr="00D03260">
              <w:rPr>
                <w:rFonts w:cs="Arial"/>
              </w:rPr>
              <w:t>providing clear pathways between these care options as individuals’ needs change</w:t>
            </w:r>
          </w:p>
          <w:p w14:paraId="053CC3E6" w14:textId="77777777" w:rsidR="00003A6C" w:rsidRPr="00D03260" w:rsidRDefault="00003A6C" w:rsidP="00002ECA">
            <w:pPr>
              <w:pStyle w:val="Tablelistbullet2"/>
              <w:numPr>
                <w:ilvl w:val="0"/>
                <w:numId w:val="99"/>
              </w:numPr>
              <w:ind w:right="57"/>
              <w:rPr>
                <w:rFonts w:cs="Arial"/>
              </w:rPr>
            </w:pPr>
            <w:r w:rsidRPr="00D03260">
              <w:rPr>
                <w:rFonts w:cs="Arial"/>
              </w:rPr>
              <w:t xml:space="preserve">intensifying stepped care as required by referring to relevant specialists </w:t>
            </w:r>
          </w:p>
          <w:p w14:paraId="07341285" w14:textId="77777777" w:rsidR="00003A6C" w:rsidRPr="00D03260" w:rsidRDefault="00003A6C" w:rsidP="00002ECA">
            <w:pPr>
              <w:pStyle w:val="Tablelistbullet2"/>
              <w:numPr>
                <w:ilvl w:val="0"/>
                <w:numId w:val="99"/>
              </w:numPr>
              <w:ind w:right="57"/>
              <w:rPr>
                <w:rFonts w:cs="Arial"/>
              </w:rPr>
            </w:pPr>
            <w:r w:rsidRPr="00D03260">
              <w:rPr>
                <w:rFonts w:cs="Arial"/>
              </w:rPr>
              <w:t>providing regular follow-up and exploring symptoms if recovery stagnates</w:t>
            </w:r>
          </w:p>
          <w:p w14:paraId="73B72220" w14:textId="77777777" w:rsidR="00003A6C" w:rsidRPr="00D03260" w:rsidRDefault="00003A6C" w:rsidP="00002ECA">
            <w:pPr>
              <w:pStyle w:val="Tablelistbullet2"/>
              <w:numPr>
                <w:ilvl w:val="0"/>
                <w:numId w:val="99"/>
              </w:numPr>
              <w:ind w:right="57"/>
              <w:rPr>
                <w:rFonts w:cs="Arial"/>
              </w:rPr>
            </w:pPr>
            <w:r w:rsidRPr="00D03260">
              <w:rPr>
                <w:rFonts w:cs="Arial"/>
              </w:rPr>
              <w:t>reviewing new symptoms for information that may lead to diagnosis, or for indications of a new disease process.</w:t>
            </w:r>
          </w:p>
          <w:p w14:paraId="53A50D1A" w14:textId="77777777" w:rsidR="00003A6C" w:rsidRPr="00D03260" w:rsidRDefault="00003A6C" w:rsidP="00092C61">
            <w:pPr>
              <w:pStyle w:val="Tablelistbullet"/>
              <w:ind w:left="284" w:hanging="284"/>
              <w:rPr>
                <w:rFonts w:cs="Arial"/>
                <w:lang w:val="en-AU"/>
              </w:rPr>
            </w:pPr>
            <w:r w:rsidRPr="00D03260">
              <w:rPr>
                <w:rFonts w:cs="Arial"/>
                <w:lang w:val="en-AU"/>
              </w:rPr>
              <w:t>Where symptoms are medically unexplained, good communication and empathy are important. Take each patient’s concerns seriously and acknowledge and alleviate their symptoms.</w:t>
            </w:r>
          </w:p>
          <w:p w14:paraId="7DF47270" w14:textId="77777777" w:rsidR="00003A6C" w:rsidRPr="00D03260" w:rsidRDefault="00003A6C">
            <w:pPr>
              <w:pStyle w:val="Tablelistbullet"/>
              <w:ind w:left="284" w:hanging="284"/>
              <w:rPr>
                <w:rFonts w:cs="Arial"/>
                <w:lang w:val="en-AU"/>
              </w:rPr>
            </w:pPr>
            <w:r w:rsidRPr="00D03260">
              <w:rPr>
                <w:rFonts w:cs="Arial"/>
                <w:lang w:val="en-AU"/>
              </w:rPr>
              <w:t>Patients with medically unexplained symptoms (MUS) may need support to manage distressing symptoms and any disability that accompanies the symptoms. Acknowledging the difficulty of chronic symptoms and supporting the important mental health strategies is vital to person-centred care in chronic disease.</w:t>
            </w:r>
          </w:p>
          <w:p w14:paraId="25D72448" w14:textId="77777777" w:rsidR="00003A6C" w:rsidRPr="00D03260" w:rsidRDefault="00003A6C">
            <w:pPr>
              <w:pStyle w:val="Tablelistbullet"/>
              <w:ind w:left="284" w:hanging="284"/>
              <w:rPr>
                <w:rFonts w:cs="Arial"/>
                <w:lang w:val="en-AU"/>
              </w:rPr>
            </w:pPr>
            <w:r w:rsidRPr="00D03260">
              <w:rPr>
                <w:rFonts w:cs="Arial"/>
                <w:lang w:val="en-AU"/>
              </w:rPr>
              <w:t>Practice harm minimisation by avoiding fragmented care from multiple different practitioners; repeated diagnostic testing; use of non-accredited laboratories for diagnostic testing and use of unconventional diagnostic techniques; unnecessary referrals and interventions; and treatments with known harm and/or no benefit.</w:t>
            </w:r>
          </w:p>
          <w:p w14:paraId="49979FB8" w14:textId="77777777" w:rsidR="00003A6C" w:rsidRPr="00D03260" w:rsidRDefault="00003A6C">
            <w:pPr>
              <w:pStyle w:val="Tablelistbullet"/>
              <w:ind w:left="284" w:hanging="284"/>
              <w:rPr>
                <w:rFonts w:cs="Arial"/>
                <w:lang w:val="en-AU"/>
              </w:rPr>
            </w:pPr>
            <w:r w:rsidRPr="00D03260">
              <w:rPr>
                <w:rFonts w:cs="Arial"/>
                <w:lang w:val="en-AU"/>
              </w:rPr>
              <w:t>The management plan for patients who have persistent symptoms or remain undiagnosed would be led by the patient’s general practitioner (GP), in consultation with the patient so the patient can achieve their goals. However, management of ongoing symptoms should involve a multidisciplinary approach, incorporating the teamwork of all medical specialties and skills relevant to the individual patient’s care. The management of patients must be a collaborative approach between GPs and specialists. Telehealth can also be used where appropriate.</w:t>
            </w:r>
          </w:p>
          <w:p w14:paraId="58D72D35" w14:textId="616954AE" w:rsidR="00003A6C" w:rsidRPr="00D03260" w:rsidRDefault="00003A6C">
            <w:pPr>
              <w:pStyle w:val="Tablelistbullet"/>
              <w:ind w:left="284" w:hanging="284"/>
              <w:rPr>
                <w:rFonts w:cs="Arial"/>
                <w:iCs/>
                <w:sz w:val="20"/>
                <w:lang w:val="en-AU"/>
              </w:rPr>
            </w:pPr>
            <w:r w:rsidRPr="00D03260">
              <w:rPr>
                <w:rFonts w:cs="Arial"/>
                <w:lang w:val="en-AU"/>
              </w:rPr>
              <w:t>Consider referring patients who have MUS to appropriate specialists based on best clinical practice and relevant evidence (</w:t>
            </w:r>
            <w:r w:rsidR="00913B0B" w:rsidRPr="00D03260">
              <w:rPr>
                <w:rFonts w:cs="Arial"/>
                <w:lang w:val="en-AU"/>
              </w:rPr>
              <w:t>s</w:t>
            </w:r>
            <w:r w:rsidRPr="00D03260">
              <w:rPr>
                <w:rFonts w:cs="Arial"/>
                <w:iCs/>
                <w:lang w:val="en-AU"/>
              </w:rPr>
              <w:t xml:space="preserve">ee </w:t>
            </w:r>
            <w:hyperlink w:anchor="Section64ManagementOfPatientsWithPersist" w:history="1">
              <w:r w:rsidRPr="00D03260">
                <w:rPr>
                  <w:rFonts w:cs="Arial"/>
                  <w:iCs/>
                  <w:color w:val="0000FF" w:themeColor="hyperlink"/>
                  <w:u w:val="single"/>
                  <w:lang w:val="en-AU"/>
                </w:rPr>
                <w:t>section 6.4</w:t>
              </w:r>
            </w:hyperlink>
            <w:r w:rsidRPr="00D03260">
              <w:rPr>
                <w:rFonts w:cs="Arial"/>
                <w:lang w:val="en-AU"/>
              </w:rPr>
              <w:t xml:space="preserve"> </w:t>
            </w:r>
            <w:r w:rsidR="00820D48" w:rsidRPr="00D03260">
              <w:rPr>
                <w:rFonts w:cs="Arial"/>
                <w:lang w:val="en-AU"/>
              </w:rPr>
              <w:t xml:space="preserve">and </w:t>
            </w:r>
            <w:hyperlink w:anchor="Section73ManagementOfPatientsWithPersist" w:history="1">
              <w:r w:rsidR="00232CC5" w:rsidRPr="00D03260">
                <w:rPr>
                  <w:rStyle w:val="Hyperlink"/>
                  <w:rFonts w:cs="Arial"/>
                  <w:szCs w:val="21"/>
                  <w:lang w:val="en-AU"/>
                </w:rPr>
                <w:t>section 7.3</w:t>
              </w:r>
            </w:hyperlink>
            <w:r w:rsidR="00232CC5" w:rsidRPr="00D03260">
              <w:rPr>
                <w:rFonts w:cs="Arial"/>
                <w:szCs w:val="21"/>
                <w:lang w:val="en-AU"/>
              </w:rPr>
              <w:t xml:space="preserve"> </w:t>
            </w:r>
            <w:r w:rsidRPr="00D03260">
              <w:rPr>
                <w:rFonts w:cs="Arial"/>
                <w:szCs w:val="21"/>
                <w:lang w:val="en-AU"/>
              </w:rPr>
              <w:t>for</w:t>
            </w:r>
            <w:r w:rsidRPr="00D03260">
              <w:rPr>
                <w:rFonts w:cs="Arial"/>
                <w:lang w:val="en-AU"/>
              </w:rPr>
              <w:t xml:space="preserve"> further details</w:t>
            </w:r>
            <w:r w:rsidRPr="00D03260">
              <w:rPr>
                <w:rFonts w:cs="Arial"/>
                <w:iCs/>
                <w:lang w:val="en-AU"/>
              </w:rPr>
              <w:t>)</w:t>
            </w:r>
            <w:r w:rsidR="00913B0B" w:rsidRPr="00D03260">
              <w:rPr>
                <w:rFonts w:cs="Arial"/>
                <w:iCs/>
                <w:lang w:val="en-AU"/>
              </w:rPr>
              <w:t>.</w:t>
            </w:r>
            <w:r w:rsidR="009D6102" w:rsidRPr="00D03260">
              <w:rPr>
                <w:rFonts w:cs="Arial"/>
                <w:iCs/>
                <w:lang w:val="en-AU"/>
              </w:rPr>
              <w:br/>
            </w:r>
          </w:p>
        </w:tc>
      </w:tr>
      <w:tr w:rsidR="00913B0B" w:rsidRPr="00D03260" w14:paraId="321D5B14" w14:textId="77777777" w:rsidTr="009C3EA5">
        <w:tblPrEx>
          <w:tblBorders>
            <w:top w:val="single" w:sz="4" w:space="0" w:color="auto"/>
            <w:bottom w:val="single" w:sz="4" w:space="0" w:color="auto"/>
            <w:insideH w:val="single" w:sz="4" w:space="0" w:color="auto"/>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top w:val="nil"/>
              <w:bottom w:val="nil"/>
            </w:tcBorders>
            <w:shd w:val="clear" w:color="auto" w:fill="3F4A75" w:themeFill="text2"/>
          </w:tcPr>
          <w:p w14:paraId="384B0C23" w14:textId="77777777" w:rsidR="00913B0B" w:rsidRPr="00D03260" w:rsidRDefault="00913B0B" w:rsidP="00572C3E">
            <w:pPr>
              <w:spacing w:before="80" w:after="80"/>
              <w:rPr>
                <w:rFonts w:eastAsia="Cambria" w:cs="Arial"/>
                <w:b/>
                <w:color w:val="FFFFFF" w:themeColor="background1"/>
                <w:szCs w:val="22"/>
              </w:rPr>
            </w:pPr>
            <w:r w:rsidRPr="00D03260">
              <w:rPr>
                <w:rFonts w:eastAsia="Cambria" w:cs="Arial"/>
                <w:b/>
                <w:color w:val="FFFFFF" w:themeColor="background1"/>
                <w:szCs w:val="22"/>
              </w:rPr>
              <w:lastRenderedPageBreak/>
              <w:t xml:space="preserve">Ongoing management </w:t>
            </w:r>
          </w:p>
        </w:tc>
      </w:tr>
      <w:tr w:rsidR="00913B0B" w:rsidRPr="00D03260" w14:paraId="02EC4848" w14:textId="77777777" w:rsidTr="009C3EA5">
        <w:tblPrEx>
          <w:tblBorders>
            <w:top w:val="single" w:sz="4" w:space="0" w:color="auto"/>
            <w:bottom w:val="single" w:sz="4" w:space="0" w:color="auto"/>
            <w:insideH w:val="single" w:sz="4"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top w:val="nil"/>
              <w:bottom w:val="nil"/>
            </w:tcBorders>
          </w:tcPr>
          <w:p w14:paraId="2B3BE93B" w14:textId="592CFDA9" w:rsidR="00913B0B" w:rsidRPr="00D03260" w:rsidRDefault="00913B0B" w:rsidP="00092C61">
            <w:pPr>
              <w:pStyle w:val="Tablelistbullet"/>
              <w:ind w:left="284" w:hanging="284"/>
              <w:rPr>
                <w:rFonts w:cs="Arial"/>
                <w:lang w:val="en-AU"/>
              </w:rPr>
            </w:pPr>
            <w:r w:rsidRPr="00D03260">
              <w:rPr>
                <w:rFonts w:cs="Arial"/>
                <w:lang w:val="en-AU"/>
              </w:rPr>
              <w:t xml:space="preserve">Follow the Australian Asthma Handbook </w:t>
            </w:r>
            <w:r w:rsidR="00652D95" w:rsidRPr="00D03260">
              <w:rPr>
                <w:rFonts w:cs="Arial"/>
                <w:lang w:val="en-AU"/>
              </w:rPr>
              <w:t>(</w:t>
            </w:r>
            <w:hyperlink r:id="rId44" w:history="1">
              <w:r w:rsidR="00652D95" w:rsidRPr="00D03260">
                <w:rPr>
                  <w:rStyle w:val="Hyperlink"/>
                  <w:rFonts w:cs="Arial"/>
                  <w:lang w:val="en-AU"/>
                </w:rPr>
                <w:t>https://www.asthmahandbook.org.au/</w:t>
              </w:r>
            </w:hyperlink>
            <w:r w:rsidR="00652D95" w:rsidRPr="00D03260">
              <w:rPr>
                <w:rFonts w:cs="Arial"/>
                <w:color w:val="0000FF" w:themeColor="hyperlink"/>
                <w:u w:val="single"/>
                <w:lang w:val="en-AU"/>
              </w:rPr>
              <w:t>)</w:t>
            </w:r>
            <w:r w:rsidRPr="00D03260">
              <w:rPr>
                <w:rFonts w:cs="Arial"/>
                <w:lang w:val="en-AU"/>
              </w:rPr>
              <w:t xml:space="preserve"> for managing asthma in adults, adolescents, and children (see </w:t>
            </w:r>
            <w:hyperlink w:anchor="Section711Asthma" w:history="1">
              <w:r w:rsidRPr="00D03260">
                <w:rPr>
                  <w:rFonts w:cs="Arial"/>
                  <w:iCs/>
                  <w:color w:val="0000FF" w:themeColor="hyperlink"/>
                  <w:u w:val="single"/>
                  <w:lang w:val="en-AU"/>
                </w:rPr>
                <w:t>section 7.1.1</w:t>
              </w:r>
            </w:hyperlink>
            <w:r w:rsidRPr="00D03260">
              <w:rPr>
                <w:rFonts w:cs="Arial"/>
                <w:lang w:val="en-AU"/>
              </w:rPr>
              <w:t xml:space="preserve"> for further details)</w:t>
            </w:r>
            <w:r w:rsidR="00652D95" w:rsidRPr="00D03260">
              <w:rPr>
                <w:rFonts w:cs="Arial"/>
                <w:lang w:val="en-AU"/>
              </w:rPr>
              <w:t xml:space="preserve"> </w:t>
            </w:r>
            <w:r w:rsidR="00652D95" w:rsidRPr="00D03260">
              <w:rPr>
                <w:rFonts w:cs="Arial"/>
                <w:lang w:val="en-AU"/>
              </w:rPr>
              <w:fldChar w:fldCharType="begin"/>
            </w:r>
            <w:r w:rsidR="00652D95" w:rsidRPr="00D03260">
              <w:rPr>
                <w:rFonts w:cs="Arial"/>
                <w:lang w:val="en-AU"/>
              </w:rPr>
              <w:instrText xml:space="preserve"> ADDIN ZOTERO_ITEM CSL_CITATION {"citationID":"gIkJEpbr","properties":{"formattedCitation":"(National Asthma Council Australia, 2022)","plainCitation":"(National Asthma Council Australia, 2022)","noteIndex":0},"citationItems":[{"id":4705,"uris":["http://zotero.org/groups/4371185/items/5Y5IQIDN"],"itemData":{"id":4705,"type":"document","publisher":"National Asthma Council Australia, Melbourne","title":"Australian Asthma Handbook- Version 2.2","URL":"http://www.asthmahandbook.org.au","author":[{"family":"National Asthma Council Australia","given":""}],"issued":{"date-parts":[["2022"]]}}}],"schema":"https://github.com/citation-style-language/schema/raw/master/csl-citation.json"} </w:instrText>
            </w:r>
            <w:r w:rsidR="00652D95" w:rsidRPr="00D03260">
              <w:rPr>
                <w:rFonts w:cs="Arial"/>
                <w:lang w:val="en-AU"/>
              </w:rPr>
              <w:fldChar w:fldCharType="separate"/>
            </w:r>
            <w:r w:rsidR="00652D95" w:rsidRPr="00D03260">
              <w:rPr>
                <w:rFonts w:cs="Arial"/>
                <w:lang w:val="en-AU"/>
              </w:rPr>
              <w:t>(National Asthma Council Australia, 2022)</w:t>
            </w:r>
            <w:r w:rsidR="00652D95" w:rsidRPr="00D03260">
              <w:rPr>
                <w:rFonts w:cs="Arial"/>
                <w:lang w:val="en-AU"/>
              </w:rPr>
              <w:fldChar w:fldCharType="end"/>
            </w:r>
            <w:r w:rsidRPr="00D03260">
              <w:rPr>
                <w:rFonts w:cs="Arial"/>
                <w:lang w:val="en-AU"/>
              </w:rPr>
              <w:t>.</w:t>
            </w:r>
          </w:p>
          <w:p w14:paraId="346F438B" w14:textId="77777777" w:rsidR="00913B0B" w:rsidRPr="00D03260" w:rsidRDefault="00913B0B">
            <w:pPr>
              <w:pStyle w:val="Tablelistbullet"/>
              <w:ind w:left="284" w:hanging="284"/>
              <w:rPr>
                <w:rFonts w:cs="Arial"/>
                <w:lang w:val="en-AU"/>
              </w:rPr>
            </w:pPr>
            <w:r w:rsidRPr="00D03260">
              <w:rPr>
                <w:rFonts w:cs="Arial"/>
                <w:lang w:val="en-AU"/>
              </w:rPr>
              <w:t xml:space="preserve">In patients with mould allergy, ongoing monitoring would be led by a Clinical Allergist or Immunologist. </w:t>
            </w:r>
          </w:p>
          <w:p w14:paraId="2B7EED6F" w14:textId="77777777" w:rsidR="00913B0B" w:rsidRPr="00D03260" w:rsidRDefault="00913B0B">
            <w:pPr>
              <w:pStyle w:val="Tablelistbullet"/>
              <w:ind w:left="284" w:hanging="284"/>
              <w:rPr>
                <w:rFonts w:cs="Arial"/>
                <w:lang w:val="en-AU"/>
              </w:rPr>
            </w:pPr>
            <w:r w:rsidRPr="00D03260">
              <w:rPr>
                <w:rFonts w:cs="Arial"/>
                <w:lang w:val="en-AU"/>
              </w:rPr>
              <w:t>If symptoms have resolved, the patient exits the Clinical Pathway.</w:t>
            </w:r>
          </w:p>
          <w:p w14:paraId="3F678F2B" w14:textId="597FC296" w:rsidR="00913B0B" w:rsidRPr="00D03260" w:rsidRDefault="00913B0B">
            <w:pPr>
              <w:pStyle w:val="Tablelistbullet"/>
              <w:ind w:left="284" w:hanging="284"/>
              <w:rPr>
                <w:rFonts w:cs="Arial"/>
                <w:noProof/>
                <w:lang w:val="en-AU"/>
              </w:rPr>
            </w:pPr>
            <w:r w:rsidRPr="00D03260">
              <w:rPr>
                <w:rFonts w:cs="Arial"/>
                <w:lang w:val="en-AU"/>
              </w:rPr>
              <w:t xml:space="preserve">If symptoms persist, consider alternative diagnoses </w:t>
            </w:r>
            <w:r w:rsidR="00E447BA" w:rsidRPr="00D03260">
              <w:rPr>
                <w:rFonts w:cs="Arial"/>
                <w:lang w:val="en-AU"/>
              </w:rPr>
              <w:t>(s</w:t>
            </w:r>
            <w:r w:rsidRPr="00D03260">
              <w:rPr>
                <w:rFonts w:cs="Arial"/>
                <w:lang w:val="en-AU"/>
              </w:rPr>
              <w:t xml:space="preserve">ee </w:t>
            </w:r>
            <w:hyperlink w:anchor="Sect32PatientsPresentingWithPersistentDe" w:history="1">
              <w:r w:rsidRPr="00D03260">
                <w:rPr>
                  <w:rFonts w:cs="Arial"/>
                  <w:color w:val="0000FF" w:themeColor="hyperlink"/>
                  <w:u w:val="single"/>
                  <w:lang w:val="en-AU"/>
                </w:rPr>
                <w:t>section 3.2</w:t>
              </w:r>
            </w:hyperlink>
            <w:r w:rsidRPr="00D03260">
              <w:rPr>
                <w:rFonts w:cs="Arial"/>
                <w:lang w:val="en-AU"/>
              </w:rPr>
              <w:t xml:space="preserve"> and </w:t>
            </w:r>
            <w:hyperlink w:anchor="Sect321IfAHealthEffectAssociatedWithExpo" w:history="1">
              <w:r w:rsidRPr="00D03260">
                <w:rPr>
                  <w:rFonts w:cs="Arial"/>
                  <w:color w:val="0000FF" w:themeColor="hyperlink"/>
                  <w:u w:val="single"/>
                  <w:lang w:val="en-AU"/>
                </w:rPr>
                <w:t>section 3.2.1</w:t>
              </w:r>
            </w:hyperlink>
            <w:r w:rsidRPr="00D03260">
              <w:rPr>
                <w:rFonts w:cs="Arial"/>
                <w:lang w:val="en-AU"/>
              </w:rPr>
              <w:t xml:space="preserve"> for further details</w:t>
            </w:r>
            <w:r w:rsidR="00BF7A17" w:rsidRPr="00D03260">
              <w:rPr>
                <w:rFonts w:cs="Arial"/>
                <w:lang w:val="en-AU"/>
              </w:rPr>
              <w:t>).</w:t>
            </w:r>
          </w:p>
        </w:tc>
      </w:tr>
      <w:tr w:rsidR="00913B0B" w:rsidRPr="00D03260" w14:paraId="6180E533" w14:textId="77777777" w:rsidTr="009C3EA5">
        <w:tblPrEx>
          <w:tblBorders>
            <w:top w:val="single" w:sz="4" w:space="0" w:color="auto"/>
            <w:bottom w:val="single" w:sz="4" w:space="0" w:color="auto"/>
            <w:insideH w:val="single" w:sz="4" w:space="0" w:color="auto"/>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top w:val="nil"/>
              <w:bottom w:val="nil"/>
            </w:tcBorders>
            <w:shd w:val="clear" w:color="auto" w:fill="3F4A75" w:themeFill="text2"/>
          </w:tcPr>
          <w:p w14:paraId="3D9D9599" w14:textId="56B5ED18" w:rsidR="00913B0B" w:rsidRPr="00D03260" w:rsidRDefault="00A04D21" w:rsidP="00572C3E">
            <w:pPr>
              <w:spacing w:before="80" w:after="80"/>
              <w:rPr>
                <w:rFonts w:eastAsia="Cambria" w:cs="Arial"/>
                <w:b/>
                <w:noProof/>
                <w:color w:val="FFFFFF" w:themeColor="background1"/>
                <w:szCs w:val="22"/>
              </w:rPr>
            </w:pPr>
            <w:r w:rsidRPr="00D03260">
              <w:rPr>
                <w:rFonts w:eastAsia="Cambria" w:cs="Arial"/>
                <w:b/>
                <w:color w:val="FFFFFF" w:themeColor="background1"/>
                <w:szCs w:val="22"/>
              </w:rPr>
              <w:t>A</w:t>
            </w:r>
            <w:r w:rsidR="005C3517" w:rsidRPr="00D03260">
              <w:rPr>
                <w:rFonts w:eastAsia="Cambria" w:cs="Arial"/>
                <w:b/>
                <w:color w:val="FFFFFF" w:themeColor="background1"/>
                <w:szCs w:val="22"/>
              </w:rPr>
              <w:t>dvice for a</w:t>
            </w:r>
            <w:r w:rsidR="00913B0B" w:rsidRPr="00D03260">
              <w:rPr>
                <w:rFonts w:eastAsia="Cambria" w:cs="Arial"/>
                <w:b/>
                <w:color w:val="FFFFFF" w:themeColor="background1"/>
                <w:szCs w:val="22"/>
              </w:rPr>
              <w:t>voiding and minimising exposure to mould, preventing exposure, and remediation</w:t>
            </w:r>
          </w:p>
        </w:tc>
      </w:tr>
      <w:tr w:rsidR="00913B0B" w:rsidRPr="00D03260" w14:paraId="5983B606" w14:textId="77777777" w:rsidTr="009C3EA5">
        <w:tblPrEx>
          <w:tblBorders>
            <w:top w:val="single" w:sz="4" w:space="0" w:color="auto"/>
            <w:bottom w:val="single" w:sz="4" w:space="0" w:color="auto"/>
            <w:insideH w:val="single" w:sz="4"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top w:val="nil"/>
              <w:bottom w:val="nil"/>
            </w:tcBorders>
          </w:tcPr>
          <w:p w14:paraId="28E5C579" w14:textId="77777777" w:rsidR="00913B0B" w:rsidRPr="00D03260" w:rsidRDefault="00913B0B" w:rsidP="00092C61">
            <w:pPr>
              <w:pStyle w:val="Tablelistbullet"/>
              <w:ind w:left="284" w:hanging="284"/>
              <w:rPr>
                <w:rFonts w:cs="Arial"/>
                <w:lang w:val="en-AU"/>
              </w:rPr>
            </w:pPr>
            <w:r w:rsidRPr="00D03260">
              <w:rPr>
                <w:rFonts w:cs="Arial"/>
                <w:lang w:val="en-AU"/>
              </w:rPr>
              <w:t>While a quantitative and/or causal relationship between the occurrence of individual mould species and health problems has yet to be established, indoor mould growth is a potential health risk.</w:t>
            </w:r>
          </w:p>
          <w:p w14:paraId="11D574AC" w14:textId="50CBA0A7" w:rsidR="00913B0B" w:rsidRPr="00D03260" w:rsidRDefault="00913B0B">
            <w:pPr>
              <w:pStyle w:val="Tablelistbullet"/>
              <w:ind w:left="284" w:hanging="284"/>
              <w:rPr>
                <w:rFonts w:cs="Arial"/>
                <w:lang w:val="en-AU"/>
              </w:rPr>
            </w:pPr>
            <w:r w:rsidRPr="00D03260">
              <w:rPr>
                <w:rFonts w:cs="Arial"/>
                <w:lang w:val="en-AU"/>
              </w:rPr>
              <w:t xml:space="preserve">The enHealth advise dampness and mould related problems should be prevented. When they occur, they should be rectified- remove mould where present, find it when you smell it, </w:t>
            </w:r>
            <w:proofErr w:type="gramStart"/>
            <w:r w:rsidRPr="00D03260">
              <w:rPr>
                <w:rFonts w:cs="Arial"/>
                <w:lang w:val="en-AU"/>
              </w:rPr>
              <w:t>repair</w:t>
            </w:r>
            <w:proofErr w:type="gramEnd"/>
            <w:r w:rsidRPr="00D03260">
              <w:rPr>
                <w:rFonts w:cs="Arial"/>
                <w:lang w:val="en-AU"/>
              </w:rPr>
              <w:t xml:space="preserve"> and control sources of excessive moisture – this is the best approach for controlling potential health risks. </w:t>
            </w:r>
            <w:r w:rsidR="00B0454A" w:rsidRPr="00D03260">
              <w:rPr>
                <w:rFonts w:cs="Arial"/>
                <w:lang w:val="en-AU"/>
              </w:rPr>
              <w:t xml:space="preserve">The enHealth factsheet is available </w:t>
            </w:r>
            <w:r w:rsidR="007F4D31" w:rsidRPr="00D03260">
              <w:rPr>
                <w:rFonts w:cs="Arial"/>
                <w:lang w:val="en-AU"/>
              </w:rPr>
              <w:t>at</w:t>
            </w:r>
            <w:r w:rsidR="00B0454A" w:rsidRPr="00D03260">
              <w:rPr>
                <w:rFonts w:cs="Arial"/>
                <w:lang w:val="en-AU"/>
              </w:rPr>
              <w:t xml:space="preserve"> </w:t>
            </w:r>
            <w:hyperlink r:id="rId45" w:history="1">
              <w:r w:rsidR="00B0454A" w:rsidRPr="00D03260">
                <w:rPr>
                  <w:rStyle w:val="Hyperlink"/>
                  <w:rFonts w:cs="Arial"/>
                  <w:szCs w:val="21"/>
                  <w:lang w:val="en-AU"/>
                </w:rPr>
                <w:t>https://www.health.gov.au/resources/publications/enhealth-guidance-potential-health-effects-of-mould-in-the-environment</w:t>
              </w:r>
            </w:hyperlink>
            <w:r w:rsidRPr="00D03260">
              <w:rPr>
                <w:rFonts w:cs="Arial"/>
                <w:lang w:val="en-AU"/>
              </w:rPr>
              <w:t>.</w:t>
            </w:r>
          </w:p>
          <w:p w14:paraId="44E9A96D" w14:textId="77777777" w:rsidR="00913B0B" w:rsidRPr="00D03260" w:rsidRDefault="00913B0B">
            <w:pPr>
              <w:pStyle w:val="Tablelistbullet"/>
              <w:ind w:left="284" w:hanging="284"/>
              <w:rPr>
                <w:rFonts w:cs="Arial"/>
                <w:lang w:val="en-AU"/>
              </w:rPr>
            </w:pPr>
            <w:r w:rsidRPr="00D03260">
              <w:rPr>
                <w:rFonts w:cs="Arial"/>
                <w:lang w:val="en-AU"/>
              </w:rPr>
              <w:t>There is no exposure limit or health guideline value for exposure to mould. Where possible, exposure to mould should be minimised – this is particularly recommended for people who are more sensitive to mould exposure.</w:t>
            </w:r>
          </w:p>
          <w:p w14:paraId="53158440" w14:textId="77777777" w:rsidR="00913B0B" w:rsidRPr="00D03260" w:rsidRDefault="00913B0B">
            <w:pPr>
              <w:pStyle w:val="Tablelistbullet"/>
              <w:ind w:left="284" w:hanging="284"/>
              <w:rPr>
                <w:rFonts w:cs="Arial"/>
                <w:lang w:val="en-AU"/>
              </w:rPr>
            </w:pPr>
            <w:r w:rsidRPr="00D03260">
              <w:rPr>
                <w:rFonts w:cs="Arial"/>
                <w:lang w:val="en-AU"/>
              </w:rPr>
              <w:t>Mould-allergic patients and patients with a weakened immune system should be provided with specialist patient information about the hazards of indoor mould exposure and preventative steps they can take to minimise exposure.</w:t>
            </w:r>
          </w:p>
          <w:p w14:paraId="7B7F7A4A" w14:textId="77777777" w:rsidR="00913B0B" w:rsidRPr="00D03260" w:rsidRDefault="00913B0B">
            <w:pPr>
              <w:pStyle w:val="Tablelistbullet"/>
              <w:ind w:left="284" w:hanging="284"/>
              <w:rPr>
                <w:rFonts w:cs="Arial"/>
                <w:lang w:val="en-AU"/>
              </w:rPr>
            </w:pPr>
            <w:r w:rsidRPr="00D03260">
              <w:rPr>
                <w:rFonts w:cs="Arial"/>
                <w:lang w:val="en-AU"/>
              </w:rPr>
              <w:t>Although mould naturally occurs in the environment and can be found almost anywhere, it requires damp surfaces and moisture to grow. People can reduce their exposure through simple measures, however there is no practical way to eliminate all exposure to mould.</w:t>
            </w:r>
          </w:p>
          <w:p w14:paraId="6483706D" w14:textId="538470E5" w:rsidR="00913B0B" w:rsidRPr="00D03260" w:rsidRDefault="007F4D31">
            <w:pPr>
              <w:pStyle w:val="Tablelistbullet"/>
              <w:ind w:left="284" w:hanging="284"/>
              <w:rPr>
                <w:rFonts w:cs="Arial"/>
                <w:lang w:val="en-AU"/>
              </w:rPr>
            </w:pPr>
            <w:r w:rsidRPr="00D03260">
              <w:rPr>
                <w:rFonts w:cs="Arial"/>
                <w:lang w:val="en-AU"/>
              </w:rPr>
              <w:t>In i</w:t>
            </w:r>
            <w:r w:rsidR="00913B0B" w:rsidRPr="00D03260">
              <w:rPr>
                <w:rFonts w:cs="Arial"/>
                <w:lang w:val="en-AU"/>
              </w:rPr>
              <w:t>ndoors, people should prevent moisture and dampness and ensure adequate ventilation</w:t>
            </w:r>
            <w:r w:rsidRPr="00D03260">
              <w:rPr>
                <w:rFonts w:cs="Arial"/>
                <w:lang w:val="en-AU"/>
              </w:rPr>
              <w:t>.</w:t>
            </w:r>
            <w:r w:rsidR="00913B0B" w:rsidRPr="00D03260">
              <w:rPr>
                <w:rFonts w:cs="Arial"/>
                <w:lang w:val="en-AU"/>
              </w:rPr>
              <w:t xml:space="preserve"> </w:t>
            </w:r>
            <w:r w:rsidRPr="00D03260">
              <w:rPr>
                <w:rFonts w:cs="Arial"/>
                <w:lang w:val="en-AU"/>
              </w:rPr>
              <w:t>T</w:t>
            </w:r>
            <w:r w:rsidR="00913B0B" w:rsidRPr="00D03260">
              <w:rPr>
                <w:rFonts w:cs="Arial"/>
                <w:lang w:val="en-AU"/>
              </w:rPr>
              <w:t xml:space="preserve">his will minimise mould growth; fix leaky plumbing, </w:t>
            </w:r>
            <w:proofErr w:type="gramStart"/>
            <w:r w:rsidR="00913B0B" w:rsidRPr="00D03260">
              <w:rPr>
                <w:rFonts w:cs="Arial"/>
                <w:lang w:val="en-AU"/>
              </w:rPr>
              <w:t>roofs</w:t>
            </w:r>
            <w:proofErr w:type="gramEnd"/>
            <w:r w:rsidR="00913B0B" w:rsidRPr="00D03260">
              <w:rPr>
                <w:rFonts w:cs="Arial"/>
                <w:lang w:val="en-AU"/>
              </w:rPr>
              <w:t xml:space="preserve"> and other building faults; clear and maintain gutters; and reduce and remove condensation (e.g., use exhaust fans and wipe up excess water).</w:t>
            </w:r>
          </w:p>
          <w:p w14:paraId="217CF611" w14:textId="1AEBE4A0" w:rsidR="00913B0B" w:rsidRPr="00D03260" w:rsidRDefault="007F4D31">
            <w:pPr>
              <w:pStyle w:val="Tablelistbullet"/>
              <w:ind w:left="284" w:hanging="284"/>
              <w:rPr>
                <w:rFonts w:cs="Arial"/>
                <w:lang w:val="en-AU"/>
              </w:rPr>
            </w:pPr>
            <w:r w:rsidRPr="00D03260">
              <w:rPr>
                <w:rFonts w:cs="Arial"/>
                <w:lang w:val="en-AU"/>
              </w:rPr>
              <w:t>Buildings and h</w:t>
            </w:r>
            <w:r w:rsidR="00913B0B" w:rsidRPr="00D03260">
              <w:rPr>
                <w:rFonts w:cs="Arial"/>
                <w:lang w:val="en-AU"/>
              </w:rPr>
              <w:t xml:space="preserve">omes with inadequate ventilation resulting from poor design, modifications or lack of maintenance may be more prone to developing mould. The cheapest and easiest way of reducing indoor moisture and humidity is by ventilating a room by opening a door or window. </w:t>
            </w:r>
          </w:p>
          <w:p w14:paraId="51F8B64D" w14:textId="77777777" w:rsidR="00913B0B" w:rsidRPr="00D03260" w:rsidRDefault="00913B0B">
            <w:pPr>
              <w:pStyle w:val="Tablelistbullet"/>
              <w:ind w:left="284" w:hanging="284"/>
              <w:rPr>
                <w:rFonts w:cs="Arial"/>
                <w:lang w:val="en-AU"/>
              </w:rPr>
            </w:pPr>
            <w:r w:rsidRPr="00D03260">
              <w:rPr>
                <w:rFonts w:cs="Arial"/>
                <w:lang w:val="en-AU"/>
              </w:rPr>
              <w:t>During periods of extended high outdoor humidity, another practical method of reducing interior humidity levels is using a dehumidifier suitably sized for the indoor areas affected.</w:t>
            </w:r>
          </w:p>
          <w:p w14:paraId="2C74AF0A" w14:textId="77777777" w:rsidR="00913B0B" w:rsidRPr="00D03260" w:rsidRDefault="00913B0B">
            <w:pPr>
              <w:pStyle w:val="Tablelistbullet"/>
              <w:ind w:left="284" w:hanging="284"/>
              <w:rPr>
                <w:rFonts w:cs="Arial"/>
                <w:lang w:val="en-AU"/>
              </w:rPr>
            </w:pPr>
            <w:r w:rsidRPr="00D03260">
              <w:rPr>
                <w:rFonts w:cs="Arial"/>
                <w:lang w:val="en-AU"/>
              </w:rPr>
              <w:t>Air purifiers can be used as a way of reducing fungal particle exposure and improving indoor air quality.</w:t>
            </w:r>
          </w:p>
          <w:p w14:paraId="4D7696CB" w14:textId="386F7E4B" w:rsidR="00913B0B" w:rsidRPr="00D03260" w:rsidRDefault="00913B0B">
            <w:pPr>
              <w:pStyle w:val="Tablelistbullet"/>
              <w:ind w:left="284" w:hanging="284"/>
              <w:rPr>
                <w:rFonts w:cs="Arial"/>
                <w:lang w:val="en-AU"/>
              </w:rPr>
            </w:pPr>
            <w:r w:rsidRPr="00D03260">
              <w:rPr>
                <w:rFonts w:cs="Arial"/>
                <w:lang w:val="en-AU"/>
              </w:rPr>
              <w:t xml:space="preserve">enHealth factsheet advises that occupational hygienists </w:t>
            </w:r>
            <w:r w:rsidR="007F4D31" w:rsidRPr="00D03260">
              <w:rPr>
                <w:rFonts w:cs="Arial"/>
                <w:lang w:val="en-AU"/>
              </w:rPr>
              <w:t xml:space="preserve">can </w:t>
            </w:r>
            <w:r w:rsidRPr="00D03260">
              <w:rPr>
                <w:rFonts w:cs="Arial"/>
                <w:lang w:val="en-AU"/>
              </w:rPr>
              <w:t xml:space="preserve">provide consultancy services at a fee to remove mould, locate mould by inspections (if it can be smelled but not seen), or to find a solution. </w:t>
            </w:r>
            <w:r w:rsidR="00133040" w:rsidRPr="00D03260">
              <w:rPr>
                <w:rFonts w:cs="Arial"/>
                <w:lang w:val="en-AU"/>
              </w:rPr>
              <w:t xml:space="preserve">A list of </w:t>
            </w:r>
            <w:r w:rsidRPr="00D03260">
              <w:rPr>
                <w:rFonts w:cs="Arial"/>
                <w:lang w:val="en-AU"/>
              </w:rPr>
              <w:t>Australian occupational hygienists</w:t>
            </w:r>
            <w:r w:rsidR="00133040" w:rsidRPr="00D03260">
              <w:rPr>
                <w:rFonts w:cs="Arial"/>
                <w:lang w:val="en-AU"/>
              </w:rPr>
              <w:t xml:space="preserve"> can be found at</w:t>
            </w:r>
            <w:r w:rsidRPr="00D03260">
              <w:rPr>
                <w:rFonts w:cs="Arial"/>
                <w:lang w:val="en-AU"/>
              </w:rPr>
              <w:t xml:space="preserve"> </w:t>
            </w:r>
            <w:hyperlink r:id="rId46" w:history="1">
              <w:r w:rsidRPr="00D03260">
                <w:rPr>
                  <w:rStyle w:val="Hyperlink"/>
                  <w:rFonts w:cs="Arial"/>
                  <w:szCs w:val="21"/>
                  <w:lang w:val="en-AU"/>
                </w:rPr>
                <w:t>https://www.aioh.org.au/resources/consultants/</w:t>
              </w:r>
            </w:hyperlink>
            <w:r w:rsidRPr="00D03260">
              <w:rPr>
                <w:rFonts w:cs="Arial"/>
                <w:lang w:val="en-AU"/>
              </w:rPr>
              <w:t>.</w:t>
            </w:r>
          </w:p>
        </w:tc>
      </w:tr>
      <w:tr w:rsidR="00490001" w:rsidRPr="00D03260" w14:paraId="3821845A" w14:textId="77777777" w:rsidTr="009C3EA5">
        <w:tblPrEx>
          <w:tblBorders>
            <w:top w:val="single" w:sz="4" w:space="0" w:color="auto"/>
            <w:bottom w:val="single" w:sz="4" w:space="0" w:color="auto"/>
            <w:insideH w:val="single" w:sz="4" w:space="0" w:color="auto"/>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top w:val="nil"/>
              <w:bottom w:val="nil"/>
            </w:tcBorders>
            <w:shd w:val="clear" w:color="auto" w:fill="auto"/>
          </w:tcPr>
          <w:p w14:paraId="04756FE8" w14:textId="20E270E7" w:rsidR="00133040" w:rsidRPr="00D03260" w:rsidRDefault="00913B0B" w:rsidP="009D6102">
            <w:pPr>
              <w:pStyle w:val="Tablelistbullet"/>
              <w:ind w:left="284" w:hanging="284"/>
              <w:rPr>
                <w:rFonts w:cs="Arial"/>
                <w:lang w:val="en-AU"/>
              </w:rPr>
            </w:pPr>
            <w:r w:rsidRPr="00D03260">
              <w:rPr>
                <w:rFonts w:cs="Arial"/>
                <w:lang w:val="en-AU"/>
              </w:rPr>
              <w:lastRenderedPageBreak/>
              <w:br w:type="page"/>
            </w:r>
            <w:r w:rsidR="00490001" w:rsidRPr="00D03260">
              <w:rPr>
                <w:rFonts w:cs="Arial"/>
                <w:lang w:val="en-AU"/>
              </w:rPr>
              <w:t xml:space="preserve">While this Clinical Pathway is focused on exposure to indoor damp and mould, it is acknowledged that people can be exposed to mould in other environments. </w:t>
            </w:r>
          </w:p>
          <w:p w14:paraId="32F54E82" w14:textId="15EEC569" w:rsidR="00133040" w:rsidRPr="00D03260" w:rsidRDefault="00490001" w:rsidP="009D6102">
            <w:pPr>
              <w:pStyle w:val="Tablelistbullet"/>
              <w:numPr>
                <w:ilvl w:val="0"/>
                <w:numId w:val="102"/>
              </w:numPr>
              <w:rPr>
                <w:rFonts w:cs="Arial"/>
                <w:lang w:val="en-AU"/>
              </w:rPr>
            </w:pPr>
            <w:r w:rsidRPr="00D03260">
              <w:rPr>
                <w:rFonts w:cs="Arial"/>
                <w:lang w:val="en-AU"/>
              </w:rPr>
              <w:t>The enHealth advises that mould occurs naturally in the environment and can be found almost anywhere, including in garden composts and on decaying or damp organic material, and food. Mould spores and fragments exist naturally in the air people breathe. The amount that people are exposed to depends on various factors including the season, surrounding land, wind, and people’s activities/actions both indoors and outdoors.</w:t>
            </w:r>
          </w:p>
          <w:p w14:paraId="0E8BD729" w14:textId="3C038679" w:rsidR="00133040" w:rsidRPr="00D03260" w:rsidRDefault="00490001" w:rsidP="009D6102">
            <w:pPr>
              <w:pStyle w:val="Tablelistbullet"/>
              <w:numPr>
                <w:ilvl w:val="0"/>
                <w:numId w:val="102"/>
              </w:numPr>
              <w:rPr>
                <w:rFonts w:cs="Arial"/>
                <w:lang w:val="en-AU"/>
              </w:rPr>
            </w:pPr>
            <w:r w:rsidRPr="00D03260">
              <w:rPr>
                <w:rFonts w:cs="Arial"/>
                <w:lang w:val="en-AU"/>
              </w:rPr>
              <w:t xml:space="preserve">Indoors, mould grows best in damp and poorly ventilated areas, typically on wood, plasterboard, tile grout and furnishings. </w:t>
            </w:r>
          </w:p>
          <w:p w14:paraId="6971D79F" w14:textId="07D1969E" w:rsidR="00490001" w:rsidRPr="00D03260" w:rsidRDefault="00490001" w:rsidP="009D6102">
            <w:pPr>
              <w:pStyle w:val="Tablelistbullet"/>
              <w:numPr>
                <w:ilvl w:val="0"/>
                <w:numId w:val="102"/>
              </w:numPr>
              <w:rPr>
                <w:rFonts w:cs="Arial"/>
                <w:lang w:val="en-AU"/>
              </w:rPr>
            </w:pPr>
            <w:r w:rsidRPr="00D03260">
              <w:rPr>
                <w:rFonts w:cs="Arial"/>
                <w:lang w:val="en-AU"/>
              </w:rPr>
              <w:t xml:space="preserve">Outdoors, use appropriate personal protective equipment such as gloves and a P1 or P2 face mask when handling garden composts, mulch, </w:t>
            </w:r>
            <w:proofErr w:type="gramStart"/>
            <w:r w:rsidRPr="00D03260">
              <w:rPr>
                <w:rFonts w:cs="Arial"/>
                <w:lang w:val="en-AU"/>
              </w:rPr>
              <w:t>straw</w:t>
            </w:r>
            <w:proofErr w:type="gramEnd"/>
            <w:r w:rsidRPr="00D03260">
              <w:rPr>
                <w:rFonts w:cs="Arial"/>
                <w:lang w:val="en-AU"/>
              </w:rPr>
              <w:t xml:space="preserve"> or hay, and mouldy and decaying organic materials.</w:t>
            </w:r>
          </w:p>
          <w:p w14:paraId="4F69E4FF" w14:textId="77777777" w:rsidR="00490001" w:rsidRPr="00D03260" w:rsidRDefault="00490001" w:rsidP="009D6102">
            <w:pPr>
              <w:pStyle w:val="Tablelistbullet"/>
              <w:ind w:left="284" w:hanging="284"/>
              <w:rPr>
                <w:rFonts w:cs="Arial"/>
                <w:lang w:val="en-AU"/>
              </w:rPr>
            </w:pPr>
            <w:r w:rsidRPr="00D03260">
              <w:rPr>
                <w:rFonts w:cs="Arial"/>
                <w:lang w:val="en-AU"/>
              </w:rPr>
              <w:t>Additionally, it is also acknowledged that people can be exposed to other potential indoor air pollutants. A 2020 evidence review by the National Institute for Health and Care Excellence (NICE) aimed to identify clinical signs and symptoms that should prompt healthcare professionals to consider exposure to poor indoor air quality at home in people presenting to health services. NICE considered exposure to indoor mould and damp, along with multiple other exposures. NICE did not make a specific conclusion about the health effects associated with exposure to indoor dampness and mould, rather that, ‘For the outcomes that matter most’, stating:</w:t>
            </w:r>
          </w:p>
          <w:p w14:paraId="2C82FC9B" w14:textId="2A1211A8" w:rsidR="00490001" w:rsidRPr="00D03260" w:rsidRDefault="00490001" w:rsidP="009D6102">
            <w:pPr>
              <w:pStyle w:val="Tablelistbullet2"/>
              <w:numPr>
                <w:ilvl w:val="0"/>
                <w:numId w:val="100"/>
              </w:numPr>
              <w:spacing w:line="240" w:lineRule="auto"/>
              <w:ind w:right="57"/>
              <w:jc w:val="left"/>
              <w:rPr>
                <w:rFonts w:cs="Arial"/>
              </w:rPr>
            </w:pPr>
            <w:r w:rsidRPr="00D03260">
              <w:rPr>
                <w:rFonts w:cs="Arial"/>
              </w:rPr>
              <w:t>“The committee noted the pollutants such as NO</w:t>
            </w:r>
            <w:r w:rsidRPr="00D03260">
              <w:rPr>
                <w:rFonts w:cs="Arial"/>
                <w:vertAlign w:val="subscript"/>
              </w:rPr>
              <w:t>2</w:t>
            </w:r>
            <w:r w:rsidRPr="00D03260">
              <w:rPr>
                <w:rFonts w:cs="Arial"/>
              </w:rPr>
              <w:t xml:space="preserve"> [nitrous dioxide], volatile organic compounds (VOCs), particulate matter (PM) from open solid-fuel fires, polycyclic aromatic hydrocarbons (PAHs) and biological agents such as mould and pet dander are sometimes associated with many symptoms including those affecting the respiratory, </w:t>
            </w:r>
            <w:r w:rsidRPr="00D03260">
              <w:rPr>
                <w:rFonts w:cs="Arial"/>
              </w:rPr>
              <w:lastRenderedPageBreak/>
              <w:t>cardiovascular and neurological systems”.</w:t>
            </w:r>
            <w:r w:rsidR="009D6102" w:rsidRPr="00D03260">
              <w:rPr>
                <w:rFonts w:cs="Arial"/>
              </w:rPr>
              <w:br/>
            </w:r>
          </w:p>
        </w:tc>
      </w:tr>
      <w:tr w:rsidR="00490001" w:rsidRPr="00D03260" w14:paraId="25C5E347" w14:textId="77777777" w:rsidTr="009C3EA5">
        <w:tblPrEx>
          <w:tblBorders>
            <w:top w:val="single" w:sz="4" w:space="0" w:color="auto"/>
            <w:bottom w:val="single" w:sz="4" w:space="0" w:color="auto"/>
            <w:insideH w:val="single" w:sz="4"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top w:val="nil"/>
              <w:bottom w:val="nil"/>
            </w:tcBorders>
            <w:shd w:val="clear" w:color="auto" w:fill="3F4A75"/>
          </w:tcPr>
          <w:p w14:paraId="78DF3374" w14:textId="77777777" w:rsidR="00490001" w:rsidRPr="00D03260" w:rsidRDefault="00490001" w:rsidP="00351542">
            <w:pPr>
              <w:pStyle w:val="TableHeaderWhite"/>
              <w:rPr>
                <w:rFonts w:cs="Arial"/>
                <w:lang w:val="en-AU"/>
              </w:rPr>
            </w:pPr>
            <w:r w:rsidRPr="00D03260">
              <w:rPr>
                <w:rFonts w:cs="Arial"/>
                <w:lang w:val="en-AU"/>
              </w:rPr>
              <w:lastRenderedPageBreak/>
              <w:t>Periodic review of the Clinical Pathway</w:t>
            </w:r>
          </w:p>
        </w:tc>
      </w:tr>
      <w:tr w:rsidR="00490001" w:rsidRPr="00D03260" w14:paraId="1C7EB310" w14:textId="77777777" w:rsidTr="009C3EA5">
        <w:tblPrEx>
          <w:tblBorders>
            <w:top w:val="single" w:sz="4" w:space="0" w:color="auto"/>
            <w:bottom w:val="single" w:sz="4" w:space="0" w:color="auto"/>
            <w:insideH w:val="single" w:sz="4" w:space="0" w:color="auto"/>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Borders>
              <w:top w:val="nil"/>
              <w:bottom w:val="nil"/>
            </w:tcBorders>
          </w:tcPr>
          <w:p w14:paraId="33ACD144" w14:textId="77777777" w:rsidR="00490001" w:rsidRPr="00D03260" w:rsidRDefault="00490001" w:rsidP="00092C61">
            <w:pPr>
              <w:pStyle w:val="Tablelistbullet"/>
              <w:ind w:left="284" w:hanging="284"/>
              <w:rPr>
                <w:rFonts w:cs="Arial"/>
                <w:lang w:val="en-AU"/>
              </w:rPr>
            </w:pPr>
            <w:r w:rsidRPr="00D03260">
              <w:rPr>
                <w:rFonts w:cs="Arial"/>
                <w:lang w:val="en-AU"/>
              </w:rPr>
              <w:t>This Biotoxins (indoor damp and mould) Clinical Pathway is informed by the current peer-reviewed evidence base and Australian and international authority guidance.</w:t>
            </w:r>
          </w:p>
          <w:p w14:paraId="07E4F992" w14:textId="45C65D39" w:rsidR="00490001" w:rsidRPr="00D03260" w:rsidRDefault="00490001">
            <w:pPr>
              <w:pStyle w:val="Tablelistbullet"/>
              <w:ind w:left="284" w:hanging="284"/>
              <w:rPr>
                <w:rFonts w:cs="Arial"/>
                <w:lang w:val="en-AU"/>
              </w:rPr>
            </w:pPr>
            <w:r w:rsidRPr="00D03260">
              <w:rPr>
                <w:rFonts w:cs="Arial"/>
                <w:lang w:val="en-AU"/>
              </w:rPr>
              <w:t xml:space="preserve">There is a research project currently in place to further understand the </w:t>
            </w:r>
            <w:r w:rsidR="00E943C9" w:rsidRPr="00D03260">
              <w:rPr>
                <w:rFonts w:cs="Arial"/>
                <w:lang w:val="en-AU"/>
              </w:rPr>
              <w:t xml:space="preserve">origin </w:t>
            </w:r>
            <w:r w:rsidRPr="00D03260">
              <w:rPr>
                <w:rFonts w:cs="Arial"/>
                <w:lang w:val="en-AU"/>
              </w:rPr>
              <w:t xml:space="preserve">and pathophysiology of the </w:t>
            </w:r>
            <w:r w:rsidR="00133040" w:rsidRPr="00D03260">
              <w:rPr>
                <w:rFonts w:cs="Arial"/>
                <w:lang w:val="en-AU"/>
              </w:rPr>
              <w:t>bioto</w:t>
            </w:r>
            <w:r w:rsidR="00A04D21" w:rsidRPr="00D03260">
              <w:rPr>
                <w:rFonts w:cs="Arial"/>
                <w:lang w:val="en-AU"/>
              </w:rPr>
              <w:t>x</w:t>
            </w:r>
            <w:r w:rsidR="00133040" w:rsidRPr="00D03260">
              <w:rPr>
                <w:rFonts w:cs="Arial"/>
                <w:lang w:val="en-AU"/>
              </w:rPr>
              <w:t>in-related illnesses</w:t>
            </w:r>
            <w:r w:rsidR="00A04D21" w:rsidRPr="00D03260">
              <w:rPr>
                <w:rFonts w:cs="Arial"/>
                <w:lang w:val="en-AU"/>
              </w:rPr>
              <w:t xml:space="preserve"> and </w:t>
            </w:r>
            <w:r w:rsidR="00133040" w:rsidRPr="00D03260">
              <w:rPr>
                <w:rFonts w:cs="Arial"/>
                <w:lang w:val="en-AU"/>
              </w:rPr>
              <w:t xml:space="preserve">associated </w:t>
            </w:r>
            <w:r w:rsidRPr="00D03260">
              <w:rPr>
                <w:rFonts w:cs="Arial"/>
                <w:lang w:val="en-AU"/>
              </w:rPr>
              <w:t>symptom complex</w:t>
            </w:r>
            <w:r w:rsidR="009045ED" w:rsidRPr="00D03260">
              <w:rPr>
                <w:rFonts w:cs="Arial"/>
                <w:lang w:val="en-AU"/>
              </w:rPr>
              <w:t>e</w:t>
            </w:r>
            <w:r w:rsidR="00505788" w:rsidRPr="00D03260">
              <w:rPr>
                <w:rFonts w:cs="Arial"/>
                <w:lang w:val="en-AU"/>
              </w:rPr>
              <w:t>s</w:t>
            </w:r>
            <w:r w:rsidRPr="00D03260">
              <w:rPr>
                <w:rFonts w:cs="Arial"/>
                <w:lang w:val="en-AU"/>
              </w:rPr>
              <w:t xml:space="preserve"> </w:t>
            </w:r>
            <w:r w:rsidR="00133040" w:rsidRPr="00D03260">
              <w:rPr>
                <w:rFonts w:cs="Arial"/>
                <w:lang w:val="en-AU"/>
              </w:rPr>
              <w:t xml:space="preserve">(so called </w:t>
            </w:r>
            <w:r w:rsidRPr="00D03260">
              <w:rPr>
                <w:rFonts w:cs="Arial"/>
                <w:lang w:val="en-AU"/>
              </w:rPr>
              <w:t>CIRS</w:t>
            </w:r>
            <w:r w:rsidR="00133040" w:rsidRPr="00D03260">
              <w:rPr>
                <w:rFonts w:cs="Arial"/>
                <w:lang w:val="en-AU"/>
              </w:rPr>
              <w:t>-like symptoms)</w:t>
            </w:r>
            <w:r w:rsidRPr="00D03260">
              <w:rPr>
                <w:rFonts w:cs="Arial"/>
                <w:lang w:val="en-AU"/>
              </w:rPr>
              <w:t xml:space="preserve"> to improve the diagnosis, </w:t>
            </w:r>
            <w:proofErr w:type="gramStart"/>
            <w:r w:rsidRPr="00D03260">
              <w:rPr>
                <w:rFonts w:cs="Arial"/>
                <w:lang w:val="en-AU"/>
              </w:rPr>
              <w:t>treatment</w:t>
            </w:r>
            <w:proofErr w:type="gramEnd"/>
            <w:r w:rsidRPr="00D03260">
              <w:rPr>
                <w:rFonts w:cs="Arial"/>
                <w:lang w:val="en-AU"/>
              </w:rPr>
              <w:t xml:space="preserve"> and management.</w:t>
            </w:r>
          </w:p>
          <w:p w14:paraId="7646FDAC" w14:textId="19DDD5C3" w:rsidR="00490001" w:rsidRPr="00D03260" w:rsidRDefault="008B0A1E">
            <w:pPr>
              <w:pStyle w:val="Tablelistbullet"/>
              <w:ind w:left="284" w:hanging="284"/>
              <w:rPr>
                <w:rFonts w:cs="Arial"/>
                <w:lang w:val="en-AU"/>
              </w:rPr>
            </w:pPr>
            <w:r w:rsidRPr="00D03260">
              <w:rPr>
                <w:rFonts w:cs="Arial"/>
                <w:lang w:val="en-AU"/>
              </w:rPr>
              <w:t>There is potential for this Clinical Pathway to be reviewed in future should the evidence base change significantly</w:t>
            </w:r>
            <w:r w:rsidR="00490001" w:rsidRPr="00D03260">
              <w:rPr>
                <w:rFonts w:cs="Arial"/>
                <w:lang w:val="en-AU"/>
              </w:rPr>
              <w:t>.</w:t>
            </w:r>
          </w:p>
        </w:tc>
      </w:tr>
    </w:tbl>
    <w:p w14:paraId="364F7CE9" w14:textId="77777777" w:rsidR="00490001" w:rsidRPr="00D03260" w:rsidRDefault="00490001" w:rsidP="00D90CED"/>
    <w:p w14:paraId="07111908" w14:textId="1A59D876" w:rsidR="008B26CC" w:rsidRPr="00D03260" w:rsidRDefault="008B26CC" w:rsidP="00D90CED">
      <w:pPr>
        <w:sectPr w:rsidR="008B26CC" w:rsidRPr="00D03260" w:rsidSect="00CF14A6">
          <w:headerReference w:type="even" r:id="rId47"/>
          <w:headerReference w:type="default" r:id="rId48"/>
          <w:footerReference w:type="even" r:id="rId49"/>
          <w:footerReference w:type="default" r:id="rId50"/>
          <w:headerReference w:type="first" r:id="rId51"/>
          <w:footerReference w:type="first" r:id="rId52"/>
          <w:pgSz w:w="11906" w:h="16838"/>
          <w:pgMar w:top="1701" w:right="1418" w:bottom="1418" w:left="1418" w:header="709" w:footer="709" w:gutter="0"/>
          <w:pgNumType w:fmt="lowerRoman"/>
          <w:cols w:space="708"/>
          <w:docGrid w:linePitch="360"/>
        </w:sectPr>
      </w:pPr>
    </w:p>
    <w:p w14:paraId="2FEC7004" w14:textId="12ABD0E4" w:rsidR="00100F6D" w:rsidRPr="00D03260" w:rsidRDefault="00100F6D" w:rsidP="000F3C3A">
      <w:pPr>
        <w:pStyle w:val="TOCHeading"/>
        <w:rPr>
          <w:lang w:val="en-AU"/>
        </w:rPr>
      </w:pPr>
      <w:bookmarkStart w:id="7" w:name="_Toc109920937"/>
      <w:bookmarkStart w:id="8" w:name="_Toc109921073"/>
      <w:bookmarkStart w:id="9" w:name="_Toc109926841"/>
      <w:bookmarkStart w:id="10" w:name="_Toc109927319"/>
      <w:bookmarkStart w:id="11" w:name="_Toc110002935"/>
      <w:bookmarkStart w:id="12" w:name="_Toc112152987"/>
      <w:bookmarkStart w:id="13" w:name="_Toc112236613"/>
      <w:bookmarkStart w:id="14" w:name="_Toc112239728"/>
      <w:bookmarkStart w:id="15" w:name="_Toc114561427"/>
      <w:bookmarkStart w:id="16" w:name="_Toc114565084"/>
      <w:bookmarkStart w:id="17" w:name="_Toc114740197"/>
      <w:bookmarkStart w:id="18" w:name="_Toc115085855"/>
      <w:bookmarkStart w:id="19" w:name="_Toc115243980"/>
      <w:bookmarkStart w:id="20" w:name="_Toc121329099"/>
      <w:r w:rsidRPr="00D03260">
        <w:rPr>
          <w:lang w:val="en-AU"/>
        </w:rPr>
        <w:lastRenderedPageBreak/>
        <w:t>Contents</w:t>
      </w:r>
      <w:bookmarkEnd w:id="7"/>
      <w:bookmarkEnd w:id="8"/>
      <w:bookmarkEnd w:id="9"/>
      <w:bookmarkEnd w:id="10"/>
      <w:bookmarkEnd w:id="11"/>
      <w:bookmarkEnd w:id="12"/>
      <w:bookmarkEnd w:id="13"/>
      <w:bookmarkEnd w:id="14"/>
      <w:bookmarkEnd w:id="15"/>
      <w:bookmarkEnd w:id="16"/>
      <w:bookmarkEnd w:id="17"/>
      <w:bookmarkEnd w:id="18"/>
      <w:bookmarkEnd w:id="19"/>
      <w:bookmarkEnd w:id="20"/>
    </w:p>
    <w:sdt>
      <w:sdtPr>
        <w:id w:val="-2137406325"/>
        <w:docPartObj>
          <w:docPartGallery w:val="Table of Contents"/>
          <w:docPartUnique/>
        </w:docPartObj>
      </w:sdtPr>
      <w:sdtEndPr>
        <w:rPr>
          <w:b/>
          <w:bCs/>
          <w:noProof/>
        </w:rPr>
      </w:sdtEndPr>
      <w:sdtContent>
        <w:p w14:paraId="08598049" w14:textId="23F090A7" w:rsidR="008041D7" w:rsidRPr="00D03260" w:rsidRDefault="00D359CD" w:rsidP="007119A0">
          <w:pPr>
            <w:pStyle w:val="TOC1"/>
            <w:rPr>
              <w:rFonts w:asciiTheme="minorHAnsi" w:eastAsiaTheme="minorEastAsia" w:hAnsiTheme="minorHAnsi" w:cstheme="minorBidi"/>
              <w:noProof/>
              <w:color w:val="auto"/>
              <w:szCs w:val="22"/>
              <w:lang w:eastAsia="en-AU"/>
            </w:rPr>
          </w:pPr>
          <w:r w:rsidRPr="00D03260">
            <w:fldChar w:fldCharType="begin"/>
          </w:r>
          <w:r w:rsidRPr="00D03260">
            <w:instrText xml:space="preserve"> TOC \o "1-4" \h \z \u </w:instrText>
          </w:r>
          <w:r w:rsidRPr="00D03260">
            <w:fldChar w:fldCharType="separate"/>
          </w:r>
          <w:hyperlink w:anchor="_Toc141885837" w:history="1">
            <w:r w:rsidR="008041D7" w:rsidRPr="00D03260">
              <w:rPr>
                <w:rStyle w:val="Hyperlink"/>
                <w:noProof/>
              </w:rPr>
              <w:t>Biotoxins (indoor damp and mould) Clinical Pathway</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_Toc141885837 \h </w:instrText>
            </w:r>
            <w:r w:rsidR="008041D7" w:rsidRPr="00D03260">
              <w:rPr>
                <w:noProof/>
                <w:webHidden/>
              </w:rPr>
            </w:r>
            <w:r w:rsidR="008041D7" w:rsidRPr="00D03260">
              <w:rPr>
                <w:noProof/>
                <w:webHidden/>
              </w:rPr>
              <w:fldChar w:fldCharType="separate"/>
            </w:r>
            <w:r w:rsidR="008041D7" w:rsidRPr="00D03260">
              <w:rPr>
                <w:noProof/>
                <w:webHidden/>
              </w:rPr>
              <w:t>iii</w:t>
            </w:r>
            <w:r w:rsidR="008041D7" w:rsidRPr="00D03260">
              <w:rPr>
                <w:noProof/>
                <w:webHidden/>
              </w:rPr>
              <w:fldChar w:fldCharType="end"/>
            </w:r>
          </w:hyperlink>
        </w:p>
        <w:p w14:paraId="6C9B1A7A" w14:textId="2D938FD3"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838" w:history="1">
            <w:r w:rsidR="008041D7" w:rsidRPr="00D03260">
              <w:rPr>
                <w:rStyle w:val="Hyperlink"/>
                <w:noProof/>
              </w:rPr>
              <w:t>Summary information</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_Toc141885838 \h </w:instrText>
            </w:r>
            <w:r w:rsidR="008041D7" w:rsidRPr="00D03260">
              <w:rPr>
                <w:noProof/>
                <w:webHidden/>
              </w:rPr>
            </w:r>
            <w:r w:rsidR="008041D7" w:rsidRPr="00D03260">
              <w:rPr>
                <w:noProof/>
                <w:webHidden/>
              </w:rPr>
              <w:fldChar w:fldCharType="separate"/>
            </w:r>
            <w:r w:rsidR="008041D7" w:rsidRPr="00D03260">
              <w:rPr>
                <w:noProof/>
                <w:webHidden/>
              </w:rPr>
              <w:t>v</w:t>
            </w:r>
            <w:r w:rsidR="008041D7" w:rsidRPr="00D03260">
              <w:rPr>
                <w:noProof/>
                <w:webHidden/>
              </w:rPr>
              <w:fldChar w:fldCharType="end"/>
            </w:r>
          </w:hyperlink>
        </w:p>
        <w:p w14:paraId="1553AFBC" w14:textId="0EEECF0F"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839" w:history="1">
            <w:r w:rsidR="008041D7" w:rsidRPr="00D03260">
              <w:rPr>
                <w:rStyle w:val="Hyperlink"/>
                <w:noProof/>
              </w:rPr>
              <w:t>1.</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Introduction</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_Toc141885839 \h </w:instrText>
            </w:r>
            <w:r w:rsidR="008041D7" w:rsidRPr="00D03260">
              <w:rPr>
                <w:noProof/>
                <w:webHidden/>
              </w:rPr>
            </w:r>
            <w:r w:rsidR="008041D7" w:rsidRPr="00D03260">
              <w:rPr>
                <w:noProof/>
                <w:webHidden/>
              </w:rPr>
              <w:fldChar w:fldCharType="separate"/>
            </w:r>
            <w:r w:rsidR="008041D7" w:rsidRPr="00D03260">
              <w:rPr>
                <w:noProof/>
                <w:webHidden/>
              </w:rPr>
              <w:t>1</w:t>
            </w:r>
            <w:r w:rsidR="008041D7" w:rsidRPr="00D03260">
              <w:rPr>
                <w:noProof/>
                <w:webHidden/>
              </w:rPr>
              <w:fldChar w:fldCharType="end"/>
            </w:r>
          </w:hyperlink>
        </w:p>
        <w:p w14:paraId="46898B0D" w14:textId="29023BA1"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840" w:history="1">
            <w:r w:rsidR="008041D7" w:rsidRPr="00D03260">
              <w:rPr>
                <w:rStyle w:val="Hyperlink"/>
                <w:noProof/>
              </w:rPr>
              <w:t>1.1.</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Purpose of the Clinical Pathway</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_Toc141885840 \h </w:instrText>
            </w:r>
            <w:r w:rsidR="008041D7" w:rsidRPr="00D03260">
              <w:rPr>
                <w:noProof/>
                <w:webHidden/>
              </w:rPr>
            </w:r>
            <w:r w:rsidR="008041D7" w:rsidRPr="00D03260">
              <w:rPr>
                <w:noProof/>
                <w:webHidden/>
              </w:rPr>
              <w:fldChar w:fldCharType="separate"/>
            </w:r>
            <w:r w:rsidR="008041D7" w:rsidRPr="00D03260">
              <w:rPr>
                <w:noProof/>
                <w:webHidden/>
              </w:rPr>
              <w:t>1</w:t>
            </w:r>
            <w:r w:rsidR="008041D7" w:rsidRPr="00D03260">
              <w:rPr>
                <w:noProof/>
                <w:webHidden/>
              </w:rPr>
              <w:fldChar w:fldCharType="end"/>
            </w:r>
          </w:hyperlink>
        </w:p>
        <w:p w14:paraId="25A83DB4" w14:textId="1459BDCE"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41" w:history="1">
            <w:r w:rsidR="008041D7" w:rsidRPr="00D03260">
              <w:rPr>
                <w:rStyle w:val="Hyperlink"/>
                <w:noProof/>
              </w:rPr>
              <w:t>1.1.1. Context to the development of the Clinical Pathway</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_Toc141885841 \h </w:instrText>
            </w:r>
            <w:r w:rsidR="008041D7" w:rsidRPr="00D03260">
              <w:rPr>
                <w:noProof/>
                <w:webHidden/>
              </w:rPr>
            </w:r>
            <w:r w:rsidR="008041D7" w:rsidRPr="00D03260">
              <w:rPr>
                <w:noProof/>
                <w:webHidden/>
              </w:rPr>
              <w:fldChar w:fldCharType="separate"/>
            </w:r>
            <w:r w:rsidR="008041D7" w:rsidRPr="00D03260">
              <w:rPr>
                <w:noProof/>
                <w:webHidden/>
              </w:rPr>
              <w:t>3</w:t>
            </w:r>
            <w:r w:rsidR="008041D7" w:rsidRPr="00D03260">
              <w:rPr>
                <w:noProof/>
                <w:webHidden/>
              </w:rPr>
              <w:fldChar w:fldCharType="end"/>
            </w:r>
          </w:hyperlink>
        </w:p>
        <w:p w14:paraId="4253DCE9" w14:textId="0B38FBF5"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842" w:history="1">
            <w:r w:rsidR="008041D7" w:rsidRPr="00D03260">
              <w:rPr>
                <w:rStyle w:val="Hyperlink"/>
                <w:noProof/>
              </w:rPr>
              <w:t>1.2.</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Important context to inform clinical decision making and advice to patients reporting exposure to indoor damp and mould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_Toc141885842 \h </w:instrText>
            </w:r>
            <w:r w:rsidR="008041D7" w:rsidRPr="00D03260">
              <w:rPr>
                <w:noProof/>
                <w:webHidden/>
              </w:rPr>
            </w:r>
            <w:r w:rsidR="008041D7" w:rsidRPr="00D03260">
              <w:rPr>
                <w:noProof/>
                <w:webHidden/>
              </w:rPr>
              <w:fldChar w:fldCharType="separate"/>
            </w:r>
            <w:r w:rsidR="008041D7" w:rsidRPr="00D03260">
              <w:rPr>
                <w:noProof/>
                <w:webHidden/>
              </w:rPr>
              <w:t>4</w:t>
            </w:r>
            <w:r w:rsidR="008041D7" w:rsidRPr="00D03260">
              <w:rPr>
                <w:noProof/>
                <w:webHidden/>
              </w:rPr>
              <w:fldChar w:fldCharType="end"/>
            </w:r>
          </w:hyperlink>
        </w:p>
        <w:p w14:paraId="264EAB2A" w14:textId="0D065E6A"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43" w:history="1">
            <w:r w:rsidR="008041D7" w:rsidRPr="00D03260">
              <w:rPr>
                <w:rStyle w:val="Hyperlink"/>
                <w:noProof/>
              </w:rPr>
              <w:t>1.2.1.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A causal relationship between mould damage and different health effects is yet to be established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_Toc141885843 \h </w:instrText>
            </w:r>
            <w:r w:rsidR="008041D7" w:rsidRPr="00D03260">
              <w:rPr>
                <w:noProof/>
                <w:webHidden/>
              </w:rPr>
            </w:r>
            <w:r w:rsidR="008041D7" w:rsidRPr="00D03260">
              <w:rPr>
                <w:noProof/>
                <w:webHidden/>
              </w:rPr>
              <w:fldChar w:fldCharType="separate"/>
            </w:r>
            <w:r w:rsidR="008041D7" w:rsidRPr="00D03260">
              <w:rPr>
                <w:noProof/>
                <w:webHidden/>
              </w:rPr>
              <w:t>4</w:t>
            </w:r>
            <w:r w:rsidR="008041D7" w:rsidRPr="00D03260">
              <w:rPr>
                <w:noProof/>
                <w:webHidden/>
              </w:rPr>
              <w:fldChar w:fldCharType="end"/>
            </w:r>
          </w:hyperlink>
        </w:p>
        <w:p w14:paraId="33093FE7" w14:textId="0BDA3BE3"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44" w:history="1">
            <w:r w:rsidR="008041D7" w:rsidRPr="00D03260">
              <w:rPr>
                <w:rStyle w:val="Hyperlink"/>
                <w:noProof/>
              </w:rPr>
              <w:t>1.2.2.</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Exposure to mould should be minimised even though causality has not been established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_Toc141885844 \h </w:instrText>
            </w:r>
            <w:r w:rsidR="008041D7" w:rsidRPr="00D03260">
              <w:rPr>
                <w:noProof/>
                <w:webHidden/>
              </w:rPr>
            </w:r>
            <w:r w:rsidR="008041D7" w:rsidRPr="00D03260">
              <w:rPr>
                <w:noProof/>
                <w:webHidden/>
              </w:rPr>
              <w:fldChar w:fldCharType="separate"/>
            </w:r>
            <w:r w:rsidR="008041D7" w:rsidRPr="00D03260">
              <w:rPr>
                <w:noProof/>
                <w:webHidden/>
              </w:rPr>
              <w:t>5</w:t>
            </w:r>
            <w:r w:rsidR="008041D7" w:rsidRPr="00D03260">
              <w:rPr>
                <w:noProof/>
                <w:webHidden/>
              </w:rPr>
              <w:fldChar w:fldCharType="end"/>
            </w:r>
          </w:hyperlink>
        </w:p>
        <w:p w14:paraId="04E54C00" w14:textId="22B9AE7F"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45" w:history="1">
            <w:r w:rsidR="008041D7" w:rsidRPr="00D03260">
              <w:rPr>
                <w:rStyle w:val="Hyperlink"/>
                <w:noProof/>
              </w:rPr>
              <w:t>1.2.3.</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Response to exposure to mould varies between individuals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_Toc141885845 \h </w:instrText>
            </w:r>
            <w:r w:rsidR="008041D7" w:rsidRPr="00D03260">
              <w:rPr>
                <w:noProof/>
                <w:webHidden/>
              </w:rPr>
            </w:r>
            <w:r w:rsidR="008041D7" w:rsidRPr="00D03260">
              <w:rPr>
                <w:noProof/>
                <w:webHidden/>
              </w:rPr>
              <w:fldChar w:fldCharType="separate"/>
            </w:r>
            <w:r w:rsidR="008041D7" w:rsidRPr="00D03260">
              <w:rPr>
                <w:noProof/>
                <w:webHidden/>
              </w:rPr>
              <w:t>5</w:t>
            </w:r>
            <w:r w:rsidR="008041D7" w:rsidRPr="00D03260">
              <w:rPr>
                <w:noProof/>
                <w:webHidden/>
              </w:rPr>
              <w:fldChar w:fldCharType="end"/>
            </w:r>
          </w:hyperlink>
        </w:p>
        <w:p w14:paraId="6BA14FA0" w14:textId="3475C795"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46" w:history="1">
            <w:r w:rsidR="008041D7" w:rsidRPr="00D03260">
              <w:rPr>
                <w:rStyle w:val="Hyperlink"/>
                <w:noProof/>
              </w:rPr>
              <w:t>1.2.4.</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Individuals and patients at risk of health effects due to indoor damp or mould or other factors associated with indoor air quality</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_Toc141885846 \h </w:instrText>
            </w:r>
            <w:r w:rsidR="008041D7" w:rsidRPr="00D03260">
              <w:rPr>
                <w:noProof/>
                <w:webHidden/>
              </w:rPr>
            </w:r>
            <w:r w:rsidR="008041D7" w:rsidRPr="00D03260">
              <w:rPr>
                <w:noProof/>
                <w:webHidden/>
              </w:rPr>
              <w:fldChar w:fldCharType="separate"/>
            </w:r>
            <w:r w:rsidR="008041D7" w:rsidRPr="00D03260">
              <w:rPr>
                <w:noProof/>
                <w:webHidden/>
              </w:rPr>
              <w:t>5</w:t>
            </w:r>
            <w:r w:rsidR="008041D7" w:rsidRPr="00D03260">
              <w:rPr>
                <w:noProof/>
                <w:webHidden/>
              </w:rPr>
              <w:fldChar w:fldCharType="end"/>
            </w:r>
          </w:hyperlink>
        </w:p>
        <w:p w14:paraId="26788CBC" w14:textId="4A28F517"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47" w:history="1">
            <w:r w:rsidR="008041D7" w:rsidRPr="00D03260">
              <w:rPr>
                <w:rStyle w:val="Hyperlink"/>
                <w:noProof/>
              </w:rPr>
              <w:t>1.2.5.</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Mechanisms to explain various health effects from exposure to indoor damp or mould are largely unknown</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_Toc141885847 \h </w:instrText>
            </w:r>
            <w:r w:rsidR="008041D7" w:rsidRPr="00D03260">
              <w:rPr>
                <w:noProof/>
                <w:webHidden/>
              </w:rPr>
            </w:r>
            <w:r w:rsidR="008041D7" w:rsidRPr="00D03260">
              <w:rPr>
                <w:noProof/>
                <w:webHidden/>
              </w:rPr>
              <w:fldChar w:fldCharType="separate"/>
            </w:r>
            <w:r w:rsidR="008041D7" w:rsidRPr="00D03260">
              <w:rPr>
                <w:noProof/>
                <w:webHidden/>
              </w:rPr>
              <w:t>6</w:t>
            </w:r>
            <w:r w:rsidR="008041D7" w:rsidRPr="00D03260">
              <w:rPr>
                <w:noProof/>
                <w:webHidden/>
              </w:rPr>
              <w:fldChar w:fldCharType="end"/>
            </w:r>
          </w:hyperlink>
        </w:p>
        <w:p w14:paraId="79BBD971" w14:textId="54416A8A"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48" w:history="1">
            <w:r w:rsidR="008041D7" w:rsidRPr="00D03260">
              <w:rPr>
                <w:rStyle w:val="Hyperlink"/>
                <w:noProof/>
              </w:rPr>
              <w:t>1.2.6.</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Limitations and issues about the human evidence base highlighted in key international guidelines, reports, and reviews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_Toc141885848 \h </w:instrText>
            </w:r>
            <w:r w:rsidR="008041D7" w:rsidRPr="00D03260">
              <w:rPr>
                <w:noProof/>
                <w:webHidden/>
              </w:rPr>
            </w:r>
            <w:r w:rsidR="008041D7" w:rsidRPr="00D03260">
              <w:rPr>
                <w:noProof/>
                <w:webHidden/>
              </w:rPr>
              <w:fldChar w:fldCharType="separate"/>
            </w:r>
            <w:r w:rsidR="008041D7" w:rsidRPr="00D03260">
              <w:rPr>
                <w:noProof/>
                <w:webHidden/>
              </w:rPr>
              <w:t>7</w:t>
            </w:r>
            <w:r w:rsidR="008041D7" w:rsidRPr="00D03260">
              <w:rPr>
                <w:noProof/>
                <w:webHidden/>
              </w:rPr>
              <w:fldChar w:fldCharType="end"/>
            </w:r>
          </w:hyperlink>
        </w:p>
        <w:p w14:paraId="3691B964" w14:textId="243C59EB"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849" w:history="1">
            <w:r w:rsidR="008041D7" w:rsidRPr="00D03260">
              <w:rPr>
                <w:rStyle w:val="Hyperlink"/>
                <w:noProof/>
              </w:rPr>
              <w:t>1.3.</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Consideration of health effects from exposure to indoor damp and mould in the differential diagnosis, and management of patients with persistent symptoms or who remain undiagnosed, including management of patients with MUS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_Toc141885849 \h </w:instrText>
            </w:r>
            <w:r w:rsidR="008041D7" w:rsidRPr="00D03260">
              <w:rPr>
                <w:noProof/>
                <w:webHidden/>
              </w:rPr>
            </w:r>
            <w:r w:rsidR="008041D7" w:rsidRPr="00D03260">
              <w:rPr>
                <w:noProof/>
                <w:webHidden/>
              </w:rPr>
              <w:fldChar w:fldCharType="separate"/>
            </w:r>
            <w:r w:rsidR="008041D7" w:rsidRPr="00D03260">
              <w:rPr>
                <w:noProof/>
                <w:webHidden/>
              </w:rPr>
              <w:t>8</w:t>
            </w:r>
            <w:r w:rsidR="008041D7" w:rsidRPr="00D03260">
              <w:rPr>
                <w:noProof/>
                <w:webHidden/>
              </w:rPr>
              <w:fldChar w:fldCharType="end"/>
            </w:r>
          </w:hyperlink>
        </w:p>
        <w:p w14:paraId="0F81F631" w14:textId="59B7EC1B"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50" w:history="1">
            <w:r w:rsidR="008041D7" w:rsidRPr="00D03260">
              <w:rPr>
                <w:rStyle w:val="Hyperlink"/>
                <w:noProof/>
              </w:rPr>
              <w:t>1.3.1.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Differential diagnoses or symptoms for which there is sufficient evidence of an association with exposure to indoor damp or mould include several respiratory and allergic health effects, and HP, mycoses, and allergic effects in susceptible people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_Toc141885850 \h </w:instrText>
            </w:r>
            <w:r w:rsidR="008041D7" w:rsidRPr="00D03260">
              <w:rPr>
                <w:noProof/>
                <w:webHidden/>
              </w:rPr>
            </w:r>
            <w:r w:rsidR="008041D7" w:rsidRPr="00D03260">
              <w:rPr>
                <w:noProof/>
                <w:webHidden/>
              </w:rPr>
              <w:fldChar w:fldCharType="separate"/>
            </w:r>
            <w:r w:rsidR="008041D7" w:rsidRPr="00D03260">
              <w:rPr>
                <w:noProof/>
                <w:webHidden/>
              </w:rPr>
              <w:t>8</w:t>
            </w:r>
            <w:r w:rsidR="008041D7" w:rsidRPr="00D03260">
              <w:rPr>
                <w:noProof/>
                <w:webHidden/>
              </w:rPr>
              <w:fldChar w:fldCharType="end"/>
            </w:r>
          </w:hyperlink>
        </w:p>
        <w:p w14:paraId="07CE6682" w14:textId="14B63B89"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51" w:history="1">
            <w:r w:rsidR="008041D7" w:rsidRPr="00D03260">
              <w:rPr>
                <w:rStyle w:val="Hyperlink"/>
                <w:noProof/>
              </w:rPr>
              <w:t>1.3.2.</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Health effects for which there is limited or suggested evidence of an association with indoor damp or mould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_Toc141885851 \h </w:instrText>
            </w:r>
            <w:r w:rsidR="008041D7" w:rsidRPr="00D03260">
              <w:rPr>
                <w:noProof/>
                <w:webHidden/>
              </w:rPr>
            </w:r>
            <w:r w:rsidR="008041D7" w:rsidRPr="00D03260">
              <w:rPr>
                <w:noProof/>
                <w:webHidden/>
              </w:rPr>
              <w:fldChar w:fldCharType="separate"/>
            </w:r>
            <w:r w:rsidR="008041D7" w:rsidRPr="00D03260">
              <w:rPr>
                <w:noProof/>
                <w:webHidden/>
              </w:rPr>
              <w:t>10</w:t>
            </w:r>
            <w:r w:rsidR="008041D7" w:rsidRPr="00D03260">
              <w:rPr>
                <w:noProof/>
                <w:webHidden/>
              </w:rPr>
              <w:fldChar w:fldCharType="end"/>
            </w:r>
          </w:hyperlink>
        </w:p>
        <w:p w14:paraId="143F3F41" w14:textId="32F8A221"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52" w:history="1">
            <w:r w:rsidR="008041D7" w:rsidRPr="00D03260">
              <w:rPr>
                <w:rStyle w:val="Hyperlink"/>
                <w:noProof/>
              </w:rPr>
              <w:t>1.3.3.</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Health effects for which there is inadequate or insufficient evidence of an association with indoor damp or mould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_Toc141885852 \h </w:instrText>
            </w:r>
            <w:r w:rsidR="008041D7" w:rsidRPr="00D03260">
              <w:rPr>
                <w:noProof/>
                <w:webHidden/>
              </w:rPr>
            </w:r>
            <w:r w:rsidR="008041D7" w:rsidRPr="00D03260">
              <w:rPr>
                <w:noProof/>
                <w:webHidden/>
              </w:rPr>
              <w:fldChar w:fldCharType="separate"/>
            </w:r>
            <w:r w:rsidR="008041D7" w:rsidRPr="00D03260">
              <w:rPr>
                <w:noProof/>
                <w:webHidden/>
              </w:rPr>
              <w:t>10</w:t>
            </w:r>
            <w:r w:rsidR="008041D7" w:rsidRPr="00D03260">
              <w:rPr>
                <w:noProof/>
                <w:webHidden/>
              </w:rPr>
              <w:fldChar w:fldCharType="end"/>
            </w:r>
          </w:hyperlink>
        </w:p>
        <w:p w14:paraId="596A52AA" w14:textId="20E75247"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53" w:history="1">
            <w:r w:rsidR="008041D7" w:rsidRPr="00D03260">
              <w:rPr>
                <w:rStyle w:val="Hyperlink"/>
                <w:noProof/>
              </w:rPr>
              <w:t>1.3.4.</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Management of patients with persistent symptoms or who remain undiagnosed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_Toc141885853 \h </w:instrText>
            </w:r>
            <w:r w:rsidR="008041D7" w:rsidRPr="00D03260">
              <w:rPr>
                <w:noProof/>
                <w:webHidden/>
              </w:rPr>
            </w:r>
            <w:r w:rsidR="008041D7" w:rsidRPr="00D03260">
              <w:rPr>
                <w:noProof/>
                <w:webHidden/>
              </w:rPr>
              <w:fldChar w:fldCharType="separate"/>
            </w:r>
            <w:r w:rsidR="008041D7" w:rsidRPr="00D03260">
              <w:rPr>
                <w:noProof/>
                <w:webHidden/>
              </w:rPr>
              <w:t>11</w:t>
            </w:r>
            <w:r w:rsidR="008041D7" w:rsidRPr="00D03260">
              <w:rPr>
                <w:noProof/>
                <w:webHidden/>
              </w:rPr>
              <w:fldChar w:fldCharType="end"/>
            </w:r>
          </w:hyperlink>
        </w:p>
        <w:p w14:paraId="5EF22A7C" w14:textId="47C0B929"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854" w:history="1">
            <w:r w:rsidR="008041D7" w:rsidRPr="00D03260">
              <w:rPr>
                <w:rStyle w:val="Hyperlink"/>
                <w:noProof/>
              </w:rPr>
              <w:t>2.</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Initial assessment and support</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_Toc141885854 \h </w:instrText>
            </w:r>
            <w:r w:rsidR="008041D7" w:rsidRPr="00D03260">
              <w:rPr>
                <w:noProof/>
                <w:webHidden/>
              </w:rPr>
            </w:r>
            <w:r w:rsidR="008041D7" w:rsidRPr="00D03260">
              <w:rPr>
                <w:noProof/>
                <w:webHidden/>
              </w:rPr>
              <w:fldChar w:fldCharType="separate"/>
            </w:r>
            <w:r w:rsidR="008041D7" w:rsidRPr="00D03260">
              <w:rPr>
                <w:noProof/>
                <w:webHidden/>
              </w:rPr>
              <w:t>12</w:t>
            </w:r>
            <w:r w:rsidR="008041D7" w:rsidRPr="00D03260">
              <w:rPr>
                <w:noProof/>
                <w:webHidden/>
              </w:rPr>
              <w:fldChar w:fldCharType="end"/>
            </w:r>
          </w:hyperlink>
        </w:p>
        <w:p w14:paraId="0B54B203" w14:textId="54F64ADC"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855" w:history="1">
            <w:r w:rsidR="008041D7" w:rsidRPr="00D03260">
              <w:rPr>
                <w:rStyle w:val="Hyperlink"/>
                <w:noProof/>
              </w:rPr>
              <w:t>2.1.</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Follow usual clinical assessment practice including a history of exposure to indoor damp or mould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_Toc141885855 \h </w:instrText>
            </w:r>
            <w:r w:rsidR="008041D7" w:rsidRPr="00D03260">
              <w:rPr>
                <w:noProof/>
                <w:webHidden/>
              </w:rPr>
            </w:r>
            <w:r w:rsidR="008041D7" w:rsidRPr="00D03260">
              <w:rPr>
                <w:noProof/>
                <w:webHidden/>
              </w:rPr>
              <w:fldChar w:fldCharType="separate"/>
            </w:r>
            <w:r w:rsidR="008041D7" w:rsidRPr="00D03260">
              <w:rPr>
                <w:noProof/>
                <w:webHidden/>
              </w:rPr>
              <w:t>12</w:t>
            </w:r>
            <w:r w:rsidR="008041D7" w:rsidRPr="00D03260">
              <w:rPr>
                <w:noProof/>
                <w:webHidden/>
              </w:rPr>
              <w:fldChar w:fldCharType="end"/>
            </w:r>
          </w:hyperlink>
        </w:p>
        <w:p w14:paraId="4B3DE432" w14:textId="4A16AA5E"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56" w:history="1">
            <w:r w:rsidR="008041D7" w:rsidRPr="00D03260">
              <w:rPr>
                <w:rStyle w:val="Hyperlink"/>
                <w:noProof/>
              </w:rPr>
              <w:t>2.1.1.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Clinical advice for medical professionals to identify an association between fungus exposure and increased symptoms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_Toc141885856 \h </w:instrText>
            </w:r>
            <w:r w:rsidR="008041D7" w:rsidRPr="00D03260">
              <w:rPr>
                <w:noProof/>
                <w:webHidden/>
              </w:rPr>
            </w:r>
            <w:r w:rsidR="008041D7" w:rsidRPr="00D03260">
              <w:rPr>
                <w:noProof/>
                <w:webHidden/>
              </w:rPr>
              <w:fldChar w:fldCharType="separate"/>
            </w:r>
            <w:r w:rsidR="008041D7" w:rsidRPr="00D03260">
              <w:rPr>
                <w:noProof/>
                <w:webHidden/>
              </w:rPr>
              <w:t>12</w:t>
            </w:r>
            <w:r w:rsidR="008041D7" w:rsidRPr="00D03260">
              <w:rPr>
                <w:noProof/>
                <w:webHidden/>
              </w:rPr>
              <w:fldChar w:fldCharType="end"/>
            </w:r>
          </w:hyperlink>
        </w:p>
        <w:p w14:paraId="20683A77" w14:textId="74B03467"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57" w:history="1">
            <w:r w:rsidR="008041D7" w:rsidRPr="00D03260">
              <w:rPr>
                <w:rStyle w:val="Hyperlink"/>
                <w:noProof/>
              </w:rPr>
              <w:t>2.1.2.</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Identify susceptible people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_Toc141885857 \h </w:instrText>
            </w:r>
            <w:r w:rsidR="008041D7" w:rsidRPr="00D03260">
              <w:rPr>
                <w:noProof/>
                <w:webHidden/>
              </w:rPr>
            </w:r>
            <w:r w:rsidR="008041D7" w:rsidRPr="00D03260">
              <w:rPr>
                <w:noProof/>
                <w:webHidden/>
              </w:rPr>
              <w:fldChar w:fldCharType="separate"/>
            </w:r>
            <w:r w:rsidR="008041D7" w:rsidRPr="00D03260">
              <w:rPr>
                <w:noProof/>
                <w:webHidden/>
              </w:rPr>
              <w:t>13</w:t>
            </w:r>
            <w:r w:rsidR="008041D7" w:rsidRPr="00D03260">
              <w:rPr>
                <w:noProof/>
                <w:webHidden/>
              </w:rPr>
              <w:fldChar w:fldCharType="end"/>
            </w:r>
          </w:hyperlink>
        </w:p>
        <w:p w14:paraId="5997BB13" w14:textId="320DC70A"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58" w:history="1">
            <w:r w:rsidR="008041D7" w:rsidRPr="00D03260">
              <w:rPr>
                <w:rStyle w:val="Hyperlink"/>
                <w:noProof/>
              </w:rPr>
              <w:t>2.1.3.</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Clinical examination</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_Toc141885858 \h </w:instrText>
            </w:r>
            <w:r w:rsidR="008041D7" w:rsidRPr="00D03260">
              <w:rPr>
                <w:noProof/>
                <w:webHidden/>
              </w:rPr>
            </w:r>
            <w:r w:rsidR="008041D7" w:rsidRPr="00D03260">
              <w:rPr>
                <w:noProof/>
                <w:webHidden/>
              </w:rPr>
              <w:fldChar w:fldCharType="separate"/>
            </w:r>
            <w:r w:rsidR="008041D7" w:rsidRPr="00D03260">
              <w:rPr>
                <w:noProof/>
                <w:webHidden/>
              </w:rPr>
              <w:t>14</w:t>
            </w:r>
            <w:r w:rsidR="008041D7" w:rsidRPr="00D03260">
              <w:rPr>
                <w:noProof/>
                <w:webHidden/>
              </w:rPr>
              <w:fldChar w:fldCharType="end"/>
            </w:r>
          </w:hyperlink>
        </w:p>
        <w:p w14:paraId="2CF0AB8F" w14:textId="564AFA7D"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59" w:history="1">
            <w:r w:rsidR="008041D7" w:rsidRPr="00D03260">
              <w:rPr>
                <w:rStyle w:val="Hyperlink"/>
                <w:noProof/>
              </w:rPr>
              <w:t>2.1.4.</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Provide advice on avoiding or minimising exposure to indoor damp or mould, while investigating any differential diagnosis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_Toc141885859 \h </w:instrText>
            </w:r>
            <w:r w:rsidR="008041D7" w:rsidRPr="00D03260">
              <w:rPr>
                <w:noProof/>
                <w:webHidden/>
              </w:rPr>
            </w:r>
            <w:r w:rsidR="008041D7" w:rsidRPr="00D03260">
              <w:rPr>
                <w:noProof/>
                <w:webHidden/>
              </w:rPr>
              <w:fldChar w:fldCharType="separate"/>
            </w:r>
            <w:r w:rsidR="008041D7" w:rsidRPr="00D03260">
              <w:rPr>
                <w:noProof/>
                <w:webHidden/>
              </w:rPr>
              <w:t>14</w:t>
            </w:r>
            <w:r w:rsidR="008041D7" w:rsidRPr="00D03260">
              <w:rPr>
                <w:noProof/>
                <w:webHidden/>
              </w:rPr>
              <w:fldChar w:fldCharType="end"/>
            </w:r>
          </w:hyperlink>
        </w:p>
        <w:p w14:paraId="27F256C1" w14:textId="103A6EA3" w:rsidR="008041D7" w:rsidRPr="00D03260" w:rsidRDefault="00000000">
          <w:pPr>
            <w:pStyle w:val="TOC4"/>
            <w:rPr>
              <w:i w:val="0"/>
              <w:noProof/>
              <w:sz w:val="22"/>
              <w:lang w:val="en-AU" w:eastAsia="en-AU"/>
            </w:rPr>
          </w:pPr>
          <w:hyperlink w:anchor="_Toc141885860" w:history="1">
            <w:r w:rsidR="008041D7" w:rsidRPr="00D03260">
              <w:rPr>
                <w:rStyle w:val="Hyperlink"/>
                <w:noProof/>
                <w:lang w:val="en-AU"/>
              </w:rPr>
              <w:t>2.1.4.1.</w:t>
            </w:r>
            <w:r w:rsidR="008041D7" w:rsidRPr="00D03260">
              <w:rPr>
                <w:i w:val="0"/>
                <w:noProof/>
                <w:sz w:val="22"/>
                <w:lang w:val="en-AU" w:eastAsia="en-AU"/>
              </w:rPr>
              <w:tab/>
            </w:r>
            <w:r w:rsidR="008041D7" w:rsidRPr="00D03260">
              <w:rPr>
                <w:rStyle w:val="Hyperlink"/>
                <w:noProof/>
                <w:lang w:val="en-AU"/>
              </w:rPr>
              <w:t>Official Australian advice (enHealth)</w:t>
            </w:r>
            <w:r w:rsidR="008041D7" w:rsidRPr="00D03260">
              <w:rPr>
                <w:noProof/>
                <w:webHidden/>
                <w:lang w:val="en-AU"/>
              </w:rPr>
              <w:tab/>
            </w:r>
            <w:r w:rsidR="008041D7" w:rsidRPr="00D03260">
              <w:rPr>
                <w:noProof/>
                <w:webHidden/>
                <w:lang w:val="en-AU"/>
              </w:rPr>
              <w:fldChar w:fldCharType="begin"/>
            </w:r>
            <w:r w:rsidR="008041D7" w:rsidRPr="00D03260">
              <w:rPr>
                <w:noProof/>
                <w:webHidden/>
                <w:lang w:val="en-AU"/>
              </w:rPr>
              <w:instrText xml:space="preserve"> PAGEREF _Toc141885860 \h </w:instrText>
            </w:r>
            <w:r w:rsidR="008041D7" w:rsidRPr="00D03260">
              <w:rPr>
                <w:noProof/>
                <w:webHidden/>
                <w:lang w:val="en-AU"/>
              </w:rPr>
            </w:r>
            <w:r w:rsidR="008041D7" w:rsidRPr="00D03260">
              <w:rPr>
                <w:noProof/>
                <w:webHidden/>
                <w:lang w:val="en-AU"/>
              </w:rPr>
              <w:fldChar w:fldCharType="separate"/>
            </w:r>
            <w:r w:rsidR="008041D7" w:rsidRPr="00D03260">
              <w:rPr>
                <w:noProof/>
                <w:webHidden/>
                <w:lang w:val="en-AU"/>
              </w:rPr>
              <w:t>14</w:t>
            </w:r>
            <w:r w:rsidR="008041D7" w:rsidRPr="00D03260">
              <w:rPr>
                <w:noProof/>
                <w:webHidden/>
                <w:lang w:val="en-AU"/>
              </w:rPr>
              <w:fldChar w:fldCharType="end"/>
            </w:r>
          </w:hyperlink>
        </w:p>
        <w:p w14:paraId="16F700BC" w14:textId="71B1935A" w:rsidR="008041D7" w:rsidRPr="00D03260" w:rsidRDefault="00000000">
          <w:pPr>
            <w:pStyle w:val="TOC4"/>
            <w:rPr>
              <w:i w:val="0"/>
              <w:noProof/>
              <w:sz w:val="22"/>
              <w:lang w:val="en-AU" w:eastAsia="en-AU"/>
            </w:rPr>
          </w:pPr>
          <w:hyperlink w:anchor="_Toc141885861" w:history="1">
            <w:r w:rsidR="008041D7" w:rsidRPr="00D03260">
              <w:rPr>
                <w:rStyle w:val="Hyperlink"/>
                <w:noProof/>
                <w:lang w:val="en-AU"/>
              </w:rPr>
              <w:t>2.1.4.2.</w:t>
            </w:r>
            <w:r w:rsidR="008041D7" w:rsidRPr="00D03260">
              <w:rPr>
                <w:i w:val="0"/>
                <w:noProof/>
                <w:sz w:val="22"/>
                <w:lang w:val="en-AU" w:eastAsia="en-AU"/>
              </w:rPr>
              <w:tab/>
            </w:r>
            <w:r w:rsidR="008041D7" w:rsidRPr="00D03260">
              <w:rPr>
                <w:rStyle w:val="Hyperlink"/>
                <w:noProof/>
                <w:lang w:val="en-AU"/>
              </w:rPr>
              <w:t>enHealth advice on how to remove mould from a home</w:t>
            </w:r>
            <w:r w:rsidR="008041D7" w:rsidRPr="00D03260">
              <w:rPr>
                <w:noProof/>
                <w:webHidden/>
                <w:lang w:val="en-AU"/>
              </w:rPr>
              <w:tab/>
            </w:r>
            <w:r w:rsidR="008041D7" w:rsidRPr="00D03260">
              <w:rPr>
                <w:noProof/>
                <w:webHidden/>
                <w:lang w:val="en-AU"/>
              </w:rPr>
              <w:fldChar w:fldCharType="begin"/>
            </w:r>
            <w:r w:rsidR="008041D7" w:rsidRPr="00D03260">
              <w:rPr>
                <w:noProof/>
                <w:webHidden/>
                <w:lang w:val="en-AU"/>
              </w:rPr>
              <w:instrText xml:space="preserve"> PAGEREF _Toc141885861 \h </w:instrText>
            </w:r>
            <w:r w:rsidR="008041D7" w:rsidRPr="00D03260">
              <w:rPr>
                <w:noProof/>
                <w:webHidden/>
                <w:lang w:val="en-AU"/>
              </w:rPr>
            </w:r>
            <w:r w:rsidR="008041D7" w:rsidRPr="00D03260">
              <w:rPr>
                <w:noProof/>
                <w:webHidden/>
                <w:lang w:val="en-AU"/>
              </w:rPr>
              <w:fldChar w:fldCharType="separate"/>
            </w:r>
            <w:r w:rsidR="008041D7" w:rsidRPr="00D03260">
              <w:rPr>
                <w:noProof/>
                <w:webHidden/>
                <w:lang w:val="en-AU"/>
              </w:rPr>
              <w:t>15</w:t>
            </w:r>
            <w:r w:rsidR="008041D7" w:rsidRPr="00D03260">
              <w:rPr>
                <w:noProof/>
                <w:webHidden/>
                <w:lang w:val="en-AU"/>
              </w:rPr>
              <w:fldChar w:fldCharType="end"/>
            </w:r>
          </w:hyperlink>
        </w:p>
        <w:p w14:paraId="1CE3DEE0" w14:textId="00F6D239" w:rsidR="008041D7" w:rsidRPr="00D03260" w:rsidRDefault="00000000">
          <w:pPr>
            <w:pStyle w:val="TOC4"/>
            <w:rPr>
              <w:i w:val="0"/>
              <w:noProof/>
              <w:sz w:val="22"/>
              <w:lang w:val="en-AU" w:eastAsia="en-AU"/>
            </w:rPr>
          </w:pPr>
          <w:hyperlink w:anchor="_Toc141885862" w:history="1">
            <w:r w:rsidR="008041D7" w:rsidRPr="00D03260">
              <w:rPr>
                <w:rStyle w:val="Hyperlink"/>
                <w:noProof/>
                <w:lang w:val="en-AU"/>
              </w:rPr>
              <w:t>2.1.4.3.</w:t>
            </w:r>
            <w:r w:rsidR="008041D7" w:rsidRPr="00D03260">
              <w:rPr>
                <w:i w:val="0"/>
                <w:noProof/>
                <w:sz w:val="22"/>
                <w:lang w:val="en-AU" w:eastAsia="en-AU"/>
              </w:rPr>
              <w:tab/>
            </w:r>
            <w:r w:rsidR="008041D7" w:rsidRPr="00D03260">
              <w:rPr>
                <w:rStyle w:val="Hyperlink"/>
                <w:noProof/>
                <w:lang w:val="en-AU"/>
              </w:rPr>
              <w:t>International advice</w:t>
            </w:r>
            <w:r w:rsidR="008041D7" w:rsidRPr="00D03260">
              <w:rPr>
                <w:noProof/>
                <w:webHidden/>
                <w:lang w:val="en-AU"/>
              </w:rPr>
              <w:tab/>
            </w:r>
            <w:r w:rsidR="008041D7" w:rsidRPr="00D03260">
              <w:rPr>
                <w:noProof/>
                <w:webHidden/>
                <w:lang w:val="en-AU"/>
              </w:rPr>
              <w:fldChar w:fldCharType="begin"/>
            </w:r>
            <w:r w:rsidR="008041D7" w:rsidRPr="00D03260">
              <w:rPr>
                <w:noProof/>
                <w:webHidden/>
                <w:lang w:val="en-AU"/>
              </w:rPr>
              <w:instrText xml:space="preserve"> PAGEREF _Toc141885862 \h </w:instrText>
            </w:r>
            <w:r w:rsidR="008041D7" w:rsidRPr="00D03260">
              <w:rPr>
                <w:noProof/>
                <w:webHidden/>
                <w:lang w:val="en-AU"/>
              </w:rPr>
            </w:r>
            <w:r w:rsidR="008041D7" w:rsidRPr="00D03260">
              <w:rPr>
                <w:noProof/>
                <w:webHidden/>
                <w:lang w:val="en-AU"/>
              </w:rPr>
              <w:fldChar w:fldCharType="separate"/>
            </w:r>
            <w:r w:rsidR="008041D7" w:rsidRPr="00D03260">
              <w:rPr>
                <w:noProof/>
                <w:webHidden/>
                <w:lang w:val="en-AU"/>
              </w:rPr>
              <w:t>16</w:t>
            </w:r>
            <w:r w:rsidR="008041D7" w:rsidRPr="00D03260">
              <w:rPr>
                <w:noProof/>
                <w:webHidden/>
                <w:lang w:val="en-AU"/>
              </w:rPr>
              <w:fldChar w:fldCharType="end"/>
            </w:r>
          </w:hyperlink>
        </w:p>
        <w:p w14:paraId="6CEA0227" w14:textId="57BE283E"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63" w:history="1">
            <w:r w:rsidR="008041D7" w:rsidRPr="00D03260">
              <w:rPr>
                <w:rStyle w:val="Hyperlink"/>
                <w:noProof/>
              </w:rPr>
              <w:t>2.1.5.</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Mould testing and mould testing reports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_Toc141885863 \h </w:instrText>
            </w:r>
            <w:r w:rsidR="008041D7" w:rsidRPr="00D03260">
              <w:rPr>
                <w:noProof/>
                <w:webHidden/>
              </w:rPr>
            </w:r>
            <w:r w:rsidR="008041D7" w:rsidRPr="00D03260">
              <w:rPr>
                <w:noProof/>
                <w:webHidden/>
              </w:rPr>
              <w:fldChar w:fldCharType="separate"/>
            </w:r>
            <w:r w:rsidR="008041D7" w:rsidRPr="00D03260">
              <w:rPr>
                <w:noProof/>
                <w:webHidden/>
              </w:rPr>
              <w:t>16</w:t>
            </w:r>
            <w:r w:rsidR="008041D7" w:rsidRPr="00D03260">
              <w:rPr>
                <w:noProof/>
                <w:webHidden/>
              </w:rPr>
              <w:fldChar w:fldCharType="end"/>
            </w:r>
          </w:hyperlink>
        </w:p>
        <w:p w14:paraId="686176A5" w14:textId="2CD86E9F"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64" w:history="1">
            <w:r w:rsidR="008041D7" w:rsidRPr="00D03260">
              <w:rPr>
                <w:rStyle w:val="Hyperlink"/>
                <w:noProof/>
              </w:rPr>
              <w:t>2.1.6.</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Precautionary advice about linking mould to allergic diseases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_Toc141885864 \h </w:instrText>
            </w:r>
            <w:r w:rsidR="008041D7" w:rsidRPr="00D03260">
              <w:rPr>
                <w:noProof/>
                <w:webHidden/>
              </w:rPr>
            </w:r>
            <w:r w:rsidR="008041D7" w:rsidRPr="00D03260">
              <w:rPr>
                <w:noProof/>
                <w:webHidden/>
              </w:rPr>
              <w:fldChar w:fldCharType="separate"/>
            </w:r>
            <w:r w:rsidR="008041D7" w:rsidRPr="00D03260">
              <w:rPr>
                <w:noProof/>
                <w:webHidden/>
              </w:rPr>
              <w:t>17</w:t>
            </w:r>
            <w:r w:rsidR="008041D7" w:rsidRPr="00D03260">
              <w:rPr>
                <w:noProof/>
                <w:webHidden/>
              </w:rPr>
              <w:fldChar w:fldCharType="end"/>
            </w:r>
          </w:hyperlink>
        </w:p>
        <w:p w14:paraId="7E11881B" w14:textId="4AEB0ADE"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65" w:history="1">
            <w:r w:rsidR="008041D7" w:rsidRPr="00D03260">
              <w:rPr>
                <w:rStyle w:val="Hyperlink"/>
                <w:noProof/>
              </w:rPr>
              <w:t>2.1.7.</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Advice on managing discussions about SBS or TMS in presenting patients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_Toc141885865 \h </w:instrText>
            </w:r>
            <w:r w:rsidR="008041D7" w:rsidRPr="00D03260">
              <w:rPr>
                <w:noProof/>
                <w:webHidden/>
              </w:rPr>
            </w:r>
            <w:r w:rsidR="008041D7" w:rsidRPr="00D03260">
              <w:rPr>
                <w:noProof/>
                <w:webHidden/>
              </w:rPr>
              <w:fldChar w:fldCharType="separate"/>
            </w:r>
            <w:r w:rsidR="008041D7" w:rsidRPr="00D03260">
              <w:rPr>
                <w:noProof/>
                <w:webHidden/>
              </w:rPr>
              <w:t>18</w:t>
            </w:r>
            <w:r w:rsidR="008041D7" w:rsidRPr="00D03260">
              <w:rPr>
                <w:noProof/>
                <w:webHidden/>
              </w:rPr>
              <w:fldChar w:fldCharType="end"/>
            </w:r>
          </w:hyperlink>
        </w:p>
        <w:p w14:paraId="019F70CB" w14:textId="73F235E5"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866" w:history="1">
            <w:r w:rsidR="008041D7" w:rsidRPr="00D03260">
              <w:rPr>
                <w:rStyle w:val="Hyperlink"/>
                <w:noProof/>
              </w:rPr>
              <w:t>2.2.</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Consult with and refer to appropriate experts in relevant medical specialty to provide multi-disciplinary care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_Toc141885866 \h </w:instrText>
            </w:r>
            <w:r w:rsidR="008041D7" w:rsidRPr="00D03260">
              <w:rPr>
                <w:noProof/>
                <w:webHidden/>
              </w:rPr>
            </w:r>
            <w:r w:rsidR="008041D7" w:rsidRPr="00D03260">
              <w:rPr>
                <w:noProof/>
                <w:webHidden/>
              </w:rPr>
              <w:fldChar w:fldCharType="separate"/>
            </w:r>
            <w:r w:rsidR="008041D7" w:rsidRPr="00D03260">
              <w:rPr>
                <w:noProof/>
                <w:webHidden/>
              </w:rPr>
              <w:t>19</w:t>
            </w:r>
            <w:r w:rsidR="008041D7" w:rsidRPr="00D03260">
              <w:rPr>
                <w:noProof/>
                <w:webHidden/>
              </w:rPr>
              <w:fldChar w:fldCharType="end"/>
            </w:r>
          </w:hyperlink>
        </w:p>
        <w:p w14:paraId="5CB6CE52" w14:textId="30E1F379"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867" w:history="1">
            <w:r w:rsidR="008041D7" w:rsidRPr="00D03260">
              <w:rPr>
                <w:rStyle w:val="Hyperlink"/>
                <w:noProof/>
              </w:rPr>
              <w:t>3.</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Differential diagnosis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_Toc141885867 \h </w:instrText>
            </w:r>
            <w:r w:rsidR="008041D7" w:rsidRPr="00D03260">
              <w:rPr>
                <w:noProof/>
                <w:webHidden/>
              </w:rPr>
            </w:r>
            <w:r w:rsidR="008041D7" w:rsidRPr="00D03260">
              <w:rPr>
                <w:noProof/>
                <w:webHidden/>
              </w:rPr>
              <w:fldChar w:fldCharType="separate"/>
            </w:r>
            <w:r w:rsidR="008041D7" w:rsidRPr="00D03260">
              <w:rPr>
                <w:noProof/>
                <w:webHidden/>
              </w:rPr>
              <w:t>20</w:t>
            </w:r>
            <w:r w:rsidR="008041D7" w:rsidRPr="00D03260">
              <w:rPr>
                <w:noProof/>
                <w:webHidden/>
              </w:rPr>
              <w:fldChar w:fldCharType="end"/>
            </w:r>
          </w:hyperlink>
        </w:p>
        <w:p w14:paraId="6C1610EE" w14:textId="74AA582E"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868" w:history="1">
            <w:r w:rsidR="008041D7" w:rsidRPr="00D03260">
              <w:rPr>
                <w:rStyle w:val="Hyperlink"/>
                <w:noProof/>
              </w:rPr>
              <w:t>3.1.</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Differential diagnoses or symptoms for which a sufficient level of evidence exists for an association with exposure to indoor damp and mould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_Toc141885868 \h </w:instrText>
            </w:r>
            <w:r w:rsidR="008041D7" w:rsidRPr="00D03260">
              <w:rPr>
                <w:noProof/>
                <w:webHidden/>
              </w:rPr>
            </w:r>
            <w:r w:rsidR="008041D7" w:rsidRPr="00D03260">
              <w:rPr>
                <w:noProof/>
                <w:webHidden/>
              </w:rPr>
              <w:fldChar w:fldCharType="separate"/>
            </w:r>
            <w:r w:rsidR="008041D7" w:rsidRPr="00D03260">
              <w:rPr>
                <w:noProof/>
                <w:webHidden/>
              </w:rPr>
              <w:t>20</w:t>
            </w:r>
            <w:r w:rsidR="008041D7" w:rsidRPr="00D03260">
              <w:rPr>
                <w:noProof/>
                <w:webHidden/>
              </w:rPr>
              <w:fldChar w:fldCharType="end"/>
            </w:r>
          </w:hyperlink>
        </w:p>
        <w:p w14:paraId="25946A68" w14:textId="7AD9EC27"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69" w:history="1">
            <w:r w:rsidR="008041D7" w:rsidRPr="00D03260">
              <w:rPr>
                <w:rStyle w:val="Hyperlink"/>
                <w:noProof/>
              </w:rPr>
              <w:t>3.1.1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 xml:space="preserve"> Asthma, respiratory infections, rhinitis, wheeze, cough, dyspnoea, bronchitis, upper respiratory tract symptoms, and eczema</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_Toc141885869 \h </w:instrText>
            </w:r>
            <w:r w:rsidR="008041D7" w:rsidRPr="00D03260">
              <w:rPr>
                <w:noProof/>
                <w:webHidden/>
              </w:rPr>
            </w:r>
            <w:r w:rsidR="008041D7" w:rsidRPr="00D03260">
              <w:rPr>
                <w:noProof/>
                <w:webHidden/>
              </w:rPr>
              <w:fldChar w:fldCharType="separate"/>
            </w:r>
            <w:r w:rsidR="008041D7" w:rsidRPr="00D03260">
              <w:rPr>
                <w:noProof/>
                <w:webHidden/>
              </w:rPr>
              <w:t>20</w:t>
            </w:r>
            <w:r w:rsidR="008041D7" w:rsidRPr="00D03260">
              <w:rPr>
                <w:noProof/>
                <w:webHidden/>
              </w:rPr>
              <w:fldChar w:fldCharType="end"/>
            </w:r>
          </w:hyperlink>
        </w:p>
        <w:p w14:paraId="49C2D9A5" w14:textId="29FDDBCF"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70" w:history="1">
            <w:r w:rsidR="008041D7" w:rsidRPr="00D03260">
              <w:rPr>
                <w:rStyle w:val="Hyperlink"/>
                <w:noProof/>
              </w:rPr>
              <w:t>3.1.2.</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Hypersensitivity pneumonitis (HP), mould-related infections and allergic health effects in susceptible people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_Toc141885870 \h </w:instrText>
            </w:r>
            <w:r w:rsidR="008041D7" w:rsidRPr="00D03260">
              <w:rPr>
                <w:noProof/>
                <w:webHidden/>
              </w:rPr>
            </w:r>
            <w:r w:rsidR="008041D7" w:rsidRPr="00D03260">
              <w:rPr>
                <w:noProof/>
                <w:webHidden/>
              </w:rPr>
              <w:fldChar w:fldCharType="separate"/>
            </w:r>
            <w:r w:rsidR="008041D7" w:rsidRPr="00D03260">
              <w:rPr>
                <w:noProof/>
                <w:webHidden/>
              </w:rPr>
              <w:t>20</w:t>
            </w:r>
            <w:r w:rsidR="008041D7" w:rsidRPr="00D03260">
              <w:rPr>
                <w:noProof/>
                <w:webHidden/>
              </w:rPr>
              <w:fldChar w:fldCharType="end"/>
            </w:r>
          </w:hyperlink>
        </w:p>
        <w:p w14:paraId="53245BD1" w14:textId="23701270" w:rsidR="008041D7" w:rsidRPr="00D03260" w:rsidRDefault="00000000">
          <w:pPr>
            <w:pStyle w:val="TOC4"/>
            <w:rPr>
              <w:i w:val="0"/>
              <w:noProof/>
              <w:sz w:val="22"/>
              <w:lang w:val="en-AU" w:eastAsia="en-AU"/>
            </w:rPr>
          </w:pPr>
          <w:hyperlink w:anchor="_Toc141885871" w:history="1">
            <w:r w:rsidR="008041D7" w:rsidRPr="00D03260">
              <w:rPr>
                <w:rStyle w:val="Hyperlink"/>
                <w:noProof/>
                <w:lang w:val="en-AU"/>
              </w:rPr>
              <w:t>3.1.2.1.</w:t>
            </w:r>
            <w:r w:rsidR="008041D7" w:rsidRPr="00D03260">
              <w:rPr>
                <w:i w:val="0"/>
                <w:noProof/>
                <w:sz w:val="22"/>
                <w:lang w:val="en-AU" w:eastAsia="en-AU"/>
              </w:rPr>
              <w:tab/>
            </w:r>
            <w:r w:rsidR="008041D7" w:rsidRPr="00D03260">
              <w:rPr>
                <w:rStyle w:val="Hyperlink"/>
                <w:noProof/>
                <w:lang w:val="en-AU"/>
              </w:rPr>
              <w:t>HP</w:t>
            </w:r>
            <w:r w:rsidR="008041D7" w:rsidRPr="00D03260">
              <w:rPr>
                <w:noProof/>
                <w:webHidden/>
                <w:lang w:val="en-AU"/>
              </w:rPr>
              <w:tab/>
            </w:r>
            <w:r w:rsidR="008041D7" w:rsidRPr="00D03260">
              <w:rPr>
                <w:noProof/>
                <w:webHidden/>
                <w:lang w:val="en-AU"/>
              </w:rPr>
              <w:fldChar w:fldCharType="begin"/>
            </w:r>
            <w:r w:rsidR="008041D7" w:rsidRPr="00D03260">
              <w:rPr>
                <w:noProof/>
                <w:webHidden/>
                <w:lang w:val="en-AU"/>
              </w:rPr>
              <w:instrText xml:space="preserve"> PAGEREF _Toc141885871 \h </w:instrText>
            </w:r>
            <w:r w:rsidR="008041D7" w:rsidRPr="00D03260">
              <w:rPr>
                <w:noProof/>
                <w:webHidden/>
                <w:lang w:val="en-AU"/>
              </w:rPr>
            </w:r>
            <w:r w:rsidR="008041D7" w:rsidRPr="00D03260">
              <w:rPr>
                <w:noProof/>
                <w:webHidden/>
                <w:lang w:val="en-AU"/>
              </w:rPr>
              <w:fldChar w:fldCharType="separate"/>
            </w:r>
            <w:r w:rsidR="008041D7" w:rsidRPr="00D03260">
              <w:rPr>
                <w:noProof/>
                <w:webHidden/>
                <w:lang w:val="en-AU"/>
              </w:rPr>
              <w:t>21</w:t>
            </w:r>
            <w:r w:rsidR="008041D7" w:rsidRPr="00D03260">
              <w:rPr>
                <w:noProof/>
                <w:webHidden/>
                <w:lang w:val="en-AU"/>
              </w:rPr>
              <w:fldChar w:fldCharType="end"/>
            </w:r>
          </w:hyperlink>
        </w:p>
        <w:p w14:paraId="34E348B4" w14:textId="1F9869EE" w:rsidR="008041D7" w:rsidRPr="00D03260" w:rsidRDefault="00000000">
          <w:pPr>
            <w:pStyle w:val="TOC4"/>
            <w:rPr>
              <w:i w:val="0"/>
              <w:noProof/>
              <w:sz w:val="22"/>
              <w:lang w:val="en-AU" w:eastAsia="en-AU"/>
            </w:rPr>
          </w:pPr>
          <w:hyperlink w:anchor="_Toc141885872" w:history="1">
            <w:r w:rsidR="008041D7" w:rsidRPr="00D03260">
              <w:rPr>
                <w:rStyle w:val="Hyperlink"/>
                <w:iCs/>
                <w:noProof/>
                <w:lang w:val="en-AU"/>
              </w:rPr>
              <w:t>3.1.2.2.</w:t>
            </w:r>
            <w:r w:rsidR="008041D7" w:rsidRPr="00D03260">
              <w:rPr>
                <w:i w:val="0"/>
                <w:noProof/>
                <w:sz w:val="22"/>
                <w:lang w:val="en-AU" w:eastAsia="en-AU"/>
              </w:rPr>
              <w:tab/>
            </w:r>
            <w:r w:rsidR="008041D7" w:rsidRPr="00D03260">
              <w:rPr>
                <w:rStyle w:val="Hyperlink"/>
                <w:noProof/>
                <w:lang w:val="en-AU"/>
              </w:rPr>
              <w:t>Clinical presentation of HP and potential for misdiagnosis</w:t>
            </w:r>
            <w:r w:rsidR="008041D7" w:rsidRPr="00D03260">
              <w:rPr>
                <w:noProof/>
                <w:webHidden/>
                <w:lang w:val="en-AU"/>
              </w:rPr>
              <w:tab/>
            </w:r>
            <w:r w:rsidR="008041D7" w:rsidRPr="00D03260">
              <w:rPr>
                <w:noProof/>
                <w:webHidden/>
                <w:lang w:val="en-AU"/>
              </w:rPr>
              <w:fldChar w:fldCharType="begin"/>
            </w:r>
            <w:r w:rsidR="008041D7" w:rsidRPr="00D03260">
              <w:rPr>
                <w:noProof/>
                <w:webHidden/>
                <w:lang w:val="en-AU"/>
              </w:rPr>
              <w:instrText xml:space="preserve"> PAGEREF _Toc141885872 \h </w:instrText>
            </w:r>
            <w:r w:rsidR="008041D7" w:rsidRPr="00D03260">
              <w:rPr>
                <w:noProof/>
                <w:webHidden/>
                <w:lang w:val="en-AU"/>
              </w:rPr>
            </w:r>
            <w:r w:rsidR="008041D7" w:rsidRPr="00D03260">
              <w:rPr>
                <w:noProof/>
                <w:webHidden/>
                <w:lang w:val="en-AU"/>
              </w:rPr>
              <w:fldChar w:fldCharType="separate"/>
            </w:r>
            <w:r w:rsidR="008041D7" w:rsidRPr="00D03260">
              <w:rPr>
                <w:noProof/>
                <w:webHidden/>
                <w:lang w:val="en-AU"/>
              </w:rPr>
              <w:t>22</w:t>
            </w:r>
            <w:r w:rsidR="008041D7" w:rsidRPr="00D03260">
              <w:rPr>
                <w:noProof/>
                <w:webHidden/>
                <w:lang w:val="en-AU"/>
              </w:rPr>
              <w:fldChar w:fldCharType="end"/>
            </w:r>
          </w:hyperlink>
        </w:p>
        <w:p w14:paraId="0E68EAD3" w14:textId="24E9E289" w:rsidR="008041D7" w:rsidRPr="00D03260" w:rsidRDefault="00000000">
          <w:pPr>
            <w:pStyle w:val="TOC4"/>
            <w:rPr>
              <w:i w:val="0"/>
              <w:noProof/>
              <w:sz w:val="22"/>
              <w:lang w:val="en-AU" w:eastAsia="en-AU"/>
            </w:rPr>
          </w:pPr>
          <w:hyperlink w:anchor="_Toc141885873" w:history="1">
            <w:r w:rsidR="008041D7" w:rsidRPr="00D03260">
              <w:rPr>
                <w:rStyle w:val="Hyperlink"/>
                <w:iCs/>
                <w:noProof/>
                <w:lang w:val="en-AU"/>
              </w:rPr>
              <w:t>3.1.2.3.</w:t>
            </w:r>
            <w:r w:rsidR="008041D7" w:rsidRPr="00D03260">
              <w:rPr>
                <w:i w:val="0"/>
                <w:noProof/>
                <w:sz w:val="22"/>
                <w:lang w:val="en-AU" w:eastAsia="en-AU"/>
              </w:rPr>
              <w:tab/>
            </w:r>
            <w:r w:rsidR="008041D7" w:rsidRPr="00D03260">
              <w:rPr>
                <w:rStyle w:val="Hyperlink"/>
                <w:noProof/>
                <w:lang w:val="en-AU"/>
              </w:rPr>
              <w:t>Allergic bronchopulmonary aspergillosis (ABPA) and allergic fungal sinusitis or rhinosinusitis (AFRS) in susceptible people</w:t>
            </w:r>
            <w:r w:rsidR="008041D7" w:rsidRPr="00D03260">
              <w:rPr>
                <w:noProof/>
                <w:webHidden/>
                <w:lang w:val="en-AU"/>
              </w:rPr>
              <w:tab/>
            </w:r>
            <w:r w:rsidR="008041D7" w:rsidRPr="00D03260">
              <w:rPr>
                <w:noProof/>
                <w:webHidden/>
                <w:lang w:val="en-AU"/>
              </w:rPr>
              <w:fldChar w:fldCharType="begin"/>
            </w:r>
            <w:r w:rsidR="008041D7" w:rsidRPr="00D03260">
              <w:rPr>
                <w:noProof/>
                <w:webHidden/>
                <w:lang w:val="en-AU"/>
              </w:rPr>
              <w:instrText xml:space="preserve"> PAGEREF _Toc141885873 \h </w:instrText>
            </w:r>
            <w:r w:rsidR="008041D7" w:rsidRPr="00D03260">
              <w:rPr>
                <w:noProof/>
                <w:webHidden/>
                <w:lang w:val="en-AU"/>
              </w:rPr>
            </w:r>
            <w:r w:rsidR="008041D7" w:rsidRPr="00D03260">
              <w:rPr>
                <w:noProof/>
                <w:webHidden/>
                <w:lang w:val="en-AU"/>
              </w:rPr>
              <w:fldChar w:fldCharType="separate"/>
            </w:r>
            <w:r w:rsidR="008041D7" w:rsidRPr="00D03260">
              <w:rPr>
                <w:noProof/>
                <w:webHidden/>
                <w:lang w:val="en-AU"/>
              </w:rPr>
              <w:t>23</w:t>
            </w:r>
            <w:r w:rsidR="008041D7" w:rsidRPr="00D03260">
              <w:rPr>
                <w:noProof/>
                <w:webHidden/>
                <w:lang w:val="en-AU"/>
              </w:rPr>
              <w:fldChar w:fldCharType="end"/>
            </w:r>
          </w:hyperlink>
        </w:p>
        <w:p w14:paraId="6A05546D" w14:textId="0A8A183F" w:rsidR="008041D7" w:rsidRPr="00D03260" w:rsidRDefault="00000000">
          <w:pPr>
            <w:pStyle w:val="TOC4"/>
            <w:rPr>
              <w:i w:val="0"/>
              <w:noProof/>
              <w:sz w:val="22"/>
              <w:lang w:val="en-AU" w:eastAsia="en-AU"/>
            </w:rPr>
          </w:pPr>
          <w:hyperlink w:anchor="_Toc141885874" w:history="1">
            <w:r w:rsidR="008041D7" w:rsidRPr="00D03260">
              <w:rPr>
                <w:rStyle w:val="Hyperlink"/>
                <w:noProof/>
                <w:lang w:val="en-AU"/>
              </w:rPr>
              <w:t>3.1.2.4.</w:t>
            </w:r>
            <w:r w:rsidR="008041D7" w:rsidRPr="00D03260">
              <w:rPr>
                <w:i w:val="0"/>
                <w:noProof/>
                <w:sz w:val="22"/>
                <w:lang w:val="en-AU" w:eastAsia="en-AU"/>
              </w:rPr>
              <w:tab/>
            </w:r>
            <w:r w:rsidR="008041D7" w:rsidRPr="00D03260">
              <w:rPr>
                <w:rStyle w:val="Hyperlink"/>
                <w:noProof/>
                <w:lang w:val="en-AU"/>
              </w:rPr>
              <w:t>Mycoses (mould-related infections) in susceptible people</w:t>
            </w:r>
            <w:r w:rsidR="008041D7" w:rsidRPr="00D03260">
              <w:rPr>
                <w:noProof/>
                <w:webHidden/>
                <w:lang w:val="en-AU"/>
              </w:rPr>
              <w:tab/>
            </w:r>
            <w:r w:rsidR="008041D7" w:rsidRPr="00D03260">
              <w:rPr>
                <w:noProof/>
                <w:webHidden/>
                <w:lang w:val="en-AU"/>
              </w:rPr>
              <w:fldChar w:fldCharType="begin"/>
            </w:r>
            <w:r w:rsidR="008041D7" w:rsidRPr="00D03260">
              <w:rPr>
                <w:noProof/>
                <w:webHidden/>
                <w:lang w:val="en-AU"/>
              </w:rPr>
              <w:instrText xml:space="preserve"> PAGEREF _Toc141885874 \h </w:instrText>
            </w:r>
            <w:r w:rsidR="008041D7" w:rsidRPr="00D03260">
              <w:rPr>
                <w:noProof/>
                <w:webHidden/>
                <w:lang w:val="en-AU"/>
              </w:rPr>
            </w:r>
            <w:r w:rsidR="008041D7" w:rsidRPr="00D03260">
              <w:rPr>
                <w:noProof/>
                <w:webHidden/>
                <w:lang w:val="en-AU"/>
              </w:rPr>
              <w:fldChar w:fldCharType="separate"/>
            </w:r>
            <w:r w:rsidR="008041D7" w:rsidRPr="00D03260">
              <w:rPr>
                <w:noProof/>
                <w:webHidden/>
                <w:lang w:val="en-AU"/>
              </w:rPr>
              <w:t>24</w:t>
            </w:r>
            <w:r w:rsidR="008041D7" w:rsidRPr="00D03260">
              <w:rPr>
                <w:noProof/>
                <w:webHidden/>
                <w:lang w:val="en-AU"/>
              </w:rPr>
              <w:fldChar w:fldCharType="end"/>
            </w:r>
          </w:hyperlink>
        </w:p>
        <w:p w14:paraId="6984C724" w14:textId="0B5688A9"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875" w:history="1">
            <w:r w:rsidR="008041D7" w:rsidRPr="00D03260">
              <w:rPr>
                <w:rStyle w:val="Hyperlink"/>
                <w:noProof/>
              </w:rPr>
              <w:t>3.2.</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Patients presenting with persistent debilitating symptoms and no diagnosis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_Toc141885875 \h </w:instrText>
            </w:r>
            <w:r w:rsidR="008041D7" w:rsidRPr="00D03260">
              <w:rPr>
                <w:noProof/>
                <w:webHidden/>
              </w:rPr>
            </w:r>
            <w:r w:rsidR="008041D7" w:rsidRPr="00D03260">
              <w:rPr>
                <w:noProof/>
                <w:webHidden/>
              </w:rPr>
              <w:fldChar w:fldCharType="separate"/>
            </w:r>
            <w:r w:rsidR="008041D7" w:rsidRPr="00D03260">
              <w:rPr>
                <w:noProof/>
                <w:webHidden/>
              </w:rPr>
              <w:t>26</w:t>
            </w:r>
            <w:r w:rsidR="008041D7" w:rsidRPr="00D03260">
              <w:rPr>
                <w:noProof/>
                <w:webHidden/>
              </w:rPr>
              <w:fldChar w:fldCharType="end"/>
            </w:r>
          </w:hyperlink>
        </w:p>
        <w:p w14:paraId="25D89F59" w14:textId="03372212"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76" w:history="1">
            <w:r w:rsidR="008041D7" w:rsidRPr="00D03260">
              <w:rPr>
                <w:rStyle w:val="Hyperlink"/>
                <w:noProof/>
              </w:rPr>
              <w:t>3.2.1.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If a health effect associated with exposure to indoor damp or mould is not suspected, consider alternative diagnoses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_Toc141885876 \h </w:instrText>
            </w:r>
            <w:r w:rsidR="008041D7" w:rsidRPr="00D03260">
              <w:rPr>
                <w:noProof/>
                <w:webHidden/>
              </w:rPr>
            </w:r>
            <w:r w:rsidR="008041D7" w:rsidRPr="00D03260">
              <w:rPr>
                <w:noProof/>
                <w:webHidden/>
              </w:rPr>
              <w:fldChar w:fldCharType="separate"/>
            </w:r>
            <w:r w:rsidR="008041D7" w:rsidRPr="00D03260">
              <w:rPr>
                <w:noProof/>
                <w:webHidden/>
              </w:rPr>
              <w:t>26</w:t>
            </w:r>
            <w:r w:rsidR="008041D7" w:rsidRPr="00D03260">
              <w:rPr>
                <w:noProof/>
                <w:webHidden/>
              </w:rPr>
              <w:fldChar w:fldCharType="end"/>
            </w:r>
          </w:hyperlink>
        </w:p>
        <w:p w14:paraId="0265E90F" w14:textId="7F09DF3D"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877" w:history="1">
            <w:r w:rsidR="008041D7" w:rsidRPr="00D03260">
              <w:rPr>
                <w:rStyle w:val="Hyperlink"/>
                <w:noProof/>
              </w:rPr>
              <w:t>4.</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Diagnostic testing</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_Toc141885877 \h </w:instrText>
            </w:r>
            <w:r w:rsidR="008041D7" w:rsidRPr="00D03260">
              <w:rPr>
                <w:noProof/>
                <w:webHidden/>
              </w:rPr>
            </w:r>
            <w:r w:rsidR="008041D7" w:rsidRPr="00D03260">
              <w:rPr>
                <w:noProof/>
                <w:webHidden/>
              </w:rPr>
              <w:fldChar w:fldCharType="separate"/>
            </w:r>
            <w:r w:rsidR="008041D7" w:rsidRPr="00D03260">
              <w:rPr>
                <w:noProof/>
                <w:webHidden/>
              </w:rPr>
              <w:t>27</w:t>
            </w:r>
            <w:r w:rsidR="008041D7" w:rsidRPr="00D03260">
              <w:rPr>
                <w:noProof/>
                <w:webHidden/>
              </w:rPr>
              <w:fldChar w:fldCharType="end"/>
            </w:r>
          </w:hyperlink>
        </w:p>
        <w:p w14:paraId="1AAAA21E" w14:textId="66F474CD"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878" w:history="1">
            <w:r w:rsidR="008041D7" w:rsidRPr="00D03260">
              <w:rPr>
                <w:rStyle w:val="Hyperlink"/>
                <w:noProof/>
              </w:rPr>
              <w:t>4.1.</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Asthma</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_Toc141885878 \h </w:instrText>
            </w:r>
            <w:r w:rsidR="008041D7" w:rsidRPr="00D03260">
              <w:rPr>
                <w:noProof/>
                <w:webHidden/>
              </w:rPr>
            </w:r>
            <w:r w:rsidR="008041D7" w:rsidRPr="00D03260">
              <w:rPr>
                <w:noProof/>
                <w:webHidden/>
              </w:rPr>
              <w:fldChar w:fldCharType="separate"/>
            </w:r>
            <w:r w:rsidR="008041D7" w:rsidRPr="00D03260">
              <w:rPr>
                <w:noProof/>
                <w:webHidden/>
              </w:rPr>
              <w:t>27</w:t>
            </w:r>
            <w:r w:rsidR="008041D7" w:rsidRPr="00D03260">
              <w:rPr>
                <w:noProof/>
                <w:webHidden/>
              </w:rPr>
              <w:fldChar w:fldCharType="end"/>
            </w:r>
          </w:hyperlink>
        </w:p>
        <w:p w14:paraId="1F1A1F30" w14:textId="2A4098CC"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79" w:history="1">
            <w:r w:rsidR="008041D7" w:rsidRPr="00D03260">
              <w:rPr>
                <w:rStyle w:val="Hyperlink"/>
                <w:noProof/>
              </w:rPr>
              <w:t>4.1.1.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Adults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_Toc141885879 \h </w:instrText>
            </w:r>
            <w:r w:rsidR="008041D7" w:rsidRPr="00D03260">
              <w:rPr>
                <w:noProof/>
                <w:webHidden/>
              </w:rPr>
            </w:r>
            <w:r w:rsidR="008041D7" w:rsidRPr="00D03260">
              <w:rPr>
                <w:noProof/>
                <w:webHidden/>
              </w:rPr>
              <w:fldChar w:fldCharType="separate"/>
            </w:r>
            <w:r w:rsidR="008041D7" w:rsidRPr="00D03260">
              <w:rPr>
                <w:noProof/>
                <w:webHidden/>
              </w:rPr>
              <w:t>27</w:t>
            </w:r>
            <w:r w:rsidR="008041D7" w:rsidRPr="00D03260">
              <w:rPr>
                <w:noProof/>
                <w:webHidden/>
              </w:rPr>
              <w:fldChar w:fldCharType="end"/>
            </w:r>
          </w:hyperlink>
        </w:p>
        <w:p w14:paraId="482B2717" w14:textId="21C9B7FF"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80" w:history="1">
            <w:r w:rsidR="008041D7" w:rsidRPr="00D03260">
              <w:rPr>
                <w:rStyle w:val="Hyperlink"/>
                <w:noProof/>
              </w:rPr>
              <w:t>4.1.2.</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Adolescents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_Toc141885880 \h </w:instrText>
            </w:r>
            <w:r w:rsidR="008041D7" w:rsidRPr="00D03260">
              <w:rPr>
                <w:noProof/>
                <w:webHidden/>
              </w:rPr>
            </w:r>
            <w:r w:rsidR="008041D7" w:rsidRPr="00D03260">
              <w:rPr>
                <w:noProof/>
                <w:webHidden/>
              </w:rPr>
              <w:fldChar w:fldCharType="separate"/>
            </w:r>
            <w:r w:rsidR="008041D7" w:rsidRPr="00D03260">
              <w:rPr>
                <w:noProof/>
                <w:webHidden/>
              </w:rPr>
              <w:t>27</w:t>
            </w:r>
            <w:r w:rsidR="008041D7" w:rsidRPr="00D03260">
              <w:rPr>
                <w:noProof/>
                <w:webHidden/>
              </w:rPr>
              <w:fldChar w:fldCharType="end"/>
            </w:r>
          </w:hyperlink>
        </w:p>
        <w:p w14:paraId="3A876F1A" w14:textId="4D7F5A00"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81" w:history="1">
            <w:r w:rsidR="008041D7" w:rsidRPr="00D03260">
              <w:rPr>
                <w:rStyle w:val="Hyperlink"/>
                <w:noProof/>
              </w:rPr>
              <w:t>4.1.3.</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Children aged 1+ year</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_Toc141885881 \h </w:instrText>
            </w:r>
            <w:r w:rsidR="008041D7" w:rsidRPr="00D03260">
              <w:rPr>
                <w:noProof/>
                <w:webHidden/>
              </w:rPr>
            </w:r>
            <w:r w:rsidR="008041D7" w:rsidRPr="00D03260">
              <w:rPr>
                <w:noProof/>
                <w:webHidden/>
              </w:rPr>
              <w:fldChar w:fldCharType="separate"/>
            </w:r>
            <w:r w:rsidR="008041D7" w:rsidRPr="00D03260">
              <w:rPr>
                <w:noProof/>
                <w:webHidden/>
              </w:rPr>
              <w:t>27</w:t>
            </w:r>
            <w:r w:rsidR="008041D7" w:rsidRPr="00D03260">
              <w:rPr>
                <w:noProof/>
                <w:webHidden/>
              </w:rPr>
              <w:fldChar w:fldCharType="end"/>
            </w:r>
          </w:hyperlink>
        </w:p>
        <w:p w14:paraId="78BE18CD" w14:textId="67AF374B"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82" w:history="1">
            <w:r w:rsidR="008041D7" w:rsidRPr="00D03260">
              <w:rPr>
                <w:rStyle w:val="Hyperlink"/>
                <w:noProof/>
              </w:rPr>
              <w:t>4.1.4.</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Infants aged zero to 12 months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_Toc141885882 \h </w:instrText>
            </w:r>
            <w:r w:rsidR="008041D7" w:rsidRPr="00D03260">
              <w:rPr>
                <w:noProof/>
                <w:webHidden/>
              </w:rPr>
            </w:r>
            <w:r w:rsidR="008041D7" w:rsidRPr="00D03260">
              <w:rPr>
                <w:noProof/>
                <w:webHidden/>
              </w:rPr>
              <w:fldChar w:fldCharType="separate"/>
            </w:r>
            <w:r w:rsidR="008041D7" w:rsidRPr="00D03260">
              <w:rPr>
                <w:noProof/>
                <w:webHidden/>
              </w:rPr>
              <w:t>27</w:t>
            </w:r>
            <w:r w:rsidR="008041D7" w:rsidRPr="00D03260">
              <w:rPr>
                <w:noProof/>
                <w:webHidden/>
              </w:rPr>
              <w:fldChar w:fldCharType="end"/>
            </w:r>
          </w:hyperlink>
        </w:p>
        <w:p w14:paraId="2FCA60F1" w14:textId="70A53AEA"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883" w:history="1">
            <w:r w:rsidR="008041D7" w:rsidRPr="00D03260">
              <w:rPr>
                <w:rStyle w:val="Hyperlink"/>
                <w:noProof/>
              </w:rPr>
              <w:t>4.2.</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Mould infection diagnostics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_Toc141885883 \h </w:instrText>
            </w:r>
            <w:r w:rsidR="008041D7" w:rsidRPr="00D03260">
              <w:rPr>
                <w:noProof/>
                <w:webHidden/>
              </w:rPr>
            </w:r>
            <w:r w:rsidR="008041D7" w:rsidRPr="00D03260">
              <w:rPr>
                <w:noProof/>
                <w:webHidden/>
              </w:rPr>
              <w:fldChar w:fldCharType="separate"/>
            </w:r>
            <w:r w:rsidR="008041D7" w:rsidRPr="00D03260">
              <w:rPr>
                <w:noProof/>
                <w:webHidden/>
              </w:rPr>
              <w:t>28</w:t>
            </w:r>
            <w:r w:rsidR="008041D7" w:rsidRPr="00D03260">
              <w:rPr>
                <w:noProof/>
                <w:webHidden/>
              </w:rPr>
              <w:fldChar w:fldCharType="end"/>
            </w:r>
          </w:hyperlink>
        </w:p>
        <w:p w14:paraId="01F5C9C2" w14:textId="1C5D6582"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884" w:history="1">
            <w:r w:rsidR="008041D7" w:rsidRPr="00D03260">
              <w:rPr>
                <w:rStyle w:val="Hyperlink"/>
                <w:noProof/>
              </w:rPr>
              <w:t>4.3.</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Mould allergy diagnostics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_Toc141885884 \h </w:instrText>
            </w:r>
            <w:r w:rsidR="008041D7" w:rsidRPr="00D03260">
              <w:rPr>
                <w:noProof/>
                <w:webHidden/>
              </w:rPr>
            </w:r>
            <w:r w:rsidR="008041D7" w:rsidRPr="00D03260">
              <w:rPr>
                <w:noProof/>
                <w:webHidden/>
              </w:rPr>
              <w:fldChar w:fldCharType="separate"/>
            </w:r>
            <w:r w:rsidR="008041D7" w:rsidRPr="00D03260">
              <w:rPr>
                <w:noProof/>
                <w:webHidden/>
              </w:rPr>
              <w:t>28</w:t>
            </w:r>
            <w:r w:rsidR="008041D7" w:rsidRPr="00D03260">
              <w:rPr>
                <w:noProof/>
                <w:webHidden/>
              </w:rPr>
              <w:fldChar w:fldCharType="end"/>
            </w:r>
          </w:hyperlink>
        </w:p>
        <w:p w14:paraId="4D49C089" w14:textId="718061DF"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85" w:history="1">
            <w:r w:rsidR="008041D7" w:rsidRPr="00D03260">
              <w:rPr>
                <w:rStyle w:val="Hyperlink"/>
                <w:noProof/>
              </w:rPr>
              <w:t>4.3.1.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Recommended diagnostic tests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_Toc141885885 \h </w:instrText>
            </w:r>
            <w:r w:rsidR="008041D7" w:rsidRPr="00D03260">
              <w:rPr>
                <w:noProof/>
                <w:webHidden/>
              </w:rPr>
            </w:r>
            <w:r w:rsidR="008041D7" w:rsidRPr="00D03260">
              <w:rPr>
                <w:noProof/>
                <w:webHidden/>
              </w:rPr>
              <w:fldChar w:fldCharType="separate"/>
            </w:r>
            <w:r w:rsidR="008041D7" w:rsidRPr="00D03260">
              <w:rPr>
                <w:noProof/>
                <w:webHidden/>
              </w:rPr>
              <w:t>28</w:t>
            </w:r>
            <w:r w:rsidR="008041D7" w:rsidRPr="00D03260">
              <w:rPr>
                <w:noProof/>
                <w:webHidden/>
              </w:rPr>
              <w:fldChar w:fldCharType="end"/>
            </w:r>
          </w:hyperlink>
        </w:p>
        <w:p w14:paraId="216C364B" w14:textId="63367CB1" w:rsidR="008041D7" w:rsidRPr="00D03260" w:rsidRDefault="00000000">
          <w:pPr>
            <w:pStyle w:val="TOC4"/>
            <w:rPr>
              <w:i w:val="0"/>
              <w:noProof/>
              <w:sz w:val="22"/>
              <w:lang w:val="en-AU" w:eastAsia="en-AU"/>
            </w:rPr>
          </w:pPr>
          <w:hyperlink w:anchor="_Toc141885886" w:history="1">
            <w:r w:rsidR="008041D7" w:rsidRPr="00D03260">
              <w:rPr>
                <w:rStyle w:val="Hyperlink"/>
                <w:noProof/>
                <w:lang w:val="en-AU"/>
              </w:rPr>
              <w:t>4.3.1.1.</w:t>
            </w:r>
            <w:r w:rsidR="008041D7" w:rsidRPr="00D03260">
              <w:rPr>
                <w:i w:val="0"/>
                <w:noProof/>
                <w:sz w:val="22"/>
                <w:lang w:val="en-AU" w:eastAsia="en-AU"/>
              </w:rPr>
              <w:tab/>
            </w:r>
            <w:r w:rsidR="008041D7" w:rsidRPr="00D03260">
              <w:rPr>
                <w:rStyle w:val="Hyperlink"/>
                <w:noProof/>
                <w:lang w:val="en-AU"/>
              </w:rPr>
              <w:t>Serological investigations</w:t>
            </w:r>
            <w:r w:rsidR="008041D7" w:rsidRPr="00D03260">
              <w:rPr>
                <w:noProof/>
                <w:webHidden/>
                <w:lang w:val="en-AU"/>
              </w:rPr>
              <w:tab/>
            </w:r>
            <w:r w:rsidR="008041D7" w:rsidRPr="00D03260">
              <w:rPr>
                <w:noProof/>
                <w:webHidden/>
                <w:lang w:val="en-AU"/>
              </w:rPr>
              <w:fldChar w:fldCharType="begin"/>
            </w:r>
            <w:r w:rsidR="008041D7" w:rsidRPr="00D03260">
              <w:rPr>
                <w:noProof/>
                <w:webHidden/>
                <w:lang w:val="en-AU"/>
              </w:rPr>
              <w:instrText xml:space="preserve"> PAGEREF _Toc141885886 \h </w:instrText>
            </w:r>
            <w:r w:rsidR="008041D7" w:rsidRPr="00D03260">
              <w:rPr>
                <w:noProof/>
                <w:webHidden/>
                <w:lang w:val="en-AU"/>
              </w:rPr>
            </w:r>
            <w:r w:rsidR="008041D7" w:rsidRPr="00D03260">
              <w:rPr>
                <w:noProof/>
                <w:webHidden/>
                <w:lang w:val="en-AU"/>
              </w:rPr>
              <w:fldChar w:fldCharType="separate"/>
            </w:r>
            <w:r w:rsidR="008041D7" w:rsidRPr="00D03260">
              <w:rPr>
                <w:noProof/>
                <w:webHidden/>
                <w:lang w:val="en-AU"/>
              </w:rPr>
              <w:t>29</w:t>
            </w:r>
            <w:r w:rsidR="008041D7" w:rsidRPr="00D03260">
              <w:rPr>
                <w:noProof/>
                <w:webHidden/>
                <w:lang w:val="en-AU"/>
              </w:rPr>
              <w:fldChar w:fldCharType="end"/>
            </w:r>
          </w:hyperlink>
        </w:p>
        <w:p w14:paraId="4F6BA2A7" w14:textId="2E8D6ADA" w:rsidR="008041D7" w:rsidRPr="00D03260" w:rsidRDefault="00000000">
          <w:pPr>
            <w:pStyle w:val="TOC4"/>
            <w:rPr>
              <w:i w:val="0"/>
              <w:noProof/>
              <w:sz w:val="22"/>
              <w:lang w:val="en-AU" w:eastAsia="en-AU"/>
            </w:rPr>
          </w:pPr>
          <w:hyperlink w:anchor="_Toc141885887" w:history="1">
            <w:r w:rsidR="008041D7" w:rsidRPr="00D03260">
              <w:rPr>
                <w:rStyle w:val="Hyperlink"/>
                <w:noProof/>
                <w:lang w:val="en-AU"/>
              </w:rPr>
              <w:t>4.3.1.2.</w:t>
            </w:r>
            <w:r w:rsidR="008041D7" w:rsidRPr="00D03260">
              <w:rPr>
                <w:i w:val="0"/>
                <w:noProof/>
                <w:sz w:val="22"/>
                <w:lang w:val="en-AU" w:eastAsia="en-AU"/>
              </w:rPr>
              <w:tab/>
            </w:r>
            <w:r w:rsidR="008041D7" w:rsidRPr="00D03260">
              <w:rPr>
                <w:rStyle w:val="Hyperlink"/>
                <w:noProof/>
                <w:lang w:val="en-AU"/>
              </w:rPr>
              <w:t>Identification of mould-specific IgE antibodies</w:t>
            </w:r>
            <w:r w:rsidR="008041D7" w:rsidRPr="00D03260">
              <w:rPr>
                <w:noProof/>
                <w:webHidden/>
                <w:lang w:val="en-AU"/>
              </w:rPr>
              <w:tab/>
            </w:r>
            <w:r w:rsidR="008041D7" w:rsidRPr="00D03260">
              <w:rPr>
                <w:noProof/>
                <w:webHidden/>
                <w:lang w:val="en-AU"/>
              </w:rPr>
              <w:fldChar w:fldCharType="begin"/>
            </w:r>
            <w:r w:rsidR="008041D7" w:rsidRPr="00D03260">
              <w:rPr>
                <w:noProof/>
                <w:webHidden/>
                <w:lang w:val="en-AU"/>
              </w:rPr>
              <w:instrText xml:space="preserve"> PAGEREF _Toc141885887 \h </w:instrText>
            </w:r>
            <w:r w:rsidR="008041D7" w:rsidRPr="00D03260">
              <w:rPr>
                <w:noProof/>
                <w:webHidden/>
                <w:lang w:val="en-AU"/>
              </w:rPr>
            </w:r>
            <w:r w:rsidR="008041D7" w:rsidRPr="00D03260">
              <w:rPr>
                <w:noProof/>
                <w:webHidden/>
                <w:lang w:val="en-AU"/>
              </w:rPr>
              <w:fldChar w:fldCharType="separate"/>
            </w:r>
            <w:r w:rsidR="008041D7" w:rsidRPr="00D03260">
              <w:rPr>
                <w:noProof/>
                <w:webHidden/>
                <w:lang w:val="en-AU"/>
              </w:rPr>
              <w:t>29</w:t>
            </w:r>
            <w:r w:rsidR="008041D7" w:rsidRPr="00D03260">
              <w:rPr>
                <w:noProof/>
                <w:webHidden/>
                <w:lang w:val="en-AU"/>
              </w:rPr>
              <w:fldChar w:fldCharType="end"/>
            </w:r>
          </w:hyperlink>
        </w:p>
        <w:p w14:paraId="6F4BBE7A" w14:textId="23A7CA1E" w:rsidR="008041D7" w:rsidRPr="00D03260" w:rsidRDefault="00000000">
          <w:pPr>
            <w:pStyle w:val="TOC4"/>
            <w:rPr>
              <w:i w:val="0"/>
              <w:noProof/>
              <w:sz w:val="22"/>
              <w:lang w:val="en-AU" w:eastAsia="en-AU"/>
            </w:rPr>
          </w:pPr>
          <w:hyperlink w:anchor="_Toc141885888" w:history="1">
            <w:r w:rsidR="008041D7" w:rsidRPr="00D03260">
              <w:rPr>
                <w:rStyle w:val="Hyperlink"/>
                <w:noProof/>
                <w:lang w:val="en-AU"/>
              </w:rPr>
              <w:t>4.3.1.3.</w:t>
            </w:r>
            <w:r w:rsidR="008041D7" w:rsidRPr="00D03260">
              <w:rPr>
                <w:i w:val="0"/>
                <w:noProof/>
                <w:sz w:val="22"/>
                <w:lang w:val="en-AU" w:eastAsia="en-AU"/>
              </w:rPr>
              <w:tab/>
            </w:r>
            <w:r w:rsidR="008041D7" w:rsidRPr="00D03260">
              <w:rPr>
                <w:rStyle w:val="Hyperlink"/>
                <w:noProof/>
                <w:lang w:val="en-AU"/>
              </w:rPr>
              <w:t>Mould-specific IgG determination is only recommended for suspected allergic bronchopulmonary aspergillosis (ABPA) or HP</w:t>
            </w:r>
            <w:r w:rsidR="008041D7" w:rsidRPr="00D03260">
              <w:rPr>
                <w:noProof/>
                <w:webHidden/>
                <w:lang w:val="en-AU"/>
              </w:rPr>
              <w:tab/>
            </w:r>
            <w:r w:rsidR="008041D7" w:rsidRPr="00D03260">
              <w:rPr>
                <w:noProof/>
                <w:webHidden/>
                <w:lang w:val="en-AU"/>
              </w:rPr>
              <w:fldChar w:fldCharType="begin"/>
            </w:r>
            <w:r w:rsidR="008041D7" w:rsidRPr="00D03260">
              <w:rPr>
                <w:noProof/>
                <w:webHidden/>
                <w:lang w:val="en-AU"/>
              </w:rPr>
              <w:instrText xml:space="preserve"> PAGEREF _Toc141885888 \h </w:instrText>
            </w:r>
            <w:r w:rsidR="008041D7" w:rsidRPr="00D03260">
              <w:rPr>
                <w:noProof/>
                <w:webHidden/>
                <w:lang w:val="en-AU"/>
              </w:rPr>
            </w:r>
            <w:r w:rsidR="008041D7" w:rsidRPr="00D03260">
              <w:rPr>
                <w:noProof/>
                <w:webHidden/>
                <w:lang w:val="en-AU"/>
              </w:rPr>
              <w:fldChar w:fldCharType="separate"/>
            </w:r>
            <w:r w:rsidR="008041D7" w:rsidRPr="00D03260">
              <w:rPr>
                <w:noProof/>
                <w:webHidden/>
                <w:lang w:val="en-AU"/>
              </w:rPr>
              <w:t>29</w:t>
            </w:r>
            <w:r w:rsidR="008041D7" w:rsidRPr="00D03260">
              <w:rPr>
                <w:noProof/>
                <w:webHidden/>
                <w:lang w:val="en-AU"/>
              </w:rPr>
              <w:fldChar w:fldCharType="end"/>
            </w:r>
          </w:hyperlink>
        </w:p>
        <w:p w14:paraId="47D7380B" w14:textId="0EC2B939" w:rsidR="008041D7" w:rsidRPr="00D03260" w:rsidRDefault="00000000">
          <w:pPr>
            <w:pStyle w:val="TOC4"/>
            <w:rPr>
              <w:i w:val="0"/>
              <w:noProof/>
              <w:sz w:val="22"/>
              <w:lang w:val="en-AU" w:eastAsia="en-AU"/>
            </w:rPr>
          </w:pPr>
          <w:hyperlink w:anchor="_Toc141885889" w:history="1">
            <w:r w:rsidR="008041D7" w:rsidRPr="00D03260">
              <w:rPr>
                <w:rStyle w:val="Hyperlink"/>
                <w:noProof/>
                <w:lang w:val="en-AU"/>
              </w:rPr>
              <w:t>4.3.1.4.</w:t>
            </w:r>
            <w:r w:rsidR="008041D7" w:rsidRPr="00D03260">
              <w:rPr>
                <w:i w:val="0"/>
                <w:noProof/>
                <w:sz w:val="22"/>
                <w:lang w:val="en-AU" w:eastAsia="en-AU"/>
              </w:rPr>
              <w:tab/>
            </w:r>
            <w:r w:rsidR="008041D7" w:rsidRPr="00D03260">
              <w:rPr>
                <w:rStyle w:val="Hyperlink"/>
                <w:noProof/>
                <w:lang w:val="en-AU"/>
              </w:rPr>
              <w:t>Diagnostic tests for specific disorders</w:t>
            </w:r>
            <w:r w:rsidR="008041D7" w:rsidRPr="00D03260">
              <w:rPr>
                <w:noProof/>
                <w:webHidden/>
                <w:lang w:val="en-AU"/>
              </w:rPr>
              <w:tab/>
            </w:r>
            <w:r w:rsidR="008041D7" w:rsidRPr="00D03260">
              <w:rPr>
                <w:noProof/>
                <w:webHidden/>
                <w:lang w:val="en-AU"/>
              </w:rPr>
              <w:fldChar w:fldCharType="begin"/>
            </w:r>
            <w:r w:rsidR="008041D7" w:rsidRPr="00D03260">
              <w:rPr>
                <w:noProof/>
                <w:webHidden/>
                <w:lang w:val="en-AU"/>
              </w:rPr>
              <w:instrText xml:space="preserve"> PAGEREF _Toc141885889 \h </w:instrText>
            </w:r>
            <w:r w:rsidR="008041D7" w:rsidRPr="00D03260">
              <w:rPr>
                <w:noProof/>
                <w:webHidden/>
                <w:lang w:val="en-AU"/>
              </w:rPr>
            </w:r>
            <w:r w:rsidR="008041D7" w:rsidRPr="00D03260">
              <w:rPr>
                <w:noProof/>
                <w:webHidden/>
                <w:lang w:val="en-AU"/>
              </w:rPr>
              <w:fldChar w:fldCharType="separate"/>
            </w:r>
            <w:r w:rsidR="008041D7" w:rsidRPr="00D03260">
              <w:rPr>
                <w:noProof/>
                <w:webHidden/>
                <w:lang w:val="en-AU"/>
              </w:rPr>
              <w:t>30</w:t>
            </w:r>
            <w:r w:rsidR="008041D7" w:rsidRPr="00D03260">
              <w:rPr>
                <w:noProof/>
                <w:webHidden/>
                <w:lang w:val="en-AU"/>
              </w:rPr>
              <w:fldChar w:fldCharType="end"/>
            </w:r>
          </w:hyperlink>
        </w:p>
        <w:p w14:paraId="268DE33A" w14:textId="71CB2286" w:rsidR="008041D7" w:rsidRPr="00D03260" w:rsidRDefault="00000000">
          <w:pPr>
            <w:pStyle w:val="TOC4"/>
            <w:rPr>
              <w:i w:val="0"/>
              <w:noProof/>
              <w:sz w:val="22"/>
              <w:lang w:val="en-AU" w:eastAsia="en-AU"/>
            </w:rPr>
          </w:pPr>
          <w:hyperlink w:anchor="_Toc141885890" w:history="1">
            <w:r w:rsidR="008041D7" w:rsidRPr="00D03260">
              <w:rPr>
                <w:rStyle w:val="Hyperlink"/>
                <w:noProof/>
                <w:lang w:val="en-AU"/>
              </w:rPr>
              <w:t>4.3.1.5.</w:t>
            </w:r>
            <w:r w:rsidR="008041D7" w:rsidRPr="00D03260">
              <w:rPr>
                <w:i w:val="0"/>
                <w:noProof/>
                <w:sz w:val="22"/>
                <w:lang w:val="en-AU" w:eastAsia="en-AU"/>
              </w:rPr>
              <w:tab/>
            </w:r>
            <w:r w:rsidR="008041D7" w:rsidRPr="00D03260">
              <w:rPr>
                <w:rStyle w:val="Hyperlink"/>
                <w:noProof/>
                <w:lang w:val="en-AU"/>
              </w:rPr>
              <w:t>Provocation tests</w:t>
            </w:r>
            <w:r w:rsidR="008041D7" w:rsidRPr="00D03260">
              <w:rPr>
                <w:noProof/>
                <w:webHidden/>
                <w:lang w:val="en-AU"/>
              </w:rPr>
              <w:tab/>
            </w:r>
            <w:r w:rsidR="008041D7" w:rsidRPr="00D03260">
              <w:rPr>
                <w:noProof/>
                <w:webHidden/>
                <w:lang w:val="en-AU"/>
              </w:rPr>
              <w:fldChar w:fldCharType="begin"/>
            </w:r>
            <w:r w:rsidR="008041D7" w:rsidRPr="00D03260">
              <w:rPr>
                <w:noProof/>
                <w:webHidden/>
                <w:lang w:val="en-AU"/>
              </w:rPr>
              <w:instrText xml:space="preserve"> PAGEREF _Toc141885890 \h </w:instrText>
            </w:r>
            <w:r w:rsidR="008041D7" w:rsidRPr="00D03260">
              <w:rPr>
                <w:noProof/>
                <w:webHidden/>
                <w:lang w:val="en-AU"/>
              </w:rPr>
            </w:r>
            <w:r w:rsidR="008041D7" w:rsidRPr="00D03260">
              <w:rPr>
                <w:noProof/>
                <w:webHidden/>
                <w:lang w:val="en-AU"/>
              </w:rPr>
              <w:fldChar w:fldCharType="separate"/>
            </w:r>
            <w:r w:rsidR="008041D7" w:rsidRPr="00D03260">
              <w:rPr>
                <w:noProof/>
                <w:webHidden/>
                <w:lang w:val="en-AU"/>
              </w:rPr>
              <w:t>30</w:t>
            </w:r>
            <w:r w:rsidR="008041D7" w:rsidRPr="00D03260">
              <w:rPr>
                <w:noProof/>
                <w:webHidden/>
                <w:lang w:val="en-AU"/>
              </w:rPr>
              <w:fldChar w:fldCharType="end"/>
            </w:r>
          </w:hyperlink>
        </w:p>
        <w:p w14:paraId="2C52EAC2" w14:textId="4671B3B7"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91" w:history="1">
            <w:r w:rsidR="008041D7" w:rsidRPr="00D03260">
              <w:rPr>
                <w:rStyle w:val="Hyperlink"/>
                <w:noProof/>
              </w:rPr>
              <w:t>4.3.2.</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Provide advice to patients about the tests for allergy to mould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_Toc141885891 \h </w:instrText>
            </w:r>
            <w:r w:rsidR="008041D7" w:rsidRPr="00D03260">
              <w:rPr>
                <w:noProof/>
                <w:webHidden/>
              </w:rPr>
            </w:r>
            <w:r w:rsidR="008041D7" w:rsidRPr="00D03260">
              <w:rPr>
                <w:noProof/>
                <w:webHidden/>
              </w:rPr>
              <w:fldChar w:fldCharType="separate"/>
            </w:r>
            <w:r w:rsidR="008041D7" w:rsidRPr="00D03260">
              <w:rPr>
                <w:noProof/>
                <w:webHidden/>
              </w:rPr>
              <w:t>30</w:t>
            </w:r>
            <w:r w:rsidR="008041D7" w:rsidRPr="00D03260">
              <w:rPr>
                <w:noProof/>
                <w:webHidden/>
              </w:rPr>
              <w:fldChar w:fldCharType="end"/>
            </w:r>
          </w:hyperlink>
        </w:p>
        <w:p w14:paraId="0404E148" w14:textId="326C84D3"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892" w:history="1">
            <w:r w:rsidR="008041D7" w:rsidRPr="00D03260">
              <w:rPr>
                <w:rStyle w:val="Hyperlink"/>
                <w:noProof/>
              </w:rPr>
              <w:t>4.4.</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HP diagnostics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_Toc141885892 \h </w:instrText>
            </w:r>
            <w:r w:rsidR="008041D7" w:rsidRPr="00D03260">
              <w:rPr>
                <w:noProof/>
                <w:webHidden/>
              </w:rPr>
            </w:r>
            <w:r w:rsidR="008041D7" w:rsidRPr="00D03260">
              <w:rPr>
                <w:noProof/>
                <w:webHidden/>
              </w:rPr>
              <w:fldChar w:fldCharType="separate"/>
            </w:r>
            <w:r w:rsidR="008041D7" w:rsidRPr="00D03260">
              <w:rPr>
                <w:noProof/>
                <w:webHidden/>
              </w:rPr>
              <w:t>31</w:t>
            </w:r>
            <w:r w:rsidR="008041D7" w:rsidRPr="00D03260">
              <w:rPr>
                <w:noProof/>
                <w:webHidden/>
              </w:rPr>
              <w:fldChar w:fldCharType="end"/>
            </w:r>
          </w:hyperlink>
        </w:p>
        <w:p w14:paraId="4A43419A" w14:textId="54510978"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893" w:history="1">
            <w:r w:rsidR="008041D7" w:rsidRPr="00D03260">
              <w:rPr>
                <w:rStyle w:val="Hyperlink"/>
                <w:noProof/>
              </w:rPr>
              <w:t>4.5.</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Refer for laboratory testing in a NATA/RCPA accredited laboratory</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_Toc141885893 \h </w:instrText>
            </w:r>
            <w:r w:rsidR="008041D7" w:rsidRPr="00D03260">
              <w:rPr>
                <w:noProof/>
                <w:webHidden/>
              </w:rPr>
            </w:r>
            <w:r w:rsidR="008041D7" w:rsidRPr="00D03260">
              <w:rPr>
                <w:noProof/>
                <w:webHidden/>
              </w:rPr>
              <w:fldChar w:fldCharType="separate"/>
            </w:r>
            <w:r w:rsidR="008041D7" w:rsidRPr="00D03260">
              <w:rPr>
                <w:noProof/>
                <w:webHidden/>
              </w:rPr>
              <w:t>31</w:t>
            </w:r>
            <w:r w:rsidR="008041D7" w:rsidRPr="00D03260">
              <w:rPr>
                <w:noProof/>
                <w:webHidden/>
              </w:rPr>
              <w:fldChar w:fldCharType="end"/>
            </w:r>
          </w:hyperlink>
        </w:p>
        <w:p w14:paraId="11387E80" w14:textId="41D4E5CE"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94" w:history="1">
            <w:r w:rsidR="008041D7" w:rsidRPr="00D03260">
              <w:rPr>
                <w:rStyle w:val="Hyperlink"/>
                <w:noProof/>
              </w:rPr>
              <w:t>4.5.1.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NATA/RCPA Accreditation and Accredited Laboratories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_Toc141885894 \h </w:instrText>
            </w:r>
            <w:r w:rsidR="008041D7" w:rsidRPr="00D03260">
              <w:rPr>
                <w:noProof/>
                <w:webHidden/>
              </w:rPr>
            </w:r>
            <w:r w:rsidR="008041D7" w:rsidRPr="00D03260">
              <w:rPr>
                <w:noProof/>
                <w:webHidden/>
              </w:rPr>
              <w:fldChar w:fldCharType="separate"/>
            </w:r>
            <w:r w:rsidR="008041D7" w:rsidRPr="00D03260">
              <w:rPr>
                <w:noProof/>
                <w:webHidden/>
              </w:rPr>
              <w:t>31</w:t>
            </w:r>
            <w:r w:rsidR="008041D7" w:rsidRPr="00D03260">
              <w:rPr>
                <w:noProof/>
                <w:webHidden/>
              </w:rPr>
              <w:fldChar w:fldCharType="end"/>
            </w:r>
          </w:hyperlink>
        </w:p>
        <w:p w14:paraId="3F59A7E7" w14:textId="4FB4328C"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895" w:history="1">
            <w:r w:rsidR="008041D7" w:rsidRPr="00D03260">
              <w:rPr>
                <w:rStyle w:val="Hyperlink"/>
                <w:noProof/>
              </w:rPr>
              <w:t>4.6.</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Diagnostic tests that are not recommended by international mainstream medical guidance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_Toc141885895 \h </w:instrText>
            </w:r>
            <w:r w:rsidR="008041D7" w:rsidRPr="00D03260">
              <w:rPr>
                <w:noProof/>
                <w:webHidden/>
              </w:rPr>
            </w:r>
            <w:r w:rsidR="008041D7" w:rsidRPr="00D03260">
              <w:rPr>
                <w:noProof/>
                <w:webHidden/>
              </w:rPr>
              <w:fldChar w:fldCharType="separate"/>
            </w:r>
            <w:r w:rsidR="008041D7" w:rsidRPr="00D03260">
              <w:rPr>
                <w:noProof/>
                <w:webHidden/>
              </w:rPr>
              <w:t>31</w:t>
            </w:r>
            <w:r w:rsidR="008041D7" w:rsidRPr="00D03260">
              <w:rPr>
                <w:noProof/>
                <w:webHidden/>
              </w:rPr>
              <w:fldChar w:fldCharType="end"/>
            </w:r>
          </w:hyperlink>
        </w:p>
        <w:p w14:paraId="6D8B139E" w14:textId="27105C83"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96" w:history="1">
            <w:r w:rsidR="008041D7" w:rsidRPr="00D03260">
              <w:rPr>
                <w:rStyle w:val="Hyperlink"/>
                <w:noProof/>
              </w:rPr>
              <w:t>4.6.1.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Lymphocyte transformation test</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_Toc141885896 \h </w:instrText>
            </w:r>
            <w:r w:rsidR="008041D7" w:rsidRPr="00D03260">
              <w:rPr>
                <w:noProof/>
                <w:webHidden/>
              </w:rPr>
            </w:r>
            <w:r w:rsidR="008041D7" w:rsidRPr="00D03260">
              <w:rPr>
                <w:noProof/>
                <w:webHidden/>
              </w:rPr>
              <w:fldChar w:fldCharType="separate"/>
            </w:r>
            <w:r w:rsidR="008041D7" w:rsidRPr="00D03260">
              <w:rPr>
                <w:noProof/>
                <w:webHidden/>
              </w:rPr>
              <w:t>31</w:t>
            </w:r>
            <w:r w:rsidR="008041D7" w:rsidRPr="00D03260">
              <w:rPr>
                <w:noProof/>
                <w:webHidden/>
              </w:rPr>
              <w:fldChar w:fldCharType="end"/>
            </w:r>
          </w:hyperlink>
        </w:p>
        <w:p w14:paraId="0B7C9847" w14:textId="76A1E1BB"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97" w:history="1">
            <w:r w:rsidR="008041D7" w:rsidRPr="00D03260">
              <w:rPr>
                <w:rStyle w:val="Hyperlink"/>
                <w:noProof/>
              </w:rPr>
              <w:t>4.6.2.</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Mycotoxins in serum</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_Toc141885897 \h </w:instrText>
            </w:r>
            <w:r w:rsidR="008041D7" w:rsidRPr="00D03260">
              <w:rPr>
                <w:noProof/>
                <w:webHidden/>
              </w:rPr>
            </w:r>
            <w:r w:rsidR="008041D7" w:rsidRPr="00D03260">
              <w:rPr>
                <w:noProof/>
                <w:webHidden/>
              </w:rPr>
              <w:fldChar w:fldCharType="separate"/>
            </w:r>
            <w:r w:rsidR="008041D7" w:rsidRPr="00D03260">
              <w:rPr>
                <w:noProof/>
                <w:webHidden/>
              </w:rPr>
              <w:t>32</w:t>
            </w:r>
            <w:r w:rsidR="008041D7" w:rsidRPr="00D03260">
              <w:rPr>
                <w:noProof/>
                <w:webHidden/>
              </w:rPr>
              <w:fldChar w:fldCharType="end"/>
            </w:r>
          </w:hyperlink>
        </w:p>
        <w:p w14:paraId="45EA8348" w14:textId="08321081"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98" w:history="1">
            <w:r w:rsidR="008041D7" w:rsidRPr="00D03260">
              <w:rPr>
                <w:rStyle w:val="Hyperlink"/>
                <w:noProof/>
              </w:rPr>
              <w:t>4.6.3.</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Cytokines and eosinophil cationic protein (ECP)</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_Toc141885898 \h </w:instrText>
            </w:r>
            <w:r w:rsidR="008041D7" w:rsidRPr="00D03260">
              <w:rPr>
                <w:noProof/>
                <w:webHidden/>
              </w:rPr>
            </w:r>
            <w:r w:rsidR="008041D7" w:rsidRPr="00D03260">
              <w:rPr>
                <w:noProof/>
                <w:webHidden/>
              </w:rPr>
              <w:fldChar w:fldCharType="separate"/>
            </w:r>
            <w:r w:rsidR="008041D7" w:rsidRPr="00D03260">
              <w:rPr>
                <w:noProof/>
                <w:webHidden/>
              </w:rPr>
              <w:t>32</w:t>
            </w:r>
            <w:r w:rsidR="008041D7" w:rsidRPr="00D03260">
              <w:rPr>
                <w:noProof/>
                <w:webHidden/>
              </w:rPr>
              <w:fldChar w:fldCharType="end"/>
            </w:r>
          </w:hyperlink>
        </w:p>
        <w:p w14:paraId="50BB306E" w14:textId="1ADC44B8"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899" w:history="1">
            <w:r w:rsidR="008041D7" w:rsidRPr="00D03260">
              <w:rPr>
                <w:rStyle w:val="Hyperlink"/>
                <w:noProof/>
              </w:rPr>
              <w:t>4.6.4.</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Toxicological diagnostics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_Toc141885899 \h </w:instrText>
            </w:r>
            <w:r w:rsidR="008041D7" w:rsidRPr="00D03260">
              <w:rPr>
                <w:noProof/>
                <w:webHidden/>
              </w:rPr>
            </w:r>
            <w:r w:rsidR="008041D7" w:rsidRPr="00D03260">
              <w:rPr>
                <w:noProof/>
                <w:webHidden/>
              </w:rPr>
              <w:fldChar w:fldCharType="separate"/>
            </w:r>
            <w:r w:rsidR="008041D7" w:rsidRPr="00D03260">
              <w:rPr>
                <w:noProof/>
                <w:webHidden/>
              </w:rPr>
              <w:t>32</w:t>
            </w:r>
            <w:r w:rsidR="008041D7" w:rsidRPr="00D03260">
              <w:rPr>
                <w:noProof/>
                <w:webHidden/>
              </w:rPr>
              <w:fldChar w:fldCharType="end"/>
            </w:r>
          </w:hyperlink>
        </w:p>
        <w:p w14:paraId="383DCC8B" w14:textId="57A9CF06"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00" w:history="1">
            <w:r w:rsidR="008041D7" w:rsidRPr="00D03260">
              <w:rPr>
                <w:rStyle w:val="Hyperlink"/>
                <w:noProof/>
              </w:rPr>
              <w:t>4.7.</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Patient presenting with persistent debilitating symptoms and no diagnosis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_Toc141885900 \h </w:instrText>
            </w:r>
            <w:r w:rsidR="008041D7" w:rsidRPr="00D03260">
              <w:rPr>
                <w:noProof/>
                <w:webHidden/>
              </w:rPr>
            </w:r>
            <w:r w:rsidR="008041D7" w:rsidRPr="00D03260">
              <w:rPr>
                <w:noProof/>
                <w:webHidden/>
              </w:rPr>
              <w:fldChar w:fldCharType="separate"/>
            </w:r>
            <w:r w:rsidR="008041D7" w:rsidRPr="00D03260">
              <w:rPr>
                <w:noProof/>
                <w:webHidden/>
              </w:rPr>
              <w:t>32</w:t>
            </w:r>
            <w:r w:rsidR="008041D7" w:rsidRPr="00D03260">
              <w:rPr>
                <w:noProof/>
                <w:webHidden/>
              </w:rPr>
              <w:fldChar w:fldCharType="end"/>
            </w:r>
          </w:hyperlink>
        </w:p>
        <w:p w14:paraId="35DCCF82" w14:textId="572D9520"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01" w:history="1">
            <w:r w:rsidR="008041D7" w:rsidRPr="00D03260">
              <w:rPr>
                <w:rStyle w:val="Hyperlink"/>
                <w:noProof/>
              </w:rPr>
              <w:t>5.</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Diagnosis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_Toc141885901 \h </w:instrText>
            </w:r>
            <w:r w:rsidR="008041D7" w:rsidRPr="00D03260">
              <w:rPr>
                <w:noProof/>
                <w:webHidden/>
              </w:rPr>
            </w:r>
            <w:r w:rsidR="008041D7" w:rsidRPr="00D03260">
              <w:rPr>
                <w:noProof/>
                <w:webHidden/>
              </w:rPr>
              <w:fldChar w:fldCharType="separate"/>
            </w:r>
            <w:r w:rsidR="008041D7" w:rsidRPr="00D03260">
              <w:rPr>
                <w:noProof/>
                <w:webHidden/>
              </w:rPr>
              <w:t>33</w:t>
            </w:r>
            <w:r w:rsidR="008041D7" w:rsidRPr="00D03260">
              <w:rPr>
                <w:noProof/>
                <w:webHidden/>
              </w:rPr>
              <w:fldChar w:fldCharType="end"/>
            </w:r>
          </w:hyperlink>
        </w:p>
        <w:p w14:paraId="73116DFD" w14:textId="41DADD5D"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02" w:history="1">
            <w:r w:rsidR="008041D7" w:rsidRPr="00D03260">
              <w:rPr>
                <w:rStyle w:val="Hyperlink"/>
                <w:noProof/>
              </w:rPr>
              <w:t>5.1.</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Asthma</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_Toc141885902 \h </w:instrText>
            </w:r>
            <w:r w:rsidR="008041D7" w:rsidRPr="00D03260">
              <w:rPr>
                <w:noProof/>
                <w:webHidden/>
              </w:rPr>
            </w:r>
            <w:r w:rsidR="008041D7" w:rsidRPr="00D03260">
              <w:rPr>
                <w:noProof/>
                <w:webHidden/>
              </w:rPr>
              <w:fldChar w:fldCharType="separate"/>
            </w:r>
            <w:r w:rsidR="008041D7" w:rsidRPr="00D03260">
              <w:rPr>
                <w:noProof/>
                <w:webHidden/>
              </w:rPr>
              <w:t>33</w:t>
            </w:r>
            <w:r w:rsidR="008041D7" w:rsidRPr="00D03260">
              <w:rPr>
                <w:noProof/>
                <w:webHidden/>
              </w:rPr>
              <w:fldChar w:fldCharType="end"/>
            </w:r>
          </w:hyperlink>
        </w:p>
        <w:p w14:paraId="7EB572D9" w14:textId="59B985D8"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03" w:history="1">
            <w:r w:rsidR="008041D7" w:rsidRPr="00D03260">
              <w:rPr>
                <w:rStyle w:val="Hyperlink"/>
                <w:noProof/>
              </w:rPr>
              <w:t>5.1.1.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Confirmed diagnosis of asthma in adults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_Toc141885903 \h </w:instrText>
            </w:r>
            <w:r w:rsidR="008041D7" w:rsidRPr="00D03260">
              <w:rPr>
                <w:noProof/>
                <w:webHidden/>
              </w:rPr>
            </w:r>
            <w:r w:rsidR="008041D7" w:rsidRPr="00D03260">
              <w:rPr>
                <w:noProof/>
                <w:webHidden/>
              </w:rPr>
              <w:fldChar w:fldCharType="separate"/>
            </w:r>
            <w:r w:rsidR="008041D7" w:rsidRPr="00D03260">
              <w:rPr>
                <w:noProof/>
                <w:webHidden/>
              </w:rPr>
              <w:t>33</w:t>
            </w:r>
            <w:r w:rsidR="008041D7" w:rsidRPr="00D03260">
              <w:rPr>
                <w:noProof/>
                <w:webHidden/>
              </w:rPr>
              <w:fldChar w:fldCharType="end"/>
            </w:r>
          </w:hyperlink>
        </w:p>
        <w:p w14:paraId="1203FD6C" w14:textId="3EE63AE6"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04" w:history="1">
            <w:r w:rsidR="008041D7" w:rsidRPr="00D03260">
              <w:rPr>
                <w:rStyle w:val="Hyperlink"/>
                <w:noProof/>
              </w:rPr>
              <w:t>5.1.2.</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No confirmed diagnosis of asthma in adults- consider alternative diagnoses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_Toc141885904 \h </w:instrText>
            </w:r>
            <w:r w:rsidR="008041D7" w:rsidRPr="00D03260">
              <w:rPr>
                <w:noProof/>
                <w:webHidden/>
              </w:rPr>
            </w:r>
            <w:r w:rsidR="008041D7" w:rsidRPr="00D03260">
              <w:rPr>
                <w:noProof/>
                <w:webHidden/>
              </w:rPr>
              <w:fldChar w:fldCharType="separate"/>
            </w:r>
            <w:r w:rsidR="008041D7" w:rsidRPr="00D03260">
              <w:rPr>
                <w:noProof/>
                <w:webHidden/>
              </w:rPr>
              <w:t>33</w:t>
            </w:r>
            <w:r w:rsidR="008041D7" w:rsidRPr="00D03260">
              <w:rPr>
                <w:noProof/>
                <w:webHidden/>
              </w:rPr>
              <w:fldChar w:fldCharType="end"/>
            </w:r>
          </w:hyperlink>
        </w:p>
        <w:p w14:paraId="3E1DE530" w14:textId="5BA02BD7"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05" w:history="1">
            <w:r w:rsidR="008041D7" w:rsidRPr="00D03260">
              <w:rPr>
                <w:rStyle w:val="Hyperlink"/>
                <w:noProof/>
              </w:rPr>
              <w:t>5.1.3.</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Confirmed diagnosis of asthma in children aged one year and over</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_Toc141885905 \h </w:instrText>
            </w:r>
            <w:r w:rsidR="008041D7" w:rsidRPr="00D03260">
              <w:rPr>
                <w:noProof/>
                <w:webHidden/>
              </w:rPr>
            </w:r>
            <w:r w:rsidR="008041D7" w:rsidRPr="00D03260">
              <w:rPr>
                <w:noProof/>
                <w:webHidden/>
              </w:rPr>
              <w:fldChar w:fldCharType="separate"/>
            </w:r>
            <w:r w:rsidR="008041D7" w:rsidRPr="00D03260">
              <w:rPr>
                <w:noProof/>
                <w:webHidden/>
              </w:rPr>
              <w:t>33</w:t>
            </w:r>
            <w:r w:rsidR="008041D7" w:rsidRPr="00D03260">
              <w:rPr>
                <w:noProof/>
                <w:webHidden/>
              </w:rPr>
              <w:fldChar w:fldCharType="end"/>
            </w:r>
          </w:hyperlink>
        </w:p>
        <w:p w14:paraId="1BEE2AD2" w14:textId="04DAA96D"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06" w:history="1">
            <w:r w:rsidR="008041D7" w:rsidRPr="00D03260">
              <w:rPr>
                <w:rStyle w:val="Hyperlink"/>
                <w:noProof/>
              </w:rPr>
              <w:t>5.1.4.</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No confirmed diagnosis of asthma and symptoms resolve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_Toc141885906 \h </w:instrText>
            </w:r>
            <w:r w:rsidR="008041D7" w:rsidRPr="00D03260">
              <w:rPr>
                <w:noProof/>
                <w:webHidden/>
              </w:rPr>
            </w:r>
            <w:r w:rsidR="008041D7" w:rsidRPr="00D03260">
              <w:rPr>
                <w:noProof/>
                <w:webHidden/>
              </w:rPr>
              <w:fldChar w:fldCharType="separate"/>
            </w:r>
            <w:r w:rsidR="008041D7" w:rsidRPr="00D03260">
              <w:rPr>
                <w:noProof/>
                <w:webHidden/>
              </w:rPr>
              <w:t>34</w:t>
            </w:r>
            <w:r w:rsidR="008041D7" w:rsidRPr="00D03260">
              <w:rPr>
                <w:noProof/>
                <w:webHidden/>
              </w:rPr>
              <w:fldChar w:fldCharType="end"/>
            </w:r>
          </w:hyperlink>
        </w:p>
        <w:p w14:paraId="1AED7F9A" w14:textId="37766BC2"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07" w:history="1">
            <w:r w:rsidR="008041D7" w:rsidRPr="00D03260">
              <w:rPr>
                <w:rStyle w:val="Hyperlink"/>
                <w:noProof/>
              </w:rPr>
              <w:t>5.1.5.</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No confirmed diagnosis of asthma and symptoms persist</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_Toc141885907 \h </w:instrText>
            </w:r>
            <w:r w:rsidR="008041D7" w:rsidRPr="00D03260">
              <w:rPr>
                <w:noProof/>
                <w:webHidden/>
              </w:rPr>
            </w:r>
            <w:r w:rsidR="008041D7" w:rsidRPr="00D03260">
              <w:rPr>
                <w:noProof/>
                <w:webHidden/>
              </w:rPr>
              <w:fldChar w:fldCharType="separate"/>
            </w:r>
            <w:r w:rsidR="008041D7" w:rsidRPr="00D03260">
              <w:rPr>
                <w:noProof/>
                <w:webHidden/>
              </w:rPr>
              <w:t>34</w:t>
            </w:r>
            <w:r w:rsidR="008041D7" w:rsidRPr="00D03260">
              <w:rPr>
                <w:noProof/>
                <w:webHidden/>
              </w:rPr>
              <w:fldChar w:fldCharType="end"/>
            </w:r>
          </w:hyperlink>
        </w:p>
        <w:p w14:paraId="2444EB19" w14:textId="43AF3B5B"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08" w:history="1">
            <w:r w:rsidR="008041D7" w:rsidRPr="00D03260">
              <w:rPr>
                <w:rStyle w:val="Hyperlink"/>
                <w:noProof/>
              </w:rPr>
              <w:t>5.2.</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Mould allergy</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_Toc141885908 \h </w:instrText>
            </w:r>
            <w:r w:rsidR="008041D7" w:rsidRPr="00D03260">
              <w:rPr>
                <w:noProof/>
                <w:webHidden/>
              </w:rPr>
            </w:r>
            <w:r w:rsidR="008041D7" w:rsidRPr="00D03260">
              <w:rPr>
                <w:noProof/>
                <w:webHidden/>
              </w:rPr>
              <w:fldChar w:fldCharType="separate"/>
            </w:r>
            <w:r w:rsidR="008041D7" w:rsidRPr="00D03260">
              <w:rPr>
                <w:noProof/>
                <w:webHidden/>
              </w:rPr>
              <w:t>34</w:t>
            </w:r>
            <w:r w:rsidR="008041D7" w:rsidRPr="00D03260">
              <w:rPr>
                <w:noProof/>
                <w:webHidden/>
              </w:rPr>
              <w:fldChar w:fldCharType="end"/>
            </w:r>
          </w:hyperlink>
        </w:p>
        <w:p w14:paraId="02FBE1BF" w14:textId="62545425"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09" w:history="1">
            <w:r w:rsidR="008041D7" w:rsidRPr="00D03260">
              <w:rPr>
                <w:rStyle w:val="Hyperlink"/>
                <w:noProof/>
              </w:rPr>
              <w:t>5.2.1.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Confirmed diagnosis of mould allergy</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_Toc141885909 \h </w:instrText>
            </w:r>
            <w:r w:rsidR="008041D7" w:rsidRPr="00D03260">
              <w:rPr>
                <w:noProof/>
                <w:webHidden/>
              </w:rPr>
            </w:r>
            <w:r w:rsidR="008041D7" w:rsidRPr="00D03260">
              <w:rPr>
                <w:noProof/>
                <w:webHidden/>
              </w:rPr>
              <w:fldChar w:fldCharType="separate"/>
            </w:r>
            <w:r w:rsidR="008041D7" w:rsidRPr="00D03260">
              <w:rPr>
                <w:noProof/>
                <w:webHidden/>
              </w:rPr>
              <w:t>34</w:t>
            </w:r>
            <w:r w:rsidR="008041D7" w:rsidRPr="00D03260">
              <w:rPr>
                <w:noProof/>
                <w:webHidden/>
              </w:rPr>
              <w:fldChar w:fldCharType="end"/>
            </w:r>
          </w:hyperlink>
        </w:p>
        <w:p w14:paraId="141010B1" w14:textId="17E8DFDD"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10" w:history="1">
            <w:r w:rsidR="008041D7" w:rsidRPr="00D03260">
              <w:rPr>
                <w:rStyle w:val="Hyperlink"/>
                <w:noProof/>
              </w:rPr>
              <w:t>5.2.2.</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No confirmed diagnosis of mould allergy and symptoms resolve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_Toc141885910 \h </w:instrText>
            </w:r>
            <w:r w:rsidR="008041D7" w:rsidRPr="00D03260">
              <w:rPr>
                <w:noProof/>
                <w:webHidden/>
              </w:rPr>
            </w:r>
            <w:r w:rsidR="008041D7" w:rsidRPr="00D03260">
              <w:rPr>
                <w:noProof/>
                <w:webHidden/>
              </w:rPr>
              <w:fldChar w:fldCharType="separate"/>
            </w:r>
            <w:r w:rsidR="008041D7" w:rsidRPr="00D03260">
              <w:rPr>
                <w:noProof/>
                <w:webHidden/>
              </w:rPr>
              <w:t>35</w:t>
            </w:r>
            <w:r w:rsidR="008041D7" w:rsidRPr="00D03260">
              <w:rPr>
                <w:noProof/>
                <w:webHidden/>
              </w:rPr>
              <w:fldChar w:fldCharType="end"/>
            </w:r>
          </w:hyperlink>
        </w:p>
        <w:p w14:paraId="475D0189" w14:textId="76A301FA"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11" w:history="1">
            <w:r w:rsidR="008041D7" w:rsidRPr="00D03260">
              <w:rPr>
                <w:rStyle w:val="Hyperlink"/>
                <w:noProof/>
              </w:rPr>
              <w:t>5.2.3.</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No confirmed diagnosis of mould allergy and symptoms persist</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_Toc141885911 \h </w:instrText>
            </w:r>
            <w:r w:rsidR="008041D7" w:rsidRPr="00D03260">
              <w:rPr>
                <w:noProof/>
                <w:webHidden/>
              </w:rPr>
            </w:r>
            <w:r w:rsidR="008041D7" w:rsidRPr="00D03260">
              <w:rPr>
                <w:noProof/>
                <w:webHidden/>
              </w:rPr>
              <w:fldChar w:fldCharType="separate"/>
            </w:r>
            <w:r w:rsidR="008041D7" w:rsidRPr="00D03260">
              <w:rPr>
                <w:noProof/>
                <w:webHidden/>
              </w:rPr>
              <w:t>35</w:t>
            </w:r>
            <w:r w:rsidR="008041D7" w:rsidRPr="00D03260">
              <w:rPr>
                <w:noProof/>
                <w:webHidden/>
              </w:rPr>
              <w:fldChar w:fldCharType="end"/>
            </w:r>
          </w:hyperlink>
        </w:p>
        <w:p w14:paraId="5610CE31" w14:textId="4014207E"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12" w:history="1">
            <w:r w:rsidR="008041D7" w:rsidRPr="00D03260">
              <w:rPr>
                <w:rStyle w:val="Hyperlink"/>
                <w:noProof/>
              </w:rPr>
              <w:t>5.3.</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Mould-related infection</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_Toc141885912 \h </w:instrText>
            </w:r>
            <w:r w:rsidR="008041D7" w:rsidRPr="00D03260">
              <w:rPr>
                <w:noProof/>
                <w:webHidden/>
              </w:rPr>
            </w:r>
            <w:r w:rsidR="008041D7" w:rsidRPr="00D03260">
              <w:rPr>
                <w:noProof/>
                <w:webHidden/>
              </w:rPr>
              <w:fldChar w:fldCharType="separate"/>
            </w:r>
            <w:r w:rsidR="008041D7" w:rsidRPr="00D03260">
              <w:rPr>
                <w:noProof/>
                <w:webHidden/>
              </w:rPr>
              <w:t>35</w:t>
            </w:r>
            <w:r w:rsidR="008041D7" w:rsidRPr="00D03260">
              <w:rPr>
                <w:noProof/>
                <w:webHidden/>
              </w:rPr>
              <w:fldChar w:fldCharType="end"/>
            </w:r>
          </w:hyperlink>
        </w:p>
        <w:p w14:paraId="5DC31D71" w14:textId="44587E34"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13" w:history="1">
            <w:r w:rsidR="008041D7" w:rsidRPr="00D03260">
              <w:rPr>
                <w:rStyle w:val="Hyperlink"/>
                <w:noProof/>
              </w:rPr>
              <w:t>5.3.1.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Confirmed diagnosis of mould-related infection</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_Toc141885913 \h </w:instrText>
            </w:r>
            <w:r w:rsidR="008041D7" w:rsidRPr="00D03260">
              <w:rPr>
                <w:noProof/>
                <w:webHidden/>
              </w:rPr>
            </w:r>
            <w:r w:rsidR="008041D7" w:rsidRPr="00D03260">
              <w:rPr>
                <w:noProof/>
                <w:webHidden/>
              </w:rPr>
              <w:fldChar w:fldCharType="separate"/>
            </w:r>
            <w:r w:rsidR="008041D7" w:rsidRPr="00D03260">
              <w:rPr>
                <w:noProof/>
                <w:webHidden/>
              </w:rPr>
              <w:t>35</w:t>
            </w:r>
            <w:r w:rsidR="008041D7" w:rsidRPr="00D03260">
              <w:rPr>
                <w:noProof/>
                <w:webHidden/>
              </w:rPr>
              <w:fldChar w:fldCharType="end"/>
            </w:r>
          </w:hyperlink>
        </w:p>
        <w:p w14:paraId="214D6A9E" w14:textId="09EA8C7B"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14" w:history="1">
            <w:r w:rsidR="008041D7" w:rsidRPr="00D03260">
              <w:rPr>
                <w:rStyle w:val="Hyperlink"/>
                <w:noProof/>
              </w:rPr>
              <w:t>5.3.2.</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No confirmed diagnosis of mould-related infection and symptoms resolve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_Toc141885914 \h </w:instrText>
            </w:r>
            <w:r w:rsidR="008041D7" w:rsidRPr="00D03260">
              <w:rPr>
                <w:noProof/>
                <w:webHidden/>
              </w:rPr>
            </w:r>
            <w:r w:rsidR="008041D7" w:rsidRPr="00D03260">
              <w:rPr>
                <w:noProof/>
                <w:webHidden/>
              </w:rPr>
              <w:fldChar w:fldCharType="separate"/>
            </w:r>
            <w:r w:rsidR="008041D7" w:rsidRPr="00D03260">
              <w:rPr>
                <w:noProof/>
                <w:webHidden/>
              </w:rPr>
              <w:t>35</w:t>
            </w:r>
            <w:r w:rsidR="008041D7" w:rsidRPr="00D03260">
              <w:rPr>
                <w:noProof/>
                <w:webHidden/>
              </w:rPr>
              <w:fldChar w:fldCharType="end"/>
            </w:r>
          </w:hyperlink>
        </w:p>
        <w:p w14:paraId="31FFFED3" w14:textId="3046C718"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15" w:history="1">
            <w:r w:rsidR="008041D7" w:rsidRPr="00D03260">
              <w:rPr>
                <w:rStyle w:val="Hyperlink"/>
                <w:noProof/>
              </w:rPr>
              <w:t>5.3.3.</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No confirmed diagnosis of mould-related infection and symptoms persist</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_Toc141885915 \h </w:instrText>
            </w:r>
            <w:r w:rsidR="008041D7" w:rsidRPr="00D03260">
              <w:rPr>
                <w:noProof/>
                <w:webHidden/>
              </w:rPr>
            </w:r>
            <w:r w:rsidR="008041D7" w:rsidRPr="00D03260">
              <w:rPr>
                <w:noProof/>
                <w:webHidden/>
              </w:rPr>
              <w:fldChar w:fldCharType="separate"/>
            </w:r>
            <w:r w:rsidR="008041D7" w:rsidRPr="00D03260">
              <w:rPr>
                <w:noProof/>
                <w:webHidden/>
              </w:rPr>
              <w:t>35</w:t>
            </w:r>
            <w:r w:rsidR="008041D7" w:rsidRPr="00D03260">
              <w:rPr>
                <w:noProof/>
                <w:webHidden/>
              </w:rPr>
              <w:fldChar w:fldCharType="end"/>
            </w:r>
          </w:hyperlink>
        </w:p>
        <w:p w14:paraId="44DFACCF" w14:textId="0C4C221E"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16" w:history="1">
            <w:r w:rsidR="008041D7" w:rsidRPr="00D03260">
              <w:rPr>
                <w:rStyle w:val="Hyperlink"/>
                <w:noProof/>
              </w:rPr>
              <w:t>5.4.</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HP</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_Toc141885916 \h </w:instrText>
            </w:r>
            <w:r w:rsidR="008041D7" w:rsidRPr="00D03260">
              <w:rPr>
                <w:noProof/>
                <w:webHidden/>
              </w:rPr>
            </w:r>
            <w:r w:rsidR="008041D7" w:rsidRPr="00D03260">
              <w:rPr>
                <w:noProof/>
                <w:webHidden/>
              </w:rPr>
              <w:fldChar w:fldCharType="separate"/>
            </w:r>
            <w:r w:rsidR="008041D7" w:rsidRPr="00D03260">
              <w:rPr>
                <w:noProof/>
                <w:webHidden/>
              </w:rPr>
              <w:t>36</w:t>
            </w:r>
            <w:r w:rsidR="008041D7" w:rsidRPr="00D03260">
              <w:rPr>
                <w:noProof/>
                <w:webHidden/>
              </w:rPr>
              <w:fldChar w:fldCharType="end"/>
            </w:r>
          </w:hyperlink>
        </w:p>
        <w:p w14:paraId="53F557F7" w14:textId="6214AA77"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17" w:history="1">
            <w:r w:rsidR="008041D7" w:rsidRPr="00D03260">
              <w:rPr>
                <w:rStyle w:val="Hyperlink"/>
                <w:noProof/>
              </w:rPr>
              <w:t>5.4.1.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Confirmed diagnosis of HP</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_Toc141885917 \h </w:instrText>
            </w:r>
            <w:r w:rsidR="008041D7" w:rsidRPr="00D03260">
              <w:rPr>
                <w:noProof/>
                <w:webHidden/>
              </w:rPr>
            </w:r>
            <w:r w:rsidR="008041D7" w:rsidRPr="00D03260">
              <w:rPr>
                <w:noProof/>
                <w:webHidden/>
              </w:rPr>
              <w:fldChar w:fldCharType="separate"/>
            </w:r>
            <w:r w:rsidR="008041D7" w:rsidRPr="00D03260">
              <w:rPr>
                <w:noProof/>
                <w:webHidden/>
              </w:rPr>
              <w:t>36</w:t>
            </w:r>
            <w:r w:rsidR="008041D7" w:rsidRPr="00D03260">
              <w:rPr>
                <w:noProof/>
                <w:webHidden/>
              </w:rPr>
              <w:fldChar w:fldCharType="end"/>
            </w:r>
          </w:hyperlink>
        </w:p>
        <w:p w14:paraId="063C859C" w14:textId="15176312"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18" w:history="1">
            <w:r w:rsidR="008041D7" w:rsidRPr="00D03260">
              <w:rPr>
                <w:rStyle w:val="Hyperlink"/>
                <w:noProof/>
              </w:rPr>
              <w:t>5.4.2.</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No confirmed diagnosis of HP and symptoms resolve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_Toc141885918 \h </w:instrText>
            </w:r>
            <w:r w:rsidR="008041D7" w:rsidRPr="00D03260">
              <w:rPr>
                <w:noProof/>
                <w:webHidden/>
              </w:rPr>
            </w:r>
            <w:r w:rsidR="008041D7" w:rsidRPr="00D03260">
              <w:rPr>
                <w:noProof/>
                <w:webHidden/>
              </w:rPr>
              <w:fldChar w:fldCharType="separate"/>
            </w:r>
            <w:r w:rsidR="008041D7" w:rsidRPr="00D03260">
              <w:rPr>
                <w:noProof/>
                <w:webHidden/>
              </w:rPr>
              <w:t>36</w:t>
            </w:r>
            <w:r w:rsidR="008041D7" w:rsidRPr="00D03260">
              <w:rPr>
                <w:noProof/>
                <w:webHidden/>
              </w:rPr>
              <w:fldChar w:fldCharType="end"/>
            </w:r>
          </w:hyperlink>
        </w:p>
        <w:p w14:paraId="5ADE7435" w14:textId="1B584671"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19" w:history="1">
            <w:r w:rsidR="008041D7" w:rsidRPr="00D03260">
              <w:rPr>
                <w:rStyle w:val="Hyperlink"/>
                <w:noProof/>
              </w:rPr>
              <w:t>5.4.3.</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No confirmed diagnosis of HP and symptoms persist</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_Toc141885919 \h </w:instrText>
            </w:r>
            <w:r w:rsidR="008041D7" w:rsidRPr="00D03260">
              <w:rPr>
                <w:noProof/>
                <w:webHidden/>
              </w:rPr>
            </w:r>
            <w:r w:rsidR="008041D7" w:rsidRPr="00D03260">
              <w:rPr>
                <w:noProof/>
                <w:webHidden/>
              </w:rPr>
              <w:fldChar w:fldCharType="separate"/>
            </w:r>
            <w:r w:rsidR="008041D7" w:rsidRPr="00D03260">
              <w:rPr>
                <w:noProof/>
                <w:webHidden/>
              </w:rPr>
              <w:t>36</w:t>
            </w:r>
            <w:r w:rsidR="008041D7" w:rsidRPr="00D03260">
              <w:rPr>
                <w:noProof/>
                <w:webHidden/>
              </w:rPr>
              <w:fldChar w:fldCharType="end"/>
            </w:r>
          </w:hyperlink>
        </w:p>
        <w:p w14:paraId="231CFA7C" w14:textId="2780ADE0"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20" w:history="1">
            <w:r w:rsidR="008041D7" w:rsidRPr="00D03260">
              <w:rPr>
                <w:rStyle w:val="Hyperlink"/>
                <w:noProof/>
              </w:rPr>
              <w:t>5.5.</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Patient presenting with persistent debilitating symptoms – diagnosis of specific disease(s) is established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_Toc141885920 \h </w:instrText>
            </w:r>
            <w:r w:rsidR="008041D7" w:rsidRPr="00D03260">
              <w:rPr>
                <w:noProof/>
                <w:webHidden/>
              </w:rPr>
            </w:r>
            <w:r w:rsidR="008041D7" w:rsidRPr="00D03260">
              <w:rPr>
                <w:noProof/>
                <w:webHidden/>
              </w:rPr>
              <w:fldChar w:fldCharType="separate"/>
            </w:r>
            <w:r w:rsidR="008041D7" w:rsidRPr="00D03260">
              <w:rPr>
                <w:noProof/>
                <w:webHidden/>
              </w:rPr>
              <w:t>36</w:t>
            </w:r>
            <w:r w:rsidR="008041D7" w:rsidRPr="00D03260">
              <w:rPr>
                <w:noProof/>
                <w:webHidden/>
              </w:rPr>
              <w:fldChar w:fldCharType="end"/>
            </w:r>
          </w:hyperlink>
        </w:p>
        <w:p w14:paraId="29C229BC" w14:textId="752D5D6C"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21" w:history="1">
            <w:r w:rsidR="008041D7" w:rsidRPr="00D03260">
              <w:rPr>
                <w:rStyle w:val="Hyperlink"/>
                <w:noProof/>
              </w:rPr>
              <w:t>5.6.</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Patient presenting with persistent debilitating symptoms – no diagnosis is established, and MUS persist</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_Toc141885921 \h </w:instrText>
            </w:r>
            <w:r w:rsidR="008041D7" w:rsidRPr="00D03260">
              <w:rPr>
                <w:noProof/>
                <w:webHidden/>
              </w:rPr>
            </w:r>
            <w:r w:rsidR="008041D7" w:rsidRPr="00D03260">
              <w:rPr>
                <w:noProof/>
                <w:webHidden/>
              </w:rPr>
              <w:fldChar w:fldCharType="separate"/>
            </w:r>
            <w:r w:rsidR="008041D7" w:rsidRPr="00D03260">
              <w:rPr>
                <w:noProof/>
                <w:webHidden/>
              </w:rPr>
              <w:t>37</w:t>
            </w:r>
            <w:r w:rsidR="008041D7" w:rsidRPr="00D03260">
              <w:rPr>
                <w:noProof/>
                <w:webHidden/>
              </w:rPr>
              <w:fldChar w:fldCharType="end"/>
            </w:r>
          </w:hyperlink>
        </w:p>
        <w:p w14:paraId="18C7DE1A" w14:textId="3B03400C"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22" w:history="1">
            <w:r w:rsidR="008041D7" w:rsidRPr="00D03260">
              <w:rPr>
                <w:rStyle w:val="Hyperlink"/>
                <w:noProof/>
              </w:rPr>
              <w:t>6.</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Initial management</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_Toc141885922 \h </w:instrText>
            </w:r>
            <w:r w:rsidR="008041D7" w:rsidRPr="00D03260">
              <w:rPr>
                <w:noProof/>
                <w:webHidden/>
              </w:rPr>
            </w:r>
            <w:r w:rsidR="008041D7" w:rsidRPr="00D03260">
              <w:rPr>
                <w:noProof/>
                <w:webHidden/>
              </w:rPr>
              <w:fldChar w:fldCharType="separate"/>
            </w:r>
            <w:r w:rsidR="008041D7" w:rsidRPr="00D03260">
              <w:rPr>
                <w:noProof/>
                <w:webHidden/>
              </w:rPr>
              <w:t>38</w:t>
            </w:r>
            <w:r w:rsidR="008041D7" w:rsidRPr="00D03260">
              <w:rPr>
                <w:noProof/>
                <w:webHidden/>
              </w:rPr>
              <w:fldChar w:fldCharType="end"/>
            </w:r>
          </w:hyperlink>
        </w:p>
        <w:p w14:paraId="46A045E4" w14:textId="12B1A655"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23" w:history="1">
            <w:r w:rsidR="008041D7" w:rsidRPr="00D03260">
              <w:rPr>
                <w:rStyle w:val="Hyperlink"/>
                <w:noProof/>
              </w:rPr>
              <w:t>6.1.</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Reinforce minimising/avoiding exposure to indoor damp and mould, preventing and remediation</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_Toc141885923 \h </w:instrText>
            </w:r>
            <w:r w:rsidR="008041D7" w:rsidRPr="00D03260">
              <w:rPr>
                <w:noProof/>
                <w:webHidden/>
              </w:rPr>
            </w:r>
            <w:r w:rsidR="008041D7" w:rsidRPr="00D03260">
              <w:rPr>
                <w:noProof/>
                <w:webHidden/>
              </w:rPr>
              <w:fldChar w:fldCharType="separate"/>
            </w:r>
            <w:r w:rsidR="008041D7" w:rsidRPr="00D03260">
              <w:rPr>
                <w:noProof/>
                <w:webHidden/>
              </w:rPr>
              <w:t>38</w:t>
            </w:r>
            <w:r w:rsidR="008041D7" w:rsidRPr="00D03260">
              <w:rPr>
                <w:noProof/>
                <w:webHidden/>
              </w:rPr>
              <w:fldChar w:fldCharType="end"/>
            </w:r>
          </w:hyperlink>
        </w:p>
        <w:p w14:paraId="0DA60962" w14:textId="19032ADE"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24" w:history="1">
            <w:r w:rsidR="008041D7" w:rsidRPr="00D03260">
              <w:rPr>
                <w:rStyle w:val="Hyperlink"/>
                <w:noProof/>
              </w:rPr>
              <w:t>6.2.</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General medication treatment</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_Toc141885924 \h </w:instrText>
            </w:r>
            <w:r w:rsidR="008041D7" w:rsidRPr="00D03260">
              <w:rPr>
                <w:noProof/>
                <w:webHidden/>
              </w:rPr>
            </w:r>
            <w:r w:rsidR="008041D7" w:rsidRPr="00D03260">
              <w:rPr>
                <w:noProof/>
                <w:webHidden/>
              </w:rPr>
              <w:fldChar w:fldCharType="separate"/>
            </w:r>
            <w:r w:rsidR="008041D7" w:rsidRPr="00D03260">
              <w:rPr>
                <w:noProof/>
                <w:webHidden/>
              </w:rPr>
              <w:t>38</w:t>
            </w:r>
            <w:r w:rsidR="008041D7" w:rsidRPr="00D03260">
              <w:rPr>
                <w:noProof/>
                <w:webHidden/>
              </w:rPr>
              <w:fldChar w:fldCharType="end"/>
            </w:r>
          </w:hyperlink>
        </w:p>
        <w:p w14:paraId="35C2A801" w14:textId="45C7266C"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25" w:history="1">
            <w:r w:rsidR="008041D7" w:rsidRPr="00D03260">
              <w:rPr>
                <w:rStyle w:val="Hyperlink"/>
                <w:noProof/>
              </w:rPr>
              <w:t>6.2.1.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Asthma</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_Toc141885925 \h </w:instrText>
            </w:r>
            <w:r w:rsidR="008041D7" w:rsidRPr="00D03260">
              <w:rPr>
                <w:noProof/>
                <w:webHidden/>
              </w:rPr>
            </w:r>
            <w:r w:rsidR="008041D7" w:rsidRPr="00D03260">
              <w:rPr>
                <w:noProof/>
                <w:webHidden/>
              </w:rPr>
              <w:fldChar w:fldCharType="separate"/>
            </w:r>
            <w:r w:rsidR="008041D7" w:rsidRPr="00D03260">
              <w:rPr>
                <w:noProof/>
                <w:webHidden/>
              </w:rPr>
              <w:t>38</w:t>
            </w:r>
            <w:r w:rsidR="008041D7" w:rsidRPr="00D03260">
              <w:rPr>
                <w:noProof/>
                <w:webHidden/>
              </w:rPr>
              <w:fldChar w:fldCharType="end"/>
            </w:r>
          </w:hyperlink>
        </w:p>
        <w:p w14:paraId="07B3F912" w14:textId="5ADD3477"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26" w:history="1">
            <w:r w:rsidR="008041D7" w:rsidRPr="00D03260">
              <w:rPr>
                <w:rStyle w:val="Hyperlink"/>
                <w:noProof/>
              </w:rPr>
              <w:t>6.2.2.</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Mould allergy</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_Toc141885926 \h </w:instrText>
            </w:r>
            <w:r w:rsidR="008041D7" w:rsidRPr="00D03260">
              <w:rPr>
                <w:noProof/>
                <w:webHidden/>
              </w:rPr>
            </w:r>
            <w:r w:rsidR="008041D7" w:rsidRPr="00D03260">
              <w:rPr>
                <w:noProof/>
                <w:webHidden/>
              </w:rPr>
              <w:fldChar w:fldCharType="separate"/>
            </w:r>
            <w:r w:rsidR="008041D7" w:rsidRPr="00D03260">
              <w:rPr>
                <w:noProof/>
                <w:webHidden/>
              </w:rPr>
              <w:t>39</w:t>
            </w:r>
            <w:r w:rsidR="008041D7" w:rsidRPr="00D03260">
              <w:rPr>
                <w:noProof/>
                <w:webHidden/>
              </w:rPr>
              <w:fldChar w:fldCharType="end"/>
            </w:r>
          </w:hyperlink>
        </w:p>
        <w:p w14:paraId="1E66DEB0" w14:textId="185CA2FC" w:rsidR="008041D7" w:rsidRPr="00D03260" w:rsidRDefault="00000000">
          <w:pPr>
            <w:pStyle w:val="TOC4"/>
            <w:rPr>
              <w:i w:val="0"/>
              <w:noProof/>
              <w:sz w:val="22"/>
              <w:lang w:val="en-AU" w:eastAsia="en-AU"/>
            </w:rPr>
          </w:pPr>
          <w:hyperlink w:anchor="_Toc141885927" w:history="1">
            <w:r w:rsidR="008041D7" w:rsidRPr="00D03260">
              <w:rPr>
                <w:rStyle w:val="Hyperlink"/>
                <w:noProof/>
                <w:lang w:val="en-AU" w:eastAsia="en-AU"/>
              </w:rPr>
              <w:t>6.2.2.1.</w:t>
            </w:r>
            <w:r w:rsidR="008041D7" w:rsidRPr="00D03260">
              <w:rPr>
                <w:i w:val="0"/>
                <w:noProof/>
                <w:sz w:val="22"/>
                <w:lang w:val="en-AU" w:eastAsia="en-AU"/>
              </w:rPr>
              <w:tab/>
            </w:r>
            <w:r w:rsidR="008041D7" w:rsidRPr="00D03260">
              <w:rPr>
                <w:rStyle w:val="Hyperlink"/>
                <w:noProof/>
                <w:lang w:val="en-AU" w:eastAsia="en-AU"/>
              </w:rPr>
              <w:t>Specific immunotherapy (SIT) using mould extracts</w:t>
            </w:r>
            <w:r w:rsidR="008041D7" w:rsidRPr="00D03260">
              <w:rPr>
                <w:noProof/>
                <w:webHidden/>
                <w:lang w:val="en-AU"/>
              </w:rPr>
              <w:tab/>
            </w:r>
            <w:r w:rsidR="008041D7" w:rsidRPr="00D03260">
              <w:rPr>
                <w:noProof/>
                <w:webHidden/>
                <w:lang w:val="en-AU"/>
              </w:rPr>
              <w:fldChar w:fldCharType="begin"/>
            </w:r>
            <w:r w:rsidR="008041D7" w:rsidRPr="00D03260">
              <w:rPr>
                <w:noProof/>
                <w:webHidden/>
                <w:lang w:val="en-AU"/>
              </w:rPr>
              <w:instrText xml:space="preserve"> PAGEREF _Toc141885927 \h </w:instrText>
            </w:r>
            <w:r w:rsidR="008041D7" w:rsidRPr="00D03260">
              <w:rPr>
                <w:noProof/>
                <w:webHidden/>
                <w:lang w:val="en-AU"/>
              </w:rPr>
            </w:r>
            <w:r w:rsidR="008041D7" w:rsidRPr="00D03260">
              <w:rPr>
                <w:noProof/>
                <w:webHidden/>
                <w:lang w:val="en-AU"/>
              </w:rPr>
              <w:fldChar w:fldCharType="separate"/>
            </w:r>
            <w:r w:rsidR="008041D7" w:rsidRPr="00D03260">
              <w:rPr>
                <w:noProof/>
                <w:webHidden/>
                <w:lang w:val="en-AU"/>
              </w:rPr>
              <w:t>39</w:t>
            </w:r>
            <w:r w:rsidR="008041D7" w:rsidRPr="00D03260">
              <w:rPr>
                <w:noProof/>
                <w:webHidden/>
                <w:lang w:val="en-AU"/>
              </w:rPr>
              <w:fldChar w:fldCharType="end"/>
            </w:r>
          </w:hyperlink>
        </w:p>
        <w:p w14:paraId="6B79D3C9" w14:textId="5F583815"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28" w:history="1">
            <w:r w:rsidR="008041D7" w:rsidRPr="00D03260">
              <w:rPr>
                <w:rStyle w:val="Hyperlink"/>
                <w:noProof/>
              </w:rPr>
              <w:t>6.2.3.</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Mould-related infection</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_Toc141885928 \h </w:instrText>
            </w:r>
            <w:r w:rsidR="008041D7" w:rsidRPr="00D03260">
              <w:rPr>
                <w:noProof/>
                <w:webHidden/>
              </w:rPr>
            </w:r>
            <w:r w:rsidR="008041D7" w:rsidRPr="00D03260">
              <w:rPr>
                <w:noProof/>
                <w:webHidden/>
              </w:rPr>
              <w:fldChar w:fldCharType="separate"/>
            </w:r>
            <w:r w:rsidR="008041D7" w:rsidRPr="00D03260">
              <w:rPr>
                <w:noProof/>
                <w:webHidden/>
              </w:rPr>
              <w:t>39</w:t>
            </w:r>
            <w:r w:rsidR="008041D7" w:rsidRPr="00D03260">
              <w:rPr>
                <w:noProof/>
                <w:webHidden/>
              </w:rPr>
              <w:fldChar w:fldCharType="end"/>
            </w:r>
          </w:hyperlink>
        </w:p>
        <w:p w14:paraId="3BBEBBA8" w14:textId="78B3D389" w:rsidR="008041D7" w:rsidRPr="00D03260" w:rsidRDefault="00000000">
          <w:pPr>
            <w:pStyle w:val="TOC4"/>
            <w:rPr>
              <w:i w:val="0"/>
              <w:noProof/>
              <w:sz w:val="22"/>
              <w:lang w:val="en-AU" w:eastAsia="en-AU"/>
            </w:rPr>
          </w:pPr>
          <w:hyperlink w:anchor="_Toc141885929" w:history="1">
            <w:r w:rsidR="008041D7" w:rsidRPr="00D03260">
              <w:rPr>
                <w:rStyle w:val="Hyperlink"/>
                <w:noProof/>
                <w:lang w:val="en-AU"/>
              </w:rPr>
              <w:t>6.2.3.1.</w:t>
            </w:r>
            <w:r w:rsidR="008041D7" w:rsidRPr="00D03260">
              <w:rPr>
                <w:i w:val="0"/>
                <w:noProof/>
                <w:sz w:val="22"/>
                <w:lang w:val="en-AU" w:eastAsia="en-AU"/>
              </w:rPr>
              <w:tab/>
            </w:r>
            <w:r w:rsidR="008041D7" w:rsidRPr="00D03260">
              <w:rPr>
                <w:rStyle w:val="Hyperlink"/>
                <w:noProof/>
                <w:lang w:val="en-AU"/>
              </w:rPr>
              <w:t>Australian consensus guidelines for treatment of invasive mould infections in patients with haematological malignancy and haemopoietic stem cell transplantation</w:t>
            </w:r>
            <w:r w:rsidR="008041D7" w:rsidRPr="00D03260">
              <w:rPr>
                <w:noProof/>
                <w:webHidden/>
                <w:lang w:val="en-AU"/>
              </w:rPr>
              <w:tab/>
            </w:r>
            <w:r w:rsidR="008041D7" w:rsidRPr="00D03260">
              <w:rPr>
                <w:noProof/>
                <w:webHidden/>
                <w:lang w:val="en-AU"/>
              </w:rPr>
              <w:fldChar w:fldCharType="begin"/>
            </w:r>
            <w:r w:rsidR="008041D7" w:rsidRPr="00D03260">
              <w:rPr>
                <w:noProof/>
                <w:webHidden/>
                <w:lang w:val="en-AU"/>
              </w:rPr>
              <w:instrText xml:space="preserve"> PAGEREF _Toc141885929 \h </w:instrText>
            </w:r>
            <w:r w:rsidR="008041D7" w:rsidRPr="00D03260">
              <w:rPr>
                <w:noProof/>
                <w:webHidden/>
                <w:lang w:val="en-AU"/>
              </w:rPr>
            </w:r>
            <w:r w:rsidR="008041D7" w:rsidRPr="00D03260">
              <w:rPr>
                <w:noProof/>
                <w:webHidden/>
                <w:lang w:val="en-AU"/>
              </w:rPr>
              <w:fldChar w:fldCharType="separate"/>
            </w:r>
            <w:r w:rsidR="008041D7" w:rsidRPr="00D03260">
              <w:rPr>
                <w:noProof/>
                <w:webHidden/>
                <w:lang w:val="en-AU"/>
              </w:rPr>
              <w:t>39</w:t>
            </w:r>
            <w:r w:rsidR="008041D7" w:rsidRPr="00D03260">
              <w:rPr>
                <w:noProof/>
                <w:webHidden/>
                <w:lang w:val="en-AU"/>
              </w:rPr>
              <w:fldChar w:fldCharType="end"/>
            </w:r>
          </w:hyperlink>
        </w:p>
        <w:p w14:paraId="1F31FCC4" w14:textId="3C76E7AE"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30" w:history="1">
            <w:r w:rsidR="008041D7" w:rsidRPr="00D03260">
              <w:rPr>
                <w:rStyle w:val="Hyperlink"/>
                <w:noProof/>
              </w:rPr>
              <w:t>6.3.</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Awareness that symptoms may persist even after building remediation</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_Toc141885930 \h </w:instrText>
            </w:r>
            <w:r w:rsidR="008041D7" w:rsidRPr="00D03260">
              <w:rPr>
                <w:noProof/>
                <w:webHidden/>
              </w:rPr>
            </w:r>
            <w:r w:rsidR="008041D7" w:rsidRPr="00D03260">
              <w:rPr>
                <w:noProof/>
                <w:webHidden/>
              </w:rPr>
              <w:fldChar w:fldCharType="separate"/>
            </w:r>
            <w:r w:rsidR="008041D7" w:rsidRPr="00D03260">
              <w:rPr>
                <w:noProof/>
                <w:webHidden/>
              </w:rPr>
              <w:t>40</w:t>
            </w:r>
            <w:r w:rsidR="008041D7" w:rsidRPr="00D03260">
              <w:rPr>
                <w:noProof/>
                <w:webHidden/>
              </w:rPr>
              <w:fldChar w:fldCharType="end"/>
            </w:r>
          </w:hyperlink>
        </w:p>
        <w:p w14:paraId="5BBAB1C9" w14:textId="68BC5DFA"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31" w:history="1">
            <w:r w:rsidR="008041D7" w:rsidRPr="00D03260">
              <w:rPr>
                <w:rStyle w:val="Hyperlink"/>
                <w:noProof/>
              </w:rPr>
              <w:t>6.3.1.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Building-related respiratory illness and asthma attributed to the indoor environment shared features with MUS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_Toc141885931 \h </w:instrText>
            </w:r>
            <w:r w:rsidR="008041D7" w:rsidRPr="00D03260">
              <w:rPr>
                <w:noProof/>
                <w:webHidden/>
              </w:rPr>
            </w:r>
            <w:r w:rsidR="008041D7" w:rsidRPr="00D03260">
              <w:rPr>
                <w:noProof/>
                <w:webHidden/>
              </w:rPr>
              <w:fldChar w:fldCharType="separate"/>
            </w:r>
            <w:r w:rsidR="008041D7" w:rsidRPr="00D03260">
              <w:rPr>
                <w:noProof/>
                <w:webHidden/>
              </w:rPr>
              <w:t>40</w:t>
            </w:r>
            <w:r w:rsidR="008041D7" w:rsidRPr="00D03260">
              <w:rPr>
                <w:noProof/>
                <w:webHidden/>
              </w:rPr>
              <w:fldChar w:fldCharType="end"/>
            </w:r>
          </w:hyperlink>
        </w:p>
        <w:p w14:paraId="244349E8" w14:textId="57CF0514"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32" w:history="1">
            <w:r w:rsidR="008041D7" w:rsidRPr="00D03260">
              <w:rPr>
                <w:rStyle w:val="Hyperlink"/>
                <w:noProof/>
              </w:rPr>
              <w:t>6.4.</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Management of patients with persistent symptoms and who remain undiagnosed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_Toc141885932 \h </w:instrText>
            </w:r>
            <w:r w:rsidR="008041D7" w:rsidRPr="00D03260">
              <w:rPr>
                <w:noProof/>
                <w:webHidden/>
              </w:rPr>
            </w:r>
            <w:r w:rsidR="008041D7" w:rsidRPr="00D03260">
              <w:rPr>
                <w:noProof/>
                <w:webHidden/>
              </w:rPr>
              <w:fldChar w:fldCharType="separate"/>
            </w:r>
            <w:r w:rsidR="008041D7" w:rsidRPr="00D03260">
              <w:rPr>
                <w:noProof/>
                <w:webHidden/>
              </w:rPr>
              <w:t>41</w:t>
            </w:r>
            <w:r w:rsidR="008041D7" w:rsidRPr="00D03260">
              <w:rPr>
                <w:noProof/>
                <w:webHidden/>
              </w:rPr>
              <w:fldChar w:fldCharType="end"/>
            </w:r>
          </w:hyperlink>
        </w:p>
        <w:p w14:paraId="4477139C" w14:textId="2B8B0102"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33" w:history="1">
            <w:r w:rsidR="008041D7" w:rsidRPr="00D03260">
              <w:rPr>
                <w:rStyle w:val="Hyperlink"/>
                <w:noProof/>
              </w:rPr>
              <w:t>6.4.1.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MUS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_Toc141885933 \h </w:instrText>
            </w:r>
            <w:r w:rsidR="008041D7" w:rsidRPr="00D03260">
              <w:rPr>
                <w:noProof/>
                <w:webHidden/>
              </w:rPr>
            </w:r>
            <w:r w:rsidR="008041D7" w:rsidRPr="00D03260">
              <w:rPr>
                <w:noProof/>
                <w:webHidden/>
              </w:rPr>
              <w:fldChar w:fldCharType="separate"/>
            </w:r>
            <w:r w:rsidR="008041D7" w:rsidRPr="00D03260">
              <w:rPr>
                <w:noProof/>
                <w:webHidden/>
              </w:rPr>
              <w:t>42</w:t>
            </w:r>
            <w:r w:rsidR="008041D7" w:rsidRPr="00D03260">
              <w:rPr>
                <w:noProof/>
                <w:webHidden/>
              </w:rPr>
              <w:fldChar w:fldCharType="end"/>
            </w:r>
          </w:hyperlink>
        </w:p>
        <w:p w14:paraId="273828B5" w14:textId="12398CB7"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34" w:history="1">
            <w:r w:rsidR="008041D7" w:rsidRPr="00D03260">
              <w:rPr>
                <w:rStyle w:val="Hyperlink"/>
                <w:noProof/>
                <w:lang w:eastAsia="en-GB"/>
              </w:rPr>
              <w:t>6.4.2.</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lang w:eastAsia="en-GB"/>
              </w:rPr>
              <w:t>Practice Harm Minimisation</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_Toc141885934 \h </w:instrText>
            </w:r>
            <w:r w:rsidR="008041D7" w:rsidRPr="00D03260">
              <w:rPr>
                <w:noProof/>
                <w:webHidden/>
              </w:rPr>
            </w:r>
            <w:r w:rsidR="008041D7" w:rsidRPr="00D03260">
              <w:rPr>
                <w:noProof/>
                <w:webHidden/>
              </w:rPr>
              <w:fldChar w:fldCharType="separate"/>
            </w:r>
            <w:r w:rsidR="008041D7" w:rsidRPr="00D03260">
              <w:rPr>
                <w:noProof/>
                <w:webHidden/>
              </w:rPr>
              <w:t>43</w:t>
            </w:r>
            <w:r w:rsidR="008041D7" w:rsidRPr="00D03260">
              <w:rPr>
                <w:noProof/>
                <w:webHidden/>
              </w:rPr>
              <w:fldChar w:fldCharType="end"/>
            </w:r>
          </w:hyperlink>
        </w:p>
        <w:p w14:paraId="307E63D9" w14:textId="0E66C612" w:rsidR="008041D7" w:rsidRPr="00D03260" w:rsidRDefault="00000000">
          <w:pPr>
            <w:pStyle w:val="TOC4"/>
            <w:rPr>
              <w:i w:val="0"/>
              <w:noProof/>
              <w:sz w:val="22"/>
              <w:lang w:val="en-AU" w:eastAsia="en-AU"/>
            </w:rPr>
          </w:pPr>
          <w:hyperlink w:anchor="_Toc141885935" w:history="1">
            <w:r w:rsidR="008041D7" w:rsidRPr="00D03260">
              <w:rPr>
                <w:rStyle w:val="Hyperlink"/>
                <w:noProof/>
                <w:lang w:val="en-AU"/>
              </w:rPr>
              <w:t>6.4.2.1.</w:t>
            </w:r>
            <w:r w:rsidR="008041D7" w:rsidRPr="00D03260">
              <w:rPr>
                <w:i w:val="0"/>
                <w:noProof/>
                <w:sz w:val="22"/>
                <w:lang w:val="en-AU" w:eastAsia="en-AU"/>
              </w:rPr>
              <w:tab/>
            </w:r>
            <w:r w:rsidR="008041D7" w:rsidRPr="00D03260">
              <w:rPr>
                <w:rStyle w:val="Hyperlink"/>
                <w:noProof/>
                <w:lang w:val="en-AU"/>
              </w:rPr>
              <w:t>MUS and complementary therapies</w:t>
            </w:r>
            <w:r w:rsidR="008041D7" w:rsidRPr="00D03260">
              <w:rPr>
                <w:noProof/>
                <w:webHidden/>
                <w:lang w:val="en-AU"/>
              </w:rPr>
              <w:tab/>
            </w:r>
            <w:r w:rsidR="008041D7" w:rsidRPr="00D03260">
              <w:rPr>
                <w:noProof/>
                <w:webHidden/>
                <w:lang w:val="en-AU"/>
              </w:rPr>
              <w:fldChar w:fldCharType="begin"/>
            </w:r>
            <w:r w:rsidR="008041D7" w:rsidRPr="00D03260">
              <w:rPr>
                <w:noProof/>
                <w:webHidden/>
                <w:lang w:val="en-AU"/>
              </w:rPr>
              <w:instrText xml:space="preserve"> PAGEREF _Toc141885935 \h </w:instrText>
            </w:r>
            <w:r w:rsidR="008041D7" w:rsidRPr="00D03260">
              <w:rPr>
                <w:noProof/>
                <w:webHidden/>
                <w:lang w:val="en-AU"/>
              </w:rPr>
            </w:r>
            <w:r w:rsidR="008041D7" w:rsidRPr="00D03260">
              <w:rPr>
                <w:noProof/>
                <w:webHidden/>
                <w:lang w:val="en-AU"/>
              </w:rPr>
              <w:fldChar w:fldCharType="separate"/>
            </w:r>
            <w:r w:rsidR="008041D7" w:rsidRPr="00D03260">
              <w:rPr>
                <w:noProof/>
                <w:webHidden/>
                <w:lang w:val="en-AU"/>
              </w:rPr>
              <w:t>46</w:t>
            </w:r>
            <w:r w:rsidR="008041D7" w:rsidRPr="00D03260">
              <w:rPr>
                <w:noProof/>
                <w:webHidden/>
                <w:lang w:val="en-AU"/>
              </w:rPr>
              <w:fldChar w:fldCharType="end"/>
            </w:r>
          </w:hyperlink>
        </w:p>
        <w:p w14:paraId="7BC9493B" w14:textId="1E80B9C8"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36" w:history="1">
            <w:r w:rsidR="008041D7" w:rsidRPr="00D03260">
              <w:rPr>
                <w:rStyle w:val="Hyperlink"/>
                <w:noProof/>
              </w:rPr>
              <w:t>6.4.3.</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The Stepped Care Model</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_Toc141885936 \h </w:instrText>
            </w:r>
            <w:r w:rsidR="008041D7" w:rsidRPr="00D03260">
              <w:rPr>
                <w:noProof/>
                <w:webHidden/>
              </w:rPr>
            </w:r>
            <w:r w:rsidR="008041D7" w:rsidRPr="00D03260">
              <w:rPr>
                <w:noProof/>
                <w:webHidden/>
              </w:rPr>
              <w:fldChar w:fldCharType="separate"/>
            </w:r>
            <w:r w:rsidR="008041D7" w:rsidRPr="00D03260">
              <w:rPr>
                <w:noProof/>
                <w:webHidden/>
              </w:rPr>
              <w:t>47</w:t>
            </w:r>
            <w:r w:rsidR="008041D7" w:rsidRPr="00D03260">
              <w:rPr>
                <w:noProof/>
                <w:webHidden/>
              </w:rPr>
              <w:fldChar w:fldCharType="end"/>
            </w:r>
          </w:hyperlink>
        </w:p>
        <w:p w14:paraId="740B4E9F" w14:textId="472633A4"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37" w:history="1">
            <w:r w:rsidR="008041D7" w:rsidRPr="00D03260">
              <w:rPr>
                <w:rStyle w:val="Hyperlink"/>
                <w:noProof/>
              </w:rPr>
              <w:t>7.</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Ongoing management</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_Toc141885937 \h </w:instrText>
            </w:r>
            <w:r w:rsidR="008041D7" w:rsidRPr="00D03260">
              <w:rPr>
                <w:noProof/>
                <w:webHidden/>
              </w:rPr>
            </w:r>
            <w:r w:rsidR="008041D7" w:rsidRPr="00D03260">
              <w:rPr>
                <w:noProof/>
                <w:webHidden/>
              </w:rPr>
              <w:fldChar w:fldCharType="separate"/>
            </w:r>
            <w:r w:rsidR="008041D7" w:rsidRPr="00D03260">
              <w:rPr>
                <w:noProof/>
                <w:webHidden/>
              </w:rPr>
              <w:t>50</w:t>
            </w:r>
            <w:r w:rsidR="008041D7" w:rsidRPr="00D03260">
              <w:rPr>
                <w:noProof/>
                <w:webHidden/>
              </w:rPr>
              <w:fldChar w:fldCharType="end"/>
            </w:r>
          </w:hyperlink>
        </w:p>
        <w:p w14:paraId="70D42311" w14:textId="704A12EE"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38" w:history="1">
            <w:r w:rsidR="008041D7" w:rsidRPr="00D03260">
              <w:rPr>
                <w:rStyle w:val="Hyperlink"/>
                <w:noProof/>
              </w:rPr>
              <w:t>7.1.</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Asthma, respiratory and allergic conditions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_Toc141885938 \h </w:instrText>
            </w:r>
            <w:r w:rsidR="008041D7" w:rsidRPr="00D03260">
              <w:rPr>
                <w:noProof/>
                <w:webHidden/>
              </w:rPr>
            </w:r>
            <w:r w:rsidR="008041D7" w:rsidRPr="00D03260">
              <w:rPr>
                <w:noProof/>
                <w:webHidden/>
              </w:rPr>
              <w:fldChar w:fldCharType="separate"/>
            </w:r>
            <w:r w:rsidR="008041D7" w:rsidRPr="00D03260">
              <w:rPr>
                <w:noProof/>
                <w:webHidden/>
              </w:rPr>
              <w:t>50</w:t>
            </w:r>
            <w:r w:rsidR="008041D7" w:rsidRPr="00D03260">
              <w:rPr>
                <w:noProof/>
                <w:webHidden/>
              </w:rPr>
              <w:fldChar w:fldCharType="end"/>
            </w:r>
          </w:hyperlink>
        </w:p>
        <w:p w14:paraId="15524661" w14:textId="426B043E"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39" w:history="1">
            <w:r w:rsidR="008041D7" w:rsidRPr="00D03260">
              <w:rPr>
                <w:rStyle w:val="Hyperlink"/>
                <w:noProof/>
              </w:rPr>
              <w:t>7.1.1.</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Asthma</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_Toc141885939 \h </w:instrText>
            </w:r>
            <w:r w:rsidR="008041D7" w:rsidRPr="00D03260">
              <w:rPr>
                <w:noProof/>
                <w:webHidden/>
              </w:rPr>
            </w:r>
            <w:r w:rsidR="008041D7" w:rsidRPr="00D03260">
              <w:rPr>
                <w:noProof/>
                <w:webHidden/>
              </w:rPr>
              <w:fldChar w:fldCharType="separate"/>
            </w:r>
            <w:r w:rsidR="008041D7" w:rsidRPr="00D03260">
              <w:rPr>
                <w:noProof/>
                <w:webHidden/>
              </w:rPr>
              <w:t>50</w:t>
            </w:r>
            <w:r w:rsidR="008041D7" w:rsidRPr="00D03260">
              <w:rPr>
                <w:noProof/>
                <w:webHidden/>
              </w:rPr>
              <w:fldChar w:fldCharType="end"/>
            </w:r>
          </w:hyperlink>
        </w:p>
        <w:p w14:paraId="1062ACD1" w14:textId="50E10751"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40" w:history="1">
            <w:r w:rsidR="008041D7" w:rsidRPr="00D03260">
              <w:rPr>
                <w:rStyle w:val="Hyperlink"/>
                <w:noProof/>
              </w:rPr>
              <w:t>7.1.2.</w:t>
            </w:r>
            <w:r w:rsidR="008041D7" w:rsidRPr="00D03260">
              <w:rPr>
                <w:rFonts w:asciiTheme="minorHAnsi" w:eastAsiaTheme="minorEastAsia" w:hAnsiTheme="minorHAnsi" w:cstheme="minorBidi"/>
                <w:noProof/>
                <w:color w:val="auto"/>
                <w:sz w:val="22"/>
                <w:szCs w:val="22"/>
                <w:lang w:eastAsia="en-AU"/>
              </w:rPr>
              <w:tab/>
            </w:r>
            <w:r w:rsidR="008041D7" w:rsidRPr="00D03260">
              <w:rPr>
                <w:rStyle w:val="Hyperlink"/>
                <w:noProof/>
              </w:rPr>
              <w:t>Mould allergy</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_Toc141885940 \h </w:instrText>
            </w:r>
            <w:r w:rsidR="008041D7" w:rsidRPr="00D03260">
              <w:rPr>
                <w:noProof/>
                <w:webHidden/>
              </w:rPr>
            </w:r>
            <w:r w:rsidR="008041D7" w:rsidRPr="00D03260">
              <w:rPr>
                <w:noProof/>
                <w:webHidden/>
              </w:rPr>
              <w:fldChar w:fldCharType="separate"/>
            </w:r>
            <w:r w:rsidR="008041D7" w:rsidRPr="00D03260">
              <w:rPr>
                <w:noProof/>
                <w:webHidden/>
              </w:rPr>
              <w:t>50</w:t>
            </w:r>
            <w:r w:rsidR="008041D7" w:rsidRPr="00D03260">
              <w:rPr>
                <w:noProof/>
                <w:webHidden/>
              </w:rPr>
              <w:fldChar w:fldCharType="end"/>
            </w:r>
          </w:hyperlink>
        </w:p>
        <w:p w14:paraId="348C7C88" w14:textId="47698DB9"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41" w:history="1">
            <w:r w:rsidR="008041D7" w:rsidRPr="00D03260">
              <w:rPr>
                <w:rStyle w:val="Hyperlink"/>
                <w:noProof/>
              </w:rPr>
              <w:t>7.2.</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HP, mould-related infections and allergic conditions in susceptible people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_Toc141885941 \h </w:instrText>
            </w:r>
            <w:r w:rsidR="008041D7" w:rsidRPr="00D03260">
              <w:rPr>
                <w:noProof/>
                <w:webHidden/>
              </w:rPr>
            </w:r>
            <w:r w:rsidR="008041D7" w:rsidRPr="00D03260">
              <w:rPr>
                <w:noProof/>
                <w:webHidden/>
              </w:rPr>
              <w:fldChar w:fldCharType="separate"/>
            </w:r>
            <w:r w:rsidR="008041D7" w:rsidRPr="00D03260">
              <w:rPr>
                <w:noProof/>
                <w:webHidden/>
              </w:rPr>
              <w:t>51</w:t>
            </w:r>
            <w:r w:rsidR="008041D7" w:rsidRPr="00D03260">
              <w:rPr>
                <w:noProof/>
                <w:webHidden/>
              </w:rPr>
              <w:fldChar w:fldCharType="end"/>
            </w:r>
          </w:hyperlink>
        </w:p>
        <w:p w14:paraId="0C924680" w14:textId="6A1E2B26"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42" w:history="1">
            <w:r w:rsidR="008041D7" w:rsidRPr="00D03260">
              <w:rPr>
                <w:rStyle w:val="Hyperlink"/>
                <w:noProof/>
              </w:rPr>
              <w:t>7.3.</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Management of patients with persistent symptoms and who remain undiagnosed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_Toc141885942 \h </w:instrText>
            </w:r>
            <w:r w:rsidR="008041D7" w:rsidRPr="00D03260">
              <w:rPr>
                <w:noProof/>
                <w:webHidden/>
              </w:rPr>
            </w:r>
            <w:r w:rsidR="008041D7" w:rsidRPr="00D03260">
              <w:rPr>
                <w:noProof/>
                <w:webHidden/>
              </w:rPr>
              <w:fldChar w:fldCharType="separate"/>
            </w:r>
            <w:r w:rsidR="008041D7" w:rsidRPr="00D03260">
              <w:rPr>
                <w:noProof/>
                <w:webHidden/>
              </w:rPr>
              <w:t>51</w:t>
            </w:r>
            <w:r w:rsidR="008041D7" w:rsidRPr="00D03260">
              <w:rPr>
                <w:noProof/>
                <w:webHidden/>
              </w:rPr>
              <w:fldChar w:fldCharType="end"/>
            </w:r>
          </w:hyperlink>
        </w:p>
        <w:p w14:paraId="62A74EDA" w14:textId="62360106"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43" w:history="1">
            <w:r w:rsidR="008041D7" w:rsidRPr="00D03260">
              <w:rPr>
                <w:rStyle w:val="Hyperlink"/>
                <w:noProof/>
              </w:rPr>
              <w:t>8.</w:t>
            </w:r>
            <w:r w:rsidR="008041D7" w:rsidRPr="00D03260">
              <w:rPr>
                <w:rFonts w:asciiTheme="minorHAnsi" w:eastAsiaTheme="minorEastAsia" w:hAnsiTheme="minorHAnsi" w:cstheme="minorBidi"/>
                <w:noProof/>
                <w:color w:val="auto"/>
                <w:szCs w:val="22"/>
                <w:lang w:eastAsia="en-AU"/>
              </w:rPr>
              <w:tab/>
            </w:r>
            <w:r w:rsidR="008041D7" w:rsidRPr="00D03260">
              <w:rPr>
                <w:rStyle w:val="Hyperlink"/>
                <w:noProof/>
              </w:rPr>
              <w:t>Appendices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_Toc141885943 \h </w:instrText>
            </w:r>
            <w:r w:rsidR="008041D7" w:rsidRPr="00D03260">
              <w:rPr>
                <w:noProof/>
                <w:webHidden/>
              </w:rPr>
            </w:r>
            <w:r w:rsidR="008041D7" w:rsidRPr="00D03260">
              <w:rPr>
                <w:noProof/>
                <w:webHidden/>
              </w:rPr>
              <w:fldChar w:fldCharType="separate"/>
            </w:r>
            <w:r w:rsidR="008041D7" w:rsidRPr="00D03260">
              <w:rPr>
                <w:noProof/>
                <w:webHidden/>
              </w:rPr>
              <w:t>52</w:t>
            </w:r>
            <w:r w:rsidR="008041D7" w:rsidRPr="00D03260">
              <w:rPr>
                <w:noProof/>
                <w:webHidden/>
              </w:rPr>
              <w:fldChar w:fldCharType="end"/>
            </w:r>
          </w:hyperlink>
        </w:p>
        <w:p w14:paraId="4788DD6F" w14:textId="04C23161"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44" w:history="1">
            <w:r w:rsidR="008041D7" w:rsidRPr="00D03260">
              <w:rPr>
                <w:rStyle w:val="Hyperlink"/>
                <w:noProof/>
              </w:rPr>
              <w:t>Appendix A: Likely differential diagnoses or symptoms: Health effects for which there is sufficient evidence of association with exposure to indoor damp and mould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_Toc141885944 \h </w:instrText>
            </w:r>
            <w:r w:rsidR="008041D7" w:rsidRPr="00D03260">
              <w:rPr>
                <w:noProof/>
                <w:webHidden/>
              </w:rPr>
            </w:r>
            <w:r w:rsidR="008041D7" w:rsidRPr="00D03260">
              <w:rPr>
                <w:noProof/>
                <w:webHidden/>
              </w:rPr>
              <w:fldChar w:fldCharType="separate"/>
            </w:r>
            <w:r w:rsidR="008041D7" w:rsidRPr="00D03260">
              <w:rPr>
                <w:noProof/>
                <w:webHidden/>
              </w:rPr>
              <w:t>53</w:t>
            </w:r>
            <w:r w:rsidR="008041D7" w:rsidRPr="00D03260">
              <w:rPr>
                <w:noProof/>
                <w:webHidden/>
              </w:rPr>
              <w:fldChar w:fldCharType="end"/>
            </w:r>
          </w:hyperlink>
        </w:p>
        <w:p w14:paraId="68A3B5CD" w14:textId="505954A6"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45" w:history="1">
            <w:r w:rsidR="008041D7" w:rsidRPr="00D03260">
              <w:rPr>
                <w:rStyle w:val="Hyperlink"/>
                <w:noProof/>
              </w:rPr>
              <w:t>Asthma</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_Toc141885945 \h </w:instrText>
            </w:r>
            <w:r w:rsidR="008041D7" w:rsidRPr="00D03260">
              <w:rPr>
                <w:noProof/>
                <w:webHidden/>
              </w:rPr>
            </w:r>
            <w:r w:rsidR="008041D7" w:rsidRPr="00D03260">
              <w:rPr>
                <w:noProof/>
                <w:webHidden/>
              </w:rPr>
              <w:fldChar w:fldCharType="separate"/>
            </w:r>
            <w:r w:rsidR="008041D7" w:rsidRPr="00D03260">
              <w:rPr>
                <w:noProof/>
                <w:webHidden/>
              </w:rPr>
              <w:t>53</w:t>
            </w:r>
            <w:r w:rsidR="008041D7" w:rsidRPr="00D03260">
              <w:rPr>
                <w:noProof/>
                <w:webHidden/>
              </w:rPr>
              <w:fldChar w:fldCharType="end"/>
            </w:r>
          </w:hyperlink>
        </w:p>
        <w:p w14:paraId="6B826870" w14:textId="4F75AC5A"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46" w:history="1">
            <w:r w:rsidR="008041D7" w:rsidRPr="00D03260">
              <w:rPr>
                <w:rStyle w:val="Hyperlink"/>
                <w:noProof/>
              </w:rPr>
              <w:t>The Australian situation and Australian studies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_Toc141885946 \h </w:instrText>
            </w:r>
            <w:r w:rsidR="008041D7" w:rsidRPr="00D03260">
              <w:rPr>
                <w:noProof/>
                <w:webHidden/>
              </w:rPr>
            </w:r>
            <w:r w:rsidR="008041D7" w:rsidRPr="00D03260">
              <w:rPr>
                <w:noProof/>
                <w:webHidden/>
              </w:rPr>
              <w:fldChar w:fldCharType="separate"/>
            </w:r>
            <w:r w:rsidR="008041D7" w:rsidRPr="00D03260">
              <w:rPr>
                <w:noProof/>
                <w:webHidden/>
              </w:rPr>
              <w:t>55</w:t>
            </w:r>
            <w:r w:rsidR="008041D7" w:rsidRPr="00D03260">
              <w:rPr>
                <w:noProof/>
                <w:webHidden/>
              </w:rPr>
              <w:fldChar w:fldCharType="end"/>
            </w:r>
          </w:hyperlink>
        </w:p>
        <w:p w14:paraId="04ED9145" w14:textId="1D29177C"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47" w:history="1">
            <w:r w:rsidR="008041D7" w:rsidRPr="00D03260">
              <w:rPr>
                <w:rStyle w:val="Hyperlink"/>
                <w:noProof/>
              </w:rPr>
              <w:t>Respiratory infections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_Toc141885947 \h </w:instrText>
            </w:r>
            <w:r w:rsidR="008041D7" w:rsidRPr="00D03260">
              <w:rPr>
                <w:noProof/>
                <w:webHidden/>
              </w:rPr>
            </w:r>
            <w:r w:rsidR="008041D7" w:rsidRPr="00D03260">
              <w:rPr>
                <w:noProof/>
                <w:webHidden/>
              </w:rPr>
              <w:fldChar w:fldCharType="separate"/>
            </w:r>
            <w:r w:rsidR="008041D7" w:rsidRPr="00D03260">
              <w:rPr>
                <w:noProof/>
                <w:webHidden/>
              </w:rPr>
              <w:t>56</w:t>
            </w:r>
            <w:r w:rsidR="008041D7" w:rsidRPr="00D03260">
              <w:rPr>
                <w:noProof/>
                <w:webHidden/>
              </w:rPr>
              <w:fldChar w:fldCharType="end"/>
            </w:r>
          </w:hyperlink>
        </w:p>
        <w:p w14:paraId="28EAABDB" w14:textId="097C5650"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48" w:history="1">
            <w:r w:rsidR="008041D7" w:rsidRPr="00D03260">
              <w:rPr>
                <w:rStyle w:val="Hyperlink"/>
                <w:noProof/>
              </w:rPr>
              <w:t>Wheeze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_Toc141885948 \h </w:instrText>
            </w:r>
            <w:r w:rsidR="008041D7" w:rsidRPr="00D03260">
              <w:rPr>
                <w:noProof/>
                <w:webHidden/>
              </w:rPr>
            </w:r>
            <w:r w:rsidR="008041D7" w:rsidRPr="00D03260">
              <w:rPr>
                <w:noProof/>
                <w:webHidden/>
              </w:rPr>
              <w:fldChar w:fldCharType="separate"/>
            </w:r>
            <w:r w:rsidR="008041D7" w:rsidRPr="00D03260">
              <w:rPr>
                <w:noProof/>
                <w:webHidden/>
              </w:rPr>
              <w:t>57</w:t>
            </w:r>
            <w:r w:rsidR="008041D7" w:rsidRPr="00D03260">
              <w:rPr>
                <w:noProof/>
                <w:webHidden/>
              </w:rPr>
              <w:fldChar w:fldCharType="end"/>
            </w:r>
          </w:hyperlink>
        </w:p>
        <w:p w14:paraId="4DCFB558" w14:textId="58C308AD"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49" w:history="1">
            <w:r w:rsidR="008041D7" w:rsidRPr="00D03260">
              <w:rPr>
                <w:rStyle w:val="Hyperlink"/>
                <w:noProof/>
              </w:rPr>
              <w:t>Cough</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_Toc141885949 \h </w:instrText>
            </w:r>
            <w:r w:rsidR="008041D7" w:rsidRPr="00D03260">
              <w:rPr>
                <w:noProof/>
                <w:webHidden/>
              </w:rPr>
            </w:r>
            <w:r w:rsidR="008041D7" w:rsidRPr="00D03260">
              <w:rPr>
                <w:noProof/>
                <w:webHidden/>
              </w:rPr>
              <w:fldChar w:fldCharType="separate"/>
            </w:r>
            <w:r w:rsidR="008041D7" w:rsidRPr="00D03260">
              <w:rPr>
                <w:noProof/>
                <w:webHidden/>
              </w:rPr>
              <w:t>57</w:t>
            </w:r>
            <w:r w:rsidR="008041D7" w:rsidRPr="00D03260">
              <w:rPr>
                <w:noProof/>
                <w:webHidden/>
              </w:rPr>
              <w:fldChar w:fldCharType="end"/>
            </w:r>
          </w:hyperlink>
        </w:p>
        <w:p w14:paraId="346CC111" w14:textId="45DAAD2B"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50" w:history="1">
            <w:r w:rsidR="008041D7" w:rsidRPr="00D03260">
              <w:rPr>
                <w:rStyle w:val="Hyperlink"/>
                <w:noProof/>
              </w:rPr>
              <w:t>Dyspnoea</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_Toc141885950 \h </w:instrText>
            </w:r>
            <w:r w:rsidR="008041D7" w:rsidRPr="00D03260">
              <w:rPr>
                <w:noProof/>
                <w:webHidden/>
              </w:rPr>
            </w:r>
            <w:r w:rsidR="008041D7" w:rsidRPr="00D03260">
              <w:rPr>
                <w:noProof/>
                <w:webHidden/>
              </w:rPr>
              <w:fldChar w:fldCharType="separate"/>
            </w:r>
            <w:r w:rsidR="008041D7" w:rsidRPr="00D03260">
              <w:rPr>
                <w:noProof/>
                <w:webHidden/>
              </w:rPr>
              <w:t>57</w:t>
            </w:r>
            <w:r w:rsidR="008041D7" w:rsidRPr="00D03260">
              <w:rPr>
                <w:noProof/>
                <w:webHidden/>
              </w:rPr>
              <w:fldChar w:fldCharType="end"/>
            </w:r>
          </w:hyperlink>
        </w:p>
        <w:p w14:paraId="4B3789AF" w14:textId="773F9E86"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51" w:history="1">
            <w:r w:rsidR="008041D7" w:rsidRPr="00D03260">
              <w:rPr>
                <w:rStyle w:val="Hyperlink"/>
                <w:noProof/>
              </w:rPr>
              <w:t>Bronchitis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_Toc141885951 \h </w:instrText>
            </w:r>
            <w:r w:rsidR="008041D7" w:rsidRPr="00D03260">
              <w:rPr>
                <w:noProof/>
                <w:webHidden/>
              </w:rPr>
            </w:r>
            <w:r w:rsidR="008041D7" w:rsidRPr="00D03260">
              <w:rPr>
                <w:noProof/>
                <w:webHidden/>
              </w:rPr>
              <w:fldChar w:fldCharType="separate"/>
            </w:r>
            <w:r w:rsidR="008041D7" w:rsidRPr="00D03260">
              <w:rPr>
                <w:noProof/>
                <w:webHidden/>
              </w:rPr>
              <w:t>58</w:t>
            </w:r>
            <w:r w:rsidR="008041D7" w:rsidRPr="00D03260">
              <w:rPr>
                <w:noProof/>
                <w:webHidden/>
              </w:rPr>
              <w:fldChar w:fldCharType="end"/>
            </w:r>
          </w:hyperlink>
        </w:p>
        <w:p w14:paraId="2CA9D69E" w14:textId="70474C85"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52" w:history="1">
            <w:r w:rsidR="008041D7" w:rsidRPr="00D03260">
              <w:rPr>
                <w:rStyle w:val="Hyperlink"/>
                <w:noProof/>
              </w:rPr>
              <w:t>Rhinitis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_Toc141885952 \h </w:instrText>
            </w:r>
            <w:r w:rsidR="008041D7" w:rsidRPr="00D03260">
              <w:rPr>
                <w:noProof/>
                <w:webHidden/>
              </w:rPr>
            </w:r>
            <w:r w:rsidR="008041D7" w:rsidRPr="00D03260">
              <w:rPr>
                <w:noProof/>
                <w:webHidden/>
              </w:rPr>
              <w:fldChar w:fldCharType="separate"/>
            </w:r>
            <w:r w:rsidR="008041D7" w:rsidRPr="00D03260">
              <w:rPr>
                <w:noProof/>
                <w:webHidden/>
              </w:rPr>
              <w:t>58</w:t>
            </w:r>
            <w:r w:rsidR="008041D7" w:rsidRPr="00D03260">
              <w:rPr>
                <w:noProof/>
                <w:webHidden/>
              </w:rPr>
              <w:fldChar w:fldCharType="end"/>
            </w:r>
          </w:hyperlink>
        </w:p>
        <w:p w14:paraId="0A9B2F49" w14:textId="5C6C174A"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53" w:history="1">
            <w:r w:rsidR="008041D7" w:rsidRPr="00D03260">
              <w:rPr>
                <w:rStyle w:val="Hyperlink"/>
                <w:noProof/>
              </w:rPr>
              <w:t>Upper respiratory tract symptoms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_Toc141885953 \h </w:instrText>
            </w:r>
            <w:r w:rsidR="008041D7" w:rsidRPr="00D03260">
              <w:rPr>
                <w:noProof/>
                <w:webHidden/>
              </w:rPr>
            </w:r>
            <w:r w:rsidR="008041D7" w:rsidRPr="00D03260">
              <w:rPr>
                <w:noProof/>
                <w:webHidden/>
              </w:rPr>
              <w:fldChar w:fldCharType="separate"/>
            </w:r>
            <w:r w:rsidR="008041D7" w:rsidRPr="00D03260">
              <w:rPr>
                <w:noProof/>
                <w:webHidden/>
              </w:rPr>
              <w:t>58</w:t>
            </w:r>
            <w:r w:rsidR="008041D7" w:rsidRPr="00D03260">
              <w:rPr>
                <w:noProof/>
                <w:webHidden/>
              </w:rPr>
              <w:fldChar w:fldCharType="end"/>
            </w:r>
          </w:hyperlink>
        </w:p>
        <w:p w14:paraId="7E71CCB9" w14:textId="6A770224"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54" w:history="1">
            <w:r w:rsidR="008041D7" w:rsidRPr="00D03260">
              <w:rPr>
                <w:rStyle w:val="Hyperlink"/>
                <w:noProof/>
              </w:rPr>
              <w:t>Eczema</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_Toc141885954 \h </w:instrText>
            </w:r>
            <w:r w:rsidR="008041D7" w:rsidRPr="00D03260">
              <w:rPr>
                <w:noProof/>
                <w:webHidden/>
              </w:rPr>
            </w:r>
            <w:r w:rsidR="008041D7" w:rsidRPr="00D03260">
              <w:rPr>
                <w:noProof/>
                <w:webHidden/>
              </w:rPr>
              <w:fldChar w:fldCharType="separate"/>
            </w:r>
            <w:r w:rsidR="008041D7" w:rsidRPr="00D03260">
              <w:rPr>
                <w:noProof/>
                <w:webHidden/>
              </w:rPr>
              <w:t>59</w:t>
            </w:r>
            <w:r w:rsidR="008041D7" w:rsidRPr="00D03260">
              <w:rPr>
                <w:noProof/>
                <w:webHidden/>
              </w:rPr>
              <w:fldChar w:fldCharType="end"/>
            </w:r>
          </w:hyperlink>
        </w:p>
        <w:p w14:paraId="6EC7C0CD" w14:textId="4762927B"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55" w:history="1">
            <w:r w:rsidR="008041D7" w:rsidRPr="00D03260">
              <w:rPr>
                <w:rStyle w:val="Hyperlink"/>
                <w:noProof/>
              </w:rPr>
              <w:t>Appendix B: Less likely differential diagnoses or symptoms: Health effects for which there is limited or suggested evidenced of association with exposure to indoor damp and mould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_Toc141885955 \h </w:instrText>
            </w:r>
            <w:r w:rsidR="008041D7" w:rsidRPr="00D03260">
              <w:rPr>
                <w:noProof/>
                <w:webHidden/>
              </w:rPr>
            </w:r>
            <w:r w:rsidR="008041D7" w:rsidRPr="00D03260">
              <w:rPr>
                <w:noProof/>
                <w:webHidden/>
              </w:rPr>
              <w:fldChar w:fldCharType="separate"/>
            </w:r>
            <w:r w:rsidR="008041D7" w:rsidRPr="00D03260">
              <w:rPr>
                <w:noProof/>
                <w:webHidden/>
              </w:rPr>
              <w:t>60</w:t>
            </w:r>
            <w:r w:rsidR="008041D7" w:rsidRPr="00D03260">
              <w:rPr>
                <w:noProof/>
                <w:webHidden/>
              </w:rPr>
              <w:fldChar w:fldCharType="end"/>
            </w:r>
          </w:hyperlink>
        </w:p>
        <w:p w14:paraId="003C7263" w14:textId="2F7C5F04"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56" w:history="1">
            <w:r w:rsidR="008041D7" w:rsidRPr="00D03260">
              <w:rPr>
                <w:rStyle w:val="Hyperlink"/>
                <w:noProof/>
              </w:rPr>
              <w:t>Common cold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_Toc141885956 \h </w:instrText>
            </w:r>
            <w:r w:rsidR="008041D7" w:rsidRPr="00D03260">
              <w:rPr>
                <w:noProof/>
                <w:webHidden/>
              </w:rPr>
            </w:r>
            <w:r w:rsidR="008041D7" w:rsidRPr="00D03260">
              <w:rPr>
                <w:noProof/>
                <w:webHidden/>
              </w:rPr>
              <w:fldChar w:fldCharType="separate"/>
            </w:r>
            <w:r w:rsidR="008041D7" w:rsidRPr="00D03260">
              <w:rPr>
                <w:noProof/>
                <w:webHidden/>
              </w:rPr>
              <w:t>60</w:t>
            </w:r>
            <w:r w:rsidR="008041D7" w:rsidRPr="00D03260">
              <w:rPr>
                <w:noProof/>
                <w:webHidden/>
              </w:rPr>
              <w:fldChar w:fldCharType="end"/>
            </w:r>
          </w:hyperlink>
        </w:p>
        <w:p w14:paraId="29FCE176" w14:textId="0FE9BB8D"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57" w:history="1">
            <w:r w:rsidR="008041D7" w:rsidRPr="00D03260">
              <w:rPr>
                <w:rStyle w:val="Hyperlink"/>
                <w:noProof/>
              </w:rPr>
              <w:t>Allergy/atopy (excluding rhinitis and eczema)</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_Toc141885957 \h </w:instrText>
            </w:r>
            <w:r w:rsidR="008041D7" w:rsidRPr="00D03260">
              <w:rPr>
                <w:noProof/>
                <w:webHidden/>
              </w:rPr>
            </w:r>
            <w:r w:rsidR="008041D7" w:rsidRPr="00D03260">
              <w:rPr>
                <w:noProof/>
                <w:webHidden/>
              </w:rPr>
              <w:fldChar w:fldCharType="separate"/>
            </w:r>
            <w:r w:rsidR="008041D7" w:rsidRPr="00D03260">
              <w:rPr>
                <w:noProof/>
                <w:webHidden/>
              </w:rPr>
              <w:t>60</w:t>
            </w:r>
            <w:r w:rsidR="008041D7" w:rsidRPr="00D03260">
              <w:rPr>
                <w:noProof/>
                <w:webHidden/>
              </w:rPr>
              <w:fldChar w:fldCharType="end"/>
            </w:r>
          </w:hyperlink>
        </w:p>
        <w:p w14:paraId="656226C3" w14:textId="22A125CA"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58" w:history="1">
            <w:r w:rsidR="008041D7" w:rsidRPr="00D03260">
              <w:rPr>
                <w:rStyle w:val="Hyperlink"/>
                <w:noProof/>
              </w:rPr>
              <w:t>Irritant effects (mucous membrane irritation)</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_Toc141885958 \h </w:instrText>
            </w:r>
            <w:r w:rsidR="008041D7" w:rsidRPr="00D03260">
              <w:rPr>
                <w:noProof/>
                <w:webHidden/>
              </w:rPr>
            </w:r>
            <w:r w:rsidR="008041D7" w:rsidRPr="00D03260">
              <w:rPr>
                <w:noProof/>
                <w:webHidden/>
              </w:rPr>
              <w:fldChar w:fldCharType="separate"/>
            </w:r>
            <w:r w:rsidR="008041D7" w:rsidRPr="00D03260">
              <w:rPr>
                <w:noProof/>
                <w:webHidden/>
              </w:rPr>
              <w:t>60</w:t>
            </w:r>
            <w:r w:rsidR="008041D7" w:rsidRPr="00D03260">
              <w:rPr>
                <w:noProof/>
                <w:webHidden/>
              </w:rPr>
              <w:fldChar w:fldCharType="end"/>
            </w:r>
          </w:hyperlink>
        </w:p>
        <w:p w14:paraId="0175E63A" w14:textId="44A9EBEF"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59" w:history="1">
            <w:r w:rsidR="008041D7" w:rsidRPr="00D03260">
              <w:rPr>
                <w:rStyle w:val="Hyperlink"/>
                <w:noProof/>
              </w:rPr>
              <w:t>Appendix C: Unlikely differential diagnoses or symptoms: Health effects for which there is inadequate or insufficient evidence of an association with indoor damp and mould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_Toc141885959 \h </w:instrText>
            </w:r>
            <w:r w:rsidR="008041D7" w:rsidRPr="00D03260">
              <w:rPr>
                <w:noProof/>
                <w:webHidden/>
              </w:rPr>
            </w:r>
            <w:r w:rsidR="008041D7" w:rsidRPr="00D03260">
              <w:rPr>
                <w:noProof/>
                <w:webHidden/>
              </w:rPr>
              <w:fldChar w:fldCharType="separate"/>
            </w:r>
            <w:r w:rsidR="008041D7" w:rsidRPr="00D03260">
              <w:rPr>
                <w:noProof/>
                <w:webHidden/>
              </w:rPr>
              <w:t>62</w:t>
            </w:r>
            <w:r w:rsidR="008041D7" w:rsidRPr="00D03260">
              <w:rPr>
                <w:noProof/>
                <w:webHidden/>
              </w:rPr>
              <w:fldChar w:fldCharType="end"/>
            </w:r>
          </w:hyperlink>
        </w:p>
        <w:p w14:paraId="230DFB51" w14:textId="31FF2E8D"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60" w:history="1">
            <w:r w:rsidR="008041D7" w:rsidRPr="00D03260">
              <w:rPr>
                <w:rStyle w:val="Hyperlink"/>
                <w:noProof/>
              </w:rPr>
              <w:t>Acute idiopathic pulmonary haemorrhage in infants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_Toc141885960 \h </w:instrText>
            </w:r>
            <w:r w:rsidR="008041D7" w:rsidRPr="00D03260">
              <w:rPr>
                <w:noProof/>
                <w:webHidden/>
              </w:rPr>
            </w:r>
            <w:r w:rsidR="008041D7" w:rsidRPr="00D03260">
              <w:rPr>
                <w:noProof/>
                <w:webHidden/>
              </w:rPr>
              <w:fldChar w:fldCharType="separate"/>
            </w:r>
            <w:r w:rsidR="008041D7" w:rsidRPr="00D03260">
              <w:rPr>
                <w:noProof/>
                <w:webHidden/>
              </w:rPr>
              <w:t>62</w:t>
            </w:r>
            <w:r w:rsidR="008041D7" w:rsidRPr="00D03260">
              <w:rPr>
                <w:noProof/>
                <w:webHidden/>
              </w:rPr>
              <w:fldChar w:fldCharType="end"/>
            </w:r>
          </w:hyperlink>
        </w:p>
        <w:p w14:paraId="6A6F0766" w14:textId="4B1C8DDA"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61" w:history="1">
            <w:r w:rsidR="008041D7" w:rsidRPr="00D03260">
              <w:rPr>
                <w:rStyle w:val="Hyperlink"/>
                <w:noProof/>
              </w:rPr>
              <w:t>Altered lung function/airway obstruction</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_Toc141885961 \h </w:instrText>
            </w:r>
            <w:r w:rsidR="008041D7" w:rsidRPr="00D03260">
              <w:rPr>
                <w:noProof/>
                <w:webHidden/>
              </w:rPr>
            </w:r>
            <w:r w:rsidR="008041D7" w:rsidRPr="00D03260">
              <w:rPr>
                <w:noProof/>
                <w:webHidden/>
              </w:rPr>
              <w:fldChar w:fldCharType="separate"/>
            </w:r>
            <w:r w:rsidR="008041D7" w:rsidRPr="00D03260">
              <w:rPr>
                <w:noProof/>
                <w:webHidden/>
              </w:rPr>
              <w:t>62</w:t>
            </w:r>
            <w:r w:rsidR="008041D7" w:rsidRPr="00D03260">
              <w:rPr>
                <w:noProof/>
                <w:webHidden/>
              </w:rPr>
              <w:fldChar w:fldCharType="end"/>
            </w:r>
          </w:hyperlink>
        </w:p>
        <w:p w14:paraId="407BC981" w14:textId="4F087417"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62" w:history="1">
            <w:r w:rsidR="008041D7" w:rsidRPr="00D03260">
              <w:rPr>
                <w:rStyle w:val="Hyperlink"/>
                <w:noProof/>
              </w:rPr>
              <w:t>Cancer</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_Toc141885962 \h </w:instrText>
            </w:r>
            <w:r w:rsidR="008041D7" w:rsidRPr="00D03260">
              <w:rPr>
                <w:noProof/>
                <w:webHidden/>
              </w:rPr>
            </w:r>
            <w:r w:rsidR="008041D7" w:rsidRPr="00D03260">
              <w:rPr>
                <w:noProof/>
                <w:webHidden/>
              </w:rPr>
              <w:fldChar w:fldCharType="separate"/>
            </w:r>
            <w:r w:rsidR="008041D7" w:rsidRPr="00D03260">
              <w:rPr>
                <w:noProof/>
                <w:webHidden/>
              </w:rPr>
              <w:t>63</w:t>
            </w:r>
            <w:r w:rsidR="008041D7" w:rsidRPr="00D03260">
              <w:rPr>
                <w:noProof/>
                <w:webHidden/>
              </w:rPr>
              <w:fldChar w:fldCharType="end"/>
            </w:r>
          </w:hyperlink>
        </w:p>
        <w:p w14:paraId="67EE3C2B" w14:textId="225C1AF2"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63" w:history="1">
            <w:r w:rsidR="008041D7" w:rsidRPr="00D03260">
              <w:rPr>
                <w:rStyle w:val="Hyperlink"/>
                <w:noProof/>
              </w:rPr>
              <w:t>COPD (development of COPD)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_Toc141885963 \h </w:instrText>
            </w:r>
            <w:r w:rsidR="008041D7" w:rsidRPr="00D03260">
              <w:rPr>
                <w:noProof/>
                <w:webHidden/>
              </w:rPr>
            </w:r>
            <w:r w:rsidR="008041D7" w:rsidRPr="00D03260">
              <w:rPr>
                <w:noProof/>
                <w:webHidden/>
              </w:rPr>
              <w:fldChar w:fldCharType="separate"/>
            </w:r>
            <w:r w:rsidR="008041D7" w:rsidRPr="00D03260">
              <w:rPr>
                <w:noProof/>
                <w:webHidden/>
              </w:rPr>
              <w:t>63</w:t>
            </w:r>
            <w:r w:rsidR="008041D7" w:rsidRPr="00D03260">
              <w:rPr>
                <w:noProof/>
                <w:webHidden/>
              </w:rPr>
              <w:fldChar w:fldCharType="end"/>
            </w:r>
          </w:hyperlink>
        </w:p>
        <w:p w14:paraId="39872373" w14:textId="1485D7A2"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64" w:history="1">
            <w:r w:rsidR="008041D7" w:rsidRPr="00D03260">
              <w:rPr>
                <w:rStyle w:val="Hyperlink"/>
                <w:noProof/>
              </w:rPr>
              <w:t>Rheumatic disorders and autoimmune diseases/autoimmunity</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_Toc141885964 \h </w:instrText>
            </w:r>
            <w:r w:rsidR="008041D7" w:rsidRPr="00D03260">
              <w:rPr>
                <w:noProof/>
                <w:webHidden/>
              </w:rPr>
            </w:r>
            <w:r w:rsidR="008041D7" w:rsidRPr="00D03260">
              <w:rPr>
                <w:noProof/>
                <w:webHidden/>
              </w:rPr>
              <w:fldChar w:fldCharType="separate"/>
            </w:r>
            <w:r w:rsidR="008041D7" w:rsidRPr="00D03260">
              <w:rPr>
                <w:noProof/>
                <w:webHidden/>
              </w:rPr>
              <w:t>63</w:t>
            </w:r>
            <w:r w:rsidR="008041D7" w:rsidRPr="00D03260">
              <w:rPr>
                <w:noProof/>
                <w:webHidden/>
              </w:rPr>
              <w:fldChar w:fldCharType="end"/>
            </w:r>
          </w:hyperlink>
        </w:p>
        <w:p w14:paraId="1067C6DA" w14:textId="04D7F762"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65" w:history="1">
            <w:r w:rsidR="008041D7" w:rsidRPr="00D03260">
              <w:rPr>
                <w:rStyle w:val="Hyperlink"/>
                <w:noProof/>
              </w:rPr>
              <w:t>Reproductive effects, gastrointestinal effects, renal effects, and teratogenicity</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_Toc141885965 \h </w:instrText>
            </w:r>
            <w:r w:rsidR="008041D7" w:rsidRPr="00D03260">
              <w:rPr>
                <w:noProof/>
                <w:webHidden/>
              </w:rPr>
            </w:r>
            <w:r w:rsidR="008041D7" w:rsidRPr="00D03260">
              <w:rPr>
                <w:noProof/>
                <w:webHidden/>
              </w:rPr>
              <w:fldChar w:fldCharType="separate"/>
            </w:r>
            <w:r w:rsidR="008041D7" w:rsidRPr="00D03260">
              <w:rPr>
                <w:noProof/>
                <w:webHidden/>
              </w:rPr>
              <w:t>64</w:t>
            </w:r>
            <w:r w:rsidR="008041D7" w:rsidRPr="00D03260">
              <w:rPr>
                <w:noProof/>
                <w:webHidden/>
              </w:rPr>
              <w:fldChar w:fldCharType="end"/>
            </w:r>
          </w:hyperlink>
        </w:p>
        <w:p w14:paraId="78444506" w14:textId="3C8EF532"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66" w:history="1">
            <w:r w:rsidR="008041D7" w:rsidRPr="00D03260">
              <w:rPr>
                <w:rStyle w:val="Hyperlink"/>
                <w:noProof/>
              </w:rPr>
              <w:t>Sarcoidosis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_Toc141885966 \h </w:instrText>
            </w:r>
            <w:r w:rsidR="008041D7" w:rsidRPr="00D03260">
              <w:rPr>
                <w:noProof/>
                <w:webHidden/>
              </w:rPr>
            </w:r>
            <w:r w:rsidR="008041D7" w:rsidRPr="00D03260">
              <w:rPr>
                <w:noProof/>
                <w:webHidden/>
              </w:rPr>
              <w:fldChar w:fldCharType="separate"/>
            </w:r>
            <w:r w:rsidR="008041D7" w:rsidRPr="00D03260">
              <w:rPr>
                <w:noProof/>
                <w:webHidden/>
              </w:rPr>
              <w:t>65</w:t>
            </w:r>
            <w:r w:rsidR="008041D7" w:rsidRPr="00D03260">
              <w:rPr>
                <w:noProof/>
                <w:webHidden/>
              </w:rPr>
              <w:fldChar w:fldCharType="end"/>
            </w:r>
          </w:hyperlink>
        </w:p>
        <w:p w14:paraId="6E190158" w14:textId="3EC00D83"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67" w:history="1">
            <w:r w:rsidR="008041D7" w:rsidRPr="00D03260">
              <w:rPr>
                <w:rStyle w:val="Hyperlink"/>
                <w:noProof/>
              </w:rPr>
              <w:t>Skin problems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_Toc141885967 \h </w:instrText>
            </w:r>
            <w:r w:rsidR="008041D7" w:rsidRPr="00D03260">
              <w:rPr>
                <w:noProof/>
                <w:webHidden/>
              </w:rPr>
            </w:r>
            <w:r w:rsidR="008041D7" w:rsidRPr="00D03260">
              <w:rPr>
                <w:noProof/>
                <w:webHidden/>
              </w:rPr>
              <w:fldChar w:fldCharType="separate"/>
            </w:r>
            <w:r w:rsidR="008041D7" w:rsidRPr="00D03260">
              <w:rPr>
                <w:noProof/>
                <w:webHidden/>
              </w:rPr>
              <w:t>65</w:t>
            </w:r>
            <w:r w:rsidR="008041D7" w:rsidRPr="00D03260">
              <w:rPr>
                <w:noProof/>
                <w:webHidden/>
              </w:rPr>
              <w:fldChar w:fldCharType="end"/>
            </w:r>
          </w:hyperlink>
        </w:p>
        <w:p w14:paraId="50558B13" w14:textId="4CBC0543"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68" w:history="1">
            <w:r w:rsidR="008041D7" w:rsidRPr="00D03260">
              <w:rPr>
                <w:rStyle w:val="Hyperlink"/>
                <w:noProof/>
              </w:rPr>
              <w:t>Neuropsychological, neuropsychiatric and neurotoxic effects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_Toc141885968 \h </w:instrText>
            </w:r>
            <w:r w:rsidR="008041D7" w:rsidRPr="00D03260">
              <w:rPr>
                <w:noProof/>
                <w:webHidden/>
              </w:rPr>
            </w:r>
            <w:r w:rsidR="008041D7" w:rsidRPr="00D03260">
              <w:rPr>
                <w:noProof/>
                <w:webHidden/>
              </w:rPr>
              <w:fldChar w:fldCharType="separate"/>
            </w:r>
            <w:r w:rsidR="008041D7" w:rsidRPr="00D03260">
              <w:rPr>
                <w:noProof/>
                <w:webHidden/>
              </w:rPr>
              <w:t>65</w:t>
            </w:r>
            <w:r w:rsidR="008041D7" w:rsidRPr="00D03260">
              <w:rPr>
                <w:noProof/>
                <w:webHidden/>
              </w:rPr>
              <w:fldChar w:fldCharType="end"/>
            </w:r>
          </w:hyperlink>
        </w:p>
        <w:p w14:paraId="7CC52659" w14:textId="6FF23167"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69" w:history="1">
            <w:r w:rsidR="008041D7" w:rsidRPr="00D03260">
              <w:rPr>
                <w:rStyle w:val="Hyperlink"/>
                <w:noProof/>
              </w:rPr>
              <w:t>Sleep issues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_Toc141885969 \h </w:instrText>
            </w:r>
            <w:r w:rsidR="008041D7" w:rsidRPr="00D03260">
              <w:rPr>
                <w:noProof/>
                <w:webHidden/>
              </w:rPr>
            </w:r>
            <w:r w:rsidR="008041D7" w:rsidRPr="00D03260">
              <w:rPr>
                <w:noProof/>
                <w:webHidden/>
              </w:rPr>
              <w:fldChar w:fldCharType="separate"/>
            </w:r>
            <w:r w:rsidR="008041D7" w:rsidRPr="00D03260">
              <w:rPr>
                <w:noProof/>
                <w:webHidden/>
              </w:rPr>
              <w:t>67</w:t>
            </w:r>
            <w:r w:rsidR="008041D7" w:rsidRPr="00D03260">
              <w:rPr>
                <w:noProof/>
                <w:webHidden/>
              </w:rPr>
              <w:fldChar w:fldCharType="end"/>
            </w:r>
          </w:hyperlink>
        </w:p>
        <w:p w14:paraId="325D2B5B" w14:textId="2C3E85E6"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70" w:history="1">
            <w:r w:rsidR="008041D7" w:rsidRPr="00D03260">
              <w:rPr>
                <w:rStyle w:val="Hyperlink"/>
                <w:noProof/>
              </w:rPr>
              <w:t>Fatigue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_Toc141885970 \h </w:instrText>
            </w:r>
            <w:r w:rsidR="008041D7" w:rsidRPr="00D03260">
              <w:rPr>
                <w:noProof/>
                <w:webHidden/>
              </w:rPr>
            </w:r>
            <w:r w:rsidR="008041D7" w:rsidRPr="00D03260">
              <w:rPr>
                <w:noProof/>
                <w:webHidden/>
              </w:rPr>
              <w:fldChar w:fldCharType="separate"/>
            </w:r>
            <w:r w:rsidR="008041D7" w:rsidRPr="00D03260">
              <w:rPr>
                <w:noProof/>
                <w:webHidden/>
              </w:rPr>
              <w:t>67</w:t>
            </w:r>
            <w:r w:rsidR="008041D7" w:rsidRPr="00D03260">
              <w:rPr>
                <w:noProof/>
                <w:webHidden/>
              </w:rPr>
              <w:fldChar w:fldCharType="end"/>
            </w:r>
          </w:hyperlink>
        </w:p>
        <w:p w14:paraId="3B5501D3" w14:textId="57FBF318"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71" w:history="1">
            <w:r w:rsidR="008041D7" w:rsidRPr="00D03260">
              <w:rPr>
                <w:rStyle w:val="Hyperlink"/>
                <w:noProof/>
              </w:rPr>
              <w:t>Mood disorders, non-specific symptoms, impairment of well-being, and odour effects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_Toc141885971 \h </w:instrText>
            </w:r>
            <w:r w:rsidR="008041D7" w:rsidRPr="00D03260">
              <w:rPr>
                <w:noProof/>
                <w:webHidden/>
              </w:rPr>
            </w:r>
            <w:r w:rsidR="008041D7" w:rsidRPr="00D03260">
              <w:rPr>
                <w:noProof/>
                <w:webHidden/>
              </w:rPr>
              <w:fldChar w:fldCharType="separate"/>
            </w:r>
            <w:r w:rsidR="008041D7" w:rsidRPr="00D03260">
              <w:rPr>
                <w:noProof/>
                <w:webHidden/>
              </w:rPr>
              <w:t>67</w:t>
            </w:r>
            <w:r w:rsidR="008041D7" w:rsidRPr="00D03260">
              <w:rPr>
                <w:noProof/>
                <w:webHidden/>
              </w:rPr>
              <w:fldChar w:fldCharType="end"/>
            </w:r>
          </w:hyperlink>
        </w:p>
        <w:p w14:paraId="4733C53B" w14:textId="472360E2"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72" w:history="1">
            <w:r w:rsidR="008041D7" w:rsidRPr="00D03260">
              <w:rPr>
                <w:rStyle w:val="Hyperlink"/>
                <w:noProof/>
              </w:rPr>
              <w:t>Odour effects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_Toc141885972 \h </w:instrText>
            </w:r>
            <w:r w:rsidR="008041D7" w:rsidRPr="00D03260">
              <w:rPr>
                <w:noProof/>
                <w:webHidden/>
              </w:rPr>
            </w:r>
            <w:r w:rsidR="008041D7" w:rsidRPr="00D03260">
              <w:rPr>
                <w:noProof/>
                <w:webHidden/>
              </w:rPr>
              <w:fldChar w:fldCharType="separate"/>
            </w:r>
            <w:r w:rsidR="008041D7" w:rsidRPr="00D03260">
              <w:rPr>
                <w:noProof/>
                <w:webHidden/>
              </w:rPr>
              <w:t>67</w:t>
            </w:r>
            <w:r w:rsidR="008041D7" w:rsidRPr="00D03260">
              <w:rPr>
                <w:noProof/>
                <w:webHidden/>
              </w:rPr>
              <w:fldChar w:fldCharType="end"/>
            </w:r>
          </w:hyperlink>
        </w:p>
        <w:p w14:paraId="28225083" w14:textId="7212973D"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73" w:history="1">
            <w:r w:rsidR="008041D7" w:rsidRPr="00D03260">
              <w:rPr>
                <w:rStyle w:val="Hyperlink"/>
                <w:noProof/>
              </w:rPr>
              <w:t>Non-specific building related syndrome (NBRS-formally called SBS) and chemical intolerance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_Toc141885973 \h </w:instrText>
            </w:r>
            <w:r w:rsidR="008041D7" w:rsidRPr="00D03260">
              <w:rPr>
                <w:noProof/>
                <w:webHidden/>
              </w:rPr>
            </w:r>
            <w:r w:rsidR="008041D7" w:rsidRPr="00D03260">
              <w:rPr>
                <w:noProof/>
                <w:webHidden/>
              </w:rPr>
              <w:fldChar w:fldCharType="separate"/>
            </w:r>
            <w:r w:rsidR="008041D7" w:rsidRPr="00D03260">
              <w:rPr>
                <w:noProof/>
                <w:webHidden/>
              </w:rPr>
              <w:t>68</w:t>
            </w:r>
            <w:r w:rsidR="008041D7" w:rsidRPr="00D03260">
              <w:rPr>
                <w:noProof/>
                <w:webHidden/>
              </w:rPr>
              <w:fldChar w:fldCharType="end"/>
            </w:r>
          </w:hyperlink>
        </w:p>
        <w:p w14:paraId="47777088" w14:textId="55967F9A"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74" w:history="1">
            <w:r w:rsidR="008041D7" w:rsidRPr="00D03260">
              <w:rPr>
                <w:rStyle w:val="Hyperlink"/>
                <w:noProof/>
              </w:rPr>
              <w:t>Mycotoxicosis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_Toc141885974 \h </w:instrText>
            </w:r>
            <w:r w:rsidR="008041D7" w:rsidRPr="00D03260">
              <w:rPr>
                <w:noProof/>
                <w:webHidden/>
              </w:rPr>
            </w:r>
            <w:r w:rsidR="008041D7" w:rsidRPr="00D03260">
              <w:rPr>
                <w:noProof/>
                <w:webHidden/>
              </w:rPr>
              <w:fldChar w:fldCharType="separate"/>
            </w:r>
            <w:r w:rsidR="008041D7" w:rsidRPr="00D03260">
              <w:rPr>
                <w:noProof/>
                <w:webHidden/>
              </w:rPr>
              <w:t>69</w:t>
            </w:r>
            <w:r w:rsidR="008041D7" w:rsidRPr="00D03260">
              <w:rPr>
                <w:noProof/>
                <w:webHidden/>
              </w:rPr>
              <w:fldChar w:fldCharType="end"/>
            </w:r>
          </w:hyperlink>
        </w:p>
        <w:p w14:paraId="4C24DB0F" w14:textId="5171B629"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75" w:history="1">
            <w:r w:rsidR="008041D7" w:rsidRPr="00D03260">
              <w:rPr>
                <w:rStyle w:val="Hyperlink"/>
                <w:noProof/>
              </w:rPr>
              <w:t>Concerns about unvalidated tests and testing to detect mycotoxins in humans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_Toc141885975 \h </w:instrText>
            </w:r>
            <w:r w:rsidR="008041D7" w:rsidRPr="00D03260">
              <w:rPr>
                <w:noProof/>
                <w:webHidden/>
              </w:rPr>
            </w:r>
            <w:r w:rsidR="008041D7" w:rsidRPr="00D03260">
              <w:rPr>
                <w:noProof/>
                <w:webHidden/>
              </w:rPr>
              <w:fldChar w:fldCharType="separate"/>
            </w:r>
            <w:r w:rsidR="008041D7" w:rsidRPr="00D03260">
              <w:rPr>
                <w:noProof/>
                <w:webHidden/>
              </w:rPr>
              <w:t>69</w:t>
            </w:r>
            <w:r w:rsidR="008041D7" w:rsidRPr="00D03260">
              <w:rPr>
                <w:noProof/>
                <w:webHidden/>
              </w:rPr>
              <w:fldChar w:fldCharType="end"/>
            </w:r>
          </w:hyperlink>
        </w:p>
        <w:p w14:paraId="3CF4BD7E" w14:textId="0A0C2036"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76" w:history="1">
            <w:r w:rsidR="008041D7" w:rsidRPr="00D03260">
              <w:rPr>
                <w:rStyle w:val="Hyperlink"/>
                <w:noProof/>
              </w:rPr>
              <w:t>SBS and TMS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_Toc141885976 \h </w:instrText>
            </w:r>
            <w:r w:rsidR="008041D7" w:rsidRPr="00D03260">
              <w:rPr>
                <w:noProof/>
                <w:webHidden/>
              </w:rPr>
            </w:r>
            <w:r w:rsidR="008041D7" w:rsidRPr="00D03260">
              <w:rPr>
                <w:noProof/>
                <w:webHidden/>
              </w:rPr>
              <w:fldChar w:fldCharType="separate"/>
            </w:r>
            <w:r w:rsidR="008041D7" w:rsidRPr="00D03260">
              <w:rPr>
                <w:noProof/>
                <w:webHidden/>
              </w:rPr>
              <w:t>70</w:t>
            </w:r>
            <w:r w:rsidR="008041D7" w:rsidRPr="00D03260">
              <w:rPr>
                <w:noProof/>
                <w:webHidden/>
              </w:rPr>
              <w:fldChar w:fldCharType="end"/>
            </w:r>
          </w:hyperlink>
        </w:p>
        <w:p w14:paraId="14166BF5" w14:textId="4D101805"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77" w:history="1">
            <w:r w:rsidR="008041D7" w:rsidRPr="00D03260">
              <w:rPr>
                <w:rStyle w:val="Hyperlink"/>
                <w:noProof/>
              </w:rPr>
              <w:t>CIRS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_Toc141885977 \h </w:instrText>
            </w:r>
            <w:r w:rsidR="008041D7" w:rsidRPr="00D03260">
              <w:rPr>
                <w:noProof/>
                <w:webHidden/>
              </w:rPr>
            </w:r>
            <w:r w:rsidR="008041D7" w:rsidRPr="00D03260">
              <w:rPr>
                <w:noProof/>
                <w:webHidden/>
              </w:rPr>
              <w:fldChar w:fldCharType="separate"/>
            </w:r>
            <w:r w:rsidR="008041D7" w:rsidRPr="00D03260">
              <w:rPr>
                <w:noProof/>
                <w:webHidden/>
              </w:rPr>
              <w:t>70</w:t>
            </w:r>
            <w:r w:rsidR="008041D7" w:rsidRPr="00D03260">
              <w:rPr>
                <w:noProof/>
                <w:webHidden/>
              </w:rPr>
              <w:fldChar w:fldCharType="end"/>
            </w:r>
          </w:hyperlink>
        </w:p>
        <w:p w14:paraId="3B386009" w14:textId="4D72CDFB"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78" w:history="1">
            <w:r w:rsidR="008041D7" w:rsidRPr="00D03260">
              <w:rPr>
                <w:rStyle w:val="Hyperlink"/>
                <w:noProof/>
              </w:rPr>
              <w:t>Appendix D: enHealth factsheet on Potential health effects of mould in the environment</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_Toc141885978 \h </w:instrText>
            </w:r>
            <w:r w:rsidR="008041D7" w:rsidRPr="00D03260">
              <w:rPr>
                <w:noProof/>
                <w:webHidden/>
              </w:rPr>
            </w:r>
            <w:r w:rsidR="008041D7" w:rsidRPr="00D03260">
              <w:rPr>
                <w:noProof/>
                <w:webHidden/>
              </w:rPr>
              <w:fldChar w:fldCharType="separate"/>
            </w:r>
            <w:r w:rsidR="008041D7" w:rsidRPr="00D03260">
              <w:rPr>
                <w:noProof/>
                <w:webHidden/>
              </w:rPr>
              <w:t>72</w:t>
            </w:r>
            <w:r w:rsidR="008041D7" w:rsidRPr="00D03260">
              <w:rPr>
                <w:noProof/>
                <w:webHidden/>
              </w:rPr>
              <w:fldChar w:fldCharType="end"/>
            </w:r>
          </w:hyperlink>
        </w:p>
        <w:p w14:paraId="7CC8FE6D" w14:textId="40EB2C4B"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79" w:history="1">
            <w:r w:rsidR="008041D7" w:rsidRPr="00D03260">
              <w:rPr>
                <w:rStyle w:val="Hyperlink"/>
                <w:rFonts w:ascii="Cambria" w:eastAsia="Cambria" w:hAnsi="Cambria" w:cs="Cambria"/>
                <w:b/>
                <w:bCs/>
                <w:noProof/>
              </w:rPr>
              <w:t>What</w:t>
            </w:r>
            <w:r w:rsidR="008041D7" w:rsidRPr="00D03260">
              <w:rPr>
                <w:rStyle w:val="Hyperlink"/>
                <w:rFonts w:ascii="Cambria" w:eastAsia="Cambria" w:hAnsi="Cambria" w:cs="Cambria"/>
                <w:b/>
                <w:bCs/>
                <w:noProof/>
                <w:spacing w:val="-2"/>
              </w:rPr>
              <w:t xml:space="preserve"> </w:t>
            </w:r>
            <w:r w:rsidR="008041D7" w:rsidRPr="00D03260">
              <w:rPr>
                <w:rStyle w:val="Hyperlink"/>
                <w:rFonts w:ascii="Cambria" w:eastAsia="Cambria" w:hAnsi="Cambria" w:cs="Cambria"/>
                <w:b/>
                <w:bCs/>
                <w:noProof/>
              </w:rPr>
              <w:t>is</w:t>
            </w:r>
            <w:r w:rsidR="008041D7" w:rsidRPr="00D03260">
              <w:rPr>
                <w:rStyle w:val="Hyperlink"/>
                <w:rFonts w:ascii="Cambria" w:eastAsia="Cambria" w:hAnsi="Cambria" w:cs="Cambria"/>
                <w:b/>
                <w:bCs/>
                <w:noProof/>
                <w:spacing w:val="-1"/>
              </w:rPr>
              <w:t xml:space="preserve"> </w:t>
            </w:r>
            <w:r w:rsidR="008041D7" w:rsidRPr="00D03260">
              <w:rPr>
                <w:rStyle w:val="Hyperlink"/>
                <w:rFonts w:ascii="Cambria" w:eastAsia="Cambria" w:hAnsi="Cambria" w:cs="Cambria"/>
                <w:b/>
                <w:bCs/>
                <w:noProof/>
                <w:spacing w:val="-2"/>
              </w:rPr>
              <w:t>mould?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_Toc141885979 \h </w:instrText>
            </w:r>
            <w:r w:rsidR="008041D7" w:rsidRPr="00D03260">
              <w:rPr>
                <w:noProof/>
                <w:webHidden/>
              </w:rPr>
            </w:r>
            <w:r w:rsidR="008041D7" w:rsidRPr="00D03260">
              <w:rPr>
                <w:noProof/>
                <w:webHidden/>
              </w:rPr>
              <w:fldChar w:fldCharType="separate"/>
            </w:r>
            <w:r w:rsidR="008041D7" w:rsidRPr="00D03260">
              <w:rPr>
                <w:noProof/>
                <w:webHidden/>
              </w:rPr>
              <w:t>72</w:t>
            </w:r>
            <w:r w:rsidR="008041D7" w:rsidRPr="00D03260">
              <w:rPr>
                <w:noProof/>
                <w:webHidden/>
              </w:rPr>
              <w:fldChar w:fldCharType="end"/>
            </w:r>
          </w:hyperlink>
        </w:p>
        <w:p w14:paraId="45D58E8A" w14:textId="45A5BDFB"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80" w:history="1">
            <w:r w:rsidR="008041D7" w:rsidRPr="00D03260">
              <w:rPr>
                <w:rStyle w:val="Hyperlink"/>
                <w:rFonts w:ascii="Cambria" w:eastAsia="Cambria" w:hAnsi="Cambria" w:cs="Cambria"/>
                <w:b/>
                <w:bCs/>
                <w:noProof/>
              </w:rPr>
              <w:t>How</w:t>
            </w:r>
            <w:r w:rsidR="008041D7" w:rsidRPr="00D03260">
              <w:rPr>
                <w:rStyle w:val="Hyperlink"/>
                <w:rFonts w:ascii="Cambria" w:eastAsia="Cambria" w:hAnsi="Cambria" w:cs="Cambria"/>
                <w:b/>
                <w:bCs/>
                <w:noProof/>
                <w:spacing w:val="-3"/>
              </w:rPr>
              <w:t xml:space="preserve"> </w:t>
            </w:r>
            <w:r w:rsidR="008041D7" w:rsidRPr="00D03260">
              <w:rPr>
                <w:rStyle w:val="Hyperlink"/>
                <w:rFonts w:ascii="Cambria" w:eastAsia="Cambria" w:hAnsi="Cambria" w:cs="Cambria"/>
                <w:b/>
                <w:bCs/>
                <w:noProof/>
              </w:rPr>
              <w:t>am</w:t>
            </w:r>
            <w:r w:rsidR="008041D7" w:rsidRPr="00D03260">
              <w:rPr>
                <w:rStyle w:val="Hyperlink"/>
                <w:rFonts w:ascii="Cambria" w:eastAsia="Cambria" w:hAnsi="Cambria" w:cs="Cambria"/>
                <w:b/>
                <w:bCs/>
                <w:noProof/>
                <w:spacing w:val="-5"/>
              </w:rPr>
              <w:t xml:space="preserve"> </w:t>
            </w:r>
            <w:r w:rsidR="008041D7" w:rsidRPr="00D03260">
              <w:rPr>
                <w:rStyle w:val="Hyperlink"/>
                <w:rFonts w:ascii="Cambria" w:eastAsia="Cambria" w:hAnsi="Cambria" w:cs="Cambria"/>
                <w:b/>
                <w:bCs/>
                <w:noProof/>
              </w:rPr>
              <w:t>I</w:t>
            </w:r>
            <w:r w:rsidR="008041D7" w:rsidRPr="00D03260">
              <w:rPr>
                <w:rStyle w:val="Hyperlink"/>
                <w:rFonts w:ascii="Cambria" w:eastAsia="Cambria" w:hAnsi="Cambria" w:cs="Cambria"/>
                <w:b/>
                <w:bCs/>
                <w:noProof/>
                <w:spacing w:val="-1"/>
              </w:rPr>
              <w:t xml:space="preserve"> </w:t>
            </w:r>
            <w:r w:rsidR="008041D7" w:rsidRPr="00D03260">
              <w:rPr>
                <w:rStyle w:val="Hyperlink"/>
                <w:rFonts w:ascii="Cambria" w:eastAsia="Cambria" w:hAnsi="Cambria" w:cs="Cambria"/>
                <w:b/>
                <w:bCs/>
                <w:noProof/>
              </w:rPr>
              <w:t>exposed</w:t>
            </w:r>
            <w:r w:rsidR="008041D7" w:rsidRPr="00D03260">
              <w:rPr>
                <w:rStyle w:val="Hyperlink"/>
                <w:rFonts w:ascii="Cambria" w:eastAsia="Cambria" w:hAnsi="Cambria" w:cs="Cambria"/>
                <w:b/>
                <w:bCs/>
                <w:noProof/>
                <w:spacing w:val="-4"/>
              </w:rPr>
              <w:t xml:space="preserve"> </w:t>
            </w:r>
            <w:r w:rsidR="008041D7" w:rsidRPr="00D03260">
              <w:rPr>
                <w:rStyle w:val="Hyperlink"/>
                <w:rFonts w:ascii="Cambria" w:eastAsia="Cambria" w:hAnsi="Cambria" w:cs="Cambria"/>
                <w:b/>
                <w:bCs/>
                <w:noProof/>
              </w:rPr>
              <w:t>to</w:t>
            </w:r>
            <w:r w:rsidR="008041D7" w:rsidRPr="00D03260">
              <w:rPr>
                <w:rStyle w:val="Hyperlink"/>
                <w:rFonts w:ascii="Cambria" w:eastAsia="Cambria" w:hAnsi="Cambria" w:cs="Cambria"/>
                <w:b/>
                <w:bCs/>
                <w:noProof/>
                <w:spacing w:val="-1"/>
              </w:rPr>
              <w:t xml:space="preserve"> </w:t>
            </w:r>
            <w:r w:rsidR="008041D7" w:rsidRPr="00D03260">
              <w:rPr>
                <w:rStyle w:val="Hyperlink"/>
                <w:rFonts w:ascii="Cambria" w:eastAsia="Cambria" w:hAnsi="Cambria" w:cs="Cambria"/>
                <w:b/>
                <w:bCs/>
                <w:noProof/>
                <w:spacing w:val="-2"/>
              </w:rPr>
              <w:t>mould?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_Toc141885980 \h </w:instrText>
            </w:r>
            <w:r w:rsidR="008041D7" w:rsidRPr="00D03260">
              <w:rPr>
                <w:noProof/>
                <w:webHidden/>
              </w:rPr>
            </w:r>
            <w:r w:rsidR="008041D7" w:rsidRPr="00D03260">
              <w:rPr>
                <w:noProof/>
                <w:webHidden/>
              </w:rPr>
              <w:fldChar w:fldCharType="separate"/>
            </w:r>
            <w:r w:rsidR="008041D7" w:rsidRPr="00D03260">
              <w:rPr>
                <w:noProof/>
                <w:webHidden/>
              </w:rPr>
              <w:t>72</w:t>
            </w:r>
            <w:r w:rsidR="008041D7" w:rsidRPr="00D03260">
              <w:rPr>
                <w:noProof/>
                <w:webHidden/>
              </w:rPr>
              <w:fldChar w:fldCharType="end"/>
            </w:r>
          </w:hyperlink>
        </w:p>
        <w:p w14:paraId="2CCA1030" w14:textId="1BD9499A"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81" w:history="1">
            <w:r w:rsidR="008041D7" w:rsidRPr="00D03260">
              <w:rPr>
                <w:rStyle w:val="Hyperlink"/>
                <w:rFonts w:ascii="Cambria" w:eastAsia="Cambria" w:hAnsi="Cambria" w:cs="Cambria"/>
                <w:b/>
                <w:bCs/>
                <w:noProof/>
              </w:rPr>
              <w:t>How</w:t>
            </w:r>
            <w:r w:rsidR="008041D7" w:rsidRPr="00D03260">
              <w:rPr>
                <w:rStyle w:val="Hyperlink"/>
                <w:rFonts w:ascii="Cambria" w:eastAsia="Cambria" w:hAnsi="Cambria" w:cs="Cambria"/>
                <w:b/>
                <w:bCs/>
                <w:noProof/>
                <w:spacing w:val="-4"/>
              </w:rPr>
              <w:t xml:space="preserve"> </w:t>
            </w:r>
            <w:r w:rsidR="008041D7" w:rsidRPr="00D03260">
              <w:rPr>
                <w:rStyle w:val="Hyperlink"/>
                <w:rFonts w:ascii="Cambria" w:eastAsia="Cambria" w:hAnsi="Cambria" w:cs="Cambria"/>
                <w:b/>
                <w:bCs/>
                <w:noProof/>
              </w:rPr>
              <w:t>can</w:t>
            </w:r>
            <w:r w:rsidR="008041D7" w:rsidRPr="00D03260">
              <w:rPr>
                <w:rStyle w:val="Hyperlink"/>
                <w:rFonts w:ascii="Cambria" w:eastAsia="Cambria" w:hAnsi="Cambria" w:cs="Cambria"/>
                <w:b/>
                <w:bCs/>
                <w:noProof/>
                <w:spacing w:val="-2"/>
              </w:rPr>
              <w:t xml:space="preserve"> </w:t>
            </w:r>
            <w:r w:rsidR="008041D7" w:rsidRPr="00D03260">
              <w:rPr>
                <w:rStyle w:val="Hyperlink"/>
                <w:rFonts w:ascii="Cambria" w:eastAsia="Cambria" w:hAnsi="Cambria" w:cs="Cambria"/>
                <w:b/>
                <w:bCs/>
                <w:noProof/>
              </w:rPr>
              <w:t>mould</w:t>
            </w:r>
            <w:r w:rsidR="008041D7" w:rsidRPr="00D03260">
              <w:rPr>
                <w:rStyle w:val="Hyperlink"/>
                <w:rFonts w:ascii="Cambria" w:eastAsia="Cambria" w:hAnsi="Cambria" w:cs="Cambria"/>
                <w:b/>
                <w:bCs/>
                <w:noProof/>
                <w:spacing w:val="-5"/>
              </w:rPr>
              <w:t xml:space="preserve"> </w:t>
            </w:r>
            <w:r w:rsidR="008041D7" w:rsidRPr="00D03260">
              <w:rPr>
                <w:rStyle w:val="Hyperlink"/>
                <w:rFonts w:ascii="Cambria" w:eastAsia="Cambria" w:hAnsi="Cambria" w:cs="Cambria"/>
                <w:b/>
                <w:bCs/>
                <w:noProof/>
              </w:rPr>
              <w:t>affect</w:t>
            </w:r>
            <w:r w:rsidR="008041D7" w:rsidRPr="00D03260">
              <w:rPr>
                <w:rStyle w:val="Hyperlink"/>
                <w:rFonts w:ascii="Cambria" w:eastAsia="Cambria" w:hAnsi="Cambria" w:cs="Cambria"/>
                <w:b/>
                <w:bCs/>
                <w:noProof/>
                <w:spacing w:val="-2"/>
              </w:rPr>
              <w:t xml:space="preserve"> </w:t>
            </w:r>
            <w:r w:rsidR="008041D7" w:rsidRPr="00D03260">
              <w:rPr>
                <w:rStyle w:val="Hyperlink"/>
                <w:rFonts w:ascii="Cambria" w:eastAsia="Cambria" w:hAnsi="Cambria" w:cs="Cambria"/>
                <w:b/>
                <w:bCs/>
                <w:noProof/>
              </w:rPr>
              <w:t>my</w:t>
            </w:r>
            <w:r w:rsidR="008041D7" w:rsidRPr="00D03260">
              <w:rPr>
                <w:rStyle w:val="Hyperlink"/>
                <w:rFonts w:ascii="Cambria" w:eastAsia="Cambria" w:hAnsi="Cambria" w:cs="Cambria"/>
                <w:b/>
                <w:bCs/>
                <w:noProof/>
                <w:spacing w:val="-4"/>
              </w:rPr>
              <w:t xml:space="preserve"> </w:t>
            </w:r>
            <w:r w:rsidR="008041D7" w:rsidRPr="00D03260">
              <w:rPr>
                <w:rStyle w:val="Hyperlink"/>
                <w:rFonts w:ascii="Cambria" w:eastAsia="Cambria" w:hAnsi="Cambria" w:cs="Cambria"/>
                <w:b/>
                <w:bCs/>
                <w:noProof/>
                <w:spacing w:val="-2"/>
              </w:rPr>
              <w:t>health?</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_Toc141885981 \h </w:instrText>
            </w:r>
            <w:r w:rsidR="008041D7" w:rsidRPr="00D03260">
              <w:rPr>
                <w:noProof/>
                <w:webHidden/>
              </w:rPr>
            </w:r>
            <w:r w:rsidR="008041D7" w:rsidRPr="00D03260">
              <w:rPr>
                <w:noProof/>
                <w:webHidden/>
              </w:rPr>
              <w:fldChar w:fldCharType="separate"/>
            </w:r>
            <w:r w:rsidR="008041D7" w:rsidRPr="00D03260">
              <w:rPr>
                <w:noProof/>
                <w:webHidden/>
              </w:rPr>
              <w:t>73</w:t>
            </w:r>
            <w:r w:rsidR="008041D7" w:rsidRPr="00D03260">
              <w:rPr>
                <w:noProof/>
                <w:webHidden/>
              </w:rPr>
              <w:fldChar w:fldCharType="end"/>
            </w:r>
          </w:hyperlink>
        </w:p>
        <w:p w14:paraId="5EDBC2EC" w14:textId="6D138B68"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82" w:history="1">
            <w:r w:rsidR="008041D7" w:rsidRPr="00D03260">
              <w:rPr>
                <w:rStyle w:val="Hyperlink"/>
                <w:rFonts w:ascii="Cambria" w:eastAsia="Cambria" w:hAnsi="Cambria" w:cs="Cambria"/>
                <w:b/>
                <w:bCs/>
                <w:noProof/>
              </w:rPr>
              <w:t>How</w:t>
            </w:r>
            <w:r w:rsidR="008041D7" w:rsidRPr="00D03260">
              <w:rPr>
                <w:rStyle w:val="Hyperlink"/>
                <w:rFonts w:ascii="Cambria" w:eastAsia="Cambria" w:hAnsi="Cambria" w:cs="Cambria"/>
                <w:b/>
                <w:bCs/>
                <w:noProof/>
                <w:spacing w:val="-4"/>
              </w:rPr>
              <w:t xml:space="preserve"> </w:t>
            </w:r>
            <w:r w:rsidR="008041D7" w:rsidRPr="00D03260">
              <w:rPr>
                <w:rStyle w:val="Hyperlink"/>
                <w:rFonts w:ascii="Cambria" w:eastAsia="Cambria" w:hAnsi="Cambria" w:cs="Cambria"/>
                <w:b/>
                <w:bCs/>
                <w:noProof/>
              </w:rPr>
              <w:t>do</w:t>
            </w:r>
            <w:r w:rsidR="008041D7" w:rsidRPr="00D03260">
              <w:rPr>
                <w:rStyle w:val="Hyperlink"/>
                <w:rFonts w:ascii="Cambria" w:eastAsia="Cambria" w:hAnsi="Cambria" w:cs="Cambria"/>
                <w:b/>
                <w:bCs/>
                <w:noProof/>
                <w:spacing w:val="-4"/>
              </w:rPr>
              <w:t xml:space="preserve"> </w:t>
            </w:r>
            <w:r w:rsidR="008041D7" w:rsidRPr="00D03260">
              <w:rPr>
                <w:rStyle w:val="Hyperlink"/>
                <w:rFonts w:ascii="Cambria" w:eastAsia="Cambria" w:hAnsi="Cambria" w:cs="Cambria"/>
                <w:b/>
                <w:bCs/>
                <w:noProof/>
              </w:rPr>
              <w:t>I</w:t>
            </w:r>
            <w:r w:rsidR="008041D7" w:rsidRPr="00D03260">
              <w:rPr>
                <w:rStyle w:val="Hyperlink"/>
                <w:rFonts w:ascii="Cambria" w:eastAsia="Cambria" w:hAnsi="Cambria" w:cs="Cambria"/>
                <w:b/>
                <w:bCs/>
                <w:noProof/>
                <w:spacing w:val="-2"/>
              </w:rPr>
              <w:t xml:space="preserve"> </w:t>
            </w:r>
            <w:r w:rsidR="008041D7" w:rsidRPr="00D03260">
              <w:rPr>
                <w:rStyle w:val="Hyperlink"/>
                <w:rFonts w:ascii="Cambria" w:eastAsia="Cambria" w:hAnsi="Cambria" w:cs="Cambria"/>
                <w:b/>
                <w:bCs/>
                <w:noProof/>
              </w:rPr>
              <w:t>minimise</w:t>
            </w:r>
            <w:r w:rsidR="008041D7" w:rsidRPr="00D03260">
              <w:rPr>
                <w:rStyle w:val="Hyperlink"/>
                <w:rFonts w:ascii="Cambria" w:eastAsia="Cambria" w:hAnsi="Cambria" w:cs="Cambria"/>
                <w:b/>
                <w:bCs/>
                <w:noProof/>
                <w:spacing w:val="-5"/>
              </w:rPr>
              <w:t xml:space="preserve"> </w:t>
            </w:r>
            <w:r w:rsidR="008041D7" w:rsidRPr="00D03260">
              <w:rPr>
                <w:rStyle w:val="Hyperlink"/>
                <w:rFonts w:ascii="Cambria" w:eastAsia="Cambria" w:hAnsi="Cambria" w:cs="Cambria"/>
                <w:b/>
                <w:bCs/>
                <w:noProof/>
              </w:rPr>
              <w:t>my</w:t>
            </w:r>
            <w:r w:rsidR="008041D7" w:rsidRPr="00D03260">
              <w:rPr>
                <w:rStyle w:val="Hyperlink"/>
                <w:rFonts w:ascii="Cambria" w:eastAsia="Cambria" w:hAnsi="Cambria" w:cs="Cambria"/>
                <w:b/>
                <w:bCs/>
                <w:noProof/>
                <w:spacing w:val="-3"/>
              </w:rPr>
              <w:t xml:space="preserve"> </w:t>
            </w:r>
            <w:r w:rsidR="008041D7" w:rsidRPr="00D03260">
              <w:rPr>
                <w:rStyle w:val="Hyperlink"/>
                <w:rFonts w:ascii="Cambria" w:eastAsia="Cambria" w:hAnsi="Cambria" w:cs="Cambria"/>
                <w:b/>
                <w:bCs/>
                <w:noProof/>
              </w:rPr>
              <w:t>exposure</w:t>
            </w:r>
            <w:r w:rsidR="008041D7" w:rsidRPr="00D03260">
              <w:rPr>
                <w:rStyle w:val="Hyperlink"/>
                <w:rFonts w:ascii="Cambria" w:eastAsia="Cambria" w:hAnsi="Cambria" w:cs="Cambria"/>
                <w:b/>
                <w:bCs/>
                <w:noProof/>
                <w:spacing w:val="-3"/>
              </w:rPr>
              <w:t xml:space="preserve"> </w:t>
            </w:r>
            <w:r w:rsidR="008041D7" w:rsidRPr="00D03260">
              <w:rPr>
                <w:rStyle w:val="Hyperlink"/>
                <w:rFonts w:ascii="Cambria" w:eastAsia="Cambria" w:hAnsi="Cambria" w:cs="Cambria"/>
                <w:b/>
                <w:bCs/>
                <w:noProof/>
              </w:rPr>
              <w:t>to</w:t>
            </w:r>
            <w:r w:rsidR="008041D7" w:rsidRPr="00D03260">
              <w:rPr>
                <w:rStyle w:val="Hyperlink"/>
                <w:rFonts w:ascii="Cambria" w:eastAsia="Cambria" w:hAnsi="Cambria" w:cs="Cambria"/>
                <w:b/>
                <w:bCs/>
                <w:noProof/>
                <w:spacing w:val="-1"/>
              </w:rPr>
              <w:t xml:space="preserve"> </w:t>
            </w:r>
            <w:r w:rsidR="008041D7" w:rsidRPr="00D03260">
              <w:rPr>
                <w:rStyle w:val="Hyperlink"/>
                <w:rFonts w:ascii="Cambria" w:eastAsia="Cambria" w:hAnsi="Cambria" w:cs="Cambria"/>
                <w:b/>
                <w:bCs/>
                <w:noProof/>
                <w:spacing w:val="-2"/>
              </w:rPr>
              <w:t>mould?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_Toc141885982 \h </w:instrText>
            </w:r>
            <w:r w:rsidR="008041D7" w:rsidRPr="00D03260">
              <w:rPr>
                <w:noProof/>
                <w:webHidden/>
              </w:rPr>
            </w:r>
            <w:r w:rsidR="008041D7" w:rsidRPr="00D03260">
              <w:rPr>
                <w:noProof/>
                <w:webHidden/>
              </w:rPr>
              <w:fldChar w:fldCharType="separate"/>
            </w:r>
            <w:r w:rsidR="008041D7" w:rsidRPr="00D03260">
              <w:rPr>
                <w:noProof/>
                <w:webHidden/>
              </w:rPr>
              <w:t>73</w:t>
            </w:r>
            <w:r w:rsidR="008041D7" w:rsidRPr="00D03260">
              <w:rPr>
                <w:noProof/>
                <w:webHidden/>
              </w:rPr>
              <w:fldChar w:fldCharType="end"/>
            </w:r>
          </w:hyperlink>
        </w:p>
        <w:p w14:paraId="2FD1CE7F" w14:textId="205B7C79"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83" w:history="1">
            <w:r w:rsidR="008041D7" w:rsidRPr="00D03260">
              <w:rPr>
                <w:rStyle w:val="Hyperlink"/>
                <w:rFonts w:ascii="Times New Roman" w:hAnsi="Times New Roman"/>
                <w:b/>
                <w:bCs/>
                <w:noProof/>
                <w:spacing w:val="-2"/>
              </w:rPr>
              <w:t>Indoors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_Toc141885983 \h </w:instrText>
            </w:r>
            <w:r w:rsidR="008041D7" w:rsidRPr="00D03260">
              <w:rPr>
                <w:noProof/>
                <w:webHidden/>
              </w:rPr>
            </w:r>
            <w:r w:rsidR="008041D7" w:rsidRPr="00D03260">
              <w:rPr>
                <w:noProof/>
                <w:webHidden/>
              </w:rPr>
              <w:fldChar w:fldCharType="separate"/>
            </w:r>
            <w:r w:rsidR="008041D7" w:rsidRPr="00D03260">
              <w:rPr>
                <w:noProof/>
                <w:webHidden/>
              </w:rPr>
              <w:t>73</w:t>
            </w:r>
            <w:r w:rsidR="008041D7" w:rsidRPr="00D03260">
              <w:rPr>
                <w:noProof/>
                <w:webHidden/>
              </w:rPr>
              <w:fldChar w:fldCharType="end"/>
            </w:r>
          </w:hyperlink>
        </w:p>
        <w:p w14:paraId="1EEBB428" w14:textId="79E956C2"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84" w:history="1">
            <w:r w:rsidR="008041D7" w:rsidRPr="00D03260">
              <w:rPr>
                <w:rStyle w:val="Hyperlink"/>
                <w:rFonts w:ascii="Times New Roman" w:hAnsi="Times New Roman"/>
                <w:b/>
                <w:bCs/>
                <w:noProof/>
                <w:spacing w:val="-4"/>
              </w:rPr>
              <w:t>Food</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_Toc141885984 \h </w:instrText>
            </w:r>
            <w:r w:rsidR="008041D7" w:rsidRPr="00D03260">
              <w:rPr>
                <w:noProof/>
                <w:webHidden/>
              </w:rPr>
            </w:r>
            <w:r w:rsidR="008041D7" w:rsidRPr="00D03260">
              <w:rPr>
                <w:noProof/>
                <w:webHidden/>
              </w:rPr>
              <w:fldChar w:fldCharType="separate"/>
            </w:r>
            <w:r w:rsidR="008041D7" w:rsidRPr="00D03260">
              <w:rPr>
                <w:noProof/>
                <w:webHidden/>
              </w:rPr>
              <w:t>74</w:t>
            </w:r>
            <w:r w:rsidR="008041D7" w:rsidRPr="00D03260">
              <w:rPr>
                <w:noProof/>
                <w:webHidden/>
              </w:rPr>
              <w:fldChar w:fldCharType="end"/>
            </w:r>
          </w:hyperlink>
        </w:p>
        <w:p w14:paraId="536B2A16" w14:textId="6F315256"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85" w:history="1">
            <w:r w:rsidR="008041D7" w:rsidRPr="00D03260">
              <w:rPr>
                <w:rStyle w:val="Hyperlink"/>
                <w:rFonts w:ascii="Times New Roman" w:hAnsi="Times New Roman"/>
                <w:b/>
                <w:bCs/>
                <w:noProof/>
                <w:spacing w:val="-2"/>
              </w:rPr>
              <w:t>Outdoors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_Toc141885985 \h </w:instrText>
            </w:r>
            <w:r w:rsidR="008041D7" w:rsidRPr="00D03260">
              <w:rPr>
                <w:noProof/>
                <w:webHidden/>
              </w:rPr>
            </w:r>
            <w:r w:rsidR="008041D7" w:rsidRPr="00D03260">
              <w:rPr>
                <w:noProof/>
                <w:webHidden/>
              </w:rPr>
              <w:fldChar w:fldCharType="separate"/>
            </w:r>
            <w:r w:rsidR="008041D7" w:rsidRPr="00D03260">
              <w:rPr>
                <w:noProof/>
                <w:webHidden/>
              </w:rPr>
              <w:t>74</w:t>
            </w:r>
            <w:r w:rsidR="008041D7" w:rsidRPr="00D03260">
              <w:rPr>
                <w:noProof/>
                <w:webHidden/>
              </w:rPr>
              <w:fldChar w:fldCharType="end"/>
            </w:r>
          </w:hyperlink>
        </w:p>
        <w:p w14:paraId="513A79BD" w14:textId="56609BD8"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86" w:history="1">
            <w:r w:rsidR="008041D7" w:rsidRPr="00D03260">
              <w:rPr>
                <w:rStyle w:val="Hyperlink"/>
                <w:rFonts w:ascii="Cambria" w:eastAsia="Cambria" w:hAnsi="Cambria" w:cs="Cambria"/>
                <w:b/>
                <w:bCs/>
                <w:noProof/>
              </w:rPr>
              <w:t>How</w:t>
            </w:r>
            <w:r w:rsidR="008041D7" w:rsidRPr="00D03260">
              <w:rPr>
                <w:rStyle w:val="Hyperlink"/>
                <w:rFonts w:ascii="Cambria" w:eastAsia="Cambria" w:hAnsi="Cambria" w:cs="Cambria"/>
                <w:b/>
                <w:bCs/>
                <w:noProof/>
                <w:spacing w:val="-5"/>
              </w:rPr>
              <w:t xml:space="preserve"> </w:t>
            </w:r>
            <w:r w:rsidR="008041D7" w:rsidRPr="00D03260">
              <w:rPr>
                <w:rStyle w:val="Hyperlink"/>
                <w:rFonts w:ascii="Cambria" w:eastAsia="Cambria" w:hAnsi="Cambria" w:cs="Cambria"/>
                <w:b/>
                <w:bCs/>
                <w:noProof/>
              </w:rPr>
              <w:t>do</w:t>
            </w:r>
            <w:r w:rsidR="008041D7" w:rsidRPr="00D03260">
              <w:rPr>
                <w:rStyle w:val="Hyperlink"/>
                <w:rFonts w:ascii="Cambria" w:eastAsia="Cambria" w:hAnsi="Cambria" w:cs="Cambria"/>
                <w:b/>
                <w:bCs/>
                <w:noProof/>
                <w:spacing w:val="-3"/>
              </w:rPr>
              <w:t xml:space="preserve"> </w:t>
            </w:r>
            <w:r w:rsidR="008041D7" w:rsidRPr="00D03260">
              <w:rPr>
                <w:rStyle w:val="Hyperlink"/>
                <w:rFonts w:ascii="Cambria" w:eastAsia="Cambria" w:hAnsi="Cambria" w:cs="Cambria"/>
                <w:b/>
                <w:bCs/>
                <w:noProof/>
              </w:rPr>
              <w:t>I</w:t>
            </w:r>
            <w:r w:rsidR="008041D7" w:rsidRPr="00D03260">
              <w:rPr>
                <w:rStyle w:val="Hyperlink"/>
                <w:rFonts w:ascii="Cambria" w:eastAsia="Cambria" w:hAnsi="Cambria" w:cs="Cambria"/>
                <w:b/>
                <w:bCs/>
                <w:noProof/>
                <w:spacing w:val="-1"/>
              </w:rPr>
              <w:t xml:space="preserve"> </w:t>
            </w:r>
            <w:r w:rsidR="008041D7" w:rsidRPr="00D03260">
              <w:rPr>
                <w:rStyle w:val="Hyperlink"/>
                <w:rFonts w:ascii="Cambria" w:eastAsia="Cambria" w:hAnsi="Cambria" w:cs="Cambria"/>
                <w:b/>
                <w:bCs/>
                <w:noProof/>
              </w:rPr>
              <w:t>remove</w:t>
            </w:r>
            <w:r w:rsidR="008041D7" w:rsidRPr="00D03260">
              <w:rPr>
                <w:rStyle w:val="Hyperlink"/>
                <w:rFonts w:ascii="Cambria" w:eastAsia="Cambria" w:hAnsi="Cambria" w:cs="Cambria"/>
                <w:b/>
                <w:bCs/>
                <w:noProof/>
                <w:spacing w:val="-7"/>
              </w:rPr>
              <w:t xml:space="preserve"> </w:t>
            </w:r>
            <w:r w:rsidR="008041D7" w:rsidRPr="00D03260">
              <w:rPr>
                <w:rStyle w:val="Hyperlink"/>
                <w:rFonts w:ascii="Cambria" w:eastAsia="Cambria" w:hAnsi="Cambria" w:cs="Cambria"/>
                <w:b/>
                <w:bCs/>
                <w:noProof/>
              </w:rPr>
              <w:t>mould</w:t>
            </w:r>
            <w:r w:rsidR="008041D7" w:rsidRPr="00D03260">
              <w:rPr>
                <w:rStyle w:val="Hyperlink"/>
                <w:rFonts w:ascii="Cambria" w:eastAsia="Cambria" w:hAnsi="Cambria" w:cs="Cambria"/>
                <w:b/>
                <w:bCs/>
                <w:noProof/>
                <w:spacing w:val="-3"/>
              </w:rPr>
              <w:t xml:space="preserve"> </w:t>
            </w:r>
            <w:r w:rsidR="008041D7" w:rsidRPr="00D03260">
              <w:rPr>
                <w:rStyle w:val="Hyperlink"/>
                <w:rFonts w:ascii="Cambria" w:eastAsia="Cambria" w:hAnsi="Cambria" w:cs="Cambria"/>
                <w:b/>
                <w:bCs/>
                <w:noProof/>
              </w:rPr>
              <w:t>from</w:t>
            </w:r>
            <w:r w:rsidR="008041D7" w:rsidRPr="00D03260">
              <w:rPr>
                <w:rStyle w:val="Hyperlink"/>
                <w:rFonts w:ascii="Cambria" w:eastAsia="Cambria" w:hAnsi="Cambria" w:cs="Cambria"/>
                <w:b/>
                <w:bCs/>
                <w:noProof/>
                <w:spacing w:val="-2"/>
              </w:rPr>
              <w:t xml:space="preserve"> </w:t>
            </w:r>
            <w:r w:rsidR="008041D7" w:rsidRPr="00D03260">
              <w:rPr>
                <w:rStyle w:val="Hyperlink"/>
                <w:rFonts w:ascii="Cambria" w:eastAsia="Cambria" w:hAnsi="Cambria" w:cs="Cambria"/>
                <w:b/>
                <w:bCs/>
                <w:noProof/>
              </w:rPr>
              <w:t>my</w:t>
            </w:r>
            <w:r w:rsidR="008041D7" w:rsidRPr="00D03260">
              <w:rPr>
                <w:rStyle w:val="Hyperlink"/>
                <w:rFonts w:ascii="Cambria" w:eastAsia="Cambria" w:hAnsi="Cambria" w:cs="Cambria"/>
                <w:b/>
                <w:bCs/>
                <w:noProof/>
                <w:spacing w:val="-4"/>
              </w:rPr>
              <w:t xml:space="preserve"> </w:t>
            </w:r>
            <w:r w:rsidR="008041D7" w:rsidRPr="00D03260">
              <w:rPr>
                <w:rStyle w:val="Hyperlink"/>
                <w:rFonts w:ascii="Cambria" w:eastAsia="Cambria" w:hAnsi="Cambria" w:cs="Cambria"/>
                <w:b/>
                <w:bCs/>
                <w:noProof/>
                <w:spacing w:val="-2"/>
              </w:rPr>
              <w:t>home?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_Toc141885986 \h </w:instrText>
            </w:r>
            <w:r w:rsidR="008041D7" w:rsidRPr="00D03260">
              <w:rPr>
                <w:noProof/>
                <w:webHidden/>
              </w:rPr>
            </w:r>
            <w:r w:rsidR="008041D7" w:rsidRPr="00D03260">
              <w:rPr>
                <w:noProof/>
                <w:webHidden/>
              </w:rPr>
              <w:fldChar w:fldCharType="separate"/>
            </w:r>
            <w:r w:rsidR="008041D7" w:rsidRPr="00D03260">
              <w:rPr>
                <w:noProof/>
                <w:webHidden/>
              </w:rPr>
              <w:t>74</w:t>
            </w:r>
            <w:r w:rsidR="008041D7" w:rsidRPr="00D03260">
              <w:rPr>
                <w:noProof/>
                <w:webHidden/>
              </w:rPr>
              <w:fldChar w:fldCharType="end"/>
            </w:r>
          </w:hyperlink>
        </w:p>
        <w:p w14:paraId="4B5D2924" w14:textId="06C346AF"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87" w:history="1">
            <w:r w:rsidR="008041D7" w:rsidRPr="00D03260">
              <w:rPr>
                <w:rStyle w:val="Hyperlink"/>
                <w:rFonts w:ascii="Cambria" w:eastAsia="Cambria" w:hAnsi="Cambria" w:cs="Cambria"/>
                <w:b/>
                <w:bCs/>
                <w:noProof/>
              </w:rPr>
              <w:t>Should</w:t>
            </w:r>
            <w:r w:rsidR="008041D7" w:rsidRPr="00D03260">
              <w:rPr>
                <w:rStyle w:val="Hyperlink"/>
                <w:rFonts w:ascii="Cambria" w:eastAsia="Cambria" w:hAnsi="Cambria" w:cs="Cambria"/>
                <w:b/>
                <w:bCs/>
                <w:noProof/>
                <w:spacing w:val="-4"/>
              </w:rPr>
              <w:t xml:space="preserve"> </w:t>
            </w:r>
            <w:r w:rsidR="008041D7" w:rsidRPr="00D03260">
              <w:rPr>
                <w:rStyle w:val="Hyperlink"/>
                <w:rFonts w:ascii="Cambria" w:eastAsia="Cambria" w:hAnsi="Cambria" w:cs="Cambria"/>
                <w:b/>
                <w:bCs/>
                <w:noProof/>
              </w:rPr>
              <w:t>I</w:t>
            </w:r>
            <w:r w:rsidR="008041D7" w:rsidRPr="00D03260">
              <w:rPr>
                <w:rStyle w:val="Hyperlink"/>
                <w:rFonts w:ascii="Cambria" w:eastAsia="Cambria" w:hAnsi="Cambria" w:cs="Cambria"/>
                <w:b/>
                <w:bCs/>
                <w:noProof/>
                <w:spacing w:val="-4"/>
              </w:rPr>
              <w:t xml:space="preserve"> </w:t>
            </w:r>
            <w:r w:rsidR="008041D7" w:rsidRPr="00D03260">
              <w:rPr>
                <w:rStyle w:val="Hyperlink"/>
                <w:rFonts w:ascii="Cambria" w:eastAsia="Cambria" w:hAnsi="Cambria" w:cs="Cambria"/>
                <w:b/>
                <w:bCs/>
                <w:noProof/>
              </w:rPr>
              <w:t>test</w:t>
            </w:r>
            <w:r w:rsidR="008041D7" w:rsidRPr="00D03260">
              <w:rPr>
                <w:rStyle w:val="Hyperlink"/>
                <w:rFonts w:ascii="Cambria" w:eastAsia="Cambria" w:hAnsi="Cambria" w:cs="Cambria"/>
                <w:b/>
                <w:bCs/>
                <w:noProof/>
                <w:spacing w:val="-1"/>
              </w:rPr>
              <w:t xml:space="preserve"> </w:t>
            </w:r>
            <w:r w:rsidR="008041D7" w:rsidRPr="00D03260">
              <w:rPr>
                <w:rStyle w:val="Hyperlink"/>
                <w:rFonts w:ascii="Cambria" w:eastAsia="Cambria" w:hAnsi="Cambria" w:cs="Cambria"/>
                <w:b/>
                <w:bCs/>
                <w:noProof/>
              </w:rPr>
              <w:t>for</w:t>
            </w:r>
            <w:r w:rsidR="008041D7" w:rsidRPr="00D03260">
              <w:rPr>
                <w:rStyle w:val="Hyperlink"/>
                <w:rFonts w:ascii="Cambria" w:eastAsia="Cambria" w:hAnsi="Cambria" w:cs="Cambria"/>
                <w:b/>
                <w:bCs/>
                <w:noProof/>
                <w:spacing w:val="-2"/>
              </w:rPr>
              <w:t xml:space="preserve"> </w:t>
            </w:r>
            <w:r w:rsidR="008041D7" w:rsidRPr="00D03260">
              <w:rPr>
                <w:rStyle w:val="Hyperlink"/>
                <w:rFonts w:ascii="Cambria" w:eastAsia="Cambria" w:hAnsi="Cambria" w:cs="Cambria"/>
                <w:b/>
                <w:bCs/>
                <w:noProof/>
              </w:rPr>
              <w:t>mould</w:t>
            </w:r>
            <w:r w:rsidR="008041D7" w:rsidRPr="00D03260">
              <w:rPr>
                <w:rStyle w:val="Hyperlink"/>
                <w:rFonts w:ascii="Cambria" w:eastAsia="Cambria" w:hAnsi="Cambria" w:cs="Cambria"/>
                <w:b/>
                <w:bCs/>
                <w:noProof/>
                <w:spacing w:val="-4"/>
              </w:rPr>
              <w:t xml:space="preserve"> </w:t>
            </w:r>
            <w:r w:rsidR="008041D7" w:rsidRPr="00D03260">
              <w:rPr>
                <w:rStyle w:val="Hyperlink"/>
                <w:rFonts w:ascii="Cambria" w:eastAsia="Cambria" w:hAnsi="Cambria" w:cs="Cambria"/>
                <w:b/>
                <w:bCs/>
                <w:noProof/>
              </w:rPr>
              <w:t>in</w:t>
            </w:r>
            <w:r w:rsidR="008041D7" w:rsidRPr="00D03260">
              <w:rPr>
                <w:rStyle w:val="Hyperlink"/>
                <w:rFonts w:ascii="Cambria" w:eastAsia="Cambria" w:hAnsi="Cambria" w:cs="Cambria"/>
                <w:b/>
                <w:bCs/>
                <w:noProof/>
                <w:spacing w:val="-4"/>
              </w:rPr>
              <w:t xml:space="preserve"> </w:t>
            </w:r>
            <w:r w:rsidR="008041D7" w:rsidRPr="00D03260">
              <w:rPr>
                <w:rStyle w:val="Hyperlink"/>
                <w:rFonts w:ascii="Cambria" w:eastAsia="Cambria" w:hAnsi="Cambria" w:cs="Cambria"/>
                <w:b/>
                <w:bCs/>
                <w:noProof/>
              </w:rPr>
              <w:t>my</w:t>
            </w:r>
            <w:r w:rsidR="008041D7" w:rsidRPr="00D03260">
              <w:rPr>
                <w:rStyle w:val="Hyperlink"/>
                <w:rFonts w:ascii="Cambria" w:eastAsia="Cambria" w:hAnsi="Cambria" w:cs="Cambria"/>
                <w:b/>
                <w:bCs/>
                <w:noProof/>
                <w:spacing w:val="-4"/>
              </w:rPr>
              <w:t xml:space="preserve"> home?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_Toc141885987 \h </w:instrText>
            </w:r>
            <w:r w:rsidR="008041D7" w:rsidRPr="00D03260">
              <w:rPr>
                <w:noProof/>
                <w:webHidden/>
              </w:rPr>
            </w:r>
            <w:r w:rsidR="008041D7" w:rsidRPr="00D03260">
              <w:rPr>
                <w:noProof/>
                <w:webHidden/>
              </w:rPr>
              <w:fldChar w:fldCharType="separate"/>
            </w:r>
            <w:r w:rsidR="008041D7" w:rsidRPr="00D03260">
              <w:rPr>
                <w:noProof/>
                <w:webHidden/>
              </w:rPr>
              <w:t>74</w:t>
            </w:r>
            <w:r w:rsidR="008041D7" w:rsidRPr="00D03260">
              <w:rPr>
                <w:noProof/>
                <w:webHidden/>
              </w:rPr>
              <w:fldChar w:fldCharType="end"/>
            </w:r>
          </w:hyperlink>
        </w:p>
        <w:p w14:paraId="50002FFB" w14:textId="25120CB4"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88" w:history="1">
            <w:r w:rsidR="008041D7" w:rsidRPr="00D03260">
              <w:rPr>
                <w:rStyle w:val="Hyperlink"/>
                <w:rFonts w:ascii="Cambria" w:eastAsia="Cambria" w:hAnsi="Cambria" w:cs="Cambria"/>
                <w:b/>
                <w:bCs/>
                <w:noProof/>
              </w:rPr>
              <w:t>Where</w:t>
            </w:r>
            <w:r w:rsidR="008041D7" w:rsidRPr="00D03260">
              <w:rPr>
                <w:rStyle w:val="Hyperlink"/>
                <w:rFonts w:ascii="Cambria" w:eastAsia="Cambria" w:hAnsi="Cambria" w:cs="Cambria"/>
                <w:b/>
                <w:bCs/>
                <w:noProof/>
                <w:spacing w:val="-5"/>
              </w:rPr>
              <w:t xml:space="preserve"> </w:t>
            </w:r>
            <w:r w:rsidR="008041D7" w:rsidRPr="00D03260">
              <w:rPr>
                <w:rStyle w:val="Hyperlink"/>
                <w:rFonts w:ascii="Cambria" w:eastAsia="Cambria" w:hAnsi="Cambria" w:cs="Cambria"/>
                <w:b/>
                <w:bCs/>
                <w:noProof/>
              </w:rPr>
              <w:t>do</w:t>
            </w:r>
            <w:r w:rsidR="008041D7" w:rsidRPr="00D03260">
              <w:rPr>
                <w:rStyle w:val="Hyperlink"/>
                <w:rFonts w:ascii="Cambria" w:eastAsia="Cambria" w:hAnsi="Cambria" w:cs="Cambria"/>
                <w:b/>
                <w:bCs/>
                <w:noProof/>
                <w:spacing w:val="-1"/>
              </w:rPr>
              <w:t xml:space="preserve"> </w:t>
            </w:r>
            <w:r w:rsidR="008041D7" w:rsidRPr="00D03260">
              <w:rPr>
                <w:rStyle w:val="Hyperlink"/>
                <w:rFonts w:ascii="Cambria" w:eastAsia="Cambria" w:hAnsi="Cambria" w:cs="Cambria"/>
                <w:b/>
                <w:bCs/>
                <w:noProof/>
              </w:rPr>
              <w:t>I</w:t>
            </w:r>
            <w:r w:rsidR="008041D7" w:rsidRPr="00D03260">
              <w:rPr>
                <w:rStyle w:val="Hyperlink"/>
                <w:rFonts w:ascii="Cambria" w:eastAsia="Cambria" w:hAnsi="Cambria" w:cs="Cambria"/>
                <w:b/>
                <w:bCs/>
                <w:noProof/>
                <w:spacing w:val="-4"/>
              </w:rPr>
              <w:t xml:space="preserve"> </w:t>
            </w:r>
            <w:r w:rsidR="008041D7" w:rsidRPr="00D03260">
              <w:rPr>
                <w:rStyle w:val="Hyperlink"/>
                <w:rFonts w:ascii="Cambria" w:eastAsia="Cambria" w:hAnsi="Cambria" w:cs="Cambria"/>
                <w:b/>
                <w:bCs/>
                <w:noProof/>
              </w:rPr>
              <w:t>go</w:t>
            </w:r>
            <w:r w:rsidR="008041D7" w:rsidRPr="00D03260">
              <w:rPr>
                <w:rStyle w:val="Hyperlink"/>
                <w:rFonts w:ascii="Cambria" w:eastAsia="Cambria" w:hAnsi="Cambria" w:cs="Cambria"/>
                <w:b/>
                <w:bCs/>
                <w:noProof/>
                <w:spacing w:val="-3"/>
              </w:rPr>
              <w:t xml:space="preserve"> </w:t>
            </w:r>
            <w:r w:rsidR="008041D7" w:rsidRPr="00D03260">
              <w:rPr>
                <w:rStyle w:val="Hyperlink"/>
                <w:rFonts w:ascii="Cambria" w:eastAsia="Cambria" w:hAnsi="Cambria" w:cs="Cambria"/>
                <w:b/>
                <w:bCs/>
                <w:noProof/>
              </w:rPr>
              <w:t>for</w:t>
            </w:r>
            <w:r w:rsidR="008041D7" w:rsidRPr="00D03260">
              <w:rPr>
                <w:rStyle w:val="Hyperlink"/>
                <w:rFonts w:ascii="Cambria" w:eastAsia="Cambria" w:hAnsi="Cambria" w:cs="Cambria"/>
                <w:b/>
                <w:bCs/>
                <w:noProof/>
                <w:spacing w:val="-7"/>
              </w:rPr>
              <w:t xml:space="preserve"> </w:t>
            </w:r>
            <w:r w:rsidR="008041D7" w:rsidRPr="00D03260">
              <w:rPr>
                <w:rStyle w:val="Hyperlink"/>
                <w:rFonts w:ascii="Cambria" w:eastAsia="Cambria" w:hAnsi="Cambria" w:cs="Cambria"/>
                <w:b/>
                <w:bCs/>
                <w:noProof/>
              </w:rPr>
              <w:t>more</w:t>
            </w:r>
            <w:r w:rsidR="008041D7" w:rsidRPr="00D03260">
              <w:rPr>
                <w:rStyle w:val="Hyperlink"/>
                <w:rFonts w:ascii="Cambria" w:eastAsia="Cambria" w:hAnsi="Cambria" w:cs="Cambria"/>
                <w:b/>
                <w:bCs/>
                <w:noProof/>
                <w:spacing w:val="-4"/>
              </w:rPr>
              <w:t xml:space="preserve"> </w:t>
            </w:r>
            <w:r w:rsidR="008041D7" w:rsidRPr="00D03260">
              <w:rPr>
                <w:rStyle w:val="Hyperlink"/>
                <w:rFonts w:ascii="Cambria" w:eastAsia="Cambria" w:hAnsi="Cambria" w:cs="Cambria"/>
                <w:b/>
                <w:bCs/>
                <w:noProof/>
              </w:rPr>
              <w:t>information</w:t>
            </w:r>
            <w:r w:rsidR="008041D7" w:rsidRPr="00D03260">
              <w:rPr>
                <w:rStyle w:val="Hyperlink"/>
                <w:rFonts w:ascii="Cambria" w:eastAsia="Cambria" w:hAnsi="Cambria" w:cs="Cambria"/>
                <w:b/>
                <w:bCs/>
                <w:noProof/>
                <w:spacing w:val="-4"/>
              </w:rPr>
              <w:t xml:space="preserve"> </w:t>
            </w:r>
            <w:r w:rsidR="008041D7" w:rsidRPr="00D03260">
              <w:rPr>
                <w:rStyle w:val="Hyperlink"/>
                <w:rFonts w:ascii="Cambria" w:eastAsia="Cambria" w:hAnsi="Cambria" w:cs="Cambria"/>
                <w:b/>
                <w:bCs/>
                <w:noProof/>
              </w:rPr>
              <w:t>or</w:t>
            </w:r>
            <w:r w:rsidR="008041D7" w:rsidRPr="00D03260">
              <w:rPr>
                <w:rStyle w:val="Hyperlink"/>
                <w:rFonts w:ascii="Cambria" w:eastAsia="Cambria" w:hAnsi="Cambria" w:cs="Cambria"/>
                <w:b/>
                <w:bCs/>
                <w:noProof/>
                <w:spacing w:val="-4"/>
              </w:rPr>
              <w:t xml:space="preserve"> </w:t>
            </w:r>
            <w:r w:rsidR="008041D7" w:rsidRPr="00D03260">
              <w:rPr>
                <w:rStyle w:val="Hyperlink"/>
                <w:rFonts w:ascii="Cambria" w:eastAsia="Cambria" w:hAnsi="Cambria" w:cs="Cambria"/>
                <w:b/>
                <w:bCs/>
                <w:noProof/>
                <w:spacing w:val="-2"/>
              </w:rPr>
              <w:t>advice?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_Toc141885988 \h </w:instrText>
            </w:r>
            <w:r w:rsidR="008041D7" w:rsidRPr="00D03260">
              <w:rPr>
                <w:noProof/>
                <w:webHidden/>
              </w:rPr>
            </w:r>
            <w:r w:rsidR="008041D7" w:rsidRPr="00D03260">
              <w:rPr>
                <w:noProof/>
                <w:webHidden/>
              </w:rPr>
              <w:fldChar w:fldCharType="separate"/>
            </w:r>
            <w:r w:rsidR="008041D7" w:rsidRPr="00D03260">
              <w:rPr>
                <w:noProof/>
                <w:webHidden/>
              </w:rPr>
              <w:t>75</w:t>
            </w:r>
            <w:r w:rsidR="008041D7" w:rsidRPr="00D03260">
              <w:rPr>
                <w:noProof/>
                <w:webHidden/>
              </w:rPr>
              <w:fldChar w:fldCharType="end"/>
            </w:r>
          </w:hyperlink>
        </w:p>
        <w:p w14:paraId="323D8B39" w14:textId="4C7D2836"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89" w:history="1">
            <w:r w:rsidR="008041D7" w:rsidRPr="00D03260">
              <w:rPr>
                <w:rStyle w:val="Hyperlink"/>
                <w:noProof/>
              </w:rPr>
              <w:t>Appendix E: Chronic Inflammatory Response Syndrome (CIRS)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_Toc141885989 \h </w:instrText>
            </w:r>
            <w:r w:rsidR="008041D7" w:rsidRPr="00D03260">
              <w:rPr>
                <w:noProof/>
                <w:webHidden/>
              </w:rPr>
            </w:r>
            <w:r w:rsidR="008041D7" w:rsidRPr="00D03260">
              <w:rPr>
                <w:noProof/>
                <w:webHidden/>
              </w:rPr>
              <w:fldChar w:fldCharType="separate"/>
            </w:r>
            <w:r w:rsidR="008041D7" w:rsidRPr="00D03260">
              <w:rPr>
                <w:noProof/>
                <w:webHidden/>
              </w:rPr>
              <w:t>76</w:t>
            </w:r>
            <w:r w:rsidR="008041D7" w:rsidRPr="00D03260">
              <w:rPr>
                <w:noProof/>
                <w:webHidden/>
              </w:rPr>
              <w:fldChar w:fldCharType="end"/>
            </w:r>
          </w:hyperlink>
        </w:p>
        <w:p w14:paraId="7E12D7C7" w14:textId="316A2D25"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90" w:history="1">
            <w:r w:rsidR="008041D7" w:rsidRPr="00D03260">
              <w:rPr>
                <w:rStyle w:val="Hyperlink"/>
                <w:noProof/>
              </w:rPr>
              <w:t>Background and context of CIRS in Australia</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_Toc141885990 \h </w:instrText>
            </w:r>
            <w:r w:rsidR="008041D7" w:rsidRPr="00D03260">
              <w:rPr>
                <w:noProof/>
                <w:webHidden/>
              </w:rPr>
            </w:r>
            <w:r w:rsidR="008041D7" w:rsidRPr="00D03260">
              <w:rPr>
                <w:noProof/>
                <w:webHidden/>
              </w:rPr>
              <w:fldChar w:fldCharType="separate"/>
            </w:r>
            <w:r w:rsidR="008041D7" w:rsidRPr="00D03260">
              <w:rPr>
                <w:noProof/>
                <w:webHidden/>
              </w:rPr>
              <w:t>76</w:t>
            </w:r>
            <w:r w:rsidR="008041D7" w:rsidRPr="00D03260">
              <w:rPr>
                <w:noProof/>
                <w:webHidden/>
              </w:rPr>
              <w:fldChar w:fldCharType="end"/>
            </w:r>
          </w:hyperlink>
        </w:p>
        <w:p w14:paraId="33ECF7D6" w14:textId="015408FD"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91" w:history="1">
            <w:r w:rsidR="008041D7" w:rsidRPr="00D03260">
              <w:rPr>
                <w:rStyle w:val="Hyperlink"/>
                <w:noProof/>
              </w:rPr>
              <w:t>Symptoms and symptom complexes associated with CIRS in Australia</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_Toc141885991 \h </w:instrText>
            </w:r>
            <w:r w:rsidR="008041D7" w:rsidRPr="00D03260">
              <w:rPr>
                <w:noProof/>
                <w:webHidden/>
              </w:rPr>
            </w:r>
            <w:r w:rsidR="008041D7" w:rsidRPr="00D03260">
              <w:rPr>
                <w:noProof/>
                <w:webHidden/>
              </w:rPr>
              <w:fldChar w:fldCharType="separate"/>
            </w:r>
            <w:r w:rsidR="008041D7" w:rsidRPr="00D03260">
              <w:rPr>
                <w:noProof/>
                <w:webHidden/>
              </w:rPr>
              <w:t>77</w:t>
            </w:r>
            <w:r w:rsidR="008041D7" w:rsidRPr="00D03260">
              <w:rPr>
                <w:noProof/>
                <w:webHidden/>
              </w:rPr>
              <w:fldChar w:fldCharType="end"/>
            </w:r>
          </w:hyperlink>
        </w:p>
        <w:p w14:paraId="24ECA10A" w14:textId="29A47A8A" w:rsidR="008041D7" w:rsidRPr="00D03260" w:rsidRDefault="00000000">
          <w:pPr>
            <w:pStyle w:val="TOC3"/>
            <w:rPr>
              <w:rFonts w:asciiTheme="minorHAnsi" w:eastAsiaTheme="minorEastAsia" w:hAnsiTheme="minorHAnsi" w:cstheme="minorBidi"/>
              <w:noProof/>
              <w:color w:val="auto"/>
              <w:sz w:val="22"/>
              <w:szCs w:val="22"/>
              <w:lang w:eastAsia="en-AU"/>
            </w:rPr>
          </w:pPr>
          <w:hyperlink w:anchor="_Toc141885992" w:history="1">
            <w:r w:rsidR="008041D7" w:rsidRPr="00D03260">
              <w:rPr>
                <w:rStyle w:val="Hyperlink"/>
                <w:noProof/>
              </w:rPr>
              <w:t>CIRS was reported to have an extensive symptomology experienced in diverse combinations and with various degrees of severity, across multiple bodily systems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_Toc141885992 \h </w:instrText>
            </w:r>
            <w:r w:rsidR="008041D7" w:rsidRPr="00D03260">
              <w:rPr>
                <w:noProof/>
                <w:webHidden/>
              </w:rPr>
            </w:r>
            <w:r w:rsidR="008041D7" w:rsidRPr="00D03260">
              <w:rPr>
                <w:noProof/>
                <w:webHidden/>
              </w:rPr>
              <w:fldChar w:fldCharType="separate"/>
            </w:r>
            <w:r w:rsidR="008041D7" w:rsidRPr="00D03260">
              <w:rPr>
                <w:noProof/>
                <w:webHidden/>
              </w:rPr>
              <w:t>78</w:t>
            </w:r>
            <w:r w:rsidR="008041D7" w:rsidRPr="00D03260">
              <w:rPr>
                <w:noProof/>
                <w:webHidden/>
              </w:rPr>
              <w:fldChar w:fldCharType="end"/>
            </w:r>
          </w:hyperlink>
        </w:p>
        <w:p w14:paraId="24EABD5F" w14:textId="0C8AC6BE"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93" w:history="1">
            <w:r w:rsidR="008041D7" w:rsidRPr="00D03260">
              <w:rPr>
                <w:rStyle w:val="Hyperlink"/>
                <w:noProof/>
              </w:rPr>
              <w:t>Diagnostic tests used diagnosing CIRS not recommended due to limited evidence</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_Toc141885993 \h </w:instrText>
            </w:r>
            <w:r w:rsidR="008041D7" w:rsidRPr="00D03260">
              <w:rPr>
                <w:noProof/>
                <w:webHidden/>
              </w:rPr>
            </w:r>
            <w:r w:rsidR="008041D7" w:rsidRPr="00D03260">
              <w:rPr>
                <w:noProof/>
                <w:webHidden/>
              </w:rPr>
              <w:fldChar w:fldCharType="separate"/>
            </w:r>
            <w:r w:rsidR="008041D7" w:rsidRPr="00D03260">
              <w:rPr>
                <w:noProof/>
                <w:webHidden/>
              </w:rPr>
              <w:t>79</w:t>
            </w:r>
            <w:r w:rsidR="008041D7" w:rsidRPr="00D03260">
              <w:rPr>
                <w:noProof/>
                <w:webHidden/>
              </w:rPr>
              <w:fldChar w:fldCharType="end"/>
            </w:r>
          </w:hyperlink>
        </w:p>
        <w:p w14:paraId="5C6FBCF4" w14:textId="26BA3160" w:rsidR="008041D7" w:rsidRPr="00D03260" w:rsidRDefault="00000000" w:rsidP="004D34F0">
          <w:pPr>
            <w:pStyle w:val="TOC2"/>
            <w:rPr>
              <w:rFonts w:asciiTheme="minorHAnsi" w:eastAsiaTheme="minorEastAsia" w:hAnsiTheme="minorHAnsi" w:cstheme="minorBidi"/>
              <w:noProof/>
              <w:color w:val="auto"/>
              <w:szCs w:val="22"/>
              <w:lang w:eastAsia="en-AU"/>
            </w:rPr>
          </w:pPr>
          <w:hyperlink w:anchor="_Toc141885994" w:history="1">
            <w:r w:rsidR="008041D7" w:rsidRPr="00D03260">
              <w:rPr>
                <w:rStyle w:val="Hyperlink"/>
                <w:noProof/>
              </w:rPr>
              <w:t xml:space="preserve">Treatments provided to Australian patients diagnosed with CIRS; there are significant side effects with many of the medications </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_Toc141885994 \h </w:instrText>
            </w:r>
            <w:r w:rsidR="008041D7" w:rsidRPr="00D03260">
              <w:rPr>
                <w:noProof/>
                <w:webHidden/>
              </w:rPr>
            </w:r>
            <w:r w:rsidR="008041D7" w:rsidRPr="00D03260">
              <w:rPr>
                <w:noProof/>
                <w:webHidden/>
              </w:rPr>
              <w:fldChar w:fldCharType="separate"/>
            </w:r>
            <w:r w:rsidR="008041D7" w:rsidRPr="00D03260">
              <w:rPr>
                <w:noProof/>
                <w:webHidden/>
              </w:rPr>
              <w:t>80</w:t>
            </w:r>
            <w:r w:rsidR="008041D7" w:rsidRPr="00D03260">
              <w:rPr>
                <w:noProof/>
                <w:webHidden/>
              </w:rPr>
              <w:fldChar w:fldCharType="end"/>
            </w:r>
          </w:hyperlink>
        </w:p>
        <w:p w14:paraId="45B0B581" w14:textId="37A5ED12"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95" w:history="1">
            <w:r w:rsidR="008041D7" w:rsidRPr="00D03260">
              <w:rPr>
                <w:rStyle w:val="Hyperlink"/>
                <w:noProof/>
              </w:rPr>
              <w:t>Appendix F: Potential side effects of pharmaceuticals used in the treatment of patients diagnosed with CIRS</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_Toc141885995 \h </w:instrText>
            </w:r>
            <w:r w:rsidR="008041D7" w:rsidRPr="00D03260">
              <w:rPr>
                <w:noProof/>
                <w:webHidden/>
              </w:rPr>
            </w:r>
            <w:r w:rsidR="008041D7" w:rsidRPr="00D03260">
              <w:rPr>
                <w:noProof/>
                <w:webHidden/>
              </w:rPr>
              <w:fldChar w:fldCharType="separate"/>
            </w:r>
            <w:r w:rsidR="008041D7" w:rsidRPr="00D03260">
              <w:rPr>
                <w:noProof/>
                <w:webHidden/>
              </w:rPr>
              <w:t>81</w:t>
            </w:r>
            <w:r w:rsidR="008041D7" w:rsidRPr="00D03260">
              <w:rPr>
                <w:noProof/>
                <w:webHidden/>
              </w:rPr>
              <w:fldChar w:fldCharType="end"/>
            </w:r>
          </w:hyperlink>
        </w:p>
        <w:p w14:paraId="2730000A" w14:textId="2E1E28FD"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96" w:history="1">
            <w:r w:rsidR="008041D7" w:rsidRPr="00D03260">
              <w:rPr>
                <w:rStyle w:val="Hyperlink"/>
                <w:noProof/>
              </w:rPr>
              <w:t>Appendix G: Bibliography</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_Toc141885996 \h </w:instrText>
            </w:r>
            <w:r w:rsidR="008041D7" w:rsidRPr="00D03260">
              <w:rPr>
                <w:noProof/>
                <w:webHidden/>
              </w:rPr>
            </w:r>
            <w:r w:rsidR="008041D7" w:rsidRPr="00D03260">
              <w:rPr>
                <w:noProof/>
                <w:webHidden/>
              </w:rPr>
              <w:fldChar w:fldCharType="separate"/>
            </w:r>
            <w:r w:rsidR="008041D7" w:rsidRPr="00D03260">
              <w:rPr>
                <w:noProof/>
                <w:webHidden/>
              </w:rPr>
              <w:t>87</w:t>
            </w:r>
            <w:r w:rsidR="008041D7" w:rsidRPr="00D03260">
              <w:rPr>
                <w:noProof/>
                <w:webHidden/>
              </w:rPr>
              <w:fldChar w:fldCharType="end"/>
            </w:r>
          </w:hyperlink>
        </w:p>
        <w:p w14:paraId="777E41DE" w14:textId="49C6DFD9" w:rsidR="008041D7" w:rsidRPr="00D03260" w:rsidRDefault="00000000" w:rsidP="007119A0">
          <w:pPr>
            <w:pStyle w:val="TOC1"/>
            <w:rPr>
              <w:rFonts w:asciiTheme="minorHAnsi" w:eastAsiaTheme="minorEastAsia" w:hAnsiTheme="minorHAnsi" w:cstheme="minorBidi"/>
              <w:noProof/>
              <w:color w:val="auto"/>
              <w:szCs w:val="22"/>
              <w:lang w:eastAsia="en-AU"/>
            </w:rPr>
          </w:pPr>
          <w:hyperlink w:anchor="_Toc141885997" w:history="1">
            <w:r w:rsidR="008041D7" w:rsidRPr="00D03260">
              <w:rPr>
                <w:rStyle w:val="Hyperlink"/>
                <w:noProof/>
              </w:rPr>
              <w:t>Glossary</w:t>
            </w:r>
            <w:r w:rsidR="008041D7" w:rsidRPr="00D03260">
              <w:rPr>
                <w:noProof/>
                <w:webHidden/>
              </w:rPr>
              <w:tab/>
            </w:r>
            <w:r w:rsidR="008041D7" w:rsidRPr="00D03260">
              <w:rPr>
                <w:noProof/>
                <w:webHidden/>
              </w:rPr>
              <w:fldChar w:fldCharType="begin"/>
            </w:r>
            <w:r w:rsidR="008041D7" w:rsidRPr="00D03260">
              <w:rPr>
                <w:noProof/>
                <w:webHidden/>
              </w:rPr>
              <w:instrText xml:space="preserve"> PAGEREF _Toc141885997 \h </w:instrText>
            </w:r>
            <w:r w:rsidR="008041D7" w:rsidRPr="00D03260">
              <w:rPr>
                <w:noProof/>
                <w:webHidden/>
              </w:rPr>
            </w:r>
            <w:r w:rsidR="008041D7" w:rsidRPr="00D03260">
              <w:rPr>
                <w:noProof/>
                <w:webHidden/>
              </w:rPr>
              <w:fldChar w:fldCharType="separate"/>
            </w:r>
            <w:r w:rsidR="008041D7" w:rsidRPr="00D03260">
              <w:rPr>
                <w:noProof/>
                <w:webHidden/>
              </w:rPr>
              <w:t>98</w:t>
            </w:r>
            <w:r w:rsidR="008041D7" w:rsidRPr="00D03260">
              <w:rPr>
                <w:noProof/>
                <w:webHidden/>
              </w:rPr>
              <w:fldChar w:fldCharType="end"/>
            </w:r>
          </w:hyperlink>
        </w:p>
        <w:p w14:paraId="315B80BF" w14:textId="46C01B8E" w:rsidR="00EA77BD" w:rsidRPr="00D03260" w:rsidRDefault="00D359CD" w:rsidP="007119A0">
          <w:pPr>
            <w:pStyle w:val="TOC1"/>
          </w:pPr>
          <w:r w:rsidRPr="00D03260">
            <w:fldChar w:fldCharType="end"/>
          </w:r>
        </w:p>
        <w:p w14:paraId="2EF5A009" w14:textId="49B7F5BF" w:rsidR="00CF14A6" w:rsidRPr="00D03260" w:rsidRDefault="00000000" w:rsidP="00EA77BD"/>
      </w:sdtContent>
    </w:sdt>
    <w:p w14:paraId="0677C053" w14:textId="77777777" w:rsidR="006D75FF" w:rsidRPr="00D03260" w:rsidRDefault="006D75FF" w:rsidP="000F3C3A">
      <w:pPr>
        <w:pStyle w:val="TOCHeading"/>
        <w:rPr>
          <w:lang w:val="en-AU"/>
        </w:rPr>
      </w:pPr>
      <w:bookmarkStart w:id="21" w:name="_Toc109920939"/>
      <w:bookmarkStart w:id="22" w:name="_Toc109921075"/>
      <w:bookmarkStart w:id="23" w:name="_Toc109926843"/>
      <w:bookmarkStart w:id="24" w:name="_Toc109927321"/>
      <w:bookmarkStart w:id="25" w:name="_Toc110002937"/>
      <w:bookmarkStart w:id="26" w:name="_Toc112152989"/>
      <w:bookmarkStart w:id="27" w:name="_Toc112236615"/>
      <w:bookmarkStart w:id="28" w:name="_Toc112239730"/>
      <w:bookmarkStart w:id="29" w:name="_Toc114561429"/>
      <w:bookmarkStart w:id="30" w:name="_Toc114565086"/>
      <w:bookmarkStart w:id="31" w:name="_Toc114740199"/>
      <w:bookmarkStart w:id="32" w:name="_Toc115085857"/>
      <w:bookmarkStart w:id="33" w:name="_Toc115243982"/>
      <w:bookmarkStart w:id="34" w:name="_Toc121329101"/>
      <w:r w:rsidRPr="00D03260">
        <w:rPr>
          <w:lang w:val="en-AU"/>
        </w:rPr>
        <w:t>Tables</w:t>
      </w:r>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4124D245" w14:textId="7F607435" w:rsidR="009E4CD3" w:rsidRPr="00D03260" w:rsidRDefault="009E4CD3">
      <w:pPr>
        <w:pStyle w:val="TableofFigures"/>
        <w:tabs>
          <w:tab w:val="right" w:leader="dot" w:pos="9060"/>
        </w:tabs>
        <w:rPr>
          <w:rFonts w:asciiTheme="minorHAnsi" w:eastAsiaTheme="minorEastAsia" w:hAnsiTheme="minorHAnsi" w:cstheme="minorBidi"/>
          <w:noProof/>
          <w:color w:val="auto"/>
          <w:szCs w:val="22"/>
          <w:lang w:eastAsia="en-AU"/>
        </w:rPr>
      </w:pPr>
      <w:r w:rsidRPr="00D03260">
        <w:rPr>
          <w:noProof/>
        </w:rPr>
        <w:fldChar w:fldCharType="begin"/>
      </w:r>
      <w:r w:rsidRPr="00D03260">
        <w:rPr>
          <w:noProof/>
        </w:rPr>
        <w:instrText xml:space="preserve"> TOC \h \z \c "Table" </w:instrText>
      </w:r>
      <w:r w:rsidRPr="00D03260">
        <w:rPr>
          <w:noProof/>
        </w:rPr>
        <w:fldChar w:fldCharType="separate"/>
      </w:r>
      <w:hyperlink w:anchor="_Toc125034708" w:history="1">
        <w:r w:rsidRPr="00D03260">
          <w:rPr>
            <w:rStyle w:val="Hyperlink"/>
            <w:noProof/>
          </w:rPr>
          <w:t xml:space="preserve">Table 1: Likely, less likely, and unlikely differential diagnoses </w:t>
        </w:r>
        <w:r w:rsidRPr="00D03260">
          <w:rPr>
            <w:rStyle w:val="Hyperlink"/>
            <w:rFonts w:eastAsia="Cambria"/>
            <w:noProof/>
          </w:rPr>
          <w:t>or symptoms</w:t>
        </w:r>
        <w:r w:rsidRPr="00D03260">
          <w:rPr>
            <w:rStyle w:val="Hyperlink"/>
            <w:noProof/>
          </w:rPr>
          <w:t xml:space="preserve"> in patients with a history of exposure to indoor damp and mould</w:t>
        </w:r>
        <w:r w:rsidRPr="00D03260">
          <w:rPr>
            <w:noProof/>
            <w:webHidden/>
          </w:rPr>
          <w:tab/>
        </w:r>
        <w:r w:rsidRPr="00D03260">
          <w:rPr>
            <w:noProof/>
            <w:webHidden/>
          </w:rPr>
          <w:fldChar w:fldCharType="begin"/>
        </w:r>
        <w:r w:rsidRPr="00D03260">
          <w:rPr>
            <w:noProof/>
            <w:webHidden/>
          </w:rPr>
          <w:instrText xml:space="preserve"> PAGEREF _Toc125034708 \h </w:instrText>
        </w:r>
        <w:r w:rsidRPr="00D03260">
          <w:rPr>
            <w:noProof/>
            <w:webHidden/>
          </w:rPr>
        </w:r>
        <w:r w:rsidRPr="00D03260">
          <w:rPr>
            <w:noProof/>
            <w:webHidden/>
          </w:rPr>
          <w:fldChar w:fldCharType="separate"/>
        </w:r>
        <w:r w:rsidR="0015383F" w:rsidRPr="00D03260">
          <w:rPr>
            <w:noProof/>
            <w:webHidden/>
          </w:rPr>
          <w:t>iv</w:t>
        </w:r>
        <w:r w:rsidRPr="00D03260">
          <w:rPr>
            <w:noProof/>
            <w:webHidden/>
          </w:rPr>
          <w:fldChar w:fldCharType="end"/>
        </w:r>
      </w:hyperlink>
    </w:p>
    <w:p w14:paraId="3CA369BF" w14:textId="53EA23B6" w:rsidR="009E4CD3" w:rsidRPr="00D03260"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25034709" w:history="1">
        <w:r w:rsidR="009E4CD3" w:rsidRPr="00D03260">
          <w:rPr>
            <w:rStyle w:val="Hyperlink"/>
            <w:noProof/>
          </w:rPr>
          <w:t>Table 2: Recommendations for managing MUS</w:t>
        </w:r>
        <w:r w:rsidR="009E4CD3" w:rsidRPr="00D03260">
          <w:rPr>
            <w:noProof/>
            <w:webHidden/>
          </w:rPr>
          <w:tab/>
        </w:r>
        <w:r w:rsidR="009E4CD3" w:rsidRPr="00D03260">
          <w:rPr>
            <w:noProof/>
            <w:webHidden/>
          </w:rPr>
          <w:fldChar w:fldCharType="begin"/>
        </w:r>
        <w:r w:rsidR="009E4CD3" w:rsidRPr="00D03260">
          <w:rPr>
            <w:noProof/>
            <w:webHidden/>
          </w:rPr>
          <w:instrText xml:space="preserve"> PAGEREF _Toc125034709 \h </w:instrText>
        </w:r>
        <w:r w:rsidR="009E4CD3" w:rsidRPr="00D03260">
          <w:rPr>
            <w:noProof/>
            <w:webHidden/>
          </w:rPr>
        </w:r>
        <w:r w:rsidR="009E4CD3" w:rsidRPr="00D03260">
          <w:rPr>
            <w:noProof/>
            <w:webHidden/>
          </w:rPr>
          <w:fldChar w:fldCharType="separate"/>
        </w:r>
        <w:r w:rsidR="0015383F" w:rsidRPr="00D03260">
          <w:rPr>
            <w:noProof/>
            <w:webHidden/>
          </w:rPr>
          <w:t>45</w:t>
        </w:r>
        <w:r w:rsidR="009E4CD3" w:rsidRPr="00D03260">
          <w:rPr>
            <w:noProof/>
            <w:webHidden/>
          </w:rPr>
          <w:fldChar w:fldCharType="end"/>
        </w:r>
      </w:hyperlink>
    </w:p>
    <w:p w14:paraId="641CA591" w14:textId="4C9A7DAE" w:rsidR="009E4CD3" w:rsidRPr="00D03260"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25034710" w:history="1">
        <w:r w:rsidR="009E4CD3" w:rsidRPr="00D03260">
          <w:rPr>
            <w:rStyle w:val="Hyperlink"/>
            <w:noProof/>
          </w:rPr>
          <w:t xml:space="preserve">Table 3: Overview of Stepped Care approach to managing MUS </w:t>
        </w:r>
        <w:r w:rsidR="009E4CD3" w:rsidRPr="00D03260">
          <w:rPr>
            <w:rStyle w:val="Hyperlink"/>
            <w:rFonts w:cs="Arial"/>
            <w:noProof/>
          </w:rPr>
          <w:t>(Olde Hartman et al., 2013)</w:t>
        </w:r>
        <w:r w:rsidR="009E4CD3" w:rsidRPr="00D03260">
          <w:rPr>
            <w:noProof/>
            <w:webHidden/>
          </w:rPr>
          <w:tab/>
        </w:r>
        <w:r w:rsidR="009E4CD3" w:rsidRPr="00D03260">
          <w:rPr>
            <w:noProof/>
            <w:webHidden/>
          </w:rPr>
          <w:fldChar w:fldCharType="begin"/>
        </w:r>
        <w:r w:rsidR="009E4CD3" w:rsidRPr="00D03260">
          <w:rPr>
            <w:noProof/>
            <w:webHidden/>
          </w:rPr>
          <w:instrText xml:space="preserve"> PAGEREF _Toc125034710 \h </w:instrText>
        </w:r>
        <w:r w:rsidR="009E4CD3" w:rsidRPr="00D03260">
          <w:rPr>
            <w:noProof/>
            <w:webHidden/>
          </w:rPr>
        </w:r>
        <w:r w:rsidR="009E4CD3" w:rsidRPr="00D03260">
          <w:rPr>
            <w:noProof/>
            <w:webHidden/>
          </w:rPr>
          <w:fldChar w:fldCharType="separate"/>
        </w:r>
        <w:r w:rsidR="0015383F" w:rsidRPr="00D03260">
          <w:rPr>
            <w:noProof/>
            <w:webHidden/>
          </w:rPr>
          <w:t>49</w:t>
        </w:r>
        <w:r w:rsidR="009E4CD3" w:rsidRPr="00D03260">
          <w:rPr>
            <w:noProof/>
            <w:webHidden/>
          </w:rPr>
          <w:fldChar w:fldCharType="end"/>
        </w:r>
      </w:hyperlink>
    </w:p>
    <w:p w14:paraId="2BC328BD" w14:textId="751122B1" w:rsidR="00292506" w:rsidRPr="00D03260" w:rsidRDefault="009E4CD3" w:rsidP="00C9115D">
      <w:pPr>
        <w:rPr>
          <w:b/>
          <w:bCs/>
          <w:noProof/>
        </w:rPr>
      </w:pPr>
      <w:r w:rsidRPr="00D03260">
        <w:rPr>
          <w:noProof/>
        </w:rPr>
        <w:fldChar w:fldCharType="end"/>
      </w:r>
    </w:p>
    <w:p w14:paraId="6D1852E6" w14:textId="77777777" w:rsidR="00EA77BD" w:rsidRPr="00D03260" w:rsidRDefault="00EA77BD" w:rsidP="00C9115D">
      <w:pPr>
        <w:rPr>
          <w:noProof/>
        </w:rPr>
      </w:pPr>
    </w:p>
    <w:p w14:paraId="7C78E267" w14:textId="022F6E8E" w:rsidR="00EA77BD" w:rsidRPr="00D03260" w:rsidRDefault="00EA77BD" w:rsidP="000F3C3A">
      <w:pPr>
        <w:pStyle w:val="TOCHeading"/>
        <w:rPr>
          <w:lang w:val="en-AU"/>
        </w:rPr>
      </w:pPr>
      <w:bookmarkStart w:id="35" w:name="_Toc109920938"/>
      <w:bookmarkStart w:id="36" w:name="_Toc109921074"/>
      <w:bookmarkStart w:id="37" w:name="_Toc109926842"/>
      <w:bookmarkStart w:id="38" w:name="_Toc109927320"/>
      <w:bookmarkStart w:id="39" w:name="_Toc110002936"/>
      <w:bookmarkStart w:id="40" w:name="_Toc112152988"/>
      <w:bookmarkStart w:id="41" w:name="_Toc112236614"/>
      <w:bookmarkStart w:id="42" w:name="_Toc112239729"/>
      <w:bookmarkStart w:id="43" w:name="_Toc114561428"/>
      <w:bookmarkStart w:id="44" w:name="_Toc114565085"/>
      <w:bookmarkStart w:id="45" w:name="_Toc114740198"/>
      <w:bookmarkStart w:id="46" w:name="_Toc115085856"/>
      <w:bookmarkStart w:id="47" w:name="_Toc115243981"/>
      <w:bookmarkStart w:id="48" w:name="_Toc121329100"/>
      <w:r w:rsidRPr="00D03260">
        <w:rPr>
          <w:lang w:val="en-AU"/>
        </w:rPr>
        <w:t>Figure</w:t>
      </w:r>
      <w:bookmarkEnd w:id="35"/>
      <w:bookmarkEnd w:id="36"/>
      <w:bookmarkEnd w:id="37"/>
      <w:bookmarkEnd w:id="38"/>
      <w:bookmarkEnd w:id="39"/>
      <w:bookmarkEnd w:id="40"/>
      <w:bookmarkEnd w:id="41"/>
      <w:bookmarkEnd w:id="42"/>
      <w:bookmarkEnd w:id="43"/>
      <w:bookmarkEnd w:id="44"/>
      <w:bookmarkEnd w:id="45"/>
      <w:bookmarkEnd w:id="46"/>
      <w:bookmarkEnd w:id="47"/>
      <w:bookmarkEnd w:id="48"/>
      <w:r w:rsidR="00E87E61" w:rsidRPr="00D03260">
        <w:rPr>
          <w:lang w:val="en-AU"/>
        </w:rPr>
        <w:t>s</w:t>
      </w:r>
    </w:p>
    <w:p w14:paraId="369C9E98" w14:textId="359726AA" w:rsidR="009E4CD3" w:rsidRPr="00D03260" w:rsidRDefault="00EA77BD">
      <w:pPr>
        <w:pStyle w:val="TableofFigures"/>
        <w:tabs>
          <w:tab w:val="right" w:leader="dot" w:pos="9060"/>
        </w:tabs>
        <w:rPr>
          <w:rFonts w:asciiTheme="minorHAnsi" w:eastAsiaTheme="minorEastAsia" w:hAnsiTheme="minorHAnsi" w:cstheme="minorBidi"/>
          <w:noProof/>
          <w:color w:val="auto"/>
          <w:szCs w:val="22"/>
          <w:lang w:eastAsia="en-AU"/>
        </w:rPr>
      </w:pPr>
      <w:r w:rsidRPr="00D03260" w:rsidDel="009E4CD3">
        <w:rPr>
          <w:b/>
        </w:rPr>
        <w:fldChar w:fldCharType="begin"/>
      </w:r>
      <w:r w:rsidRPr="00D03260" w:rsidDel="009E4CD3">
        <w:rPr>
          <w:b/>
        </w:rPr>
        <w:instrText xml:space="preserve"> TOC \h \z \c "Figure" </w:instrText>
      </w:r>
      <w:r w:rsidRPr="00D03260" w:rsidDel="009E4CD3">
        <w:rPr>
          <w:b/>
        </w:rPr>
        <w:fldChar w:fldCharType="separate"/>
      </w:r>
      <w:hyperlink w:anchor="_Toc125034691" w:history="1">
        <w:r w:rsidR="009E4CD3" w:rsidRPr="00D03260">
          <w:rPr>
            <w:rStyle w:val="Hyperlink"/>
            <w:noProof/>
          </w:rPr>
          <w:t>Figure 1: Symptoms attributed to exposure to mould</w:t>
        </w:r>
        <w:r w:rsidR="009E4CD3" w:rsidRPr="00D03260">
          <w:rPr>
            <w:noProof/>
            <w:webHidden/>
          </w:rPr>
          <w:tab/>
        </w:r>
        <w:r w:rsidR="009E4CD3" w:rsidRPr="00D03260">
          <w:rPr>
            <w:noProof/>
            <w:webHidden/>
          </w:rPr>
          <w:fldChar w:fldCharType="begin"/>
        </w:r>
        <w:r w:rsidR="009E4CD3" w:rsidRPr="00D03260">
          <w:rPr>
            <w:noProof/>
            <w:webHidden/>
          </w:rPr>
          <w:instrText xml:space="preserve"> PAGEREF _Toc125034691 \h </w:instrText>
        </w:r>
        <w:r w:rsidR="009E4CD3" w:rsidRPr="00D03260">
          <w:rPr>
            <w:noProof/>
            <w:webHidden/>
          </w:rPr>
        </w:r>
        <w:r w:rsidR="009E4CD3" w:rsidRPr="00D03260">
          <w:rPr>
            <w:noProof/>
            <w:webHidden/>
          </w:rPr>
          <w:fldChar w:fldCharType="separate"/>
        </w:r>
        <w:r w:rsidR="0015383F" w:rsidRPr="00D03260">
          <w:rPr>
            <w:noProof/>
            <w:webHidden/>
          </w:rPr>
          <w:t>79</w:t>
        </w:r>
        <w:r w:rsidR="009E4CD3" w:rsidRPr="00D03260">
          <w:rPr>
            <w:noProof/>
            <w:webHidden/>
          </w:rPr>
          <w:fldChar w:fldCharType="end"/>
        </w:r>
      </w:hyperlink>
    </w:p>
    <w:p w14:paraId="1E3AE367" w14:textId="1CCE92ED" w:rsidR="00C9115D" w:rsidRPr="00D03260" w:rsidRDefault="00EA77BD" w:rsidP="00C9115D">
      <w:r w:rsidRPr="00D03260" w:rsidDel="009E4CD3">
        <w:rPr>
          <w:b/>
          <w:bCs/>
          <w:noProof/>
        </w:rPr>
        <w:fldChar w:fldCharType="end"/>
      </w:r>
    </w:p>
    <w:p w14:paraId="355D5B16" w14:textId="08EC129A" w:rsidR="00C9115D" w:rsidRPr="00D03260" w:rsidRDefault="00C9115D" w:rsidP="00346C4A">
      <w:pPr>
        <w:sectPr w:rsidR="00C9115D" w:rsidRPr="00D03260" w:rsidSect="00CF14A6">
          <w:pgSz w:w="11906" w:h="16838"/>
          <w:pgMar w:top="1701" w:right="1418" w:bottom="1418" w:left="1418" w:header="709" w:footer="709" w:gutter="0"/>
          <w:pgNumType w:fmt="lowerRoman"/>
          <w:cols w:space="708"/>
          <w:docGrid w:linePitch="360"/>
        </w:sectPr>
      </w:pPr>
    </w:p>
    <w:p w14:paraId="623E3FE9" w14:textId="1E344AF6" w:rsidR="0051319F" w:rsidRPr="00D03260" w:rsidRDefault="0051319F" w:rsidP="00291F6C">
      <w:pPr>
        <w:pStyle w:val="NumberedHeading1"/>
        <w:ind w:left="360"/>
      </w:pPr>
      <w:bookmarkStart w:id="49" w:name="_Toc121329102"/>
      <w:bookmarkStart w:id="50" w:name="_Toc141885839"/>
      <w:r w:rsidRPr="00D03260">
        <w:lastRenderedPageBreak/>
        <w:t>Introduction</w:t>
      </w:r>
      <w:bookmarkEnd w:id="49"/>
      <w:bookmarkEnd w:id="50"/>
    </w:p>
    <w:p w14:paraId="0926ABC2" w14:textId="5DF00F41" w:rsidR="0051319F" w:rsidRPr="00D03260" w:rsidRDefault="0051319F" w:rsidP="00291F6C">
      <w:pPr>
        <w:pStyle w:val="NumberedHeading2"/>
        <w:ind w:left="360"/>
      </w:pPr>
      <w:bookmarkStart w:id="51" w:name="_Toc121329103"/>
      <w:bookmarkStart w:id="52" w:name="_Toc141885840"/>
      <w:r w:rsidRPr="00D03260">
        <w:t>Purpose of the Clinical Pathway</w:t>
      </w:r>
      <w:bookmarkEnd w:id="51"/>
      <w:bookmarkEnd w:id="52"/>
    </w:p>
    <w:p w14:paraId="2B97EA59" w14:textId="608A3ECA" w:rsidR="0051319F" w:rsidRPr="00D03260" w:rsidRDefault="0051319F" w:rsidP="0051319F">
      <w:r w:rsidRPr="00D03260">
        <w:t>The purpose of the Biotoxins (</w:t>
      </w:r>
      <w:r w:rsidR="0093587F" w:rsidRPr="00D03260">
        <w:t>i</w:t>
      </w:r>
      <w:r w:rsidRPr="00D03260">
        <w:t xml:space="preserve">ndoor damp and mould) Clinical Pathway is to support decision-making for general practitioners (GPs) and other medical professionals for the diagnosis, </w:t>
      </w:r>
      <w:proofErr w:type="gramStart"/>
      <w:r w:rsidRPr="00D03260">
        <w:t>treatment</w:t>
      </w:r>
      <w:proofErr w:type="gramEnd"/>
      <w:r w:rsidRPr="00D03260">
        <w:t xml:space="preserve"> and management of patients with </w:t>
      </w:r>
      <w:r w:rsidR="008B7F3A" w:rsidRPr="00D03260">
        <w:t>b</w:t>
      </w:r>
      <w:r w:rsidRPr="00D03260">
        <w:t>iotoxin-related illnesses and</w:t>
      </w:r>
      <w:r w:rsidR="006A6C23" w:rsidRPr="00D03260">
        <w:t xml:space="preserve"> </w:t>
      </w:r>
      <w:r w:rsidR="00CA755B" w:rsidRPr="00D03260">
        <w:t>symptoms that cannot be attributed to another diagnosable condition</w:t>
      </w:r>
      <w:r w:rsidRPr="00D03260">
        <w:t>. This Clinical Pathway has been developed in consultation with the Biotoxins-related Illness Advisory Committee (BIAC)</w:t>
      </w:r>
      <w:r w:rsidR="004206D7" w:rsidRPr="00D03260">
        <w:t xml:space="preserve"> which comprises </w:t>
      </w:r>
      <w:r w:rsidR="000C38C8" w:rsidRPr="00D03260">
        <w:t xml:space="preserve">of </w:t>
      </w:r>
      <w:r w:rsidR="004206D7" w:rsidRPr="00D03260">
        <w:t>members from a broad range of allied health and specialist medical fields, as well as consumer representatives</w:t>
      </w:r>
      <w:r w:rsidRPr="00D03260">
        <w:t>.</w:t>
      </w:r>
    </w:p>
    <w:p w14:paraId="7E062CFF" w14:textId="2F8DA676" w:rsidR="0051319F" w:rsidRPr="00D03260" w:rsidRDefault="0051319F" w:rsidP="0051319F">
      <w:r w:rsidRPr="00D03260">
        <w:rPr>
          <w:lang w:eastAsia="en-AU"/>
        </w:rPr>
        <w:t xml:space="preserve">This </w:t>
      </w:r>
      <w:r w:rsidR="00D03260" w:rsidRPr="00D03260">
        <w:rPr>
          <w:lang w:eastAsia="en-AU"/>
        </w:rPr>
        <w:t>evidence based</w:t>
      </w:r>
      <w:r w:rsidRPr="00D03260">
        <w:rPr>
          <w:lang w:eastAsia="en-AU"/>
        </w:rPr>
        <w:t xml:space="preserve"> </w:t>
      </w:r>
      <w:r w:rsidRPr="00D03260">
        <w:t>Biotoxins (</w:t>
      </w:r>
      <w:r w:rsidR="0022637F" w:rsidRPr="00D03260">
        <w:t>i</w:t>
      </w:r>
      <w:r w:rsidRPr="00D03260">
        <w:t xml:space="preserve">ndoor damp and mould) </w:t>
      </w:r>
      <w:r w:rsidRPr="00D03260">
        <w:rPr>
          <w:lang w:eastAsia="en-AU"/>
        </w:rPr>
        <w:t xml:space="preserve">Clinical Pathway has been developed </w:t>
      </w:r>
      <w:r w:rsidRPr="00D03260">
        <w:t>to support decision-making on differential diagnosis and referral pathways for patients presenting with either new onset or unresolved debilitating symptoms with a history of exposure to indoor damp or mould and that cannot be attributed to another condition (acute or chronic). The Clinical Pathway is not instructive; rather it is a tool/pathway to help structure assessments and management of patients with a wide variety of symptoms and severity of disability.</w:t>
      </w:r>
      <w:r w:rsidRPr="00D03260">
        <w:rPr>
          <w:rFonts w:asciiTheme="majorHAnsi" w:hAnsiTheme="majorHAnsi" w:cstheme="majorHAnsi"/>
          <w:sz w:val="20"/>
          <w:szCs w:val="20"/>
        </w:rPr>
        <w:t xml:space="preserve"> </w:t>
      </w:r>
      <w:r w:rsidRPr="00D03260">
        <w:t xml:space="preserve">It has also been designed specifically for </w:t>
      </w:r>
      <w:r w:rsidR="00164709" w:rsidRPr="00D03260">
        <w:t xml:space="preserve">use in </w:t>
      </w:r>
      <w:r w:rsidRPr="00D03260">
        <w:t>the Australian context</w:t>
      </w:r>
      <w:r w:rsidR="00EA76A7" w:rsidRPr="00D03260">
        <w:t>.</w:t>
      </w:r>
    </w:p>
    <w:p w14:paraId="530AB087" w14:textId="10BE0040" w:rsidR="00B44AB1" w:rsidRPr="00D03260" w:rsidRDefault="0051319F" w:rsidP="00A80889">
      <w:pPr>
        <w:rPr>
          <w:lang w:eastAsia="en-AU"/>
        </w:rPr>
      </w:pPr>
      <w:r w:rsidRPr="00D03260">
        <w:t>This Biotoxins (</w:t>
      </w:r>
      <w:r w:rsidR="00F6211A" w:rsidRPr="00D03260">
        <w:t>i</w:t>
      </w:r>
      <w:r w:rsidRPr="00D03260">
        <w:t xml:space="preserve">ndoor damp and mould) Clinical Pathway </w:t>
      </w:r>
      <w:r w:rsidR="009045ED" w:rsidRPr="00D03260">
        <w:t xml:space="preserve">is </w:t>
      </w:r>
      <w:r w:rsidR="000C75F2" w:rsidRPr="00D03260">
        <w:t>focus</w:t>
      </w:r>
      <w:r w:rsidR="009045ED" w:rsidRPr="00D03260">
        <w:t>ed</w:t>
      </w:r>
      <w:r w:rsidR="000C75F2" w:rsidRPr="00D03260">
        <w:t xml:space="preserve"> </w:t>
      </w:r>
      <w:r w:rsidRPr="00D03260">
        <w:t>on health effects for which the evidence is sufficient for an association with exposure to indoor damp and mould</w:t>
      </w:r>
      <w:r w:rsidR="005B60A4" w:rsidRPr="00D03260">
        <w:t>. The Clinical Pathway is also designed for</w:t>
      </w:r>
      <w:r w:rsidRPr="00D03260">
        <w:t xml:space="preserve"> the management of patients for whom a diagnosis cannot be established and who have persistent symptoms</w:t>
      </w:r>
      <w:r w:rsidR="00E12BB0" w:rsidRPr="00D03260">
        <w:t xml:space="preserve">. It </w:t>
      </w:r>
      <w:r w:rsidRPr="00D03260">
        <w:t xml:space="preserve">is informed </w:t>
      </w:r>
      <w:r w:rsidR="007679B2" w:rsidRPr="00D03260">
        <w:t xml:space="preserve">by an </w:t>
      </w:r>
      <w:r w:rsidR="00B8391B" w:rsidRPr="00D03260">
        <w:t>e</w:t>
      </w:r>
      <w:r w:rsidR="007679B2" w:rsidRPr="00D03260">
        <w:t xml:space="preserve">vidence </w:t>
      </w:r>
      <w:r w:rsidR="00B8391B" w:rsidRPr="00D03260">
        <w:t>e</w:t>
      </w:r>
      <w:r w:rsidR="007679B2" w:rsidRPr="00D03260">
        <w:t xml:space="preserve">valuation of </w:t>
      </w:r>
      <w:r w:rsidRPr="00D03260">
        <w:t xml:space="preserve">the current peer-reviewed evidence </w:t>
      </w:r>
      <w:r w:rsidR="00205289" w:rsidRPr="00D03260">
        <w:rPr>
          <w:rFonts w:eastAsia="Arial" w:cs="Arial"/>
        </w:rPr>
        <w:t>and is consistent with international advice</w:t>
      </w:r>
      <w:r w:rsidR="00E87ADC" w:rsidRPr="00D03260">
        <w:rPr>
          <w:rFonts w:eastAsia="Arial" w:cs="Arial"/>
        </w:rPr>
        <w:t xml:space="preserve">. </w:t>
      </w:r>
      <w:r w:rsidR="00051617" w:rsidRPr="00D03260">
        <w:rPr>
          <w:rFonts w:eastAsia="Arial" w:cs="Arial"/>
        </w:rPr>
        <w:t xml:space="preserve">It has </w:t>
      </w:r>
      <w:r w:rsidR="00205289" w:rsidRPr="00D03260">
        <w:rPr>
          <w:rFonts w:eastAsia="Arial" w:cs="Arial"/>
        </w:rPr>
        <w:t xml:space="preserve">been developed using guidance from international </w:t>
      </w:r>
      <w:r w:rsidR="000D2651" w:rsidRPr="00D03260">
        <w:rPr>
          <w:rFonts w:eastAsia="Arial" w:cs="Arial"/>
        </w:rPr>
        <w:t xml:space="preserve">and national </w:t>
      </w:r>
      <w:r w:rsidR="00205289" w:rsidRPr="00D03260">
        <w:rPr>
          <w:rFonts w:eastAsia="Arial" w:cs="Arial"/>
        </w:rPr>
        <w:t xml:space="preserve">authorities and medical professional associations. </w:t>
      </w:r>
      <w:r w:rsidRPr="00D03260">
        <w:rPr>
          <w:lang w:eastAsia="en-AU"/>
        </w:rPr>
        <w:t xml:space="preserve">The information and recommendations on the diagnosis of health effects associated with exposure to indoor damp </w:t>
      </w:r>
      <w:r w:rsidR="000C38C8" w:rsidRPr="00D03260">
        <w:rPr>
          <w:lang w:eastAsia="en-AU"/>
        </w:rPr>
        <w:t xml:space="preserve">and mould </w:t>
      </w:r>
      <w:r w:rsidRPr="00D03260">
        <w:rPr>
          <w:lang w:eastAsia="en-AU"/>
        </w:rPr>
        <w:t>in this Clinical Pathway include three international authority guidelines</w:t>
      </w:r>
      <w:r w:rsidR="001B5DDB" w:rsidRPr="00D03260">
        <w:rPr>
          <w:lang w:eastAsia="en-AU"/>
        </w:rPr>
        <w:t>:</w:t>
      </w:r>
    </w:p>
    <w:p w14:paraId="229B6E64" w14:textId="7C1CAA97" w:rsidR="00F7365C" w:rsidRPr="00D03260" w:rsidRDefault="0051319F" w:rsidP="00BF4ACA">
      <w:pPr>
        <w:pStyle w:val="ListBullet"/>
      </w:pPr>
      <w:r w:rsidRPr="00D03260">
        <w:t xml:space="preserve">The 2009 World Health Organization </w:t>
      </w:r>
      <w:r w:rsidR="00FD2581" w:rsidRPr="00D03260">
        <w:t xml:space="preserve">(WHO) </w:t>
      </w:r>
      <w:r w:rsidRPr="00D03260">
        <w:t>guideline on Indoor air quality was developed by international leading air quality medical, scientific and research organisations and professionals</w:t>
      </w:r>
      <w:r w:rsidR="007C565B" w:rsidRPr="00D03260">
        <w:t xml:space="preserve"> </w:t>
      </w:r>
      <w:r w:rsidR="00940ADB" w:rsidRPr="00D03260">
        <w:fldChar w:fldCharType="begin"/>
      </w:r>
      <w:r w:rsidR="00217980" w:rsidRPr="00D03260">
        <w:instrText xml:space="preserve"> ADDIN ZOTERO_ITEM CSL_CITATION {"citationID":"kexzJL4J","properties":{"formattedCitation":"(World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00940ADB" w:rsidRPr="00D03260">
        <w:fldChar w:fldCharType="separate"/>
      </w:r>
      <w:r w:rsidR="00940ADB" w:rsidRPr="00D03260">
        <w:t>(World Health Organization, 2009)</w:t>
      </w:r>
      <w:r w:rsidR="00940ADB" w:rsidRPr="00D03260">
        <w:fldChar w:fldCharType="end"/>
      </w:r>
      <w:r w:rsidRPr="00D03260">
        <w:t>. It remains the most current guideline from the WHO on indoor mould or damp.</w:t>
      </w:r>
    </w:p>
    <w:p w14:paraId="410AE99C" w14:textId="4134AF6D" w:rsidR="00F7365C" w:rsidRPr="00D03260" w:rsidRDefault="00F7365C" w:rsidP="00BF4ACA">
      <w:pPr>
        <w:pStyle w:val="ListBullet"/>
      </w:pPr>
      <w:r w:rsidRPr="00D03260">
        <w:t>A</w:t>
      </w:r>
      <w:r w:rsidR="0051319F" w:rsidRPr="00D03260">
        <w:t xml:space="preserve">n abridged version of the </w:t>
      </w:r>
      <w:r w:rsidR="00E47C93" w:rsidRPr="00D03260">
        <w:t xml:space="preserve">Arbeitsgemeinschaft der Wissenschaftlichen Medizinischen Fachgesellschaften </w:t>
      </w:r>
      <w:r w:rsidR="00FD5FCA" w:rsidRPr="00D03260">
        <w:t xml:space="preserve">(Association of the Scientific Medical Societies, Germany) </w:t>
      </w:r>
      <w:r w:rsidR="002435D2" w:rsidRPr="00D03260">
        <w:t>(</w:t>
      </w:r>
      <w:r w:rsidR="0051319F" w:rsidRPr="00D03260">
        <w:t>AWMF</w:t>
      </w:r>
      <w:r w:rsidR="002435D2" w:rsidRPr="00D03260">
        <w:t>)</w:t>
      </w:r>
      <w:r w:rsidR="0051319F" w:rsidRPr="00D03260">
        <w:t xml:space="preserve"> guideline for the medical clinical diagnostics of indoor mould exposure </w:t>
      </w:r>
      <w:r w:rsidRPr="00D03260">
        <w:t xml:space="preserve">published in 2017 </w:t>
      </w:r>
      <w:r w:rsidR="0051319F" w:rsidRPr="00D03260">
        <w:fldChar w:fldCharType="begin"/>
      </w:r>
      <w:r w:rsidR="00217980" w:rsidRPr="00D03260">
        <w:instrText xml:space="preserve"> ADDIN ZOTERO_ITEM CSL_CITATION {"citationID":"v9bjdV1Y","properties":{"formattedCitation":"(Wiesm\\uc0\\u252{}ller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0051319F" w:rsidRPr="00D03260">
        <w:fldChar w:fldCharType="separate"/>
      </w:r>
      <w:r w:rsidR="0051319F" w:rsidRPr="00D03260">
        <w:t>(Wiesmüller et al., 2017)</w:t>
      </w:r>
      <w:r w:rsidR="0051319F" w:rsidRPr="00D03260">
        <w:fldChar w:fldCharType="end"/>
      </w:r>
      <w:r w:rsidR="00A56275" w:rsidRPr="00D03260">
        <w:t>. It is</w:t>
      </w:r>
      <w:r w:rsidR="0051319F" w:rsidRPr="00D03260">
        <w:t xml:space="preserve"> described as a European </w:t>
      </w:r>
      <w:r w:rsidR="00D03260" w:rsidRPr="00D03260">
        <w:t>consensus based</w:t>
      </w:r>
      <w:r w:rsidR="0051319F" w:rsidRPr="00D03260">
        <w:t xml:space="preserve"> (S2k) Guideline of the German Society of Hygiene, Environmental </w:t>
      </w:r>
      <w:proofErr w:type="gramStart"/>
      <w:r w:rsidR="0051319F" w:rsidRPr="00D03260">
        <w:t>Medicine</w:t>
      </w:r>
      <w:proofErr w:type="gramEnd"/>
      <w:r w:rsidR="0051319F" w:rsidRPr="00D03260">
        <w:t xml:space="preserve"> and Preventive Medicine (GHUP)</w:t>
      </w:r>
      <w:r w:rsidR="00AF4823" w:rsidRPr="00D03260">
        <w:t xml:space="preserve"> </w:t>
      </w:r>
      <w:r w:rsidR="001B5DDB" w:rsidRPr="00D03260">
        <w:t>in collaboration with m</w:t>
      </w:r>
      <w:r w:rsidR="0051319F" w:rsidRPr="00D03260">
        <w:t>ultiple scientific medical societies, German and Austrian societies medical associations and experts were involved in producing the guideline.</w:t>
      </w:r>
    </w:p>
    <w:p w14:paraId="158E4017" w14:textId="3DD7B8D8" w:rsidR="00ED1311" w:rsidRPr="00D03260" w:rsidRDefault="00952ACE" w:rsidP="00DE47BA">
      <w:pPr>
        <w:pStyle w:val="ListBullet"/>
        <w:rPr>
          <w:rStyle w:val="BodyTextChar"/>
          <w:lang w:eastAsia="en-AU"/>
        </w:rPr>
      </w:pPr>
      <w:r w:rsidRPr="00D03260">
        <w:rPr>
          <w:rStyle w:val="BodyTextChar"/>
        </w:rPr>
        <w:t>T</w:t>
      </w:r>
      <w:r w:rsidR="0051319F" w:rsidRPr="00D03260">
        <w:rPr>
          <w:rStyle w:val="BodyTextChar"/>
        </w:rPr>
        <w:t xml:space="preserve">he </w:t>
      </w:r>
      <w:r w:rsidRPr="00D03260">
        <w:rPr>
          <w:rStyle w:val="BodyTextChar"/>
        </w:rPr>
        <w:t xml:space="preserve">UK </w:t>
      </w:r>
      <w:r w:rsidR="0051319F" w:rsidRPr="00D03260">
        <w:rPr>
          <w:rStyle w:val="BodyTextChar"/>
        </w:rPr>
        <w:t xml:space="preserve">National Institute for Health Care and Excellence (NICE) </w:t>
      </w:r>
      <w:r w:rsidR="001A092E" w:rsidRPr="00D03260">
        <w:rPr>
          <w:rStyle w:val="BodyTextChar"/>
        </w:rPr>
        <w:t xml:space="preserve">guideline </w:t>
      </w:r>
      <w:r w:rsidRPr="00D03260">
        <w:rPr>
          <w:rStyle w:val="BodyTextChar"/>
        </w:rPr>
        <w:t xml:space="preserve">on indoor air quality at home </w:t>
      </w:r>
      <w:r w:rsidR="00DA2FEE" w:rsidRPr="00D03260">
        <w:rPr>
          <w:rStyle w:val="BodyTextChar"/>
        </w:rPr>
        <w:fldChar w:fldCharType="begin"/>
      </w:r>
      <w:r w:rsidR="00707A99" w:rsidRPr="00D03260">
        <w:rPr>
          <w:rStyle w:val="BodyTextChar"/>
        </w:rPr>
        <w:instrText xml:space="preserve"> ADDIN ZOTERO_ITEM CSL_CITATION {"citationID":"Ufg8kxQI","properties":{"formattedCitation":"(National Institute for Health Care and Excellence, 2020a)","plainCitation":"(National Institute for Health Care and Excellence, 2020a)","noteIndex":0},"citationItems":[{"id":2202,"uris":["http://zotero.org/groups/4371185/items/28ZCQD4V"],"itemData":{"id":2202,"type":"document","publisher":"National Institute for Health and Care Excellence","title":"Indoor air quality at home: NICE guideline","author":[{"family":"National Institute for Health Care and Excellence","given":""}],"issued":{"literal":"2020a"}}}],"schema":"https://github.com/citation-style-language/schema/raw/master/csl-citation.json"} </w:instrText>
      </w:r>
      <w:r w:rsidR="00DA2FEE" w:rsidRPr="00D03260">
        <w:rPr>
          <w:rStyle w:val="BodyTextChar"/>
        </w:rPr>
        <w:fldChar w:fldCharType="separate"/>
      </w:r>
      <w:r w:rsidR="00707A99" w:rsidRPr="00D03260">
        <w:rPr>
          <w:rFonts w:cs="Arial"/>
        </w:rPr>
        <w:t>(National Institute for Health Care and Excellence, 2020a)</w:t>
      </w:r>
      <w:r w:rsidR="00DA2FEE" w:rsidRPr="00D03260">
        <w:rPr>
          <w:rStyle w:val="BodyTextChar"/>
        </w:rPr>
        <w:fldChar w:fldCharType="end"/>
      </w:r>
      <w:r w:rsidR="00D510F5" w:rsidRPr="00D03260">
        <w:rPr>
          <w:rStyle w:val="BodyTextChar"/>
        </w:rPr>
        <w:t xml:space="preserve"> and the </w:t>
      </w:r>
      <w:r w:rsidR="00E71DDB" w:rsidRPr="00D03260">
        <w:rPr>
          <w:rStyle w:val="BodyTextChar"/>
        </w:rPr>
        <w:t>associated evidence review for exposure to pollutants and health outcomes</w:t>
      </w:r>
      <w:r w:rsidR="00ED1311" w:rsidRPr="00D03260">
        <w:rPr>
          <w:rStyle w:val="BodyTextChar"/>
        </w:rPr>
        <w:t xml:space="preserve"> </w:t>
      </w:r>
      <w:r w:rsidR="003B067C" w:rsidRPr="00D03260">
        <w:rPr>
          <w:rStyle w:val="BodyTextChar"/>
        </w:rPr>
        <w:fldChar w:fldCharType="begin"/>
      </w:r>
      <w:r w:rsidR="00707A99" w:rsidRPr="00D03260">
        <w:rPr>
          <w:rStyle w:val="BodyTextChar"/>
        </w:rPr>
        <w:instrText xml:space="preserve"> ADDIN ZOTERO_ITEM CSL_CITATION {"citationID":"gy4WdQts","properties":{"formattedCitation":"(National Institute for Health and Care Excellence, 2020b)","plainCitation":"(National Institute for Health and Care Excellence, 2020b)","noteIndex":0},"citationItems":[{"id":2056,"uris":["http://zotero.org/groups/4371185/items/7T3KG6B7"],"itemData":{"id":2056,"type":"document","publisher":"National Institute for Health and Care Excellence","title":"Indoor air quality at home [2] Evidence review for exposure to pollutants and health outcomes NICE Guideline NG149 Evidence Review","author":[{"literal":"National Institute for Health and Care Excellence"}],"accessed":{"date-parts":[["2021",9,3]]},"issued":{"literal":"2020b"}}}],"schema":"https://github.com/citation-style-language/schema/raw/master/csl-citation.json"} </w:instrText>
      </w:r>
      <w:r w:rsidR="003B067C" w:rsidRPr="00D03260">
        <w:rPr>
          <w:rStyle w:val="BodyTextChar"/>
        </w:rPr>
        <w:fldChar w:fldCharType="separate"/>
      </w:r>
      <w:r w:rsidR="00707A99" w:rsidRPr="00D03260">
        <w:rPr>
          <w:rFonts w:cs="Arial"/>
        </w:rPr>
        <w:t>(National Institute for Health and Care Excellence, 2020b)</w:t>
      </w:r>
      <w:r w:rsidR="003B067C" w:rsidRPr="00D03260">
        <w:rPr>
          <w:rStyle w:val="BodyTextChar"/>
        </w:rPr>
        <w:fldChar w:fldCharType="end"/>
      </w:r>
      <w:r w:rsidR="00C91023" w:rsidRPr="00D03260">
        <w:rPr>
          <w:rStyle w:val="BodyTextChar"/>
        </w:rPr>
        <w:t>.</w:t>
      </w:r>
    </w:p>
    <w:p w14:paraId="6A6C432C" w14:textId="21E35493" w:rsidR="00952ACE" w:rsidRPr="00D03260" w:rsidRDefault="00193E09" w:rsidP="006138DA">
      <w:pPr>
        <w:rPr>
          <w:lang w:eastAsia="en-AU"/>
        </w:rPr>
      </w:pPr>
      <w:r w:rsidRPr="00D03260">
        <w:rPr>
          <w:lang w:eastAsia="en-AU"/>
        </w:rPr>
        <w:t>Other g</w:t>
      </w:r>
      <w:r w:rsidR="0051319F" w:rsidRPr="00D03260">
        <w:rPr>
          <w:lang w:eastAsia="en-AU"/>
        </w:rPr>
        <w:t>uidance from multiple international authorit</w:t>
      </w:r>
      <w:r w:rsidR="00952ACE" w:rsidRPr="00D03260">
        <w:rPr>
          <w:lang w:eastAsia="en-AU"/>
        </w:rPr>
        <w:t>ies</w:t>
      </w:r>
      <w:r w:rsidR="0051319F" w:rsidRPr="00D03260">
        <w:rPr>
          <w:lang w:eastAsia="en-AU"/>
        </w:rPr>
        <w:t xml:space="preserve"> and medical professional associations also underpins this Clinical Pathway. </w:t>
      </w:r>
      <w:r w:rsidR="0055501D" w:rsidRPr="00D03260">
        <w:rPr>
          <w:lang w:eastAsia="en-AU"/>
        </w:rPr>
        <w:t xml:space="preserve">Key </w:t>
      </w:r>
      <w:r w:rsidR="0051319F" w:rsidRPr="00D03260">
        <w:rPr>
          <w:lang w:eastAsia="en-AU"/>
        </w:rPr>
        <w:t>example</w:t>
      </w:r>
      <w:r w:rsidR="0055501D" w:rsidRPr="00D03260">
        <w:rPr>
          <w:lang w:eastAsia="en-AU"/>
        </w:rPr>
        <w:t>s are provided below</w:t>
      </w:r>
      <w:r w:rsidR="00952ACE" w:rsidRPr="00D03260">
        <w:rPr>
          <w:lang w:eastAsia="en-AU"/>
        </w:rPr>
        <w:t>:</w:t>
      </w:r>
    </w:p>
    <w:p w14:paraId="2916BFB4" w14:textId="29305E33" w:rsidR="00952ACE" w:rsidRPr="00D03260" w:rsidRDefault="0055501D" w:rsidP="00BF4ACA">
      <w:pPr>
        <w:pStyle w:val="ListBullet"/>
      </w:pPr>
      <w:r w:rsidRPr="00D03260">
        <w:rPr>
          <w:lang w:eastAsia="en-AU"/>
        </w:rPr>
        <w:lastRenderedPageBreak/>
        <w:t>T</w:t>
      </w:r>
      <w:r w:rsidR="0051319F" w:rsidRPr="00D03260">
        <w:t xml:space="preserve">he section ‘Health effects associated with dampness and mould’ in the 2009 WHO guideline </w:t>
      </w:r>
      <w:r w:rsidR="00546D13" w:rsidRPr="00D03260">
        <w:fldChar w:fldCharType="begin"/>
      </w:r>
      <w:r w:rsidR="00217980" w:rsidRPr="00D03260">
        <w:instrText xml:space="preserve"> ADDIN ZOTERO_ITEM CSL_CITATION {"citationID":"aQ1hjVb4","properties":{"formattedCitation":"(World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00546D13" w:rsidRPr="00D03260">
        <w:fldChar w:fldCharType="separate"/>
      </w:r>
      <w:r w:rsidR="00546D13" w:rsidRPr="00D03260">
        <w:rPr>
          <w:rFonts w:cs="Arial"/>
        </w:rPr>
        <w:t>(World Health Organization, 2009)</w:t>
      </w:r>
      <w:r w:rsidR="00546D13" w:rsidRPr="00D03260">
        <w:fldChar w:fldCharType="end"/>
      </w:r>
      <w:r w:rsidR="002B5BB4" w:rsidRPr="00D03260">
        <w:t xml:space="preserve"> </w:t>
      </w:r>
      <w:r w:rsidR="0051319F" w:rsidRPr="00D03260">
        <w:t xml:space="preserve">was authored by Mendell et al. and updated the conclusions of a prior review by the Institute of Medicine </w:t>
      </w:r>
      <w:r w:rsidR="00767DB0" w:rsidRPr="00D03260">
        <w:t xml:space="preserve">(IOM) </w:t>
      </w:r>
      <w:r w:rsidR="0051319F" w:rsidRPr="00D03260">
        <w:t>(2004)</w:t>
      </w:r>
      <w:r w:rsidRPr="00D03260">
        <w:t>.</w:t>
      </w:r>
    </w:p>
    <w:p w14:paraId="58D56BAA" w14:textId="3F9A995A" w:rsidR="0089514D" w:rsidRPr="00D03260" w:rsidRDefault="0055501D" w:rsidP="00BF4ACA">
      <w:pPr>
        <w:pStyle w:val="ListBullet"/>
      </w:pPr>
      <w:r w:rsidRPr="00D03260">
        <w:t>T</w:t>
      </w:r>
      <w:r w:rsidR="0051319F" w:rsidRPr="00D03260">
        <w:t>he 2011 review by Mendell et al.</w:t>
      </w:r>
      <w:r w:rsidR="002B5BB4" w:rsidRPr="00D03260">
        <w:fldChar w:fldCharType="begin"/>
      </w:r>
      <w:r w:rsidR="00217980" w:rsidRPr="00D03260">
        <w:instrText xml:space="preserve"> ADDIN ZOTERO_ITEM CSL_CITATION {"citationID":"OL7qNU3E","properties":{"formattedCitation":"(Mendell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002B5BB4" w:rsidRPr="00D03260">
        <w:fldChar w:fldCharType="separate"/>
      </w:r>
      <w:r w:rsidR="002B5BB4" w:rsidRPr="00D03260">
        <w:rPr>
          <w:rFonts w:cs="Arial"/>
        </w:rPr>
        <w:t>(Mendell et al., 2011)</w:t>
      </w:r>
      <w:r w:rsidR="002B5BB4" w:rsidRPr="00D03260">
        <w:fldChar w:fldCharType="end"/>
      </w:r>
      <w:r w:rsidR="0051319F" w:rsidRPr="00D03260">
        <w:t xml:space="preserve"> is widely cited as seminal evidence on exposure to indoor damp or mould and </w:t>
      </w:r>
      <w:r w:rsidR="005E106C" w:rsidRPr="00D03260">
        <w:t xml:space="preserve">respiratory and allergic </w:t>
      </w:r>
      <w:r w:rsidR="0051319F" w:rsidRPr="00D03260">
        <w:t>health effects</w:t>
      </w:r>
      <w:r w:rsidRPr="00D03260">
        <w:t>.</w:t>
      </w:r>
    </w:p>
    <w:p w14:paraId="01E1B13C" w14:textId="09D61A78" w:rsidR="0089514D" w:rsidRPr="00D03260" w:rsidRDefault="0051319F" w:rsidP="00BF4ACA">
      <w:pPr>
        <w:pStyle w:val="ListBullet"/>
      </w:pPr>
      <w:r w:rsidRPr="00D03260">
        <w:t xml:space="preserve">Mendell was also an author of the 2015 Indoor environmental exposures and exacerbation of asthma: Update to the 2000 Review by the IOM </w:t>
      </w:r>
      <w:r w:rsidRPr="00D03260">
        <w:fldChar w:fldCharType="begin"/>
      </w:r>
      <w:r w:rsidR="00217980" w:rsidRPr="00D03260">
        <w:instrText xml:space="preserve"> ADDIN ZOTERO_ITEM CSL_CITATION {"citationID":"jahVxcGF","properties":{"formattedCitation":"(Kanchongkittiphon et al., 2015)","plainCitation":"(Kanchongkittiphon et al., 2015)","noteIndex":0},"citationItems":[{"id":2231,"uris":["http://zotero.org/groups/4371185/items/5BSGNUCK"],"itemData":{"id":2231,"type":"article-journal","abstract":"ackground: Previous research has found relationships between specific indoor environmental exposures and exacerbation of asthma.\n\nObjectives: In this review we provide an updated summary of knowledge from the scientific literature on indoor exposures and exacerbation of asthma.\n\nMethods: Peer-reviewed articles published from 2000 to 2013 on indoor exposures and exacerbation of asthma were identified through PubMed, from reference lists, and from authors' files. Articles that focused on modifiable indoor exposures in relation to frequency or severity of exacerbation of asthma were selected for review. Research findings were reviewed and summarized with consideration of the strength of the evidence.\n\nResults: Sixty-nine eligible articles were included. Major changed conclusions include a causal relationship with exacerbation for indoor dampness or dampness-related agents (in children); associations with exacerbation for dampness or dampness-related agents (in adults), endotoxin, and environmental tobacco smoke (in preschool children); and limited or suggestive evidence for association with exacerbation for indoor culturable Penicillium or total fungi, nitrogen dioxide, rodents (nonoccupational), feather/down pillows (protective relative to synthetic bedding), and (regardless of specific sensitization) dust mite, cockroach, dog, and dampness-related agents.\n\nDiscussion: This review, incorporating evidence reported since 2000, increases the strength of evidence linking many indoor factors to the exacerbation of asthma. Conclusions should be considered provisional until all available evidence is examined more thoroughly.\n\nConclusion: Multiple indoor exposures, especially dampness-related agents, merit increased attention to prevent exacerbation of asthma, possibly even in nonsensitized individuals. Additional research to establish causality and evaluate interventions is needed for these and other indoor exposures.","container-title":"Environmental health perspectives","ISSN":"0091-6765","issue":"1","journalAbbreviation":"Environmental health perspectives","note":"publisher: NLM-Export","page":"6-20","title":"Indoor environmental exposures and exacerbation of asthma: an update to the 2000 review by the Institute of Medicine","volume":"123","author":[{"family":"Kanchongkittiphon","given":"Watcharoot"},{"family":"Mendell","given":"Mark J"},{"family":"Gaffin","given":"Jonathan M"},{"family":"Wang","given":"Grace"},{"family":"Phipatanakul","given":"Wanda"}],"issued":{"date-parts":[["2015"]]}}}],"schema":"https://github.com/citation-style-language/schema/raw/master/csl-citation.json"} </w:instrText>
      </w:r>
      <w:r w:rsidRPr="00D03260">
        <w:fldChar w:fldCharType="separate"/>
      </w:r>
      <w:r w:rsidRPr="00D03260">
        <w:t>(Kanchongkittiphon et al., 2015)</w:t>
      </w:r>
      <w:r w:rsidRPr="00D03260">
        <w:fldChar w:fldCharType="end"/>
      </w:r>
      <w:r w:rsidR="0055501D" w:rsidRPr="00D03260">
        <w:t>.</w:t>
      </w:r>
    </w:p>
    <w:p w14:paraId="61B52FBE" w14:textId="28F9EED5" w:rsidR="0089514D" w:rsidRPr="00D03260" w:rsidRDefault="0055501D" w:rsidP="00BF4ACA">
      <w:pPr>
        <w:pStyle w:val="ListBullet"/>
        <w:rPr>
          <w:rStyle w:val="BodyTextChar"/>
        </w:rPr>
      </w:pPr>
      <w:r w:rsidRPr="00D03260">
        <w:rPr>
          <w:rStyle w:val="BodyTextChar"/>
        </w:rPr>
        <w:t>A</w:t>
      </w:r>
      <w:r w:rsidR="0051319F" w:rsidRPr="00D03260">
        <w:rPr>
          <w:rStyle w:val="BodyTextChar"/>
        </w:rPr>
        <w:t xml:space="preserve"> clinical guidance paper </w:t>
      </w:r>
      <w:r w:rsidR="0089514D" w:rsidRPr="00D03260">
        <w:rPr>
          <w:rStyle w:val="BodyTextChar"/>
        </w:rPr>
        <w:t xml:space="preserve">that </w:t>
      </w:r>
      <w:r w:rsidR="00171D70" w:rsidRPr="00D03260">
        <w:rPr>
          <w:rStyle w:val="BodyTextChar"/>
        </w:rPr>
        <w:t xml:space="preserve">was </w:t>
      </w:r>
      <w:r w:rsidR="0051319F" w:rsidRPr="00D03260">
        <w:rPr>
          <w:rStyle w:val="BodyTextChar"/>
        </w:rPr>
        <w:t xml:space="preserve">identified as the companion review of the evidence that underpinned the AWMF guidelines </w:t>
      </w:r>
      <w:r w:rsidR="0051319F" w:rsidRPr="00D03260">
        <w:rPr>
          <w:rStyle w:val="BodyTextChar"/>
        </w:rPr>
        <w:fldChar w:fldCharType="begin"/>
      </w:r>
      <w:r w:rsidR="00217980" w:rsidRPr="00D03260">
        <w:rPr>
          <w:rStyle w:val="BodyTextChar"/>
        </w:rPr>
        <w:instrText xml:space="preserve"> ADDIN ZOTERO_ITEM CSL_CITATION {"citationID":"2vfWAotO","properties":{"formattedCitation":"(Hurra\\uc0\\u223{} et al., 2017)","plainCitation":"(Hurraß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schema":"https://github.com/citation-style-language/schema/raw/master/csl-citation.json"} </w:instrText>
      </w:r>
      <w:r w:rsidR="0051319F" w:rsidRPr="00D03260">
        <w:rPr>
          <w:rStyle w:val="BodyTextChar"/>
        </w:rPr>
        <w:fldChar w:fldCharType="separate"/>
      </w:r>
      <w:r w:rsidR="0051319F" w:rsidRPr="00D03260">
        <w:t>(Hurraß et al., 2017)</w:t>
      </w:r>
      <w:r w:rsidR="0051319F" w:rsidRPr="00D03260">
        <w:rPr>
          <w:rStyle w:val="BodyTextChar"/>
        </w:rPr>
        <w:fldChar w:fldCharType="end"/>
      </w:r>
      <w:r w:rsidRPr="00D03260">
        <w:rPr>
          <w:rStyle w:val="BodyTextChar"/>
        </w:rPr>
        <w:t>.</w:t>
      </w:r>
    </w:p>
    <w:p w14:paraId="1BB149B3" w14:textId="174C32C1" w:rsidR="00DE55A3" w:rsidRPr="00D03260" w:rsidRDefault="0055501D" w:rsidP="00DE55A3">
      <w:pPr>
        <w:pStyle w:val="ListBullet"/>
        <w:rPr>
          <w:rStyle w:val="BodyTextChar"/>
        </w:rPr>
      </w:pPr>
      <w:r w:rsidRPr="00D03260">
        <w:rPr>
          <w:rStyle w:val="BodyTextChar"/>
        </w:rPr>
        <w:t>A</w:t>
      </w:r>
      <w:r w:rsidR="0051319F" w:rsidRPr="00D03260">
        <w:rPr>
          <w:rStyle w:val="BodyTextChar"/>
        </w:rPr>
        <w:t xml:space="preserve"> clinical commentary review </w:t>
      </w:r>
      <w:r w:rsidR="00F232FB" w:rsidRPr="00D03260">
        <w:rPr>
          <w:rStyle w:val="BodyTextChar"/>
        </w:rPr>
        <w:fldChar w:fldCharType="begin"/>
      </w:r>
      <w:r w:rsidR="00217980" w:rsidRPr="00D03260">
        <w:rPr>
          <w:rStyle w:val="BodyTextChar"/>
        </w:rPr>
        <w:instrText xml:space="preserve"> ADDIN ZOTERO_ITEM CSL_CITATION {"citationID":"pgu1VwKB","properties":{"formattedCitation":"(Larenas-Linnemann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00F232FB" w:rsidRPr="00D03260">
        <w:rPr>
          <w:rStyle w:val="BodyTextChar"/>
        </w:rPr>
        <w:fldChar w:fldCharType="separate"/>
      </w:r>
      <w:r w:rsidR="00F232FB" w:rsidRPr="00D03260">
        <w:rPr>
          <w:rFonts w:cs="Arial"/>
        </w:rPr>
        <w:t>(Larenas-Linnemann et al., 2016)</w:t>
      </w:r>
      <w:r w:rsidR="00F232FB" w:rsidRPr="00D03260">
        <w:rPr>
          <w:rStyle w:val="BodyTextChar"/>
        </w:rPr>
        <w:fldChar w:fldCharType="end"/>
      </w:r>
      <w:r w:rsidR="0089514D" w:rsidRPr="00D03260">
        <w:rPr>
          <w:rStyle w:val="BodyTextChar"/>
        </w:rPr>
        <w:t xml:space="preserve"> </w:t>
      </w:r>
      <w:r w:rsidR="0051319F" w:rsidRPr="00D03260">
        <w:rPr>
          <w:rStyle w:val="BodyTextChar"/>
        </w:rPr>
        <w:t>on the clinical evaluation and management of patients with suspected fungus sensitivity on behalf of the Environmental Allergens Work</w:t>
      </w:r>
      <w:r w:rsidR="00A5319D" w:rsidRPr="00D03260">
        <w:rPr>
          <w:rStyle w:val="BodyTextChar"/>
        </w:rPr>
        <w:t>g</w:t>
      </w:r>
      <w:r w:rsidR="0051319F" w:rsidRPr="00D03260">
        <w:rPr>
          <w:rStyle w:val="BodyTextChar"/>
        </w:rPr>
        <w:t xml:space="preserve">roup, with Category 1 Continuing Medical Education </w:t>
      </w:r>
      <w:r w:rsidR="00D266D1" w:rsidRPr="00D03260">
        <w:rPr>
          <w:rStyle w:val="BodyTextChar"/>
        </w:rPr>
        <w:t xml:space="preserve">(CME) </w:t>
      </w:r>
      <w:r w:rsidR="0051319F" w:rsidRPr="00D03260">
        <w:rPr>
          <w:rStyle w:val="BodyTextChar"/>
        </w:rPr>
        <w:t xml:space="preserve">accreditation from the American Academy of Allergy, Asthma </w:t>
      </w:r>
      <w:r w:rsidR="00711D23" w:rsidRPr="00D03260">
        <w:rPr>
          <w:rStyle w:val="BodyTextChar"/>
        </w:rPr>
        <w:t>and</w:t>
      </w:r>
      <w:r w:rsidR="0051319F" w:rsidRPr="00D03260">
        <w:rPr>
          <w:rStyle w:val="BodyTextChar"/>
        </w:rPr>
        <w:t xml:space="preserve"> Immunology (AAAAI).</w:t>
      </w:r>
    </w:p>
    <w:p w14:paraId="5B94FF65" w14:textId="1EC3A396" w:rsidR="0051319F" w:rsidRPr="00D03260" w:rsidRDefault="00F22486" w:rsidP="0051319F">
      <w:pPr>
        <w:rPr>
          <w:rStyle w:val="BodyTextChar"/>
        </w:rPr>
      </w:pPr>
      <w:r w:rsidRPr="00D03260">
        <w:t>Th</w:t>
      </w:r>
      <w:r w:rsidR="002B50C2" w:rsidRPr="00D03260">
        <w:t xml:space="preserve">is </w:t>
      </w:r>
      <w:r w:rsidR="008B0A1E" w:rsidRPr="00D03260">
        <w:t xml:space="preserve">Biotoxins (indoor damp and mould) </w:t>
      </w:r>
      <w:r w:rsidR="008B0A1E" w:rsidRPr="00D03260">
        <w:rPr>
          <w:lang w:eastAsia="en-AU"/>
        </w:rPr>
        <w:t xml:space="preserve">Clinical Pathway </w:t>
      </w:r>
      <w:r w:rsidRPr="00D03260">
        <w:t xml:space="preserve">is aligned with the </w:t>
      </w:r>
      <w:r w:rsidR="00BA68C8" w:rsidRPr="00D03260">
        <w:t>Australian Government Department of Health and Aged Care’s</w:t>
      </w:r>
      <w:r w:rsidRPr="00D03260">
        <w:t xml:space="preserve"> existing Debilitating Symptom Complexes Attributed to Ticks (DSCATT) Clinical Pathway, regarding referral pathways and guidance on management of patients with persistent symptoms or who remain undiagnosed, including management of patients with MUS. The DSCATT Clinical Pathway</w:t>
      </w:r>
      <w:r w:rsidR="00BA68C8" w:rsidRPr="00D03260">
        <w:t>,</w:t>
      </w:r>
      <w:r w:rsidR="00505788" w:rsidRPr="00D03260">
        <w:t xml:space="preserve"> </w:t>
      </w:r>
      <w:r w:rsidRPr="00D03260">
        <w:t>publi</w:t>
      </w:r>
      <w:r w:rsidR="00505788" w:rsidRPr="00D03260">
        <w:t>shed</w:t>
      </w:r>
      <w:r w:rsidRPr="00D03260">
        <w:t xml:space="preserve"> on the Department of Health and Aged Care (the Department)</w:t>
      </w:r>
      <w:r w:rsidRPr="00D03260">
        <w:rPr>
          <w:rStyle w:val="FootnoteReference"/>
        </w:rPr>
        <w:footnoteReference w:id="2"/>
      </w:r>
      <w:r w:rsidRPr="00D03260">
        <w:t xml:space="preserve"> website in 2020</w:t>
      </w:r>
      <w:r w:rsidR="00505788" w:rsidRPr="00D03260">
        <w:t xml:space="preserve">, </w:t>
      </w:r>
      <w:r w:rsidR="0051319F" w:rsidRPr="00D03260">
        <w:t>provides current Australian guidance for investigating and managing new onset or unresolved debilitating symptoms</w:t>
      </w:r>
      <w:r w:rsidR="00BA68C8" w:rsidRPr="00D03260">
        <w:t>.</w:t>
      </w:r>
      <w:r w:rsidR="0051319F" w:rsidRPr="00D03260">
        <w:t xml:space="preserve"> </w:t>
      </w:r>
      <w:r w:rsidR="00BA68C8" w:rsidRPr="00D03260">
        <w:t>The DSCATT Clinical Pathway recommends the use of a Stepped Care model, including an individualised care plan. The Australian guidance on MUS and Stepped Care model used in the DSCATT Clinical Pathway are</w:t>
      </w:r>
      <w:r w:rsidR="00A16906" w:rsidRPr="00D03260">
        <w:t xml:space="preserve"> </w:t>
      </w:r>
      <w:r w:rsidR="0051319F" w:rsidRPr="00D03260">
        <w:t xml:space="preserve">applicable </w:t>
      </w:r>
      <w:r w:rsidR="0051319F" w:rsidRPr="00D03260">
        <w:rPr>
          <w:color w:val="auto"/>
        </w:rPr>
        <w:t xml:space="preserve">to </w:t>
      </w:r>
      <w:r w:rsidR="00D324B9" w:rsidRPr="00D03260">
        <w:rPr>
          <w:color w:val="auto"/>
          <w:szCs w:val="22"/>
        </w:rPr>
        <w:t>patients with unresolved debilitating symptoms with a history of exposure to indoor damp or mould</w:t>
      </w:r>
      <w:r w:rsidR="0051319F" w:rsidRPr="00D03260">
        <w:t>.</w:t>
      </w:r>
      <w:r w:rsidR="00AB13C8" w:rsidRPr="00D03260">
        <w:t xml:space="preserve"> </w:t>
      </w:r>
    </w:p>
    <w:p w14:paraId="7E16BB40" w14:textId="44DBBCDF" w:rsidR="0051319F" w:rsidRPr="00D03260" w:rsidRDefault="006862CC" w:rsidP="00A367D9">
      <w:r w:rsidRPr="00D03260">
        <w:rPr>
          <w:rStyle w:val="BodyTextChar"/>
        </w:rPr>
        <w:t>T</w:t>
      </w:r>
      <w:r w:rsidR="0051319F" w:rsidRPr="00D03260">
        <w:rPr>
          <w:rStyle w:val="BodyTextChar"/>
        </w:rPr>
        <w:t xml:space="preserve">he </w:t>
      </w:r>
      <w:r w:rsidR="00447538" w:rsidRPr="00D03260">
        <w:rPr>
          <w:rStyle w:val="BodyTextChar"/>
        </w:rPr>
        <w:t>National Health and Medical Research Council (NHMRC)</w:t>
      </w:r>
      <w:r w:rsidRPr="00D03260">
        <w:rPr>
          <w:rStyle w:val="BodyTextChar"/>
        </w:rPr>
        <w:t xml:space="preserve"> is currently funding a research project</w:t>
      </w:r>
      <w:r w:rsidR="0051319F" w:rsidRPr="00D03260">
        <w:rPr>
          <w:rStyle w:val="BodyTextChar"/>
        </w:rPr>
        <w:t xml:space="preserve"> to </w:t>
      </w:r>
      <w:r w:rsidRPr="00D03260">
        <w:rPr>
          <w:rStyle w:val="BodyTextChar"/>
        </w:rPr>
        <w:t xml:space="preserve">improve broader </w:t>
      </w:r>
      <w:r w:rsidR="0051319F" w:rsidRPr="00D03260">
        <w:rPr>
          <w:rStyle w:val="BodyTextChar"/>
        </w:rPr>
        <w:t>understand</w:t>
      </w:r>
      <w:r w:rsidRPr="00D03260">
        <w:rPr>
          <w:rStyle w:val="BodyTextChar"/>
        </w:rPr>
        <w:t>ing of</w:t>
      </w:r>
      <w:r w:rsidR="0051319F" w:rsidRPr="00D03260">
        <w:rPr>
          <w:rStyle w:val="BodyTextChar"/>
        </w:rPr>
        <w:t xml:space="preserve"> the </w:t>
      </w:r>
      <w:r w:rsidRPr="00D03260">
        <w:rPr>
          <w:rStyle w:val="BodyTextChar"/>
        </w:rPr>
        <w:t xml:space="preserve">origin </w:t>
      </w:r>
      <w:r w:rsidR="0051319F" w:rsidRPr="00D03260">
        <w:rPr>
          <w:rStyle w:val="BodyTextChar"/>
        </w:rPr>
        <w:t>and pathophysiology of biotoxin-related illnesses</w:t>
      </w:r>
      <w:r w:rsidRPr="00D03260">
        <w:rPr>
          <w:rStyle w:val="BodyTextChar"/>
        </w:rPr>
        <w:t>, including so called CI</w:t>
      </w:r>
      <w:r w:rsidR="009045ED" w:rsidRPr="00D03260">
        <w:rPr>
          <w:rStyle w:val="BodyTextChar"/>
        </w:rPr>
        <w:t>R</w:t>
      </w:r>
      <w:r w:rsidRPr="00D03260">
        <w:rPr>
          <w:rStyle w:val="BodyTextChar"/>
        </w:rPr>
        <w:t>S-like symptoms. The outcomes of the research may provide further insights into biotoxin-related illnesses in Australia</w:t>
      </w:r>
      <w:r w:rsidR="00193E09" w:rsidRPr="00D03260">
        <w:t xml:space="preserve"> </w:t>
      </w:r>
      <w:r w:rsidR="00193E09" w:rsidRPr="00D03260">
        <w:rPr>
          <w:rStyle w:val="BodyTextChar"/>
        </w:rPr>
        <w:t>and help improve the support available for patients experiencing these illnesses</w:t>
      </w:r>
      <w:r w:rsidR="0051319F" w:rsidRPr="00D03260">
        <w:rPr>
          <w:rFonts w:asciiTheme="majorHAnsi" w:hAnsiTheme="majorHAnsi" w:cstheme="majorHAnsi"/>
          <w:sz w:val="20"/>
          <w:szCs w:val="20"/>
        </w:rPr>
        <w:t>.</w:t>
      </w:r>
    </w:p>
    <w:p w14:paraId="197BCC64" w14:textId="4743C3F8" w:rsidR="00AA04A4" w:rsidRPr="00D03260" w:rsidRDefault="006862CC" w:rsidP="00152C90">
      <w:r w:rsidRPr="00D03260">
        <w:t xml:space="preserve">There is potential for the </w:t>
      </w:r>
      <w:r w:rsidR="008B0A1E" w:rsidRPr="00D03260">
        <w:t xml:space="preserve">Biotoxins (indoor damp and mould) </w:t>
      </w:r>
      <w:r w:rsidR="008B0A1E" w:rsidRPr="00D03260">
        <w:rPr>
          <w:lang w:eastAsia="en-AU"/>
        </w:rPr>
        <w:t xml:space="preserve">Clinical Pathway </w:t>
      </w:r>
      <w:r w:rsidRPr="00D03260">
        <w:t>to be reviewed</w:t>
      </w:r>
      <w:r w:rsidR="008B0A1E" w:rsidRPr="00D03260">
        <w:t xml:space="preserve"> in future s</w:t>
      </w:r>
      <w:r w:rsidR="0051319F" w:rsidRPr="00D03260">
        <w:t>hould the evidence base change significantly.</w:t>
      </w:r>
    </w:p>
    <w:p w14:paraId="3006CBB4" w14:textId="15FD361D" w:rsidR="008000A5" w:rsidRPr="00D03260" w:rsidRDefault="006C168A" w:rsidP="003D7C78">
      <w:pPr>
        <w:pStyle w:val="NumberedHeading3"/>
        <w:numPr>
          <w:ilvl w:val="0"/>
          <w:numId w:val="0"/>
        </w:numPr>
        <w:ind w:left="1155" w:hanging="795"/>
      </w:pPr>
      <w:bookmarkStart w:id="53" w:name="_Toc121329104"/>
      <w:bookmarkStart w:id="54" w:name="_Toc141885841"/>
      <w:r w:rsidRPr="00D03260">
        <w:lastRenderedPageBreak/>
        <w:t>1.1.1</w:t>
      </w:r>
      <w:r w:rsidR="003451AA" w:rsidRPr="00D03260">
        <w:t>.</w:t>
      </w:r>
      <w:r w:rsidRPr="00D03260">
        <w:t xml:space="preserve"> </w:t>
      </w:r>
      <w:r w:rsidR="008000A5" w:rsidRPr="00D03260">
        <w:t>Context to the development of the Clinical Pathway</w:t>
      </w:r>
      <w:bookmarkEnd w:id="53"/>
      <w:bookmarkEnd w:id="54"/>
    </w:p>
    <w:p w14:paraId="0B9E8674" w14:textId="3FDB1B60" w:rsidR="008000A5" w:rsidRPr="00D03260" w:rsidRDefault="008000A5" w:rsidP="008000A5">
      <w:r w:rsidRPr="00D03260">
        <w:t>In 2018</w:t>
      </w:r>
      <w:r w:rsidR="000A7F36" w:rsidRPr="00D03260">
        <w:t>,</w:t>
      </w:r>
      <w:r w:rsidRPr="00D03260">
        <w:t xml:space="preserve"> the House of Representatives Standing Committee on Health, Aged Care and Sport issued its Inquiry Report into Biotoxin-related Illnesses</w:t>
      </w:r>
      <w:r w:rsidR="00E00F22" w:rsidRPr="00D03260">
        <w:rPr>
          <w:rStyle w:val="FootnoteReference"/>
        </w:rPr>
        <w:footnoteReference w:id="3"/>
      </w:r>
      <w:r w:rsidRPr="00D03260">
        <w:t xml:space="preserve"> in Australia</w:t>
      </w:r>
      <w:r w:rsidR="00EB1939" w:rsidRPr="00D03260">
        <w:t xml:space="preserve"> </w:t>
      </w:r>
      <w:r w:rsidR="00EB1939" w:rsidRPr="00D03260">
        <w:fldChar w:fldCharType="begin"/>
      </w:r>
      <w:r w:rsidR="00217980" w:rsidRPr="00D03260">
        <w:instrText xml:space="preserve"> ADDIN ZOTERO_ITEM CSL_CITATION {"citationID":"DtDKwIWd","properties":{"formattedCitation":"(House of Representatives Standing Committee on Health, Aged Care and Sport, 2018)","plainCitation":"(House of Representatives Standing Committee on Health, Aged Care and Sport, 2018)","noteIndex":0},"citationItems":[{"id":2054,"uris":["http://zotero.org/groups/4371185/items/Z729ASVA"],"itemData":{"id":2054,"type":"report","language":"English","publisher":"Parliament of the Commonwealth of Australia","title":"Report on the Inquiry into Biotoxin-related Illnesses in Australia","author":[{"family":"House of Representatives Standing Committee on Health, Aged Care and Sport","given":""}],"issued":{"date-parts":[["2018",10]]}}}],"schema":"https://github.com/citation-style-language/schema/raw/master/csl-citation.json"} </w:instrText>
      </w:r>
      <w:r w:rsidR="00EB1939" w:rsidRPr="00D03260">
        <w:fldChar w:fldCharType="separate"/>
      </w:r>
      <w:r w:rsidR="00EB1939" w:rsidRPr="00D03260">
        <w:rPr>
          <w:rFonts w:cs="Arial"/>
        </w:rPr>
        <w:t>(House of Representatives Standing Committee on Health, Aged Care and Sport, 2018)</w:t>
      </w:r>
      <w:r w:rsidR="00EB1939" w:rsidRPr="00D03260">
        <w:fldChar w:fldCharType="end"/>
      </w:r>
      <w:r w:rsidRPr="00D03260">
        <w:t>. The House of Representatives Inquiry (the Inquiry) noted that spores produced by mould have the potential to cause health issues if inhaled by susceptible individuals. While the prevalence of a condition referred to as CIRS has been described in Australia and internationally as a biotoxin-related illness, the Inquiry Committee reported that biotoxin-related illnesses and CIRS are not widely recognised medical conditions among the Australian medical profession. Additionally, advice from the Australian Government Department of Health and Aged Care (the Department) to the Inquiry noted that biotoxin-related illnesses are not captured within the National Notifiable Diseases Surveillance System, data is not retained on their frequency or distribution, and that there are no clinical guidelines for the diagnosis and treatment of CIRS</w:t>
      </w:r>
      <w:r w:rsidR="006C1FCB" w:rsidRPr="00D03260">
        <w:t xml:space="preserve"> </w:t>
      </w:r>
      <w:r w:rsidR="006C1FCB" w:rsidRPr="00D03260">
        <w:fldChar w:fldCharType="begin"/>
      </w:r>
      <w:r w:rsidR="00217980" w:rsidRPr="00D03260">
        <w:instrText xml:space="preserve"> ADDIN ZOTERO_ITEM CSL_CITATION {"citationID":"v9TYZi1E","properties":{"formattedCitation":"(House of Representatives Standing Committee on Health, Aged Care and Sport, 2018)","plainCitation":"(House of Representatives Standing Committee on Health, Aged Care and Sport, 2018)","noteIndex":0},"citationItems":[{"id":2054,"uris":["http://zotero.org/groups/4371185/items/Z729ASVA"],"itemData":{"id":2054,"type":"report","language":"English","publisher":"Parliament of the Commonwealth of Australia","title":"Report on the Inquiry into Biotoxin-related Illnesses in Australia","author":[{"family":"House of Representatives Standing Committee on Health, Aged Care and Sport","given":""}],"issued":{"date-parts":[["2018",10]]}}}],"schema":"https://github.com/citation-style-language/schema/raw/master/csl-citation.json"} </w:instrText>
      </w:r>
      <w:r w:rsidR="006C1FCB" w:rsidRPr="00D03260">
        <w:fldChar w:fldCharType="separate"/>
      </w:r>
      <w:r w:rsidR="006C1FCB" w:rsidRPr="00D03260">
        <w:rPr>
          <w:rFonts w:cs="Arial"/>
        </w:rPr>
        <w:t>(House of Representatives Standing Committee on Health, Aged Care and Sport, 2018)</w:t>
      </w:r>
      <w:r w:rsidR="006C1FCB" w:rsidRPr="00D03260">
        <w:fldChar w:fldCharType="end"/>
      </w:r>
      <w:r w:rsidRPr="00D03260">
        <w:t xml:space="preserve">. </w:t>
      </w:r>
    </w:p>
    <w:p w14:paraId="11F14081" w14:textId="77777777" w:rsidR="00D85B56" w:rsidRPr="00D03260" w:rsidRDefault="008000A5" w:rsidP="00152C90">
      <w:r w:rsidRPr="00D03260">
        <w:t>In March 2020</w:t>
      </w:r>
      <w:r w:rsidR="00C7452B" w:rsidRPr="00D03260">
        <w:t>,</w:t>
      </w:r>
      <w:r w:rsidRPr="00D03260">
        <w:t xml:space="preserve"> the Australian Government responded to the Inquiry</w:t>
      </w:r>
      <w:r w:rsidR="007A7E3F" w:rsidRPr="00D03260">
        <w:t xml:space="preserve"> </w:t>
      </w:r>
      <w:r w:rsidR="007A7E3F" w:rsidRPr="00D03260">
        <w:fldChar w:fldCharType="begin"/>
      </w:r>
      <w:r w:rsidR="00217980" w:rsidRPr="00D03260">
        <w:instrText xml:space="preserve"> ADDIN ZOTERO_ITEM CSL_CITATION {"citationID":"K0RXXESf","properties":{"formattedCitation":"(Australian Government, 2020)","plainCitation":"(Australian Government, 2020)","noteIndex":0},"citationItems":[{"id":2185,"uris":["http://zotero.org/groups/4371185/items/F9NCNQWU"],"itemData":{"id":2185,"type":"document","title":"Australian Government response to the House of Representatives Standing Committee on Health, Aged Care and Sport report: Inquiry into Biotoxin-related Illness in Australia","author":[{"family":"Australian Government","given":""}],"issued":{"date-parts":[["2020",3]]}}}],"schema":"https://github.com/citation-style-language/schema/raw/master/csl-citation.json"} </w:instrText>
      </w:r>
      <w:r w:rsidR="007A7E3F" w:rsidRPr="00D03260">
        <w:fldChar w:fldCharType="separate"/>
      </w:r>
      <w:r w:rsidR="007A7E3F" w:rsidRPr="00D03260">
        <w:rPr>
          <w:rFonts w:cs="Arial"/>
        </w:rPr>
        <w:t>(Australian Government, 2020)</w:t>
      </w:r>
      <w:r w:rsidR="007A7E3F" w:rsidRPr="00D03260">
        <w:fldChar w:fldCharType="end"/>
      </w:r>
      <w:r w:rsidRPr="00D03260">
        <w:t xml:space="preserve">. Specifically, the Australian Government acknowledged that it sympathises with, and is concerned for patients who are suffering </w:t>
      </w:r>
      <w:r w:rsidR="000A7F36" w:rsidRPr="00D03260">
        <w:t xml:space="preserve">with </w:t>
      </w:r>
      <w:r w:rsidRPr="00D03260">
        <w:t xml:space="preserve">debilitating symptoms that the patients believe to be associated with exposure to mould and/or biotoxins. The Australian Government advised that further research was required into the link between such symptoms and exposure to mould. Additionally, the Australian Government noted </w:t>
      </w:r>
      <w:r w:rsidR="00C7452B" w:rsidRPr="00D03260">
        <w:t xml:space="preserve">an opportunity to take a broad multidisciplinary approach given </w:t>
      </w:r>
      <w:r w:rsidR="000A7F36" w:rsidRPr="00D03260">
        <w:t>the</w:t>
      </w:r>
      <w:r w:rsidRPr="00D03260">
        <w:t xml:space="preserve"> similarities between such symptom complexes and others, such as </w:t>
      </w:r>
      <w:r w:rsidR="000A7F36" w:rsidRPr="00D03260">
        <w:t>those</w:t>
      </w:r>
      <w:r w:rsidRPr="00D03260">
        <w:t xml:space="preserve"> attributed to ticks or chronic fatigue-like symptoms. This approach would include working with patients, health groups and practitioners to investigate how to provide better care to all patients with complex symptom groups that are not yet medically explained</w:t>
      </w:r>
      <w:r w:rsidR="000A70A8" w:rsidRPr="00D03260">
        <w:t xml:space="preserve"> </w:t>
      </w:r>
      <w:r w:rsidR="000A70A8" w:rsidRPr="00D03260">
        <w:fldChar w:fldCharType="begin"/>
      </w:r>
      <w:r w:rsidR="00217980" w:rsidRPr="00D03260">
        <w:instrText xml:space="preserve"> ADDIN ZOTERO_ITEM CSL_CITATION {"citationID":"ZG2MhDud","properties":{"formattedCitation":"(Australian Government, 2020)","plainCitation":"(Australian Government, 2020)","noteIndex":0},"citationItems":[{"id":2185,"uris":["http://zotero.org/groups/4371185/items/F9NCNQWU"],"itemData":{"id":2185,"type":"document","title":"Australian Government response to the House of Representatives Standing Committee on Health, Aged Care and Sport report: Inquiry into Biotoxin-related Illness in Australia","author":[{"family":"Australian Government","given":""}],"issued":{"date-parts":[["2020",3]]}}}],"schema":"https://github.com/citation-style-language/schema/raw/master/csl-citation.json"} </w:instrText>
      </w:r>
      <w:r w:rsidR="000A70A8" w:rsidRPr="00D03260">
        <w:fldChar w:fldCharType="separate"/>
      </w:r>
      <w:r w:rsidR="000A70A8" w:rsidRPr="00D03260">
        <w:rPr>
          <w:rFonts w:cs="Arial"/>
        </w:rPr>
        <w:t>(Australian Government, 2020)</w:t>
      </w:r>
      <w:r w:rsidR="000A70A8" w:rsidRPr="00D03260">
        <w:fldChar w:fldCharType="end"/>
      </w:r>
      <w:r w:rsidRPr="00D03260">
        <w:t>.</w:t>
      </w:r>
    </w:p>
    <w:p w14:paraId="5F949DB9" w14:textId="125AE65A" w:rsidR="008000A5" w:rsidRPr="00D03260" w:rsidRDefault="008000A5" w:rsidP="00152C90">
      <w:r w:rsidRPr="00D03260">
        <w:t>The Australian Government</w:t>
      </w:r>
      <w:r w:rsidR="00C7452B" w:rsidRPr="00D03260">
        <w:t xml:space="preserve"> </w:t>
      </w:r>
      <w:r w:rsidRPr="00D03260">
        <w:t>agreed to implement Recommendation 5 and Recommendation</w:t>
      </w:r>
      <w:r w:rsidR="005625DD" w:rsidRPr="00D03260">
        <w:t> </w:t>
      </w:r>
      <w:r w:rsidRPr="00D03260">
        <w:t xml:space="preserve">7 of the Inquiry. </w:t>
      </w:r>
      <w:r w:rsidR="00C7452B" w:rsidRPr="00D03260">
        <w:t xml:space="preserve">Recommendation 5 relates </w:t>
      </w:r>
      <w:r w:rsidRPr="00D03260">
        <w:t>to conduct an evaluation of the evidence into the treatment of patients presenting with complex illnesses that are difficult to diagnose, such as those with CIRS-like symptoms</w:t>
      </w:r>
      <w:r w:rsidR="00CA5E30" w:rsidRPr="00D03260">
        <w:t>. This piece of work informs</w:t>
      </w:r>
      <w:r w:rsidRPr="00D03260">
        <w:t xml:space="preserve"> Recommendation 7, which is to develop clinical guidelines for general practitioners (GPs) for the diagnosis, treatment and management of CIRS-like conditions, in consultation with patient groups, medical practitioners, and health bodies</w:t>
      </w:r>
      <w:r w:rsidR="00487133" w:rsidRPr="00D03260">
        <w:t xml:space="preserve"> </w:t>
      </w:r>
      <w:r w:rsidR="00487133" w:rsidRPr="00D03260">
        <w:fldChar w:fldCharType="begin"/>
      </w:r>
      <w:r w:rsidR="00217980" w:rsidRPr="00D03260">
        <w:instrText xml:space="preserve"> ADDIN ZOTERO_ITEM CSL_CITATION {"citationID":"CK9qaaxH","properties":{"formattedCitation":"(Australian Government, 2020)","plainCitation":"(Australian Government, 2020)","noteIndex":0},"citationItems":[{"id":2185,"uris":["http://zotero.org/groups/4371185/items/F9NCNQWU"],"itemData":{"id":2185,"type":"document","title":"Australian Government response to the House of Representatives Standing Committee on Health, Aged Care and Sport report: Inquiry into Biotoxin-related Illness in Australia","author":[{"family":"Australian Government","given":""}],"issued":{"date-parts":[["2020",3]]}}}],"schema":"https://github.com/citation-style-language/schema/raw/master/csl-citation.json"} </w:instrText>
      </w:r>
      <w:r w:rsidR="00487133" w:rsidRPr="00D03260">
        <w:fldChar w:fldCharType="separate"/>
      </w:r>
      <w:r w:rsidR="00487133" w:rsidRPr="00D03260">
        <w:rPr>
          <w:rFonts w:cs="Arial"/>
        </w:rPr>
        <w:t>(Australian Government, 2020)</w:t>
      </w:r>
      <w:r w:rsidR="00487133" w:rsidRPr="00D03260">
        <w:fldChar w:fldCharType="end"/>
      </w:r>
      <w:r w:rsidRPr="00D03260">
        <w:t>.</w:t>
      </w:r>
    </w:p>
    <w:p w14:paraId="1C798258" w14:textId="1FC2A771" w:rsidR="0051319F" w:rsidRPr="00D03260" w:rsidRDefault="0030712B" w:rsidP="00AF1EFC">
      <w:pPr>
        <w:pStyle w:val="NumberedHeading2"/>
        <w:numPr>
          <w:ilvl w:val="0"/>
          <w:numId w:val="0"/>
        </w:numPr>
        <w:ind w:left="720" w:hanging="720"/>
      </w:pPr>
      <w:bookmarkStart w:id="55" w:name="Section121BackgroundAndContextOfCIRSandC"/>
      <w:bookmarkStart w:id="56" w:name="_Toc121329105"/>
      <w:bookmarkStart w:id="57" w:name="_Toc141885842"/>
      <w:bookmarkEnd w:id="55"/>
      <w:r w:rsidRPr="00D03260">
        <w:lastRenderedPageBreak/>
        <w:t>1.</w:t>
      </w:r>
      <w:r w:rsidR="00F65D47" w:rsidRPr="00D03260">
        <w:t>2</w:t>
      </w:r>
      <w:r w:rsidRPr="00D03260">
        <w:t>.</w:t>
      </w:r>
      <w:r w:rsidRPr="00D03260">
        <w:tab/>
      </w:r>
      <w:r w:rsidR="0051319F" w:rsidRPr="00D03260">
        <w:t>Important context to inform clinical decision making and advice to patients reporting exposure to indoor damp and mould</w:t>
      </w:r>
      <w:bookmarkEnd w:id="56"/>
      <w:bookmarkEnd w:id="57"/>
    </w:p>
    <w:p w14:paraId="7C8A3DCF" w14:textId="68F6A681" w:rsidR="0051319F" w:rsidRPr="00D03260" w:rsidRDefault="0030712B" w:rsidP="00AF1EFC">
      <w:pPr>
        <w:pStyle w:val="NumberedHeading3"/>
        <w:numPr>
          <w:ilvl w:val="0"/>
          <w:numId w:val="0"/>
        </w:numPr>
        <w:ind w:left="1440" w:hanging="1440"/>
      </w:pPr>
      <w:bookmarkStart w:id="58" w:name="_Toc121329106"/>
      <w:bookmarkStart w:id="59" w:name="_Toc141885843"/>
      <w:r w:rsidRPr="00D03260">
        <w:t>1.</w:t>
      </w:r>
      <w:r w:rsidR="00A55139" w:rsidRPr="00D03260">
        <w:t>2</w:t>
      </w:r>
      <w:r w:rsidRPr="00D03260">
        <w:t>.1.</w:t>
      </w:r>
      <w:r w:rsidRPr="00D03260">
        <w:tab/>
      </w:r>
      <w:bookmarkStart w:id="60" w:name="Sect121ACausalRelationshipBetweenMouldDa"/>
      <w:bookmarkEnd w:id="60"/>
      <w:r w:rsidR="0051319F" w:rsidRPr="00D03260">
        <w:t>A causal relationship between mould damage and different health effects is yet to be established</w:t>
      </w:r>
      <w:bookmarkEnd w:id="58"/>
      <w:bookmarkEnd w:id="59"/>
    </w:p>
    <w:p w14:paraId="5E723837" w14:textId="77777777" w:rsidR="0051319F" w:rsidRPr="00D03260" w:rsidRDefault="0051319F" w:rsidP="0051319F">
      <w:r w:rsidRPr="00D03260">
        <w:t>The international consensus in the medical literature, including guidelines, evidence reviews from international authorities and medical professional associations is that the level of evidence is still not sufficient to establish a causal relationship to any health effect for exposure to indoor damp and mould in the general population.</w:t>
      </w:r>
    </w:p>
    <w:p w14:paraId="5EE3864C" w14:textId="55237BA2" w:rsidR="00027046" w:rsidRPr="00D03260" w:rsidRDefault="0051319F" w:rsidP="0051319F">
      <w:r w:rsidRPr="00D03260">
        <w:t>The WHO (2009) concluded that the epidemiological evidence is not sufficient to conclude causal relationships between indoor dampness or mould or any specific human health effect</w:t>
      </w:r>
      <w:r w:rsidR="005C3517" w:rsidRPr="00D03260">
        <w:t>.</w:t>
      </w:r>
      <w:r w:rsidRPr="00D03260">
        <w:t xml:space="preserve"> </w:t>
      </w:r>
      <w:r w:rsidR="005C3517" w:rsidRPr="00D03260">
        <w:t>A</w:t>
      </w:r>
      <w:r w:rsidRPr="00D03260">
        <w:t xml:space="preserve">lthough it was </w:t>
      </w:r>
      <w:r w:rsidR="005C3517" w:rsidRPr="00D03260">
        <w:t xml:space="preserve">also </w:t>
      </w:r>
      <w:r w:rsidRPr="00D03260">
        <w:t xml:space="preserve">highlighted that the findings of one strong epidemiological intervention study, in conjunction with other available studies suggest that dampness and mould exacerbates asthma in children </w:t>
      </w:r>
      <w:r w:rsidRPr="00D03260">
        <w:fldChar w:fldCharType="begin"/>
      </w:r>
      <w:r w:rsidR="00217980" w:rsidRPr="00D03260">
        <w:instrText xml:space="preserve"> ADDIN ZOTERO_ITEM CSL_CITATION {"citationID":"gHCtdHq2","properties":{"formattedCitation":"(World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w:t>
      </w:r>
    </w:p>
    <w:p w14:paraId="198BEB82" w14:textId="1E41E90E" w:rsidR="00CB71DB" w:rsidRPr="00D03260" w:rsidRDefault="0051319F" w:rsidP="0051319F">
      <w:r w:rsidRPr="00D03260">
        <w:t xml:space="preserve">Since the WHO guideline, other high-quality guidelines and literature have made similar conclusions or statements about the levels of confidence in an association </w:t>
      </w:r>
      <w:r w:rsidR="00C7452B" w:rsidRPr="00D03260">
        <w:t>i.e.</w:t>
      </w:r>
      <w:r w:rsidRPr="00D03260">
        <w:t xml:space="preserve"> the level of evidence is insufficient to establish a causal relationship between exposure to indoor damp and mould and health effects in humans. These reviews include</w:t>
      </w:r>
      <w:r w:rsidR="00CB71DB" w:rsidRPr="00D03260">
        <w:t>:</w:t>
      </w:r>
    </w:p>
    <w:p w14:paraId="2ECD2C7B" w14:textId="3E8215CE" w:rsidR="00F47861" w:rsidRPr="00D03260" w:rsidRDefault="0051319F" w:rsidP="00BF4ACA">
      <w:pPr>
        <w:pStyle w:val="ListBullet"/>
      </w:pPr>
      <w:r w:rsidRPr="00D03260">
        <w:t xml:space="preserve">the abridged AWMF guideline in collaboration with multiple scientific medical societies, German and Austrian societies, medical association and experts </w:t>
      </w:r>
      <w:r w:rsidRPr="00D03260">
        <w:fldChar w:fldCharType="begin"/>
      </w:r>
      <w:r w:rsidR="00217980" w:rsidRPr="00D03260">
        <w:instrText xml:space="preserve"> ADDIN ZOTERO_ITEM CSL_CITATION {"citationID":"d2V7nr4J","properties":{"formattedCitation":"(Wiesm\\uc0\\u252{}ller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and its associated evidence review </w:t>
      </w:r>
      <w:r w:rsidRPr="00D03260">
        <w:fldChar w:fldCharType="begin"/>
      </w:r>
      <w:r w:rsidR="00217980" w:rsidRPr="00D03260">
        <w:instrText xml:space="preserve"> ADDIN ZOTERO_ITEM CSL_CITATION {"citationID":"IfOrDjdf","properties":{"formattedCitation":"(Hurra\\uc0\\u223{} et al., 2017)","plainCitation":"(Hurraß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schema":"https://github.com/citation-style-language/schema/raw/master/csl-citation.json"} </w:instrText>
      </w:r>
      <w:r w:rsidRPr="00D03260">
        <w:fldChar w:fldCharType="separate"/>
      </w:r>
      <w:r w:rsidRPr="00D03260">
        <w:t>(Hurraß et al., 2017)</w:t>
      </w:r>
      <w:r w:rsidRPr="00D03260">
        <w:fldChar w:fldCharType="end"/>
      </w:r>
    </w:p>
    <w:p w14:paraId="23BB633C" w14:textId="7329928E" w:rsidR="00F47861" w:rsidRPr="00D03260" w:rsidRDefault="0051319F" w:rsidP="00BF4ACA">
      <w:pPr>
        <w:pStyle w:val="ListBullet"/>
      </w:pPr>
      <w:r w:rsidRPr="00D03260">
        <w:t xml:space="preserve">evidence reviews by international authorities such as the US Institutes of Medicine </w:t>
      </w:r>
      <w:r w:rsidR="00F538DE" w:rsidRPr="00D03260">
        <w:t xml:space="preserve">(IOM) </w:t>
      </w:r>
      <w:r w:rsidRPr="00D03260">
        <w:fldChar w:fldCharType="begin"/>
      </w:r>
      <w:r w:rsidR="00217980" w:rsidRPr="00D03260">
        <w:instrText xml:space="preserve"> ADDIN ZOTERO_ITEM CSL_CITATION {"citationID":"akDKsnpo","properties":{"formattedCitation":"(Kanchongkittiphon et al., 2015; Mendell et al., 2011)","plainCitation":"(Kanchongkittiphon et al., 2015; Mendell et al., 2011)","noteIndex":0},"citationItems":[{"id":2231,"uris":["http://zotero.org/groups/4371185/items/5BSGNUCK"],"itemData":{"id":2231,"type":"article-journal","abstract":"ackground: Previous research has found relationships between specific indoor environmental exposures and exacerbation of asthma.\n\nObjectives: In this review we provide an updated summary of knowledge from the scientific literature on indoor exposures and exacerbation of asthma.\n\nMethods: Peer-reviewed articles published from 2000 to 2013 on indoor exposures and exacerbation of asthma were identified through PubMed, from reference lists, and from authors' files. Articles that focused on modifiable indoor exposures in relation to frequency or severity of exacerbation of asthma were selected for review. Research findings were reviewed and summarized with consideration of the strength of the evidence.\n\nResults: Sixty-nine eligible articles were included. Major changed conclusions include a causal relationship with exacerbation for indoor dampness or dampness-related agents (in children); associations with exacerbation for dampness or dampness-related agents (in adults), endotoxin, and environmental tobacco smoke (in preschool children); and limited or suggestive evidence for association with exacerbation for indoor culturable Penicillium or total fungi, nitrogen dioxide, rodents (nonoccupational), feather/down pillows (protective relative to synthetic bedding), and (regardless of specific sensitization) dust mite, cockroach, dog, and dampness-related agents.\n\nDiscussion: This review, incorporating evidence reported since 2000, increases the strength of evidence linking many indoor factors to the exacerbation of asthma. Conclusions should be considered provisional until all available evidence is examined more thoroughly.\n\nConclusion: Multiple indoor exposures, especially dampness-related agents, merit increased attention to prevent exacerbation of asthma, possibly even in nonsensitized individuals. Additional research to establish causality and evaluate interventions is needed for these and other indoor exposures.","container-title":"Environmental health perspectives","ISSN":"0091-6765","issue":"1","journalAbbreviation":"Environmental health perspectives","note":"publisher: NLM-Export","page":"6-20","title":"Indoor environmental exposures and exacerbation of asthma: an update to the 2000 review by the Institute of Medicine","volume":"123","author":[{"family":"Kanchongkittiphon","given":"Watcharoot"},{"family":"Mendell","given":"Mark J"},{"family":"Gaffin","given":"Jonathan M"},{"family":"Wang","given":"Grace"},{"family":"Phipatanakul","given":"Wanda"}],"issued":{"date-parts":[["2015"]]}}},{"id":2232,"uris":["http://zotero.org/groups/4371185/items/KWLCRUWS"],"itemData":{"id":2232,"type":"article-journal","abstract":"OBJECTIVES: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(Kanchongkittiphon et al., 2015; Mendell et al., 2011)</w:t>
      </w:r>
      <w:r w:rsidRPr="00D03260">
        <w:fldChar w:fldCharType="end"/>
      </w:r>
    </w:p>
    <w:p w14:paraId="7C62D8B8" w14:textId="7702D6F4" w:rsidR="00F47861" w:rsidRPr="00D03260" w:rsidRDefault="0051319F" w:rsidP="00BF4ACA">
      <w:pPr>
        <w:pStyle w:val="ListBullet"/>
      </w:pPr>
      <w:r w:rsidRPr="00D03260">
        <w:t>evidence review of the N</w:t>
      </w:r>
      <w:r w:rsidR="00335450" w:rsidRPr="00D03260">
        <w:t>ational Collaborating Centre for Environmental Health (N</w:t>
      </w:r>
      <w:r w:rsidRPr="00D03260">
        <w:t>CCEH</w:t>
      </w:r>
      <w:r w:rsidR="001E4E33" w:rsidRPr="00D03260">
        <w:t>)</w:t>
      </w:r>
      <w:r w:rsidRPr="00D03260">
        <w:t xml:space="preserve"> </w:t>
      </w:r>
      <w:r w:rsidRPr="00D03260">
        <w:fldChar w:fldCharType="begin"/>
      </w:r>
      <w:r w:rsidR="00217980" w:rsidRPr="00D03260">
        <w:instrText xml:space="preserve"> ADDIN ZOTERO_ITEM CSL_CITATION {"citationID":"HkO8r9z4","properties":{"formattedCitation":"(Palaty &amp; Shum, 2012)","plainCitation":"(Palaty &amp; Shum, 2012)","noteIndex":0},"citationItems":[{"id":2176,"uris":["http://zotero.org/groups/4371185/items/8UAC2VRS"],"itemData":{"id":2176,"type":"document","language":"English","publisher":"National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Environments","author":[{"family":"Palaty","given":"Chrystal"},{"family":"Shum","given":"Mona"}],"accessed":{"date-parts":[["2021",9,2]]},"issued":{"date-parts":[["2012",7]]}}}],"schema":"https://github.com/citation-style-language/schema/raw/master/csl-citation.json"} </w:instrText>
      </w:r>
      <w:r w:rsidRPr="00D03260">
        <w:fldChar w:fldCharType="separate"/>
      </w:r>
      <w:r w:rsidRPr="00D03260">
        <w:t>(Palaty &amp; Shum, 2012)</w:t>
      </w:r>
      <w:r w:rsidRPr="00D03260">
        <w:fldChar w:fldCharType="end"/>
      </w:r>
    </w:p>
    <w:p w14:paraId="59A3F629" w14:textId="491850C6" w:rsidR="0051319F" w:rsidRPr="00D03260" w:rsidRDefault="0051319F" w:rsidP="00BF4ACA">
      <w:pPr>
        <w:pStyle w:val="ListBullet"/>
      </w:pPr>
      <w:r w:rsidRPr="00D03260">
        <w:t xml:space="preserve">a review on behalf of the Environmental Allergens Workgroup </w:t>
      </w:r>
      <w:r w:rsidRPr="00D03260">
        <w:fldChar w:fldCharType="begin"/>
      </w:r>
      <w:r w:rsidR="00217980" w:rsidRPr="00D03260">
        <w:instrText xml:space="preserve"> ADDIN ZOTERO_ITEM CSL_CITATION {"citationID":"S2X9PNKV","properties":{"formattedCitation":"(Baxi et al., 2016)","plainCitation":"(Baxi et al., 2016)","noteIndex":0},"citationItems":[{"id":2141,"uris":["http://zotero.org/groups/4371185/items/7BUH6L84"],"itemData":{"id":2141,"type":"article-journal","abstract":"Fungi are ubiquitous microorganisms that are present in outdoor and indoor environments. Previous research has found relationships between environmental fungal  exposures and human health effects. We reviewed recent articles focused on fungal  exposure and dampness as risk factors for respiratory disease development, symptoms,  and hypersensitivity. In particular, we reviewed the evidence suggesting that early  exposure to dampness or fungi is associated with the development of asthma and  increased asthma morbidity. Although outdoor exposure to high concentrations of  spores can cause health effects such as asthma attacks in association with  thunderstorms, most people appear to be relatively unaffected unless they are  sensitized to specific genera. Indoor exposure and dampness, however, appears to be  associated with an increased risk of developing asthma in young children and asthma  morbidity in individuals who have asthma. These are important issues because they  provide a rationale for interventions that might be considered for homes and  buildings in which there is increased fungal exposure. In addition to rhinitis and  asthma, fungus exposure is associated with a number of other illnesses including  allergic bronchopulmonary mycoses, allergic fungal sinusitis, and hypersensitivity  pneumonitis. Additional research is necessary to establish causality and evaluate  interventions for fungal- and dampness-related health effects.","container-title":"Journal of Allergy and Clinical Immunology: In Practice","DOI":"10.1016/j.jaip.2016.01.008","ISSN":"2213-2201 2213-2198","issue":"3","license":"Copyright © 2016 American Academy of Allergy, Asthma &amp; Immunology. Published by Elsevier Inc. All rights reserved.","note":"PMID: 26947460 \nPMCID: PMC4861659","page":"396-404","title":"Exposure and health effects of fungi on humans","volume":"4","author":[{"family":"Baxi","given":"Sachin N."},{"family":"Portnoy","given":"Jay M."},{"family":"Larenas-Linnemann","given":"Désirée"},{"family":"Phipatanakul","given":"Wanda"}],"issued":{"date-parts":[["2016"]]}}}],"schema":"https://github.com/citation-style-language/schema/raw/master/csl-citation.json"} </w:instrText>
      </w:r>
      <w:r w:rsidRPr="00D03260">
        <w:fldChar w:fldCharType="separate"/>
      </w:r>
      <w:r w:rsidRPr="00D03260">
        <w:t>(Baxi et al., 2016)</w:t>
      </w:r>
      <w:r w:rsidRPr="00D03260">
        <w:fldChar w:fldCharType="end"/>
      </w:r>
      <w:r w:rsidRPr="00D03260">
        <w:t>.</w:t>
      </w:r>
    </w:p>
    <w:p w14:paraId="022779F6" w14:textId="3874D462" w:rsidR="0051319F" w:rsidRPr="00D03260" w:rsidRDefault="0051319F" w:rsidP="0051319F">
      <w:r w:rsidRPr="00D03260">
        <w:t xml:space="preserve">The 2017 AWMF guideline </w:t>
      </w:r>
      <w:r w:rsidRPr="00D03260">
        <w:fldChar w:fldCharType="begin"/>
      </w:r>
      <w:r w:rsidR="00217980" w:rsidRPr="00D03260">
        <w:instrText xml:space="preserve"> ADDIN ZOTERO_ITEM CSL_CITATION {"citationID":"niRbSU2c","properties":{"formattedCitation":"(Wiesm\\uc0\\u252{}ller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for the medical clinical diagnostics of indoor mould exposure and the associated evidence review </w:t>
      </w:r>
      <w:r w:rsidRPr="00D03260">
        <w:fldChar w:fldCharType="begin"/>
      </w:r>
      <w:r w:rsidR="00217980" w:rsidRPr="00D03260">
        <w:instrText xml:space="preserve"> ADDIN ZOTERO_ITEM CSL_CITATION {"citationID":"FRwF4EtE","properties":{"formattedCitation":"(Hurra\\uc0\\u223{} et al., 2017)","plainCitation":"(Hurraß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schema":"https://github.com/citation-style-language/schema/raw/master/csl-citation.json"} </w:instrText>
      </w:r>
      <w:r w:rsidRPr="00D03260">
        <w:fldChar w:fldCharType="separate"/>
      </w:r>
      <w:r w:rsidRPr="00D03260">
        <w:t>(Hurraß et al., 2017)</w:t>
      </w:r>
      <w:r w:rsidRPr="00D03260">
        <w:fldChar w:fldCharType="end"/>
      </w:r>
      <w:r w:rsidRPr="00D03260">
        <w:t xml:space="preserve">, included a wider range of health effects than covered by Mendell et al. in their 2011 review </w:t>
      </w:r>
      <w:r w:rsidRPr="00D03260">
        <w:fldChar w:fldCharType="begin"/>
      </w:r>
      <w:r w:rsidR="00217980" w:rsidRPr="00D03260">
        <w:instrText xml:space="preserve"> ADDIN ZOTERO_ITEM CSL_CITATION {"citationID":"FeDOcuWU","properties":{"formattedCitation":"(Mendell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 xml:space="preserve">. They also concluded that there was no, or insufficient, evidence to establish a causal relationship between indoor mould exposure or dampness and disorders/diseases (without mould mycoses) </w:t>
      </w:r>
      <w:r w:rsidRPr="00D03260">
        <w:fldChar w:fldCharType="begin"/>
      </w:r>
      <w:r w:rsidR="00217980" w:rsidRPr="00D03260">
        <w:instrText xml:space="preserve"> ADDIN ZOTERO_ITEM CSL_CITATION {"citationID":"Qkvolf7c","properties":{"formattedCitation":"(Hurra\\uc0\\u223{} et al., 2017; Wiesm\\uc0\\u252{}ller et al., 2017)","plainCitation":"(Hurraß et al., 2017;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(Hurraß et al., 2017; Wiesmüller et al., 2017)</w:t>
      </w:r>
      <w:r w:rsidRPr="00D03260">
        <w:fldChar w:fldCharType="end"/>
      </w:r>
      <w:r w:rsidRPr="00D03260">
        <w:t xml:space="preserve">. Additional advice included that while there are known evidence levels for associations between mould damage and the different health effects, for individuals, it is not possible to prove unambiguous causality between mould exposure and particular health complaints or diseases </w:t>
      </w:r>
      <w:r w:rsidRPr="00D03260">
        <w:fldChar w:fldCharType="begin"/>
      </w:r>
      <w:r w:rsidR="00217980" w:rsidRPr="00D03260">
        <w:instrText xml:space="preserve"> ADDIN ZOTERO_ITEM CSL_CITATION {"citationID":"nFrxpH48","properties":{"formattedCitation":"(Hurra\\uc0\\u223{} et al., 2017)","plainCitation":"(Hurraß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schema":"https://github.com/citation-style-language/schema/raw/master/csl-citation.json"} </w:instrText>
      </w:r>
      <w:r w:rsidRPr="00D03260">
        <w:fldChar w:fldCharType="separate"/>
      </w:r>
      <w:r w:rsidRPr="00D03260">
        <w:t>(Hurraß et al., 2017)</w:t>
      </w:r>
      <w:r w:rsidRPr="00D03260">
        <w:fldChar w:fldCharType="end"/>
      </w:r>
      <w:r w:rsidRPr="00D03260">
        <w:t>.</w:t>
      </w:r>
    </w:p>
    <w:p w14:paraId="25E25C3B" w14:textId="77777777" w:rsidR="005070EB" w:rsidRPr="00D03260" w:rsidRDefault="005070EB">
      <w:pPr>
        <w:spacing w:before="0" w:after="0" w:line="240" w:lineRule="auto"/>
        <w:rPr>
          <w:rFonts w:cs="Arial"/>
          <w:b/>
          <w:bCs/>
          <w:color w:val="358189"/>
          <w:sz w:val="32"/>
          <w:szCs w:val="26"/>
        </w:rPr>
      </w:pPr>
      <w:bookmarkStart w:id="61" w:name="_Toc121329107"/>
      <w:r w:rsidRPr="00D03260">
        <w:br w:type="page"/>
      </w:r>
    </w:p>
    <w:p w14:paraId="3F7E7788" w14:textId="40FF86C7" w:rsidR="0051319F" w:rsidRPr="00D03260" w:rsidRDefault="0030712B" w:rsidP="00AF1EFC">
      <w:pPr>
        <w:pStyle w:val="NumberedHeading3"/>
        <w:numPr>
          <w:ilvl w:val="0"/>
          <w:numId w:val="0"/>
        </w:numPr>
        <w:ind w:left="1440" w:hanging="1440"/>
      </w:pPr>
      <w:bookmarkStart w:id="62" w:name="_Toc141885844"/>
      <w:r w:rsidRPr="00D03260">
        <w:lastRenderedPageBreak/>
        <w:t>1</w:t>
      </w:r>
      <w:r w:rsidR="005245FD" w:rsidRPr="00D03260">
        <w:t>.</w:t>
      </w:r>
      <w:r w:rsidR="00A55139" w:rsidRPr="00D03260">
        <w:t>2</w:t>
      </w:r>
      <w:r w:rsidR="005245FD" w:rsidRPr="00D03260">
        <w:t>.2.</w:t>
      </w:r>
      <w:r w:rsidR="005245FD" w:rsidRPr="00D03260">
        <w:tab/>
      </w:r>
      <w:r w:rsidR="0051319F" w:rsidRPr="00D03260">
        <w:t>Exposure to mould should be minimised even though causality has not been established</w:t>
      </w:r>
      <w:bookmarkEnd w:id="61"/>
      <w:bookmarkEnd w:id="62"/>
    </w:p>
    <w:p w14:paraId="71BC79D7" w14:textId="007A88B2" w:rsidR="0051319F" w:rsidRPr="00D03260" w:rsidRDefault="0051319F" w:rsidP="0051319F">
      <w:r w:rsidRPr="00D03260">
        <w:t xml:space="preserve">Australian and international advice is consistent in that exposure to indoor mould should be minimised or avoided, and dampness and mould-related problems should be prevented, even in the absence of health effects/symptoms </w:t>
      </w:r>
      <w:r w:rsidRPr="00D03260">
        <w:fldChar w:fldCharType="begin"/>
      </w:r>
      <w:r w:rsidR="0097233B" w:rsidRPr="00D03260">
        <w:instrText xml:space="preserve"> ADDIN ZOTERO_ITEM CSL_CITATION {"citationID":"buvNoAbd","properties":{"formattedCitation":"(Denning &amp; Chakrabarti, 2017; Environmental Health Standing Committee (enHealth) of the Australian Health Protection Principal Committee, 2021; Hurra\\uc0\\u223{} et al., 2017; Larenas-Linnemann et al., 2016; Wiesm\\uc0\\u252{}ller et al., 2017)","plainCitation":"(Denning &amp; Chakrabarti, 2017; Environmental Health Standing Committee (enHealth) of the Australian Health Protection Principal Committee, 2021; Hurraß et al., 2017; Larenas-Linnemann et al., 2016; Wiesmüller et al., 2017)","noteIndex":0},"citationItems":[{"id":2226,"uris":["http://zotero.org/groups/4371185/items/7XNKPSYV"],"itemData":{"id":2226,"type":"article-journal","abstract":"The human respiratory tract is exposed daily to airborne fungi, fungal enzymes, and secondary metabolites. The endemic fungi Histoplasma capsulatum, Coccidioides spp,  Blastomyces dermatitidis, and Paracoccidioides brasiliensis, and occasionally  Aspergillus fumigatus, are primary pulmonary pathogens of otherwise healthy people.  Such infections resolve in most people, and only a few infections lead to disease.  However, many fungi are directly allergenic by colonising the respiratory tract or  indirectly through contact with cell wall constituents and proteases, causing or  exacerbating allergic disease. Increasing evidence implicates high indoor fungal  exposures as a precipitant of asthma in children and in worsening asthma symptoms.  Lung or airways infection by endemic fungi or aspergillus can be diagnosed with  respiratory sample culture or serum IgG testing. Sputum, induced sputum, or  bronchial specimens are all suitable specimens for detecting fungi; microscopy,  fungal culture, galactomannan antigen, and aspergillus PCR are useful tests.  Antifungal treatment is indicated in almost all patients with chronic cavitary  pulmonary infections, chronic invasive and granulomatous rhinosinusitis, and  aspergillus bronchitis. Most patients with fungal asthma benefit from antifungal  therapy. Adverse reactions to oral azoles, drug interactions, and azole resistance  in Aspergillus spp limit therapy. Environmental exposures, genetic factors, and  structural pulmonary risk factors probably underlie disease but are poorly  understood.","container-title":"The Lancet. Infectious diseases","DOI":"10.1016/S1473-3099(17)30309-2","ISSN":"1474-4457 1473-3099","issue":"11","journalAbbreviation":"Lancet Infect Dis","language":"eng","license":"Copyright © 2017 Elsevier Ltd. All rights reserved.","note":"publisher-place: United States\nPMID: 28774699","page":"e357-e366","title":"Pulmonary and sinus fungal diseases in non-immunocompromised patients.","volume":"17","author":[{"family":"Denning","given":"David W."},{"family":"Chakrabarti","given":"Arunaloke"}],"issued":{"date-parts":[["2017",11]]}}},{"id":2134,"uris":["http://zotero.org/groups/4371185/items/BHB8PKVA"],"itemData":{"id":2134,"type":"document","publisher":"Australian Government Department of Health and Aged Care","title":"Potential health effects of mould in the environment","URL":"https://www.health.gov.au/resources/publications/enhealth-guidance-potential-health-effects-of-mould-in-the-environment","author":[{"family":"Environmental Health Standing Committee (enHealth) of the Australian Health Protection Principal Committee","given":""}],"issued":{"date-parts":[["2021"]]}}},{"id":2217,"uris":["http://zotero.org/groups/4371185/items/542KM3BH"],"itemData":{"id":2217,"type":"article-journal","abstract":"In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(Denning &amp; Chakrabarti, 2017; Environmental Health Standing Committee (enHealth) of the Australian Health Protection Principal Committee, 2021; Hurraß et al., 2017; Larenas-Linnemann et al., 2016; Wiesmüller et al., 2017)</w:t>
      </w:r>
      <w:r w:rsidRPr="00D03260">
        <w:fldChar w:fldCharType="end"/>
      </w:r>
      <w:r w:rsidRPr="00D03260">
        <w:t>.</w:t>
      </w:r>
    </w:p>
    <w:p w14:paraId="669B315A" w14:textId="6D31F8DC" w:rsidR="0051319F" w:rsidRPr="00D03260" w:rsidRDefault="0051319F" w:rsidP="0051319F">
      <w:r w:rsidRPr="00D03260">
        <w:t xml:space="preserve">The AWMF guideline cautioned that indoor mould growth is a potential health risk, even if a quantitative and/or causal relationship between the occurrence of individual mould species and health problems </w:t>
      </w:r>
      <w:r w:rsidR="00796297" w:rsidRPr="00D03260">
        <w:t xml:space="preserve">is </w:t>
      </w:r>
      <w:r w:rsidRPr="00D03260">
        <w:t>yet to be established</w:t>
      </w:r>
      <w:r w:rsidR="00796297" w:rsidRPr="00D03260">
        <w:t>. The</w:t>
      </w:r>
      <w:r w:rsidRPr="00D03260">
        <w:t xml:space="preserve"> core messaging in th</w:t>
      </w:r>
      <w:r w:rsidR="00796297" w:rsidRPr="00D03260">
        <w:t>is</w:t>
      </w:r>
      <w:r w:rsidRPr="00D03260">
        <w:t xml:space="preserve"> guideline includ</w:t>
      </w:r>
      <w:r w:rsidR="00796297" w:rsidRPr="00D03260">
        <w:t>e</w:t>
      </w:r>
      <w:r w:rsidRPr="00D03260">
        <w:t>:</w:t>
      </w:r>
    </w:p>
    <w:p w14:paraId="6AC13A76" w14:textId="52D2924E" w:rsidR="0051319F" w:rsidRPr="00D03260" w:rsidRDefault="00A367D9" w:rsidP="00BF4ACA">
      <w:pPr>
        <w:pStyle w:val="ListBullet"/>
      </w:pPr>
      <w:r w:rsidRPr="00D03260">
        <w:t>i</w:t>
      </w:r>
      <w:r w:rsidR="0051319F" w:rsidRPr="00D03260">
        <w:t>ndoor mould infestation should not be tolerated.</w:t>
      </w:r>
    </w:p>
    <w:p w14:paraId="3F3E1B30" w14:textId="31DF83AD" w:rsidR="003F12B1" w:rsidRPr="00D03260" w:rsidRDefault="006B30E4" w:rsidP="00BF4ACA">
      <w:pPr>
        <w:pStyle w:val="ListBullet"/>
      </w:pPr>
      <w:r w:rsidRPr="00D03260">
        <w:t>c</w:t>
      </w:r>
      <w:r w:rsidR="0051319F" w:rsidRPr="00D03260">
        <w:t xml:space="preserve">ause identification and appropriate </w:t>
      </w:r>
      <w:r w:rsidR="0051319F" w:rsidRPr="00D03260">
        <w:rPr>
          <w:szCs w:val="22"/>
        </w:rPr>
        <w:t xml:space="preserve">remediation are the most important measures </w:t>
      </w:r>
      <w:r w:rsidR="00C541D4" w:rsidRPr="00D03260">
        <w:rPr>
          <w:szCs w:val="22"/>
        </w:rPr>
        <w:t>(s</w:t>
      </w:r>
      <w:r w:rsidR="00D72DEC" w:rsidRPr="00D03260">
        <w:rPr>
          <w:szCs w:val="22"/>
        </w:rPr>
        <w:t>ee</w:t>
      </w:r>
      <w:r w:rsidR="00B11906" w:rsidRPr="00D03260">
        <w:rPr>
          <w:szCs w:val="22"/>
        </w:rPr>
        <w:t> </w:t>
      </w:r>
      <w:hyperlink w:anchor="Section214ProvideAdviceOnAvoidingOrMinim" w:history="1">
        <w:r w:rsidR="00FB754B" w:rsidRPr="00D03260">
          <w:rPr>
            <w:rStyle w:val="Hyperlink"/>
            <w:szCs w:val="22"/>
          </w:rPr>
          <w:t>s</w:t>
        </w:r>
        <w:r w:rsidR="00D72DEC" w:rsidRPr="00D03260">
          <w:rPr>
            <w:rStyle w:val="Hyperlink"/>
            <w:szCs w:val="22"/>
          </w:rPr>
          <w:t>ection 2.1.4</w:t>
        </w:r>
      </w:hyperlink>
      <w:r w:rsidR="00FB754B" w:rsidRPr="00D03260">
        <w:rPr>
          <w:szCs w:val="22"/>
        </w:rPr>
        <w:t xml:space="preserve"> for further details</w:t>
      </w:r>
      <w:r w:rsidR="00207ADD" w:rsidRPr="00D03260">
        <w:rPr>
          <w:szCs w:val="22"/>
        </w:rPr>
        <w:t>)</w:t>
      </w:r>
      <w:r w:rsidR="00B11906" w:rsidRPr="00D03260">
        <w:rPr>
          <w:szCs w:val="22"/>
        </w:rPr>
        <w:t xml:space="preserve"> </w:t>
      </w:r>
      <w:r w:rsidR="00B11906" w:rsidRPr="00D03260">
        <w:rPr>
          <w:szCs w:val="22"/>
        </w:rPr>
        <w:fldChar w:fldCharType="begin"/>
      </w:r>
      <w:r w:rsidR="00B11906" w:rsidRPr="00D03260">
        <w:rPr>
          <w:szCs w:val="22"/>
        </w:rPr>
        <w:instrText xml:space="preserve"> ADDIN ZOTERO_ITEM CSL_CITATION {"citationID":"0U7DSD7c","properties":{"formattedCitation":"(Wiesm\\uc0\\u252{}ller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00B11906" w:rsidRPr="00D03260">
        <w:rPr>
          <w:szCs w:val="22"/>
        </w:rPr>
        <w:fldChar w:fldCharType="separate"/>
      </w:r>
      <w:r w:rsidR="00B11906" w:rsidRPr="00D03260">
        <w:rPr>
          <w:szCs w:val="22"/>
        </w:rPr>
        <w:t>(Wiesmüller et al., 2017)</w:t>
      </w:r>
      <w:r w:rsidR="00B11906" w:rsidRPr="00D03260">
        <w:rPr>
          <w:szCs w:val="22"/>
        </w:rPr>
        <w:fldChar w:fldCharType="end"/>
      </w:r>
      <w:r w:rsidR="00D72DEC" w:rsidRPr="00D03260">
        <w:t>.</w:t>
      </w:r>
    </w:p>
    <w:p w14:paraId="3F172AFC" w14:textId="6F440883" w:rsidR="0051319F" w:rsidRPr="00D03260" w:rsidRDefault="0030712B" w:rsidP="00AF1EFC">
      <w:pPr>
        <w:pStyle w:val="NumberedHeading3"/>
        <w:numPr>
          <w:ilvl w:val="0"/>
          <w:numId w:val="0"/>
        </w:numPr>
        <w:ind w:left="1440" w:hanging="1440"/>
      </w:pPr>
      <w:bookmarkStart w:id="63" w:name="_Toc121329108"/>
      <w:bookmarkStart w:id="64" w:name="_Toc141885845"/>
      <w:r w:rsidRPr="00D03260">
        <w:t>1</w:t>
      </w:r>
      <w:r w:rsidR="00A346D3" w:rsidRPr="00D03260">
        <w:t>.</w:t>
      </w:r>
      <w:r w:rsidR="00A55139" w:rsidRPr="00D03260">
        <w:t>2</w:t>
      </w:r>
      <w:r w:rsidR="00A346D3" w:rsidRPr="00D03260">
        <w:t>.3.</w:t>
      </w:r>
      <w:r w:rsidR="00A346D3" w:rsidRPr="00D03260">
        <w:tab/>
      </w:r>
      <w:bookmarkStart w:id="65" w:name="Sect123ResponseToExposureToMouldVariesBe"/>
      <w:bookmarkEnd w:id="65"/>
      <w:r w:rsidR="0051319F" w:rsidRPr="00D03260">
        <w:t>Response to exposure to mould varies between individuals</w:t>
      </w:r>
      <w:bookmarkEnd w:id="63"/>
      <w:bookmarkEnd w:id="64"/>
    </w:p>
    <w:p w14:paraId="76D8D352" w14:textId="228B184F" w:rsidR="0051319F" w:rsidRPr="00D03260" w:rsidRDefault="0051319F" w:rsidP="0051319F">
      <w:r w:rsidRPr="00D03260">
        <w:t xml:space="preserve">Whether moulds pose a health risk largely depends on the disposition of the exposed individuals </w:t>
      </w:r>
      <w:r w:rsidRPr="00D03260">
        <w:fldChar w:fldCharType="begin"/>
      </w:r>
      <w:r w:rsidR="00217980" w:rsidRPr="00D03260">
        <w:instrText xml:space="preserve"> ADDIN ZOTERO_ITEM CSL_CITATION {"citationID":"1qskrcXO","properties":{"formattedCitation":"(Hurra\\uc0\\u223{} et al., 2017; Palaty &amp; Shum, 2012; Park &amp; Cox-Ganser, 2011; Wiesm\\uc0\\u252{}ller et al., 2017)","plainCitation":"(Hurraß et al., 2017; Palaty &amp; Shum, 2012; Park &amp; Cox-Ganser, 2011;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2055,"uris":["http://zotero.org/groups/4371185/items/VIU9CSHP"],"itemData":{"id":2055,"type":"article-journal","abstract":"Almost all modern buildings experience at least minor, and sometimes serious, water damage during their life span. Excess moisture in buildings becomes a critical  factor for mold (fungal) proliferation in nutrient-rich environments. As a result,  building occupants may be exposed to increased levels of microbial agents such as  fungal spores, cell fragments, cell wall components, or toxins. Such exposures may  result in various diseases and symptoms, both respiratory and non-respiratory.  Respiratory health complaints are common in damp buildings and have been more  thoroughly studied than non-respiratory complaints. Respiratory diseases and  symptoms which may be produced by exposure to indoor fungi include asthma  development, exacerbation of asthma, hypersensitivity pneumonitis, cough, wheeze,  dyspnea (shortness of breath), nasal and throat symptoms, and respiratory  infections. In addition to these illnesses, rhinosinusitis and sarcoidosis in  water-damaged building occupants are also drawing more scientific attention. In this  article, we explore the evidence for adverse effects of fungal exposure on  respiratory health in damp indoor environments and potential disease mechanisms  related to the exposure.","container-title":"Frontiers in bioscience (Elite edition)","DOI":"10.2741/e284","ISSN":"1945-0508 1945-0494","journalAbbreviation":"Front Biosci (Elite Ed)","language":"eng","note":"publisher-place: Singapore\nPMID: 21196349","page":"757-771","title":"Mold exposure and respiratory health in damp indoor environments.","volume":"3","author":[{"family":"Park","given":"Ju-Hyeong"},{"family":"Cox-Ganser","given":"Jean M."}],"issued":{"date-parts":[["2011",1,1]]}}},{"id":2051,"uris":["http://zotero.org/groups/4371185/items/QZ4VYG6U"],"itemData":{"id":2051,"type":"article-journal","container-title":"Allergo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(Hurraß et al., 2017; Palaty &amp; Shum, 2012; Park &amp; Cox-Ganser, 2011; Wiesmüller et al., 2017)</w:t>
      </w:r>
      <w:r w:rsidRPr="00D03260">
        <w:fldChar w:fldCharType="end"/>
      </w:r>
      <w:r w:rsidRPr="00D03260">
        <w:t xml:space="preserve"> and there is wide variability in how people are affected by airborne mould exposure </w:t>
      </w:r>
      <w:r w:rsidRPr="00D03260">
        <w:fldChar w:fldCharType="begin"/>
      </w:r>
      <w:r w:rsidR="00217980" w:rsidRPr="00D03260">
        <w:instrText xml:space="preserve"> ADDIN ZOTERO_ITEM CSL_CITATION {"citationID":"YXeGDGIp","properties":{"formattedCitation":"(American Industrial Hygiene Association Indoor Environment Quality Committee, 2020; Baxi et al., 2016)","plainCitation":"(American Industrial Hygiene Association Indoor Environment Quality Committee, 2020; Baxi et al., 2016)","noteIndex":0},"citationItems":[{"id":2174,"uris":["http://zotero.org/groups/4371185/items/D8SE85GU"],"itemData":{"id":2174,"type":"document","publisher":"American Industrial Hygiene Association","title":"Facts About Mold: An AIHA Perspective for IEQ Investigators, Physicians, and Engineers","author":[{"family":"American Industrial Hygiene Association Indoor Environment Quality Committee","given":""}],"issued":{"date-parts":[["2020",7,8]]}}},{"id":2141,"uris":["http://zotero.org/groups/4371185/items/7BUH6L84"],"itemData":{"id":2141,"type":"article-journal","abstract":"Fungi are ubiquitous microorganisms that are present in outdoor and indoor environments. Previous research has found relationships between environmental fungal  exposures and human health effects. We reviewed recent articles focused on fungal  exposure and dampness as risk factors for respiratory disease development, symptoms,  and hypersensitivity. In particular, we reviewed the evidence suggesting that early  exposure to dampness or fungi is associated with the development of asthma and  increased asthma morbidity. Although outdoor exposure to high concentrations of  spores can cause health effects such as asthma attacks in association with  thunderstorms, most people appear to be relatively unaffected unless they are  sensitized to specific genera. Indoor exposure and dampness, however, appears to be  associated with an increased risk of developing asthma in young children and asthma  morbidity in individuals who have asthma. These are important issues because they  provide a rationale for interventions that might be considered for homes and  buildings in which there is increased fungal exposure. In addition to rhinitis and  asthma, fungus exposure is associated with a number of other illnesses including  allergic bronchopulmonary mycoses, allergic fungal sinusitis, and hypersensitivity  pneumonitis. Additional research is necessary to establish causality and evaluate  interventions for fungal- and dampness-related health effects.","container-title":"Journal of Allergy and Clinical Immunology: In Practice","DOI":"10.1016/j.jaip.2016.01.008","ISSN":"2213-2201 2213-2198","issue":"3","license":"Copyright © 2016 American Academy of Allergy, Asthma &amp; Immunology. Published by Elsevier Inc. All rights reserved.","note":"PMID: 26947460 \nPMCID: PMC4861659","page":"396-404","title":"Exposure and health effects of fungi on humans","volume":"4","author":[{"family":"Baxi","given":"Sachin N."},{"family":"Portnoy","given":"Jay M."},{"family":"Larenas-Linnemann","given":"Désirée"},{"family":"Phipatanakul","given":"Wanda"}],"issued":{"date-parts":[["2016"]]}}}],"schema":"https://github.com/citation-style-language/schema/raw/master/csl-citation.json"} </w:instrText>
      </w:r>
      <w:r w:rsidRPr="00D03260">
        <w:fldChar w:fldCharType="separate"/>
      </w:r>
      <w:r w:rsidRPr="00D03260">
        <w:t>(American Industrial Hygiene Association Indoor Environment Quality Committee, 2020; Baxi et al., 2016)</w:t>
      </w:r>
      <w:r w:rsidRPr="00D03260">
        <w:fldChar w:fldCharType="end"/>
      </w:r>
      <w:r w:rsidRPr="00D03260">
        <w:t>. A person’s response to mould is influenced by personal susceptibility</w:t>
      </w:r>
      <w:r w:rsidR="00F64756" w:rsidRPr="00D03260">
        <w:t xml:space="preserve"> related to their</w:t>
      </w:r>
      <w:r w:rsidRPr="00D03260">
        <w:t xml:space="preserve"> age, health status, immune status, concurrent exposures, previous sensitisations, socioeconomic status, and genetic factors </w:t>
      </w:r>
      <w:r w:rsidRPr="00D03260">
        <w:fldChar w:fldCharType="begin"/>
      </w:r>
      <w:r w:rsidR="00217980" w:rsidRPr="00D03260">
        <w:instrText xml:space="preserve"> ADDIN ZOTERO_ITEM CSL_CITATION {"citationID":"EiRzUk9e","properties":{"formattedCitation":"(Palaty &amp; Shum, 2012)","plainCitation":"(Palaty &amp; Shum, 2012)","noteIndex":0},"citationItems":[{"id":2176,"uris":["http://zotero.org/groups/4371185/items/8UAC2VRS"],"itemData":{"id":2176,"type":"document","language":"English","publisher":"National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Environments","author":[{"family":"Palaty","given":"Chrystal"},{"family":"Shum","given":"Mona"}],"accessed":{"date-parts":[["2021",9,2]]},"issued":{"date-parts":[["2012",7]]}}}],"schema":"https://github.com/citation-style-language/schema/raw/master/csl-citation.json"} </w:instrText>
      </w:r>
      <w:r w:rsidRPr="00D03260">
        <w:fldChar w:fldCharType="separate"/>
      </w:r>
      <w:r w:rsidRPr="00D03260">
        <w:t>(Palaty &amp; Shum, 2012)</w:t>
      </w:r>
      <w:r w:rsidRPr="00D03260">
        <w:fldChar w:fldCharType="end"/>
      </w:r>
      <w:r w:rsidRPr="00D03260">
        <w:t xml:space="preserve">. Further, many fungal allergens are broadly cross-reactive, and in sensitised individuals, exposure to related species can cause symptoms due to shared epitopes </w:t>
      </w:r>
      <w:r w:rsidRPr="00D03260">
        <w:fldChar w:fldCharType="begin"/>
      </w:r>
      <w:r w:rsidR="00217980" w:rsidRPr="00D03260">
        <w:instrText xml:space="preserve"> ADDIN ZOTERO_ITEM CSL_CITATION {"citationID":"VcuESQ1r","properties":{"formattedCitation":"(Baxi et al., 2016)","plainCitation":"(Baxi et al., 2016)","noteIndex":0},"citationItems":[{"id":2141,"uris":["http://zotero.org/groups/4371185/items/7BUH6L84"],"itemData":{"id":2141,"type":"article-journal","abstract":"Fungi are ubiquitous microorganisms that are present in outdoor and indoor environments. Previous research has found relationships between environmental fungal  exposures and human health effects. We reviewed recent articles focused on fungal  exposure and dampness as risk factors for respiratory disease development, symptoms,  and hypersensitivity. In particular, we reviewed the evidence suggesting that early  exposure to dampness or fungi is associated with the development of asthma and  increased asthma morbidity. Although outdoor exposure to high concentrations of  spores can cause health effects such as asthma attacks in association with  thunderstorms, most people appear to be relatively unaffected unless they are  sensitized to specific genera. Indoor exposure and dampness, however, appears to be  associated with an increased risk of developing asthma in young children and asthma  morbidity in individuals who have asthma. These are important issues because they  provide a rationale for interventions that might be considered for homes and  buildings in which there is increased fungal exposure. In addition to rhinitis and  asthma, fungus exposure is associated with a number of other illnesses including  allergic bronchopulmonary mycoses, allergic fungal sinusitis, and hypersensitivity  pneumonitis. Additional research is necessary to establish causality and evaluate  interventions for fungal- and dampness-related health effects.","container-title":"Journal of Allergy and Clinical Immunology: In Practice","DOI":"10.1016/j.jaip.2016.01.008","ISSN":"2213-2201 2213-2198","issue":"3","license":"Copyright © 2016 American Academy of Allergy, Asthma &amp; Immunology. Published by Elsevier Inc. All rights reserved.","note":"PMID: 26947460 \nPMCID: PMC4861659","page":"396-404","title":"Exposure and health effects of fungi on humans","volume":"4","author":[{"family":"Baxi","given":"Sachin N."},{"family":"Portnoy","given":"Jay M."},{"family":"Larenas-Linnemann","given":"Désirée"},{"family":"Phipatanakul","given":"Wanda"}],"issued":{"date-parts":[["2016"]]}}}],"schema":"https://github.com/citation-style-language/schema/raw/master/csl-citation.json"} </w:instrText>
      </w:r>
      <w:r w:rsidRPr="00D03260">
        <w:fldChar w:fldCharType="separate"/>
      </w:r>
      <w:r w:rsidRPr="00D03260">
        <w:t>(Baxi et al., 2016)</w:t>
      </w:r>
      <w:r w:rsidRPr="00D03260">
        <w:fldChar w:fldCharType="end"/>
      </w:r>
      <w:r w:rsidRPr="00D03260">
        <w:t>.</w:t>
      </w:r>
    </w:p>
    <w:p w14:paraId="772FDF75" w14:textId="7FE06CE1" w:rsidR="0051319F" w:rsidRPr="00D03260" w:rsidRDefault="00A346D3" w:rsidP="00AF1EFC">
      <w:pPr>
        <w:pStyle w:val="NumberedHeading3"/>
        <w:numPr>
          <w:ilvl w:val="0"/>
          <w:numId w:val="0"/>
        </w:numPr>
        <w:ind w:left="1440" w:hanging="1440"/>
      </w:pPr>
      <w:bookmarkStart w:id="66" w:name="_Toc121329109"/>
      <w:bookmarkStart w:id="67" w:name="_Toc141885846"/>
      <w:r w:rsidRPr="00D03260">
        <w:t>1.</w:t>
      </w:r>
      <w:r w:rsidR="00A55139" w:rsidRPr="00D03260">
        <w:t>2</w:t>
      </w:r>
      <w:r w:rsidR="0030712B" w:rsidRPr="00D03260">
        <w:t>.</w:t>
      </w:r>
      <w:r w:rsidRPr="00D03260">
        <w:t>4.</w:t>
      </w:r>
      <w:r w:rsidRPr="00D03260">
        <w:tab/>
      </w:r>
      <w:bookmarkStart w:id="68" w:name="Sect124IndividualsAndPatientsAtRiskOfHea"/>
      <w:bookmarkEnd w:id="68"/>
      <w:r w:rsidR="0051319F" w:rsidRPr="00D03260">
        <w:t>Individuals and patients at risk of health effects due to indoor damp or mould or other factors associated with indoor air quality</w:t>
      </w:r>
      <w:bookmarkEnd w:id="66"/>
      <w:bookmarkEnd w:id="67"/>
    </w:p>
    <w:p w14:paraId="3339FEC1" w14:textId="4AD734A8" w:rsidR="006B7376" w:rsidRPr="00D03260" w:rsidRDefault="0051319F" w:rsidP="006B7376">
      <w:pPr>
        <w:pStyle w:val="BodyText"/>
      </w:pPr>
      <w:r w:rsidRPr="00D03260">
        <w:t>The risk of infection from common indoor mould species is low in healthy individuals and the sensitising potential of moulds is considered significantly lower compared with other environmental allergens</w:t>
      </w:r>
      <w:r w:rsidR="00796297" w:rsidRPr="00D03260">
        <w:t>.</w:t>
      </w:r>
      <w:r w:rsidRPr="00D03260">
        <w:t xml:space="preserve"> </w:t>
      </w:r>
      <w:r w:rsidR="00796297" w:rsidRPr="00D03260">
        <w:t>F</w:t>
      </w:r>
      <w:r w:rsidRPr="00D03260">
        <w:t xml:space="preserve">or example, fur-bearing pets, grass and tree pollen or house dust mites. Recent studies have shown a comparatively low sensitising prevalence of </w:t>
      </w:r>
      <w:r w:rsidR="006B7376" w:rsidRPr="00D03260">
        <w:t>3</w:t>
      </w:r>
      <w:r w:rsidR="006260E1" w:rsidRPr="00D03260">
        <w:t>–</w:t>
      </w:r>
      <w:r w:rsidR="00DA4B52" w:rsidRPr="00D03260">
        <w:t xml:space="preserve">10% </w:t>
      </w:r>
      <w:r w:rsidR="006B7376" w:rsidRPr="00D03260">
        <w:t xml:space="preserve">to moulds in the general population across Europe </w:t>
      </w:r>
      <w:r w:rsidR="006B7376" w:rsidRPr="00D03260">
        <w:fldChar w:fldCharType="begin"/>
      </w:r>
      <w:r w:rsidR="00217980" w:rsidRPr="00D03260">
        <w:instrText xml:space="preserve"> ADDIN ZOTERO_ITEM CSL_CITATION {"citationID":"cY6vmZwX","properties":{"formattedCitation":"(Wiesm\\uc0\\u252{}ller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006B7376" w:rsidRPr="00D03260">
        <w:fldChar w:fldCharType="separate"/>
      </w:r>
      <w:r w:rsidR="006B7376" w:rsidRPr="00D03260">
        <w:t>(Wiesmüller et al., 2017)</w:t>
      </w:r>
      <w:r w:rsidR="006B7376" w:rsidRPr="00D03260">
        <w:fldChar w:fldCharType="end"/>
      </w:r>
      <w:r w:rsidR="006B7376" w:rsidRPr="00D03260">
        <w:t>.</w:t>
      </w:r>
    </w:p>
    <w:p w14:paraId="52227610" w14:textId="354BD7E5" w:rsidR="004C6971" w:rsidRPr="00D03260" w:rsidRDefault="004C6971" w:rsidP="006B7376">
      <w:pPr>
        <w:pStyle w:val="BodyText"/>
      </w:pPr>
      <w:r w:rsidRPr="00D03260">
        <w:t>The N</w:t>
      </w:r>
      <w:r w:rsidR="00347D52" w:rsidRPr="00D03260">
        <w:t xml:space="preserve">ational </w:t>
      </w:r>
      <w:r w:rsidRPr="00D03260">
        <w:t>C</w:t>
      </w:r>
      <w:r w:rsidR="00347D52" w:rsidRPr="00D03260">
        <w:t xml:space="preserve">ollaborating </w:t>
      </w:r>
      <w:r w:rsidRPr="00D03260">
        <w:t>C</w:t>
      </w:r>
      <w:r w:rsidR="00347D52" w:rsidRPr="00D03260">
        <w:t xml:space="preserve">entre for Environmental </w:t>
      </w:r>
      <w:r w:rsidRPr="00D03260">
        <w:t>H</w:t>
      </w:r>
      <w:r w:rsidR="00347D52" w:rsidRPr="00D03260">
        <w:t>ealth</w:t>
      </w:r>
      <w:r w:rsidRPr="00D03260">
        <w:t xml:space="preserve"> </w:t>
      </w:r>
      <w:r w:rsidR="00796297" w:rsidRPr="00D03260">
        <w:t xml:space="preserve">(Canada) </w:t>
      </w:r>
      <w:r w:rsidRPr="00D03260">
        <w:t xml:space="preserve">noted that in healthy individuals, most case reports of adverse health reactions from mould (e.g., mucus membrane irritation syndrome, </w:t>
      </w:r>
      <w:r w:rsidR="003C5567" w:rsidRPr="00D03260">
        <w:t>o</w:t>
      </w:r>
      <w:r w:rsidR="00A14F8C" w:rsidRPr="00D03260">
        <w:t>rganic dust toxic syndrome (</w:t>
      </w:r>
      <w:r w:rsidRPr="00D03260">
        <w:t>ODTS</w:t>
      </w:r>
      <w:r w:rsidR="00A14F8C" w:rsidRPr="00D03260">
        <w:t>)</w:t>
      </w:r>
      <w:r w:rsidRPr="00D03260">
        <w:t>, interstitial lung disease, and inhalation fevers) have been associated with mould exposures in agricultural or industrial environments but not in residential environments</w:t>
      </w:r>
      <w:r w:rsidR="00DD0FCF" w:rsidRPr="00D03260">
        <w:t xml:space="preserve"> </w:t>
      </w:r>
      <w:r w:rsidR="00DD0FCF" w:rsidRPr="00D03260">
        <w:fldChar w:fldCharType="begin"/>
      </w:r>
      <w:r w:rsidR="00217980" w:rsidRPr="00D03260">
        <w:instrText xml:space="preserve"> ADDIN ZOTERO_ITEM CSL_CITATION {"citationID":"Se3ktabI","properties":{"formattedCitation":"(Palaty &amp; Shum, 2012)","plainCitation":"(Palaty &amp; Shum, 2012)","noteIndex":0},"citationItems":[{"id":2176,"uris":["http://zotero.org/groups/4371185/items/8UAC2VRS"],"itemData":{"id":2176,"type":"document","language":"English","publisher":"National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Environments","author":[{"family":"Palaty","given":"Chrystal"},{"family":"Shum","given":"Mona"}],"accessed":{"date-parts":[["2021",9,2]]},"issued":{"date-parts":[["2012",7]]}}}],"schema":"https://github.com/citation-style-language/schema/raw/master/csl-citation.json"} </w:instrText>
      </w:r>
      <w:r w:rsidR="00DD0FCF" w:rsidRPr="00D03260">
        <w:fldChar w:fldCharType="separate"/>
      </w:r>
      <w:r w:rsidR="00DD0FCF" w:rsidRPr="00D03260">
        <w:rPr>
          <w:rFonts w:cs="Arial"/>
        </w:rPr>
        <w:t>(Palaty &amp; Shum, 2012)</w:t>
      </w:r>
      <w:r w:rsidR="00DD0FCF" w:rsidRPr="00D03260">
        <w:fldChar w:fldCharType="end"/>
      </w:r>
      <w:r w:rsidR="00A14F8C" w:rsidRPr="00D03260">
        <w:t xml:space="preserve">. ODTS is an acute, systemic flu-like disease caused by the inhalation of high concentrations of bioaerosols found almost exclusively in work places, and is significantly more common than HP, or Farmer’s </w:t>
      </w:r>
      <w:r w:rsidR="00A14F8C" w:rsidRPr="00D03260">
        <w:lastRenderedPageBreak/>
        <w:t xml:space="preserve">lung from which it is sometimes difficult to distinguish diagnostically </w:t>
      </w:r>
      <w:r w:rsidR="00A14F8C" w:rsidRPr="00D03260">
        <w:fldChar w:fldCharType="begin"/>
      </w:r>
      <w:r w:rsidR="00217980" w:rsidRPr="00D03260">
        <w:instrText xml:space="preserve"> ADDIN ZOTERO_ITEM CSL_CITATION {"citationID":"a0pHNWKM","properties":{"formattedCitation":"(Wiesm\\uc0\\u252{}ller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00A14F8C" w:rsidRPr="00D03260">
        <w:fldChar w:fldCharType="separate"/>
      </w:r>
      <w:r w:rsidR="00A14F8C" w:rsidRPr="00D03260">
        <w:t>(Wiesmüller et al., 2017)</w:t>
      </w:r>
      <w:r w:rsidR="00A14F8C" w:rsidRPr="00D03260">
        <w:fldChar w:fldCharType="end"/>
      </w:r>
      <w:r w:rsidR="00A14F8C" w:rsidRPr="00D03260">
        <w:t>. Both conditions are more frequently seen in agricultural workplaces.</w:t>
      </w:r>
    </w:p>
    <w:p w14:paraId="5B408F85" w14:textId="74491FB2" w:rsidR="007964E2" w:rsidRPr="00D03260" w:rsidRDefault="007964E2" w:rsidP="006B7376">
      <w:pPr>
        <w:pStyle w:val="BodyText"/>
      </w:pPr>
      <w:r w:rsidRPr="00D03260">
        <w:t xml:space="preserve">HP may affect from 1–5% or more of a specialised population exposed to appropriate antigens, examples being farmers and </w:t>
      </w:r>
      <w:r w:rsidR="00CC49D6" w:rsidRPr="00D03260">
        <w:t>F</w:t>
      </w:r>
      <w:r w:rsidRPr="00D03260">
        <w:t xml:space="preserve">armer’s lung, and pigeon breeders and pigeon breeder’s disease </w:t>
      </w:r>
      <w:r w:rsidRPr="00D03260">
        <w:fldChar w:fldCharType="begin"/>
      </w:r>
      <w:r w:rsidR="00217980" w:rsidRPr="00D03260">
        <w:instrText xml:space="preserve"> ADDIN ZOTERO_ITEM CSL_CITATION {"citationID":"hHKfHIbE","properties":{"formattedCitation":"(American Lung Association et al., 2014)","plainCitation":"(American Lung Association et al., 2014)","noteIndex":0},"citationItems":[{"id":2177,"uris":["http://zotero.org/groups/4371185/items/RKZL36WX"],"itemData":{"id":2177,"type":"document","abstract":"Because people spend a lot of time indoors, the quality of the air indoors can affect their health.  Remodeling or renovating an existing home has the potential to release indoor pollutants.","language":"en","publisher":"American Lung Association; American Medical Association; U.S. Consumer Product Safety Commission; U.S Environmental Protection Agency","title":"Indoor air pollution: An introduction for health professionals","title-short":"Indoor Air Pollution","URL":"https://www.epa.gov/indoor-air-quality-iaq/indoor-air-pollution-introduction-health-professionals","author":[{"family":"American Lung Association","given":""},{"family":"American Medical Association","given":""},{"family":"U.S. Consumer Product Safety Commission","given":""},{"family":"U.S. Environmental Protection Agency","given":""}],"accessed":{"date-parts":[["2021",9,2]]},"issued":{"date-parts":[["2014"]]}}}],"schema":"https://github.com/citation-style-language/schema/raw/master/csl-citation.json"} </w:instrText>
      </w:r>
      <w:r w:rsidRPr="00D03260">
        <w:fldChar w:fldCharType="separate"/>
      </w:r>
      <w:r w:rsidRPr="00D03260">
        <w:t>(American Lung Association et al., 2014)</w:t>
      </w:r>
      <w:r w:rsidRPr="00D03260">
        <w:fldChar w:fldCharType="end"/>
      </w:r>
      <w:r w:rsidRPr="00D03260">
        <w:t xml:space="preserve">. The prevalence of HP in the general population is unknown </w:t>
      </w:r>
      <w:r w:rsidRPr="00D03260">
        <w:fldChar w:fldCharType="begin"/>
      </w:r>
      <w:r w:rsidR="00217980" w:rsidRPr="00D03260">
        <w:instrText xml:space="preserve"> ADDIN ZOTERO_ITEM CSL_CITATION {"citationID":"1N8Ki76i","properties":{"formattedCitation":"(American Lung Association et al., 2014)","plainCitation":"(American Lung Association et al., 2014)","noteIndex":0},"citationItems":[{"id":2177,"uris":["http://zotero.org/groups/4371185/items/RKZL36WX"],"itemData":{"id":2177,"type":"document","abstract":"Because people spend a lot of time indoors, the quality of the air indoors can affect their health.  Remodeling or renovating an existing home has the potential to release indoor pollutants.","language":"en","publisher":"American Lung Association; American Medical Association; U.S. Consumer Product Safety Commission; U.S Environmental Protection Agency","title":"Indoor air pollution: An introduction for health professionals","title-short":"Indoor Air Pollution","URL":"https://www.epa.gov/indoor-air-quality-iaq/indoor-air-pollution-introduction-health-professionals","author":[{"family":"American Lung Association","given":""},{"family":"American Medical Association","given":""},{"family":"U.S. Consumer Product Safety Commission","given":""},{"family":"U.S. Environmental Protection Agency","given":""}],"accessed":{"date-parts":[["2021",9,2]]},"issued":{"date-parts":[["2014"]]}}}],"schema":"https://github.com/citation-style-language/schema/raw/master/csl-citation.json"} </w:instrText>
      </w:r>
      <w:r w:rsidRPr="00D03260">
        <w:fldChar w:fldCharType="separate"/>
      </w:r>
      <w:r w:rsidRPr="00D03260">
        <w:t>(American Lung Association et al., 2014)</w:t>
      </w:r>
      <w:r w:rsidRPr="00D03260">
        <w:fldChar w:fldCharType="end"/>
      </w:r>
      <w:r w:rsidRPr="00D03260">
        <w:t xml:space="preserve">, but is noted by the CDC to be rare </w:t>
      </w:r>
      <w:r w:rsidRPr="00D03260">
        <w:fldChar w:fldCharType="begin"/>
      </w:r>
      <w:r w:rsidR="00217980" w:rsidRPr="00D03260">
        <w:instrText xml:space="preserve"> ADDIN ZOTERO_ITEM CSL_CITATION {"citationID":"RqNpQOhu","properties":{"formattedCitation":"(Park &amp; Cox-Ganser, 2011)","plainCitation":"(Park &amp; Cox-Ganser, 2011)","noteIndex":0},"citationItems":[{"id":2055,"uris":["http://zotero.org/groups/4371185/items/VIU9CSHP"],"itemData":{"id":2055,"type":"article-journal","abstract":"Almost all modern buildings experience at least minor, and sometimes serious, water damage during their life span. Excess moisture in buildings becomes a critical  factor for mold (fungal) proliferation in nutrient-rich environments. As a result,  building occupants may be exposed to increased levels of microbial agents such as  fungal spores, cell fragments, cell wall components, or toxins. Such exposures may  result in various diseases and symptoms, both respiratory and non-respiratory.  Respiratory health complaints are common in damp buildings and have been more  thoroughly studied than non-respiratory complaints. Respiratory diseases and  symptoms which may be produced by exposure to indoor fungi include asthma  development, exacerbation of asthma, hypersensitivity pneumonitis, cough, wheeze,  dyspnea (shortness of breath), nasal and throat symptoms, and respiratory  infections. In addition to these illnesses, rhinosinusitis and sarcoidosis in  water-damaged building occupants are also drawing more scientific attention. In this  article, we explore the evidence for adverse effects of fungal exposure on  respiratory health in damp indoor environments and potential disease mechanisms  related to the exposure.","container-title":"Frontiers in bioscience (Elite edition)","DOI":"10.2741/e284","ISSN":"1945-0508 1945-0494","journalAbbreviation":"Front Biosci (Elite Ed)","language":"eng","note":"publisher-place: Singapore\nPMID: 21196349","page":"757-771","title":"Mold exposure and respiratory health in damp indoor environments.","volume":"3","author":[{"family":"Park","given":"Ju-Hyeong"},{"family":"Cox-Ganser","given":"Jean M."}],"issued":{"date-parts":[["2011",1,1]]}}}],"schema":"https://github.com/citation-style-language/schema/raw/master/csl-citation.json"} </w:instrText>
      </w:r>
      <w:r w:rsidRPr="00D03260">
        <w:fldChar w:fldCharType="separate"/>
      </w:r>
      <w:r w:rsidRPr="00D03260">
        <w:t>(Park &amp; Cox-Ganser, 2011)</w:t>
      </w:r>
      <w:r w:rsidRPr="00D03260">
        <w:fldChar w:fldCharType="end"/>
      </w:r>
      <w:r w:rsidRPr="00D03260">
        <w:t>.</w:t>
      </w:r>
    </w:p>
    <w:p w14:paraId="468C5FD5" w14:textId="2865E67A" w:rsidR="0051319F" w:rsidRPr="00D03260" w:rsidRDefault="0051319F" w:rsidP="0051319F">
      <w:r w:rsidRPr="00D03260">
        <w:t xml:space="preserve">People with pre-existing health conditions may be vulnerable to ill-health </w:t>
      </w:r>
      <w:proofErr w:type="gramStart"/>
      <w:r w:rsidRPr="00D03260">
        <w:t>as a result of</w:t>
      </w:r>
      <w:proofErr w:type="gramEnd"/>
      <w:r w:rsidRPr="00D03260">
        <w:t xml:space="preserve"> exposure to indoor damp or mould or poor indoor air quality, including mould.</w:t>
      </w:r>
      <w:r w:rsidR="004400EA" w:rsidRPr="00D03260">
        <w:t xml:space="preserve"> A review of an individual’s medical history should identify the most vulnerable and sensitive persons, such as immunocompromised individuals, allergic (atopic) persons and individuals with pre-existing pulmonary diseases like asthma, COPD, and CF.</w:t>
      </w:r>
    </w:p>
    <w:p w14:paraId="2FECE1E0" w14:textId="084E9AA6" w:rsidR="005B3C9C" w:rsidRPr="00D03260" w:rsidRDefault="0051319F" w:rsidP="00A80889">
      <w:pPr>
        <w:rPr>
          <w:rFonts w:eastAsiaTheme="minorHAnsi"/>
        </w:rPr>
      </w:pPr>
      <w:r w:rsidRPr="00D03260">
        <w:t xml:space="preserve">The abridged AWMF </w:t>
      </w:r>
      <w:r w:rsidR="00A95E08" w:rsidRPr="00D03260">
        <w:t xml:space="preserve">guideline </w:t>
      </w:r>
      <w:r w:rsidRPr="00D03260">
        <w:t xml:space="preserve">advised </w:t>
      </w:r>
      <w:r w:rsidR="003E7F5A" w:rsidRPr="00D03260">
        <w:t>th</w:t>
      </w:r>
      <w:r w:rsidR="001B51F1" w:rsidRPr="00D03260">
        <w:t>at</w:t>
      </w:r>
      <w:r w:rsidR="003E7F5A" w:rsidRPr="00D03260">
        <w:t xml:space="preserve"> </w:t>
      </w:r>
      <w:r w:rsidR="00085877" w:rsidRPr="00D03260">
        <w:t>at</w:t>
      </w:r>
      <w:r w:rsidR="001B51F1" w:rsidRPr="00D03260">
        <w:t>-</w:t>
      </w:r>
      <w:r w:rsidRPr="00D03260">
        <w:t xml:space="preserve">risk groups </w:t>
      </w:r>
      <w:r w:rsidR="00757B27" w:rsidRPr="00D03260">
        <w:t xml:space="preserve">may need </w:t>
      </w:r>
      <w:proofErr w:type="gramStart"/>
      <w:r w:rsidRPr="00D03260">
        <w:t>particular protection</w:t>
      </w:r>
      <w:proofErr w:type="gramEnd"/>
      <w:r w:rsidR="004400EA" w:rsidRPr="00D03260">
        <w:t xml:space="preserve">. </w:t>
      </w:r>
      <w:r w:rsidRPr="00D03260">
        <w:rPr>
          <w:rFonts w:eastAsiaTheme="minorHAnsi"/>
        </w:rPr>
        <w:t>Mould-allergic patients and patients with a weakened immune system should be provided with specialist patient information about the hazards of indoor mould exposure and preventative steps they can take to minimi</w:t>
      </w:r>
      <w:r w:rsidR="002200AD" w:rsidRPr="00D03260">
        <w:rPr>
          <w:rFonts w:eastAsiaTheme="minorHAnsi"/>
        </w:rPr>
        <w:t>s</w:t>
      </w:r>
      <w:r w:rsidRPr="00D03260">
        <w:rPr>
          <w:rFonts w:eastAsiaTheme="minorHAnsi"/>
        </w:rPr>
        <w:t>e exposure</w:t>
      </w:r>
      <w:r w:rsidR="00EC0E41" w:rsidRPr="00D03260">
        <w:rPr>
          <w:rFonts w:eastAsiaTheme="minorHAnsi"/>
        </w:rPr>
        <w:t xml:space="preserve"> </w:t>
      </w:r>
      <w:r w:rsidR="00B11906" w:rsidRPr="00D03260">
        <w:rPr>
          <w:rFonts w:eastAsiaTheme="minorHAnsi"/>
        </w:rPr>
        <w:t>(s</w:t>
      </w:r>
      <w:r w:rsidR="00C069EE" w:rsidRPr="00D03260">
        <w:rPr>
          <w:rFonts w:eastAsiaTheme="minorHAnsi"/>
        </w:rPr>
        <w:t>ee</w:t>
      </w:r>
      <w:r w:rsidR="00175BB4" w:rsidRPr="00D03260">
        <w:rPr>
          <w:rFonts w:eastAsiaTheme="minorHAnsi"/>
        </w:rPr>
        <w:t> </w:t>
      </w:r>
      <w:hyperlink w:anchor="Section212IdentifySusceptiblePeople" w:history="1">
        <w:r w:rsidR="00FB754B" w:rsidRPr="00D03260">
          <w:rPr>
            <w:rStyle w:val="Hyperlink"/>
            <w:rFonts w:eastAsiaTheme="minorHAnsi"/>
          </w:rPr>
          <w:t>s</w:t>
        </w:r>
        <w:r w:rsidR="00C069EE" w:rsidRPr="00D03260">
          <w:rPr>
            <w:rStyle w:val="Hyperlink"/>
            <w:rFonts w:eastAsiaTheme="minorHAnsi"/>
          </w:rPr>
          <w:t>ection</w:t>
        </w:r>
        <w:r w:rsidR="00175BB4" w:rsidRPr="00D03260">
          <w:rPr>
            <w:rStyle w:val="Hyperlink"/>
            <w:rFonts w:eastAsiaTheme="minorHAnsi"/>
          </w:rPr>
          <w:t> </w:t>
        </w:r>
        <w:r w:rsidR="00C069EE" w:rsidRPr="00D03260">
          <w:rPr>
            <w:rStyle w:val="Hyperlink"/>
            <w:rFonts w:eastAsiaTheme="minorHAnsi"/>
          </w:rPr>
          <w:t>2.1.2</w:t>
        </w:r>
      </w:hyperlink>
      <w:r w:rsidR="00FB754B" w:rsidRPr="00D03260">
        <w:rPr>
          <w:rFonts w:eastAsiaTheme="minorHAnsi"/>
        </w:rPr>
        <w:t xml:space="preserve"> for further details</w:t>
      </w:r>
      <w:r w:rsidR="00B11906" w:rsidRPr="00D03260">
        <w:rPr>
          <w:rFonts w:eastAsiaTheme="minorHAnsi"/>
        </w:rPr>
        <w:t xml:space="preserve">) </w:t>
      </w:r>
      <w:r w:rsidR="00B11906" w:rsidRPr="00D03260">
        <w:rPr>
          <w:rFonts w:eastAsiaTheme="minorHAnsi"/>
        </w:rPr>
        <w:fldChar w:fldCharType="begin"/>
      </w:r>
      <w:r w:rsidR="00B11906" w:rsidRPr="00D03260">
        <w:rPr>
          <w:rFonts w:eastAsiaTheme="minorHAnsi"/>
        </w:rPr>
        <w:instrText xml:space="preserve"> ADDIN ZOTERO_ITEM CSL_CITATION {"citationID":"q6zISF6I","properties":{"formattedCitation":"(Wiesm\\uc0\\u252{}ller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00B11906" w:rsidRPr="00D03260">
        <w:rPr>
          <w:rFonts w:eastAsiaTheme="minorHAnsi"/>
        </w:rPr>
        <w:fldChar w:fldCharType="separate"/>
      </w:r>
      <w:r w:rsidR="00B11906" w:rsidRPr="00D03260">
        <w:rPr>
          <w:rFonts w:cs="Arial"/>
        </w:rPr>
        <w:t>(Wiesmüller et al., 2017)</w:t>
      </w:r>
      <w:r w:rsidR="00B11906" w:rsidRPr="00D03260">
        <w:rPr>
          <w:rFonts w:eastAsiaTheme="minorHAnsi"/>
        </w:rPr>
        <w:fldChar w:fldCharType="end"/>
      </w:r>
      <w:r w:rsidR="00FB754B" w:rsidRPr="00D03260">
        <w:rPr>
          <w:rFonts w:eastAsiaTheme="minorHAnsi"/>
        </w:rPr>
        <w:t>.</w:t>
      </w:r>
    </w:p>
    <w:p w14:paraId="61EE9128" w14:textId="5F92D4D6" w:rsidR="00571CE3" w:rsidRPr="00D03260" w:rsidRDefault="00AC5452" w:rsidP="00AC5452">
      <w:pPr>
        <w:rPr>
          <w:rFonts w:eastAsiaTheme="minorHAnsi"/>
        </w:rPr>
      </w:pPr>
      <w:r w:rsidRPr="00D03260">
        <w:rPr>
          <w:rFonts w:eastAsiaTheme="minorHAnsi"/>
        </w:rPr>
        <w:t xml:space="preserve">The WHO estimated the prevalence of indoor dampness may affect between 10%–50% of indoor environments in Australia, with the same prevalence estimates of indoor dampness provided for Europe, North America, India and Japan </w:t>
      </w:r>
      <w:r w:rsidR="00076FA0" w:rsidRPr="00D03260">
        <w:rPr>
          <w:rFonts w:eastAsiaTheme="minorHAnsi"/>
        </w:rPr>
        <w:fldChar w:fldCharType="begin"/>
      </w:r>
      <w:r w:rsidR="00217980" w:rsidRPr="00D03260">
        <w:rPr>
          <w:rFonts w:eastAsiaTheme="minorHAnsi"/>
        </w:rPr>
        <w:instrText xml:space="preserve"> ADDIN ZOTERO_ITEM CSL_CITATION {"citationID":"siwKognp","properties":{"formattedCitation":"(World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00076FA0" w:rsidRPr="00D03260">
        <w:rPr>
          <w:rFonts w:eastAsiaTheme="minorHAnsi"/>
        </w:rPr>
        <w:fldChar w:fldCharType="separate"/>
      </w:r>
      <w:r w:rsidR="00076FA0" w:rsidRPr="00D03260">
        <w:rPr>
          <w:rFonts w:eastAsiaTheme="minorHAnsi" w:cs="Arial"/>
        </w:rPr>
        <w:t>(World Health Organization, 2009)</w:t>
      </w:r>
      <w:r w:rsidR="00076FA0" w:rsidRPr="00D03260">
        <w:rPr>
          <w:rFonts w:eastAsiaTheme="minorHAnsi"/>
        </w:rPr>
        <w:fldChar w:fldCharType="end"/>
      </w:r>
      <w:r w:rsidRPr="00D03260">
        <w:rPr>
          <w:rFonts w:eastAsiaTheme="minorHAnsi"/>
        </w:rPr>
        <w:t xml:space="preserve"> </w:t>
      </w:r>
    </w:p>
    <w:p w14:paraId="72264555" w14:textId="39C58336" w:rsidR="00AC5452" w:rsidRPr="00D03260" w:rsidRDefault="00AC5452" w:rsidP="00A80889">
      <w:pPr>
        <w:rPr>
          <w:rFonts w:eastAsiaTheme="minorHAnsi"/>
          <w:b/>
          <w:bCs/>
        </w:rPr>
      </w:pPr>
      <w:r w:rsidRPr="00D03260">
        <w:rPr>
          <w:rFonts w:eastAsiaTheme="minorHAnsi"/>
        </w:rPr>
        <w:t xml:space="preserve">International guidelines and guidance acknowledge that people who live in vulnerable circumstances, such as in poor quality housing may be more susceptible to exposure to indoor damp and mould and potential health effects from exposure. NICE advised people who live in poor quality housing, people who live in poverty and people exposed to tobacco smoke in their home are at risk of ill health due to indoor air quality (including mould) </w:t>
      </w:r>
      <w:r w:rsidR="009A4F65" w:rsidRPr="00D03260">
        <w:rPr>
          <w:rFonts w:eastAsiaTheme="minorHAnsi"/>
        </w:rPr>
        <w:fldChar w:fldCharType="begin"/>
      </w:r>
      <w:r w:rsidR="00707A99" w:rsidRPr="00D03260">
        <w:rPr>
          <w:rFonts w:eastAsiaTheme="minorHAnsi"/>
        </w:rPr>
        <w:instrText xml:space="preserve"> ADDIN ZOTERO_ITEM CSL_CITATION {"citationID":"Mgaw1RMv","properties":{"formattedCitation":"(National Institute for Health Care and Excellence, 2020a)","plainCitation":"(National Institute for Health Care and Excellence, 2020a)","noteIndex":0},"citationItems":[{"id":2202,"uris":["http://zotero.org/groups/4371185/items/28ZCQD4V"],"itemData":{"id":2202,"type":"document","publisher":"National Institute for Health and Care Excellence","title":"Indoor air quality at home: NICE guideline","author":[{"family":"National Institute for Health Care and Excellence","given":""}],"issued":{"literal":"2020a"}}}],"schema":"https://github.com/citation-style-language/schema/raw/master/csl-citation.json"} </w:instrText>
      </w:r>
      <w:r w:rsidR="009A4F65" w:rsidRPr="00D03260">
        <w:rPr>
          <w:rFonts w:eastAsiaTheme="minorHAnsi"/>
        </w:rPr>
        <w:fldChar w:fldCharType="separate"/>
      </w:r>
      <w:r w:rsidR="00707A99" w:rsidRPr="00D03260">
        <w:rPr>
          <w:rFonts w:eastAsiaTheme="minorHAnsi" w:cs="Arial"/>
        </w:rPr>
        <w:t>(National Institute for Health Care and Excellence, 2020a)</w:t>
      </w:r>
      <w:r w:rsidR="009A4F65" w:rsidRPr="00D03260">
        <w:rPr>
          <w:rFonts w:eastAsiaTheme="minorHAnsi"/>
        </w:rPr>
        <w:fldChar w:fldCharType="end"/>
      </w:r>
      <w:r w:rsidR="00ED5865" w:rsidRPr="00D03260">
        <w:rPr>
          <w:rFonts w:eastAsiaTheme="minorHAnsi"/>
        </w:rPr>
        <w:t xml:space="preserve">. The </w:t>
      </w:r>
      <w:r w:rsidRPr="00D03260">
        <w:rPr>
          <w:rFonts w:eastAsiaTheme="minorHAnsi"/>
        </w:rPr>
        <w:t>WHO advised that dampness and mould may be particularly prevalent in poorly maintained housing for low-income people. Furthermore, the prevalence of indoor damp in low-income communities can be substantially higher than the national average, as dampness is more likely to occur in houses that are overcrowded and lack appropriate heating, ventilation and insulation</w:t>
      </w:r>
      <w:r w:rsidR="00ED5865" w:rsidRPr="00D03260">
        <w:rPr>
          <w:rFonts w:eastAsiaTheme="minorHAnsi"/>
        </w:rPr>
        <w:t xml:space="preserve"> </w:t>
      </w:r>
      <w:r w:rsidR="00ED5865" w:rsidRPr="00D03260">
        <w:rPr>
          <w:rFonts w:eastAsiaTheme="minorHAnsi"/>
        </w:rPr>
        <w:fldChar w:fldCharType="begin"/>
      </w:r>
      <w:r w:rsidR="00217980" w:rsidRPr="00D03260">
        <w:rPr>
          <w:rFonts w:eastAsiaTheme="minorHAnsi"/>
        </w:rPr>
        <w:instrText xml:space="preserve"> ADDIN ZOTERO_ITEM CSL_CITATION {"citationID":"kAWgNxj9","properties":{"formattedCitation":"(Institute of Medicine 2004 in World Health Organization, 2009)","plainCitation":"(Institute of Medicine 2004 in 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Organization","given":""}],"contributor":[{"family":"Rosen","given":"J"}],"accessed":{"date-parts":[["2021",8,20]]},"issued":{"date-parts":[["2009"]]}},"label":"page","prefix":"Institute of Medicine 2004 in "}],"schema":"https://github.com/citation-style-language/schema/raw/master/csl-citation.json"} </w:instrText>
      </w:r>
      <w:r w:rsidR="00ED5865" w:rsidRPr="00D03260">
        <w:rPr>
          <w:rFonts w:eastAsiaTheme="minorHAnsi"/>
        </w:rPr>
        <w:fldChar w:fldCharType="separate"/>
      </w:r>
      <w:r w:rsidR="00ED5865" w:rsidRPr="00D03260">
        <w:rPr>
          <w:rFonts w:eastAsiaTheme="minorHAnsi" w:cs="Arial"/>
        </w:rPr>
        <w:t>(Institute of Medicine 2004 in World Health Organization, 2009)</w:t>
      </w:r>
      <w:r w:rsidR="00ED5865" w:rsidRPr="00D03260">
        <w:rPr>
          <w:rFonts w:eastAsiaTheme="minorHAnsi"/>
        </w:rPr>
        <w:fldChar w:fldCharType="end"/>
      </w:r>
      <w:r w:rsidR="00101E8D" w:rsidRPr="00D03260">
        <w:rPr>
          <w:rFonts w:eastAsiaTheme="minorHAnsi"/>
        </w:rPr>
        <w:t>.</w:t>
      </w:r>
    </w:p>
    <w:p w14:paraId="09BC34D2" w14:textId="11C2F011" w:rsidR="0051319F" w:rsidRPr="00D03260" w:rsidRDefault="0030712B" w:rsidP="00AF1EFC">
      <w:pPr>
        <w:pStyle w:val="NumberedHeading3"/>
        <w:numPr>
          <w:ilvl w:val="0"/>
          <w:numId w:val="0"/>
        </w:numPr>
        <w:ind w:left="1440" w:hanging="1440"/>
      </w:pPr>
      <w:bookmarkStart w:id="69" w:name="_Toc121329110"/>
      <w:bookmarkStart w:id="70" w:name="_Toc141885847"/>
      <w:r w:rsidRPr="00D03260">
        <w:t>1.</w:t>
      </w:r>
      <w:r w:rsidR="00A55139" w:rsidRPr="00D03260">
        <w:t>2</w:t>
      </w:r>
      <w:r w:rsidRPr="00D03260">
        <w:t>.5</w:t>
      </w:r>
      <w:r w:rsidR="00A346D3" w:rsidRPr="00D03260">
        <w:t>.</w:t>
      </w:r>
      <w:r w:rsidR="00A346D3" w:rsidRPr="00D03260">
        <w:tab/>
      </w:r>
      <w:bookmarkStart w:id="71" w:name="Sect125MechanismsToExplainVariousHealthE"/>
      <w:bookmarkEnd w:id="71"/>
      <w:r w:rsidR="0051319F" w:rsidRPr="00D03260">
        <w:t>Mechanisms to explain various health effects from exposure to indoor damp or mould are largely unknown</w:t>
      </w:r>
      <w:bookmarkEnd w:id="69"/>
      <w:bookmarkEnd w:id="70"/>
    </w:p>
    <w:p w14:paraId="14430FEB" w14:textId="62BF019C" w:rsidR="0051319F" w:rsidRPr="00D03260" w:rsidRDefault="0051319F" w:rsidP="0051319F">
      <w:r w:rsidRPr="00D03260">
        <w:t xml:space="preserve">The mechanisms by which non-infectious microbial exposures contribute to adverse health effects associated with indoor air dampness and mould are largely unknown </w:t>
      </w:r>
      <w:r w:rsidRPr="00D03260">
        <w:fldChar w:fldCharType="begin"/>
      </w:r>
      <w:r w:rsidR="00217980" w:rsidRPr="00D03260">
        <w:instrText xml:space="preserve"> ADDIN ZOTERO_ITEM CSL_CITATION {"citationID":"YvzBcLLK","properties":{"formattedCitation":"(World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002218D8" w:rsidRPr="00D03260">
        <w:t>.</w:t>
      </w:r>
      <w:r w:rsidRPr="00D03260">
        <w:t xml:space="preserve"> </w:t>
      </w:r>
      <w:r w:rsidR="002218D8" w:rsidRPr="00D03260">
        <w:t>I</w:t>
      </w:r>
      <w:r w:rsidRPr="00D03260">
        <w:t xml:space="preserve">t is difficult to determine conclusively the exact mechanism by which mould in the indoor environment contributes to health effects </w:t>
      </w:r>
      <w:r w:rsidRPr="00D03260">
        <w:fldChar w:fldCharType="begin"/>
      </w:r>
      <w:r w:rsidR="00217980" w:rsidRPr="00D03260">
        <w:instrText xml:space="preserve"> ADDIN ZOTERO_ITEM CSL_CITATION {"citationID":"AFU3J3xL","properties":{"formattedCitation":"(Palaty &amp; Shum, 2012)","plainCitation":"(Palaty &amp; Shum, 2012)","noteIndex":0},"citationItems":[{"id":2176,"uris":["http://zotero.org/groups/4371185/items/8UAC2VRS"],"itemData":{"id":2176,"type":"document","language":"English","publisher":"National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Environments","author":[{"family":"Palaty","given":"Chrystal"},{"family":"Shum","given":"Mona"}],"accessed":{"date-parts":[["2021",9,2]]},"issued":{"date-parts":[["2012",7]]}}}],"schema":"https://github.com/citation-style-language/schema/raw/master/csl-citation.json"} </w:instrText>
      </w:r>
      <w:r w:rsidRPr="00D03260">
        <w:fldChar w:fldCharType="separate"/>
      </w:r>
      <w:r w:rsidRPr="00D03260">
        <w:t>(Palaty &amp; Shum, 2012)</w:t>
      </w:r>
      <w:r w:rsidRPr="00D03260">
        <w:fldChar w:fldCharType="end"/>
      </w:r>
      <w:r w:rsidRPr="00D03260">
        <w:t xml:space="preserve">. No single mechanism or factor is able to explain the various health effects related to moisture damage and/or mould exposure </w:t>
      </w:r>
      <w:r w:rsidRPr="00D03260">
        <w:fldChar w:fldCharType="begin"/>
      </w:r>
      <w:r w:rsidR="00217980" w:rsidRPr="00D03260">
        <w:instrText xml:space="preserve"> ADDIN ZOTERO_ITEM CSL_CITATION {"citationID":"DVWNAt53","properties":{"formattedCitation":"(Mendell et al., 2011; Wiesm\\uc0\\u252{}ller et al., 2017; World Health Organization, 2009)","plainCitation":"(Mendell et al., 2011; Wiesmüller et al., 2017; World Health Organization, 2009)","noteIndex":0},"citationItems":[{"id":2232,"uris":["http://zotero.org/groups/4371185/items/KWLCRUWS"],"itemData":{"id":2232,"type":"article-journal","abstract":"OBJECTIVES: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(Mendell et al., 2011; Wiesmüller et al., 2017; World Health Organization, 2009)</w:t>
      </w:r>
      <w:r w:rsidRPr="00D03260">
        <w:fldChar w:fldCharType="end"/>
      </w:r>
      <w:r w:rsidRPr="00D03260">
        <w:t>.</w:t>
      </w:r>
    </w:p>
    <w:p w14:paraId="6BC6639D" w14:textId="06E12CFF" w:rsidR="00245469" w:rsidRPr="00D03260" w:rsidRDefault="0051319F" w:rsidP="0051319F">
      <w:r w:rsidRPr="00D03260">
        <w:lastRenderedPageBreak/>
        <w:t xml:space="preserve">Atopic and allergic individuals are particularly susceptible to biological and chemical agents in damp indoor environments </w:t>
      </w:r>
      <w:r w:rsidRPr="00D03260">
        <w:fldChar w:fldCharType="begin"/>
      </w:r>
      <w:r w:rsidR="00217980" w:rsidRPr="00D03260">
        <w:instrText xml:space="preserve"> ADDIN ZOTERO_ITEM CSL_CITATION {"citationID":"0UVn2t60","properties":{"formattedCitation":"(World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 A</w:t>
      </w:r>
      <w:r w:rsidRPr="00D03260">
        <w:rPr>
          <w:rStyle w:val="BodyTextChar"/>
        </w:rPr>
        <w:t>s both atopic and non</w:t>
      </w:r>
      <w:r w:rsidR="003709AE" w:rsidRPr="00D03260">
        <w:rPr>
          <w:rStyle w:val="BodyTextChar"/>
        </w:rPr>
        <w:t>-</w:t>
      </w:r>
      <w:r w:rsidRPr="00D03260">
        <w:rPr>
          <w:rStyle w:val="BodyTextChar"/>
        </w:rPr>
        <w:t>atopic individuals are susceptible to adverse effects of dampness or mould</w:t>
      </w:r>
      <w:r w:rsidRPr="00D03260">
        <w:t xml:space="preserve"> </w:t>
      </w:r>
      <w:r w:rsidRPr="00D03260">
        <w:fldChar w:fldCharType="begin"/>
      </w:r>
      <w:r w:rsidR="00217980" w:rsidRPr="00D03260">
        <w:instrText xml:space="preserve"> ADDIN ZOTERO_ITEM CSL_CITATION {"citationID":"xUqDSIrV","properties":{"formattedCitation":"(Mendell et al., 2011; Wiesm\\uc0\\u252{}ller et al., 2017; World Health Organization, 2009)","plainCitation":"(Mendell et al., 2011; Wiesmüller et al., 2017; World Health Organization, 2009)","noteIndex":0},"citationItems":[{"id":2232,"uris":["http://zotero.org/groups/4371185/items/KWLCRUWS"],"itemData":{"id":2232,"type":"article-journal","abstract":"OBJECTIVES: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(Mendell et al., 2011; Wiesmüller et al., 2017; World Health Organization, 2009)</w:t>
      </w:r>
      <w:r w:rsidRPr="00D03260">
        <w:fldChar w:fldCharType="end"/>
      </w:r>
      <w:r w:rsidRPr="00D03260">
        <w:t>, t</w:t>
      </w:r>
      <w:r w:rsidRPr="00D03260">
        <w:rPr>
          <w:rStyle w:val="BodyTextChar"/>
        </w:rPr>
        <w:t xml:space="preserve">he epidemiologic evidence suggests </w:t>
      </w:r>
      <w:r w:rsidRPr="00D03260">
        <w:t>involvement of both allergological (allergic) and non-</w:t>
      </w:r>
      <w:r w:rsidR="007632B1" w:rsidRPr="00D03260">
        <w:t>immunoglobulin E (</w:t>
      </w:r>
      <w:r w:rsidRPr="00D03260">
        <w:t>IgE</w:t>
      </w:r>
      <w:r w:rsidR="007632B1" w:rsidRPr="00D03260">
        <w:t>)</w:t>
      </w:r>
      <w:r w:rsidRPr="00D03260">
        <w:t xml:space="preserve"> mediated immunological (non</w:t>
      </w:r>
      <w:r w:rsidR="009C3EDF" w:rsidRPr="00D03260">
        <w:t>-</w:t>
      </w:r>
      <w:r w:rsidRPr="00D03260">
        <w:t xml:space="preserve">allergic) mechanisms </w:t>
      </w:r>
      <w:r w:rsidRPr="00D03260">
        <w:fldChar w:fldCharType="begin"/>
      </w:r>
      <w:r w:rsidR="00217980" w:rsidRPr="00D03260">
        <w:instrText xml:space="preserve"> ADDIN ZOTERO_ITEM CSL_CITATION {"citationID":"kK5AV45u","properties":{"formattedCitation":"(Mendell et al., 2011; Wiesm\\uc0\\u252{}ller et al., 2017)","plainCitation":"(Mendell et al., 2011; Wiesmüller et al., 2017)","noteIndex":0},"citationItems":[{"id":2232,"uris":["http://zotero.org/groups/4371185/items/KWLCRUWS"],"itemData":{"id":2232,"type":"article-journal","abstract":"OBJECTIVES: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(Mendell et al., 2011; Wiesmüller et al., 2017)</w:t>
      </w:r>
      <w:r w:rsidRPr="00D03260">
        <w:fldChar w:fldCharType="end"/>
      </w:r>
      <w:r w:rsidRPr="00D03260">
        <w:t xml:space="preserve">, and toxic, immunomodulatory mechanisms </w:t>
      </w:r>
      <w:r w:rsidRPr="00D03260">
        <w:fldChar w:fldCharType="begin"/>
      </w:r>
      <w:r w:rsidR="00217980" w:rsidRPr="00D03260">
        <w:instrText xml:space="preserve"> ADDIN ZOTERO_ITEM CSL_CITATION {"citationID":"PU9tjlxN","properties":{"formattedCitation":"(Wiesm\\uc0\\u252{}ller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34E8758C" w14:textId="65562C95" w:rsidR="0051319F" w:rsidRPr="00D03260" w:rsidRDefault="0051319F" w:rsidP="0051319F">
      <w:r w:rsidRPr="00D03260">
        <w:t xml:space="preserve">The mechanisms of adverse health effects from fungal exposure were described by Larenas-Linnemann et al. in </w:t>
      </w:r>
      <w:r w:rsidR="002218D8" w:rsidRPr="00D03260">
        <w:t xml:space="preserve">a </w:t>
      </w:r>
      <w:r w:rsidRPr="00D03260">
        <w:t>CME accredited clinical commentary review as follows:</w:t>
      </w:r>
    </w:p>
    <w:p w14:paraId="54F24AE8" w14:textId="77777777" w:rsidR="0051319F" w:rsidRPr="00D03260" w:rsidRDefault="0051319F" w:rsidP="0051319F">
      <w:pPr>
        <w:pStyle w:val="ListBullet"/>
      </w:pPr>
      <w:r w:rsidRPr="00D03260">
        <w:t>the patient could be allergic to the fungus</w:t>
      </w:r>
    </w:p>
    <w:p w14:paraId="6E309852" w14:textId="77777777" w:rsidR="0051319F" w:rsidRPr="00D03260" w:rsidRDefault="0051319F" w:rsidP="0051319F">
      <w:pPr>
        <w:pStyle w:val="ListBullet"/>
      </w:pPr>
      <w:r w:rsidRPr="00D03260">
        <w:t>the patient could be experiencing an irritant effect from exposure</w:t>
      </w:r>
    </w:p>
    <w:p w14:paraId="59506D29" w14:textId="77777777" w:rsidR="0051319F" w:rsidRPr="00D03260" w:rsidRDefault="0051319F" w:rsidP="0051319F">
      <w:pPr>
        <w:pStyle w:val="ListBullet"/>
      </w:pPr>
      <w:r w:rsidRPr="00D03260">
        <w:t>the patient could be infected by the fungus</w:t>
      </w:r>
    </w:p>
    <w:p w14:paraId="7D78A2F8" w14:textId="20BB36B1" w:rsidR="0051319F" w:rsidRPr="00D03260" w:rsidRDefault="0051319F" w:rsidP="0051319F">
      <w:pPr>
        <w:pStyle w:val="ListBullet"/>
      </w:pPr>
      <w:r w:rsidRPr="00D03260">
        <w:t>the patient could be allergic to other allergens, and co</w:t>
      </w:r>
      <w:r w:rsidR="00F23530" w:rsidRPr="00D03260">
        <w:t>-</w:t>
      </w:r>
      <w:r w:rsidRPr="00D03260">
        <w:t>exposure to fungi acts as an adjuvant stimulating a Th2 response via non</w:t>
      </w:r>
      <w:r w:rsidR="00F23530" w:rsidRPr="00D03260">
        <w:t>-</w:t>
      </w:r>
      <w:r w:rsidRPr="00D03260">
        <w:t>specific routes of the innate immune system</w:t>
      </w:r>
    </w:p>
    <w:p w14:paraId="4996B724" w14:textId="442BDE13" w:rsidR="0051319F" w:rsidRPr="00D03260" w:rsidRDefault="0051319F" w:rsidP="00AF542F">
      <w:pPr>
        <w:pStyle w:val="ListBullet"/>
      </w:pPr>
      <w:r w:rsidRPr="00D03260">
        <w:t xml:space="preserve">there could be other mechanisms that are unknown </w:t>
      </w:r>
      <w:r w:rsidRPr="00D03260">
        <w:fldChar w:fldCharType="begin"/>
      </w:r>
      <w:r w:rsidR="00217980" w:rsidRPr="00D03260">
        <w:instrText xml:space="preserve"> ADDIN ZOTERO_ITEM CSL_CITATION {"citationID":"6ArZRnfI","properties":{"formattedCitation":"(Larenas-Linnemann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Pr="00D03260">
        <w:fldChar w:fldCharType="separate"/>
      </w:r>
      <w:r w:rsidRPr="00D03260">
        <w:t>(Larenas-Linnemann et al., 2016)</w:t>
      </w:r>
      <w:r w:rsidRPr="00D03260">
        <w:fldChar w:fldCharType="end"/>
      </w:r>
      <w:r w:rsidRPr="00D03260">
        <w:t>.</w:t>
      </w:r>
    </w:p>
    <w:p w14:paraId="600F8715" w14:textId="6C00A496" w:rsidR="0051319F" w:rsidRPr="00D03260" w:rsidRDefault="0030712B" w:rsidP="00AF1EFC">
      <w:pPr>
        <w:pStyle w:val="NumberedHeading3"/>
        <w:numPr>
          <w:ilvl w:val="0"/>
          <w:numId w:val="0"/>
        </w:numPr>
        <w:ind w:left="1440" w:hanging="1440"/>
      </w:pPr>
      <w:bookmarkStart w:id="72" w:name="_Toc121329111"/>
      <w:bookmarkStart w:id="73" w:name="_Toc141885848"/>
      <w:r w:rsidRPr="00D03260">
        <w:t>1.</w:t>
      </w:r>
      <w:r w:rsidR="00A55139" w:rsidRPr="00D03260">
        <w:t>2</w:t>
      </w:r>
      <w:r w:rsidRPr="00D03260">
        <w:t>.6.</w:t>
      </w:r>
      <w:r w:rsidRPr="00D03260">
        <w:tab/>
      </w:r>
      <w:bookmarkStart w:id="74" w:name="Sect126LimitationsAndIssuesAboutTheHuman"/>
      <w:bookmarkEnd w:id="74"/>
      <w:r w:rsidR="0051319F" w:rsidRPr="00D03260">
        <w:t>Limitations and issues about the human evidence base highlighted in key international guidelines, reports, and reviews</w:t>
      </w:r>
      <w:bookmarkEnd w:id="72"/>
      <w:bookmarkEnd w:id="73"/>
    </w:p>
    <w:p w14:paraId="4EBE10B0" w14:textId="77777777" w:rsidR="0051319F" w:rsidRPr="00D03260" w:rsidRDefault="0051319F" w:rsidP="0051319F">
      <w:r w:rsidRPr="00D03260">
        <w:t>The key (inter)national authority and medical professional body reports, guidelines, evidence reviews, along with systematic reviews and literature reviews that informed this evidence-based Clinical Pathway raised many issues with the evidence base on exposure to indoor damp and mould and human health effects. The main themes identified throughout the body of literature evaluated are listed below:</w:t>
      </w:r>
    </w:p>
    <w:p w14:paraId="6C930487" w14:textId="77777777" w:rsidR="0051319F" w:rsidRPr="00D03260" w:rsidRDefault="0051319F" w:rsidP="0051319F">
      <w:pPr>
        <w:pStyle w:val="ListBullet"/>
      </w:pPr>
      <w:r w:rsidRPr="00D03260">
        <w:t>Study designs make it difficult to establish causality between exposure to indoor damp or mould and health effects.</w:t>
      </w:r>
    </w:p>
    <w:p w14:paraId="5F21B204" w14:textId="77777777" w:rsidR="0051319F" w:rsidRPr="00D03260" w:rsidRDefault="0051319F" w:rsidP="0051319F">
      <w:pPr>
        <w:pStyle w:val="ListBullet"/>
      </w:pPr>
      <w:r w:rsidRPr="00D03260">
        <w:t xml:space="preserve">Measuring mould and dampness is problematic with </w:t>
      </w:r>
      <w:proofErr w:type="gramStart"/>
      <w:r w:rsidRPr="00D03260">
        <w:t>the vast majority of</w:t>
      </w:r>
      <w:proofErr w:type="gramEnd"/>
      <w:r w:rsidRPr="00D03260">
        <w:t xml:space="preserve"> epidemiological studies reporting qualitative exposure to mould with very limited data on quantitative exposure to mould.</w:t>
      </w:r>
    </w:p>
    <w:p w14:paraId="2AB730C6" w14:textId="2543109D" w:rsidR="0051319F" w:rsidRPr="00D03260" w:rsidRDefault="0051319F" w:rsidP="0051319F">
      <w:pPr>
        <w:pStyle w:val="ListBullet"/>
      </w:pPr>
      <w:r w:rsidRPr="00D03260">
        <w:t>Response to exposure to mould varies between individuals and is influenced by personal susceptibility: age, health status, immune status, concurrent exposures, previous sensitisations, socioeconomic status, and genetic factors.</w:t>
      </w:r>
    </w:p>
    <w:p w14:paraId="50D6F64B" w14:textId="77777777" w:rsidR="0051319F" w:rsidRPr="00D03260" w:rsidRDefault="0051319F" w:rsidP="0051319F">
      <w:pPr>
        <w:pStyle w:val="ListBullet"/>
      </w:pPr>
      <w:r w:rsidRPr="00D03260">
        <w:t>The complex microbiome that exists in water damaged buildings (WDB) or damp indoor environments inhabited by humans, makes it virtually impossible to attribute causality to one organism, including mould/fungi.</w:t>
      </w:r>
    </w:p>
    <w:p w14:paraId="15F6A197" w14:textId="5FFD2973" w:rsidR="007C0062" w:rsidRPr="00D03260" w:rsidRDefault="0051319F">
      <w:pPr>
        <w:pStyle w:val="ListBullet"/>
      </w:pPr>
      <w:bookmarkStart w:id="75" w:name="_Hlk126847075"/>
      <w:r w:rsidRPr="00D03260">
        <w:t xml:space="preserve">No dose-response relationship has yet been established. </w:t>
      </w:r>
      <w:r w:rsidR="00DC3FD5" w:rsidRPr="00D03260">
        <w:t>F</w:t>
      </w:r>
      <w:r w:rsidRPr="00D03260">
        <w:t xml:space="preserve">urther focused research </w:t>
      </w:r>
      <w:r w:rsidR="00DC3FD5" w:rsidRPr="00D03260">
        <w:t xml:space="preserve">(including studies that can characterise dose–response relationship) </w:t>
      </w:r>
      <w:r w:rsidR="000D460E" w:rsidRPr="00D03260">
        <w:t xml:space="preserve">is </w:t>
      </w:r>
      <w:r w:rsidR="00DC3FD5" w:rsidRPr="00D03260">
        <w:t xml:space="preserve">required </w:t>
      </w:r>
      <w:r w:rsidRPr="00D03260">
        <w:t>to determine safe levels and identify age-or dose-related protective effects</w:t>
      </w:r>
      <w:bookmarkEnd w:id="75"/>
      <w:r w:rsidRPr="00D03260">
        <w:t>.</w:t>
      </w:r>
      <w:r w:rsidR="007C0062" w:rsidRPr="00D03260">
        <w:br w:type="page"/>
      </w:r>
    </w:p>
    <w:p w14:paraId="39C4DDFB" w14:textId="167DD7AD" w:rsidR="00967923" w:rsidRPr="00D03260" w:rsidRDefault="00B83D02" w:rsidP="00A43D7F">
      <w:pPr>
        <w:pStyle w:val="NumberedHeading2"/>
        <w:numPr>
          <w:ilvl w:val="0"/>
          <w:numId w:val="0"/>
        </w:numPr>
        <w:ind w:left="720" w:hanging="720"/>
      </w:pPr>
      <w:bookmarkStart w:id="76" w:name="Section13CIRS"/>
      <w:bookmarkStart w:id="77" w:name="_Toc114565096"/>
      <w:bookmarkStart w:id="78" w:name="_Toc121329112"/>
      <w:bookmarkStart w:id="79" w:name="_Toc141885849"/>
      <w:bookmarkEnd w:id="76"/>
      <w:bookmarkEnd w:id="77"/>
      <w:r w:rsidRPr="00D03260">
        <w:lastRenderedPageBreak/>
        <w:t>1.</w:t>
      </w:r>
      <w:r w:rsidR="007D6334" w:rsidRPr="00D03260">
        <w:t>3</w:t>
      </w:r>
      <w:r w:rsidRPr="00D03260">
        <w:t>.</w:t>
      </w:r>
      <w:r w:rsidRPr="00D03260">
        <w:tab/>
      </w:r>
      <w:r w:rsidR="00967923" w:rsidRPr="00D03260">
        <w:t xml:space="preserve">Consideration of health effects from exposure to indoor damp and mould in the differential diagnosis, and management of patients with persistent symptoms or who remain undiagnosed, including management of patients with </w:t>
      </w:r>
      <w:r w:rsidR="001918A2" w:rsidRPr="00D03260">
        <w:t>MUS</w:t>
      </w:r>
      <w:bookmarkEnd w:id="78"/>
      <w:bookmarkEnd w:id="79"/>
    </w:p>
    <w:p w14:paraId="3CF5DAC9" w14:textId="6B5AAED6" w:rsidR="007427E3" w:rsidRPr="00D03260" w:rsidRDefault="00257C59" w:rsidP="00967923">
      <w:r w:rsidRPr="00D03260">
        <w:t xml:space="preserve">Acknowledging the House of Representatives Inquiry was focused on biotoxin-related illnesses from exposure to indoor damp and mould, this Clinical Pathway includes the consideration of differential diagnoses </w:t>
      </w:r>
      <w:r w:rsidR="00AF16CD" w:rsidRPr="00D03260">
        <w:t xml:space="preserve">or symptoms </w:t>
      </w:r>
      <w:r w:rsidRPr="00D03260">
        <w:t>based on currently established levels of association, (from epidemiological or clinical evidence), with indoor damp and mould.</w:t>
      </w:r>
    </w:p>
    <w:p w14:paraId="40757FD8" w14:textId="1CA33FED" w:rsidR="009A3698" w:rsidRPr="00D03260" w:rsidRDefault="00B83D02" w:rsidP="00AF1EFC">
      <w:pPr>
        <w:pStyle w:val="NumberedHeading3"/>
        <w:numPr>
          <w:ilvl w:val="0"/>
          <w:numId w:val="0"/>
        </w:numPr>
        <w:ind w:left="1440" w:hanging="1440"/>
      </w:pPr>
      <w:bookmarkStart w:id="80" w:name="_Toc121329113"/>
      <w:bookmarkStart w:id="81" w:name="_Toc141885850"/>
      <w:r w:rsidRPr="00D03260">
        <w:t>1.</w:t>
      </w:r>
      <w:r w:rsidR="007D6334" w:rsidRPr="00D03260">
        <w:t>3</w:t>
      </w:r>
      <w:r w:rsidRPr="00D03260">
        <w:t>.1.</w:t>
      </w:r>
      <w:r w:rsidRPr="00D03260">
        <w:tab/>
      </w:r>
      <w:bookmarkStart w:id="82" w:name="Sect131DifferentialDiagnosesOrSymptomsFo"/>
      <w:bookmarkEnd w:id="82"/>
      <w:r w:rsidR="007C1CD3" w:rsidRPr="00D03260">
        <w:t xml:space="preserve">Differential diagnoses </w:t>
      </w:r>
      <w:r w:rsidR="00762124" w:rsidRPr="00D03260">
        <w:t xml:space="preserve">or symptoms </w:t>
      </w:r>
      <w:r w:rsidR="007C1CD3" w:rsidRPr="00D03260">
        <w:t>for which there is sufficient evidence of an association with exposure to indoor damp or mould include several respiratory and allergic health effects, and HP, mycoses, and allergic effects in susceptible people</w:t>
      </w:r>
      <w:bookmarkEnd w:id="80"/>
      <w:bookmarkEnd w:id="81"/>
    </w:p>
    <w:p w14:paraId="04816FD7" w14:textId="306C3902" w:rsidR="009A3698" w:rsidRPr="00D03260" w:rsidRDefault="009A3698" w:rsidP="009A3698">
      <w:pPr>
        <w:rPr>
          <w:szCs w:val="22"/>
        </w:rPr>
      </w:pPr>
      <w:r w:rsidRPr="00D03260">
        <w:t xml:space="preserve">There was strong consensus in the international literature </w:t>
      </w:r>
      <w:r w:rsidR="005C3517" w:rsidRPr="00D03260">
        <w:t xml:space="preserve">and epidemiological evidence </w:t>
      </w:r>
      <w:r w:rsidRPr="00D03260">
        <w:t>underpin</w:t>
      </w:r>
      <w:r w:rsidR="00860A3B" w:rsidRPr="00D03260">
        <w:t>ning</w:t>
      </w:r>
      <w:r w:rsidRPr="00D03260">
        <w:t xml:space="preserve"> this Clinical Pathway that  exposure to indoor damp or mould </w:t>
      </w:r>
      <w:r w:rsidR="004F4D26" w:rsidRPr="00D03260">
        <w:t>is</w:t>
      </w:r>
      <w:r w:rsidRPr="00D03260">
        <w:t xml:space="preserve"> positively associated </w:t>
      </w:r>
      <w:r w:rsidR="007A542A" w:rsidRPr="00D03260">
        <w:t xml:space="preserve">(i.e. linked but not a direct cause and effect relationship) </w:t>
      </w:r>
      <w:r w:rsidRPr="00D03260">
        <w:t xml:space="preserve">with several respiratory or allergic health effects </w:t>
      </w:r>
      <w:r w:rsidRPr="00D03260">
        <w:fldChar w:fldCharType="begin"/>
      </w:r>
      <w:r w:rsidR="00217980" w:rsidRPr="00D03260">
        <w:instrText xml:space="preserve"> ADDIN ZOTERO_ITEM CSL_CITATION {"citationID":"KLURG216","properties":{"formattedCitation":"(American Industrial Hygiene Association Indoor Environment Quality Committee, 2020; Baxi et al., 2016; Cheong, 2013; Hurra\\uc0\\u223{} et al., 2017; Mendell et al., 2011; Palaty &amp; Shum, 2012; Park &amp; Cox-Ganser, 2011; Wiesm\\uc0\\u252{}ller et al., 2017; World Health Organization, 2009)","plainCitation":"(American Industrial Hygiene Association Indoor Environment Quality Committee, 2020; Baxi et al., 2016; Cheong, 2013; Hurraß et al., 2017; Mendell et al., 2011; Palaty &amp; Shum, 2012; Park &amp; Cox-Ganser, 2011; Wiesmüller et al., 2017; World Health Organization, 2009)","noteIndex":0},"citationItems":[{"id":2174,"uris":["http://zotero.org/groups/4371185/items/D8SE85GU"],"itemData":{"id":2174,"type":"document","publisher":"American Industrial Hygiene Association","title":"Facts About Mold: An AIHA Perspective for IEQ Investigators, Physicians, and Engineers","author":[{"family":"American Industrial Hygiene Association Indoor Environment Quality Committee","given":""}],"issued":{"date-parts":[["2020",7,8]]}}},{"id":2141,"uris":["http://zotero.org/groups/4371185/items/7BUH6L84"],"itemData":{"id":2141,"type":"article-journal","abstract":"Fungi are ubiquitous microorganisms that are present in outdoor and indoor environments. Previous research has found relationships between environmental fungal  exposures and human health effects. We reviewed recent articles focused on fungal  exposure and dampness as risk factors for respiratory disease development, symptoms,  and hypersensitivity. In particular, we reviewed the evidence suggesting that early  exposure to dampness or fungi is associated with the development of asthma and  increased asthma morbidity. Although outdoor exposure to high concentrations of  spores can cause health effects such as asthma attacks in association with  thunderstorms, most people appear to be relatively unaffected unless they are  sensitized to specific genera. Indoor exposure and dampness, however, appears to be  associated with an increased risk of developing asthma in young children and asthma  morbidity in individuals who have asthma. These are important issues because they  provide a rationale for interventions that might be considered for homes and  buildings in which there is increased fungal exposure. In addition to rhinitis and  asthma, fungus exposure is associated with a number of other illnesses including  allergic bronchopulmonary mycoses, allergic fungal sinusitis, and hypersensitivity  pneumonitis. Additional research is necessary to establish causality and evaluate  interventions for fungal- and dampness-related health effects.","container-title":"Journal of Allergy and Clinical Immunology: In Practice","DOI":"10.1016/j.jaip.2016.01.008","ISSN":"2213-2201 2213-2198","issue":"3","license":"Copyright © 2016 American Academy of Allergy, Asthma &amp; Immunology. Published by Elsevier Inc. All rights reserved.","note":"PMID: 26947460 \nPMCID: PMC4861659","page":"396-404","title":"Exposure and health effects of fungi on humans","volume":"4","author":[{"family":"Baxi","given":"Sachin N."},{"family":"Portnoy","given":"Jay M."},{"family":"Larenas-Linnemann","given":"Désirée"},{"family":"Phipatanakul","given":"Wanda"}],"issued":{"date-parts":[["2016"]]}}},{"id":2207,"uris":["http://zotero.org/groups/4371185/items/VWEZ7AUE"],"itemData":{"id":2207,"type":"article-journal","abstract":"Extensive research studies have documented a strong association between exposure to dampness and amplified growth of mould and mycotoxins (including ochratoxin, aflatoxin and trichothecene) in water damaged and damp indoor environments and the incidence of respiratory symptoms, asthma, hypersensitivity pneumonitis, rhino-sinusitis, bronchitis and respiratory infections. Living in a water damaged and mouldy property is linked with poor physical health outcomes and the continual cycle of illness could eventually lead to anxiety and depression. This paper reviews the many position statements, alerts, advisory notes, guidelines and white paper documents of various cognizant international health authorities and available current scientific research on the health effects, assessment, prevention and remediation of indoor mould and water damage in the built environment.","container-title":"Australasian College of Nutritional &amp; Environmental Medicine Journal","ISSN":"1328-8040","issue":"3","journalAbbreviation":"Australasian College of Nutritional &amp; Environmental Medicine Journal","note":"publisher: Copyright Agency Limited","page":"10-16","source":"EBSCOhost","title":"Literature review of current research on health effects and accepted guidelines for the management of indoor mould and water damage in the built environment","volume":"32","author":[{"family":"Cheong","given":"Cedric D."}],"issued":{"date-parts":[["2013",12]]}}},{"id":2217,"uris":["http://zotero.org/groups/4371185/items/542KM3BH"],"itemData":{"id":2217,"type":"article-journal","abstract":"In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2055,"uris":["http://zotero.org/groups/4371185/items/VIU9CSHP"],"itemData":{"id":2055,"type":"article-journal","abstract":"Almost all modern buildings experience at least minor, and sometimes serious, water damage during their life span. Excess moisture in buildings becomes a critical  factor for mold (fungal) proliferation in nutrient-rich environments. As a result,  building occupants may be exposed to increased levels of microbial agents such as  fungal spores, cell fragments, cell wall components, or toxins. Such exposures may  result in various diseases and symptoms, both respiratory and non-respiratory.  Respiratory health complaints are common in damp buildings and have been more  thoroughly studied than non-respiratory complaints. Respiratory diseases and  symptoms which may be produced by exposure to indoor fungi include asthma  development, exacerbation of asthma, hypersensitivity pneumonitis, cough, wheeze,  dyspnea (shortness of breath), nasal and throat symptoms, and respiratory  infections. In addition to these illnesses, rhinosinusitis and sarcoidosis in  water-damaged building occupants are also drawing more scientific attention. In this  article, we explore the evidence for adverse effects of fungal exposure on  respiratory health in damp indoor environments and potential disease mechanisms  related to the exposure.","container-title":"Frontiers in bioscience (Elite edition)","DOI":"10.2741/e284","ISSN":"1945-0508 1945-0494","journalAbbreviation":"Front Biosci (Elite Ed)","language":"eng","note":"publisher-place: Singapore\nPMID: 21196349","page":"757-771","title":"Mold exposure and respiratory health in damp indoor environments.","volume":"3","author":[{"family":"Park","given":"Ju-Hyeong"},{"family":"Cox-Ganser","given":"Jean M."}],"issued":{"date-parts":[["2011",1,1]]}}},{"id":2051,"uris":["http://zotero.org/groups/4371185/items/QZ4VYG6U"],"itemData":{"id":2051,"type":"article-journal","container-title":"Allergo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(American Industrial Hygiene Association Indoor Environment Quality Committee, 2020; Baxi et al., 2016; Cheong, 2013; Hurraß et al., 2017; Mendell et al., 2011; Palaty &amp; Shum, 2012; Park &amp; Cox-Ganser, 2011; Wiesmüller et al., 2017; World Health Organization, 2009)</w:t>
      </w:r>
      <w:r w:rsidRPr="00D03260">
        <w:fldChar w:fldCharType="end"/>
      </w:r>
      <w:r w:rsidRPr="00D03260">
        <w:t>. These health effects include asthma (development</w:t>
      </w:r>
      <w:r w:rsidR="00860A3B" w:rsidRPr="00D03260">
        <w:t xml:space="preserve"> and </w:t>
      </w:r>
      <w:r w:rsidRPr="00D03260">
        <w:t xml:space="preserve">exacerbation), respiratory infections, rhinitis, wheeze, cough, dyspnoea, bronchitis, </w:t>
      </w:r>
      <w:r w:rsidRPr="00D03260">
        <w:rPr>
          <w:szCs w:val="22"/>
        </w:rPr>
        <w:t xml:space="preserve">upper respiratory tract symptoms, eczema, and </w:t>
      </w:r>
      <w:r w:rsidR="00A45089" w:rsidRPr="00D03260">
        <w:rPr>
          <w:szCs w:val="22"/>
        </w:rPr>
        <w:t>HP</w:t>
      </w:r>
      <w:r w:rsidRPr="00D03260">
        <w:rPr>
          <w:szCs w:val="22"/>
        </w:rPr>
        <w:t xml:space="preserve">, </w:t>
      </w:r>
      <w:proofErr w:type="gramStart"/>
      <w:r w:rsidRPr="00D03260">
        <w:rPr>
          <w:szCs w:val="22"/>
        </w:rPr>
        <w:t>mycoses</w:t>
      </w:r>
      <w:proofErr w:type="gramEnd"/>
      <w:r w:rsidRPr="00D03260">
        <w:rPr>
          <w:szCs w:val="22"/>
        </w:rPr>
        <w:t xml:space="preserve"> and allergic effects in susceptible people.</w:t>
      </w:r>
      <w:r w:rsidR="008020B6" w:rsidRPr="00D03260">
        <w:rPr>
          <w:szCs w:val="22"/>
        </w:rPr>
        <w:t xml:space="preserve"> </w:t>
      </w:r>
    </w:p>
    <w:p w14:paraId="3796EBDA" w14:textId="0D7865A5" w:rsidR="00812334" w:rsidRPr="00D03260" w:rsidRDefault="00AE0FC0" w:rsidP="00A444A1">
      <w:r w:rsidRPr="00D03260">
        <w:t xml:space="preserve">The WHO concluded in their 2009 guideline that there was sufficient epidemiological evidence of associations between exposure to indoor dampness or mould and asthma (development, current and exacerbation), respiratory infections (except otitis media), upper respiratory symptoms, cough, </w:t>
      </w:r>
      <w:proofErr w:type="gramStart"/>
      <w:r w:rsidRPr="00D03260">
        <w:t>wheeze</w:t>
      </w:r>
      <w:proofErr w:type="gramEnd"/>
      <w:r w:rsidRPr="00D03260">
        <w:t xml:space="preserve"> and dyspnoea. </w:t>
      </w:r>
      <w:r w:rsidR="00A444A1" w:rsidRPr="00D03260">
        <w:t xml:space="preserve">Indoor dampness also appeared to be associated with bronchitis and allergic rhinitis, but the evidence is either mixed (allergic rhinitis) or based on relatively few studies (bronchitis). </w:t>
      </w:r>
    </w:p>
    <w:p w14:paraId="066302B5" w14:textId="778716A0" w:rsidR="00A444A1" w:rsidRPr="00D03260" w:rsidRDefault="00A444A1" w:rsidP="00A444A1">
      <w:r w:rsidRPr="00D03260">
        <w:t xml:space="preserve">A review by Mendell et al. on respiratory and allergic health effects of dampness mould and dampness related agents for the </w:t>
      </w:r>
      <w:r w:rsidR="001C754E" w:rsidRPr="00D03260">
        <w:t xml:space="preserve">US IOM </w:t>
      </w:r>
      <w:r w:rsidRPr="00D03260">
        <w:t xml:space="preserve">published in 2011 and the </w:t>
      </w:r>
      <w:proofErr w:type="gramStart"/>
      <w:r w:rsidRPr="00D03260">
        <w:t>aforementioned 2017</w:t>
      </w:r>
      <w:proofErr w:type="gramEnd"/>
      <w:r w:rsidRPr="00D03260">
        <w:t xml:space="preserve"> abridged AWMF guideline from Germany continued to confirm the conclusions of the WHO. Both the 2009 WHO guideline, and the 2011 Mendell et al. review were widely cited throughout the literature that informs this Clinical Pathway.</w:t>
      </w:r>
    </w:p>
    <w:p w14:paraId="1F6B872A" w14:textId="7230D522" w:rsidR="00A444A1" w:rsidRPr="00D03260" w:rsidRDefault="00A444A1" w:rsidP="00A444A1">
      <w:r w:rsidRPr="00D03260">
        <w:t xml:space="preserve">The body of evidence </w:t>
      </w:r>
      <w:r w:rsidR="007A542A" w:rsidRPr="00D03260">
        <w:t xml:space="preserve">(ranging </w:t>
      </w:r>
      <w:r w:rsidRPr="00D03260">
        <w:t xml:space="preserve">from international guidelines, </w:t>
      </w:r>
      <w:r w:rsidR="007A542A" w:rsidRPr="00D03260">
        <w:t xml:space="preserve">advice from </w:t>
      </w:r>
      <w:r w:rsidRPr="00D03260">
        <w:t>international authorities and medical professional bodies, systematic reviews, reviews, and studies</w:t>
      </w:r>
      <w:r w:rsidR="007A542A" w:rsidRPr="00D03260">
        <w:t>)</w:t>
      </w:r>
      <w:r w:rsidRPr="00D03260">
        <w:t xml:space="preserve"> acknowledges that exposure to indoor dampness and mould is associated with asthma, </w:t>
      </w:r>
      <w:r w:rsidRPr="00D03260">
        <w:lastRenderedPageBreak/>
        <w:t xml:space="preserve">particularly in children. </w:t>
      </w:r>
      <w:r w:rsidR="00D03260" w:rsidRPr="00D03260">
        <w:t>However, associations</w:t>
      </w:r>
      <w:r w:rsidRPr="00D03260">
        <w:t xml:space="preserve"> shown between indoor dampness and mould and a variety of respiratory and allergic health effects, including asthma, have been limited to observation-based, qualitative indicators of damp or mould</w:t>
      </w:r>
      <w:r w:rsidR="00364EB0" w:rsidRPr="00D03260">
        <w:t xml:space="preserve">. These </w:t>
      </w:r>
      <w:r w:rsidR="007A542A" w:rsidRPr="00D03260">
        <w:t xml:space="preserve">indicators </w:t>
      </w:r>
      <w:r w:rsidR="00364EB0" w:rsidRPr="00D03260">
        <w:t>include</w:t>
      </w:r>
      <w:r w:rsidRPr="00D03260">
        <w:t xml:space="preserve"> visible mould, mouldy or musty odour, water-damaged materials or (observed) moisture of materials. Additionally, an update of the 2000 review </w:t>
      </w:r>
      <w:r w:rsidR="00BE761E" w:rsidRPr="00D03260">
        <w:t>by</w:t>
      </w:r>
      <w:r w:rsidRPr="00D03260">
        <w:t xml:space="preserve"> the </w:t>
      </w:r>
      <w:r w:rsidR="00BE761E" w:rsidRPr="00D03260">
        <w:t xml:space="preserve">US </w:t>
      </w:r>
      <w:r w:rsidRPr="00D03260">
        <w:t>I</w:t>
      </w:r>
      <w:r w:rsidR="00C91CF2" w:rsidRPr="00D03260">
        <w:t>O</w:t>
      </w:r>
      <w:r w:rsidRPr="00D03260">
        <w:t xml:space="preserve">M on indoor environmental exposures and exacerbation of asthma </w:t>
      </w:r>
      <w:r w:rsidR="00C15610" w:rsidRPr="00D03260">
        <w:t>advised</w:t>
      </w:r>
      <w:r w:rsidRPr="00D03260">
        <w:t xml:space="preserve"> </w:t>
      </w:r>
      <w:r w:rsidR="00EB051E" w:rsidRPr="00D03260">
        <w:t xml:space="preserve">on the issue. The US IOM review advised </w:t>
      </w:r>
      <w:r w:rsidRPr="00D03260">
        <w:t>that while the evidence indicate</w:t>
      </w:r>
      <w:r w:rsidR="00EB1DFE" w:rsidRPr="00D03260">
        <w:t>s</w:t>
      </w:r>
      <w:r w:rsidRPr="00D03260">
        <w:t xml:space="preserve"> that in children there is sufficient evidence of a causal association</w:t>
      </w:r>
      <w:r w:rsidR="00DA1B1F" w:rsidRPr="00D03260">
        <w:t xml:space="preserve"> </w:t>
      </w:r>
      <w:r w:rsidR="00504500" w:rsidRPr="00D03260">
        <w:t>between da</w:t>
      </w:r>
      <w:r w:rsidR="00307CD7" w:rsidRPr="00D03260">
        <w:t>mpness and dampness-related agents and exacerbation of asthma</w:t>
      </w:r>
      <w:r w:rsidRPr="00D03260">
        <w:t>, there is not sufficient evidence for causation</w:t>
      </w:r>
      <w:r w:rsidR="00E22B73" w:rsidRPr="00D03260">
        <w:t xml:space="preserve">. </w:t>
      </w:r>
      <w:r w:rsidR="001F494C" w:rsidRPr="00D03260">
        <w:t xml:space="preserve">For </w:t>
      </w:r>
      <w:r w:rsidR="00EB1DFE" w:rsidRPr="00D03260">
        <w:t>other indoor exp</w:t>
      </w:r>
      <w:r w:rsidR="001F494C" w:rsidRPr="00D03260">
        <w:t>o</w:t>
      </w:r>
      <w:r w:rsidR="00EB1DFE" w:rsidRPr="00D03260">
        <w:t xml:space="preserve">sures, </w:t>
      </w:r>
      <w:r w:rsidR="001F494C" w:rsidRPr="00D03260">
        <w:t>s</w:t>
      </w:r>
      <w:r w:rsidR="005432D6" w:rsidRPr="00D03260">
        <w:t xml:space="preserve">ufficient evidence for causation </w:t>
      </w:r>
      <w:r w:rsidR="00B60210" w:rsidRPr="00D03260">
        <w:t xml:space="preserve">was found </w:t>
      </w:r>
      <w:r w:rsidR="009462E4" w:rsidRPr="00D03260">
        <w:t>between exposure to dust mite allergen and exacerbation of asthma in children sensiti</w:t>
      </w:r>
      <w:r w:rsidR="00422259" w:rsidRPr="00D03260">
        <w:t>s</w:t>
      </w:r>
      <w:r w:rsidR="009462E4" w:rsidRPr="00D03260">
        <w:t xml:space="preserve">ed to dust mites, </w:t>
      </w:r>
      <w:r w:rsidR="00881843" w:rsidRPr="00D03260">
        <w:t>between cat allergen exposure and exacerbation of asthma in individuals specifically sensiti</w:t>
      </w:r>
      <w:r w:rsidR="00712273" w:rsidRPr="00D03260">
        <w:t>s</w:t>
      </w:r>
      <w:r w:rsidR="00881843" w:rsidRPr="00D03260">
        <w:t xml:space="preserve">ed to cats, and </w:t>
      </w:r>
      <w:r w:rsidR="00D93397" w:rsidRPr="00D03260">
        <w:t>between cockroach allergen exposure and exacerbation of asthma in individuals specifically sensiti</w:t>
      </w:r>
      <w:r w:rsidR="00712273" w:rsidRPr="00D03260">
        <w:t>s</w:t>
      </w:r>
      <w:r w:rsidR="00D93397" w:rsidRPr="00D03260">
        <w:t>ed to cockroaches, especially adults.</w:t>
      </w:r>
      <w:r w:rsidR="009462E4" w:rsidRPr="00D03260">
        <w:t xml:space="preserve"> </w:t>
      </w:r>
    </w:p>
    <w:p w14:paraId="7B2D0C94" w14:textId="7126D3F6" w:rsidR="00A444A1" w:rsidRPr="00D03260" w:rsidRDefault="00552F2C" w:rsidP="00A444A1">
      <w:r w:rsidRPr="00D03260">
        <w:t>T</w:t>
      </w:r>
      <w:r w:rsidR="00A444A1" w:rsidRPr="00D03260">
        <w:t xml:space="preserve">he </w:t>
      </w:r>
      <w:r w:rsidR="00CD0B0B" w:rsidRPr="00D03260">
        <w:t xml:space="preserve">specific </w:t>
      </w:r>
      <w:r w:rsidRPr="00D03260">
        <w:t xml:space="preserve">advice </w:t>
      </w:r>
      <w:r w:rsidR="00A444A1" w:rsidRPr="00D03260">
        <w:t>on respiratory infections</w:t>
      </w:r>
      <w:r w:rsidRPr="00D03260">
        <w:t xml:space="preserve"> is included in</w:t>
      </w:r>
      <w:r w:rsidR="00A444A1" w:rsidRPr="00D03260">
        <w:t xml:space="preserve"> the 2017 abridged AWMF guideline</w:t>
      </w:r>
      <w:r w:rsidRPr="00D03260">
        <w:t>. It</w:t>
      </w:r>
      <w:r w:rsidR="00A444A1" w:rsidRPr="00D03260">
        <w:t xml:space="preserve"> advised that while there is evidence of a consistent association between water damage or indoor mould exposure and the development of medically diagnosed respiratory tract diseases, the risk of infection from common indoor mould species is low in healthy individuals.</w:t>
      </w:r>
    </w:p>
    <w:p w14:paraId="30CB951E" w14:textId="4496AA3B" w:rsidR="004F2C01" w:rsidRPr="00D03260" w:rsidRDefault="00537686" w:rsidP="00A444A1">
      <w:r w:rsidRPr="00D03260">
        <w:t>Regarding</w:t>
      </w:r>
      <w:r w:rsidR="00552F2C" w:rsidRPr="00D03260">
        <w:t xml:space="preserve"> susceptible people, t</w:t>
      </w:r>
      <w:r w:rsidR="004F2C01" w:rsidRPr="00D03260">
        <w:t xml:space="preserve">he </w:t>
      </w:r>
      <w:r w:rsidR="00FD2581" w:rsidRPr="00D03260">
        <w:t>WHO</w:t>
      </w:r>
      <w:r w:rsidR="00930DCE" w:rsidRPr="00D03260">
        <w:t xml:space="preserve"> concluded in their 2009 guideline that </w:t>
      </w:r>
      <w:r w:rsidRPr="00D03260">
        <w:t>‘</w:t>
      </w:r>
      <w:r w:rsidR="004F2C01" w:rsidRPr="00D03260">
        <w:t>there was sufficient clinical evidence of associations between mould and other dampness-associated microbiological agents and HP, allergic alveolitis and mould infections in susceptible individuals, and humidifier fever and inhalation fevers</w:t>
      </w:r>
      <w:r w:rsidRPr="00D03260">
        <w:t>’</w:t>
      </w:r>
      <w:r w:rsidR="004F2C01" w:rsidRPr="00D03260">
        <w:t xml:space="preserve">. The WHO stressed this was the only conclusion that is based primarily on clinical evidence </w:t>
      </w:r>
      <w:proofErr w:type="gramStart"/>
      <w:r w:rsidR="004F2C01" w:rsidRPr="00D03260">
        <w:t>and also</w:t>
      </w:r>
      <w:proofErr w:type="gramEnd"/>
      <w:r w:rsidR="004F2C01" w:rsidRPr="00D03260">
        <w:t xml:space="preserve"> the only conclusion that refers explicitly to microbial agents, as opposed to dampness-related factors. This 2009 guideline remains the current guideline from the WHO on indoor damp or mould.</w:t>
      </w:r>
    </w:p>
    <w:p w14:paraId="3ECA76A3" w14:textId="53E80036" w:rsidR="0079798F" w:rsidRPr="00D03260" w:rsidRDefault="00537686" w:rsidP="00A444A1">
      <w:r w:rsidRPr="00D03260">
        <w:t>For susceptible individuals, t</w:t>
      </w:r>
      <w:r w:rsidR="00A444A1" w:rsidRPr="00D03260">
        <w:t>here was consensus in the literature that there is sufficient clinical evidence of associations between mould and other dampness-associated microbiological agents and HP and mould infections, as well as humidifier fever and inhalation fevers. HP, also called extrinsic allergic alveolitis, is an interstitial granulomatous, cell-mediated lung inflammation caused by repeated inhalation of antigens from microorganisms or other sources in susceptible people. The</w:t>
      </w:r>
      <w:r w:rsidR="009A212A" w:rsidRPr="00D03260">
        <w:t> </w:t>
      </w:r>
      <w:r w:rsidR="00A444A1" w:rsidRPr="00D03260">
        <w:t>most frequent causal antigens are bird proteins and bacteria such as thermophilic actinomycetes</w:t>
      </w:r>
      <w:r w:rsidRPr="00D03260">
        <w:t>.</w:t>
      </w:r>
      <w:r w:rsidR="00A444A1" w:rsidRPr="00D03260">
        <w:t xml:space="preserve"> </w:t>
      </w:r>
      <w:r w:rsidRPr="00D03260">
        <w:t>H</w:t>
      </w:r>
      <w:r w:rsidR="00A444A1" w:rsidRPr="00D03260">
        <w:t>owever, fungi have also been implicated in both occupational and non-occupational outbreaks. Several international authority reports and an evidence review acknowledged the role of damp in office buildings or homes or air conditioning and humification systems and the development of HP. HP is frequently misdiagnosed as a pneumonia of infectious aetiology.</w:t>
      </w:r>
    </w:p>
    <w:p w14:paraId="5C3BE1C8" w14:textId="6477C63E" w:rsidR="001619F5" w:rsidRPr="00D03260" w:rsidRDefault="0079798F" w:rsidP="00A444A1">
      <w:r w:rsidRPr="00D03260">
        <w:rPr>
          <w:szCs w:val="22"/>
        </w:rPr>
        <w:t xml:space="preserve">See </w:t>
      </w:r>
      <w:hyperlink w:anchor="Section31DifferentialDiagnosisForWhichAS" w:history="1">
        <w:r w:rsidR="00FB754B" w:rsidRPr="00D03260">
          <w:rPr>
            <w:rStyle w:val="Hyperlink"/>
            <w:szCs w:val="22"/>
          </w:rPr>
          <w:t>s</w:t>
        </w:r>
        <w:r w:rsidRPr="00D03260">
          <w:rPr>
            <w:rStyle w:val="Hyperlink"/>
            <w:szCs w:val="22"/>
          </w:rPr>
          <w:t>ection 3.1</w:t>
        </w:r>
      </w:hyperlink>
      <w:r w:rsidR="00DC553C" w:rsidRPr="00D03260">
        <w:rPr>
          <w:szCs w:val="22"/>
        </w:rPr>
        <w:t xml:space="preserve"> for further details</w:t>
      </w:r>
      <w:r w:rsidRPr="00D03260">
        <w:rPr>
          <w:szCs w:val="22"/>
        </w:rPr>
        <w:t xml:space="preserve"> on ‘Differential diagnoses or symptoms for which a sufficient level of evidence exists for an association with exposure to indoor damp and mould’. A</w:t>
      </w:r>
      <w:r w:rsidR="00EE6FE5" w:rsidRPr="00D03260">
        <w:rPr>
          <w:szCs w:val="22"/>
        </w:rPr>
        <w:t>n overview</w:t>
      </w:r>
      <w:r w:rsidRPr="00D03260">
        <w:rPr>
          <w:szCs w:val="22"/>
        </w:rPr>
        <w:t xml:space="preserve"> of the epidemiological evidence for </w:t>
      </w:r>
      <w:r w:rsidR="00BE45A7" w:rsidRPr="00D03260">
        <w:rPr>
          <w:szCs w:val="22"/>
        </w:rPr>
        <w:t xml:space="preserve">health effects from exposure to indoor damp and mould such as </w:t>
      </w:r>
      <w:r w:rsidRPr="00D03260">
        <w:t>asthma, respiratory infections</w:t>
      </w:r>
      <w:r w:rsidR="00BE45A7" w:rsidRPr="00D03260">
        <w:t>, other respiratory symptoms (</w:t>
      </w:r>
      <w:r w:rsidRPr="00D03260">
        <w:t xml:space="preserve">rhinitis, wheeze, cough, dyspnoea, bronchitis, </w:t>
      </w:r>
      <w:r w:rsidRPr="00D03260">
        <w:rPr>
          <w:szCs w:val="22"/>
        </w:rPr>
        <w:t>upper respiratory tract symptoms</w:t>
      </w:r>
      <w:r w:rsidR="00BE45A7" w:rsidRPr="00D03260">
        <w:rPr>
          <w:szCs w:val="22"/>
        </w:rPr>
        <w:t>)</w:t>
      </w:r>
      <w:r w:rsidRPr="00D03260">
        <w:rPr>
          <w:szCs w:val="22"/>
        </w:rPr>
        <w:t xml:space="preserve"> and eczema is provided in </w:t>
      </w:r>
      <w:hyperlink w:anchor="AppendixALikelyDifferentialDiagnosesOrSy" w:history="1">
        <w:r w:rsidRPr="00D03260">
          <w:rPr>
            <w:rStyle w:val="Hyperlink"/>
            <w:szCs w:val="22"/>
          </w:rPr>
          <w:t>Appendix</w:t>
        </w:r>
        <w:r w:rsidR="00966701" w:rsidRPr="00D03260">
          <w:rPr>
            <w:rStyle w:val="Hyperlink"/>
            <w:szCs w:val="22"/>
          </w:rPr>
          <w:t> </w:t>
        </w:r>
        <w:r w:rsidRPr="00D03260">
          <w:rPr>
            <w:rStyle w:val="Hyperlink"/>
            <w:szCs w:val="22"/>
          </w:rPr>
          <w:t>A</w:t>
        </w:r>
      </w:hyperlink>
      <w:r w:rsidRPr="00D03260">
        <w:rPr>
          <w:szCs w:val="22"/>
        </w:rPr>
        <w:t xml:space="preserve">. See </w:t>
      </w:r>
      <w:hyperlink w:anchor="Sect312HPMouldRelatedInfectionsAndAllerg" w:history="1">
        <w:r w:rsidR="00DC553C" w:rsidRPr="00D03260">
          <w:rPr>
            <w:rStyle w:val="Hyperlink"/>
            <w:szCs w:val="22"/>
          </w:rPr>
          <w:t>s</w:t>
        </w:r>
        <w:r w:rsidRPr="00D03260">
          <w:rPr>
            <w:rStyle w:val="Hyperlink"/>
            <w:szCs w:val="22"/>
          </w:rPr>
          <w:t>ection</w:t>
        </w:r>
        <w:r w:rsidR="00DC553C" w:rsidRPr="00D03260">
          <w:rPr>
            <w:rStyle w:val="Hyperlink"/>
            <w:szCs w:val="22"/>
          </w:rPr>
          <w:t> </w:t>
        </w:r>
        <w:r w:rsidRPr="00D03260">
          <w:rPr>
            <w:rStyle w:val="Hyperlink"/>
            <w:szCs w:val="22"/>
          </w:rPr>
          <w:t>3.1.2</w:t>
        </w:r>
      </w:hyperlink>
      <w:r w:rsidR="00BC6179" w:rsidRPr="00D03260">
        <w:rPr>
          <w:szCs w:val="22"/>
        </w:rPr>
        <w:t xml:space="preserve"> for further clinical epidemiological information on HP, mould-related </w:t>
      </w:r>
      <w:proofErr w:type="gramStart"/>
      <w:r w:rsidR="00BC6179" w:rsidRPr="00D03260">
        <w:rPr>
          <w:szCs w:val="22"/>
        </w:rPr>
        <w:t>infections</w:t>
      </w:r>
      <w:proofErr w:type="gramEnd"/>
      <w:r w:rsidR="00BC6179" w:rsidRPr="00D03260">
        <w:rPr>
          <w:szCs w:val="22"/>
        </w:rPr>
        <w:t xml:space="preserve"> and allergic health effects in susceptible people</w:t>
      </w:r>
      <w:r w:rsidRPr="00D03260">
        <w:rPr>
          <w:szCs w:val="22"/>
        </w:rPr>
        <w:t xml:space="preserve">. </w:t>
      </w:r>
    </w:p>
    <w:p w14:paraId="1DF58DBF" w14:textId="4352E80E" w:rsidR="001F779A" w:rsidRPr="00D03260" w:rsidRDefault="00B83D02" w:rsidP="00AF1EFC">
      <w:pPr>
        <w:pStyle w:val="NumberedHeading3"/>
        <w:numPr>
          <w:ilvl w:val="0"/>
          <w:numId w:val="0"/>
        </w:numPr>
        <w:ind w:left="1440" w:hanging="1440"/>
      </w:pPr>
      <w:bookmarkStart w:id="83" w:name="_Toc121329114"/>
      <w:bookmarkStart w:id="84" w:name="_Toc141885851"/>
      <w:r w:rsidRPr="00D03260">
        <w:lastRenderedPageBreak/>
        <w:t>1.</w:t>
      </w:r>
      <w:r w:rsidR="007D6334" w:rsidRPr="00D03260">
        <w:t>3</w:t>
      </w:r>
      <w:r w:rsidRPr="00D03260">
        <w:t>.2.</w:t>
      </w:r>
      <w:r w:rsidRPr="00D03260">
        <w:tab/>
      </w:r>
      <w:bookmarkStart w:id="85" w:name="Sect132HealthEffectsForWhichThereIsLimit"/>
      <w:bookmarkEnd w:id="85"/>
      <w:r w:rsidR="001F779A" w:rsidRPr="00D03260">
        <w:t>Health effects for which there is limited or suggested evidence of an association with indoor damp or mould</w:t>
      </w:r>
      <w:bookmarkEnd w:id="83"/>
      <w:bookmarkEnd w:id="84"/>
    </w:p>
    <w:p w14:paraId="52D2082B" w14:textId="61FD1CA0" w:rsidR="00967923" w:rsidRPr="00D03260" w:rsidRDefault="00F5239E" w:rsidP="00967923">
      <w:r w:rsidRPr="00D03260">
        <w:t>Overall, in the body of literature</w:t>
      </w:r>
      <w:r w:rsidR="00EB051E" w:rsidRPr="00D03260">
        <w:t>,</w:t>
      </w:r>
      <w:r w:rsidR="00D86725" w:rsidRPr="00D03260">
        <w:t xml:space="preserve"> </w:t>
      </w:r>
      <w:r w:rsidRPr="00D03260">
        <w:t>there was only limited or suggested evidence of an association between exposure to indoor damp or mould and the common cold, allergy/atopy, and mucous membrane irritation (MMI).</w:t>
      </w:r>
      <w:r w:rsidR="0004218D" w:rsidRPr="00D03260">
        <w:t xml:space="preserve"> See </w:t>
      </w:r>
      <w:hyperlink w:anchor="AppendixBLessLikelyDifferentialDiagnoses" w:history="1">
        <w:r w:rsidR="003F65E8" w:rsidRPr="00D03260">
          <w:rPr>
            <w:rStyle w:val="Hyperlink"/>
          </w:rPr>
          <w:t xml:space="preserve">Appendix </w:t>
        </w:r>
        <w:r w:rsidR="00355214" w:rsidRPr="00D03260">
          <w:rPr>
            <w:rStyle w:val="Hyperlink"/>
          </w:rPr>
          <w:t>B</w:t>
        </w:r>
      </w:hyperlink>
      <w:r w:rsidR="00355214" w:rsidRPr="00D03260">
        <w:t xml:space="preserve"> for a</w:t>
      </w:r>
      <w:r w:rsidR="00557ADB" w:rsidRPr="00D03260">
        <w:t>n</w:t>
      </w:r>
      <w:r w:rsidR="00355214" w:rsidRPr="00D03260">
        <w:t xml:space="preserve"> </w:t>
      </w:r>
      <w:r w:rsidR="00557ADB" w:rsidRPr="00D03260">
        <w:t xml:space="preserve">overview </w:t>
      </w:r>
      <w:r w:rsidR="00355214" w:rsidRPr="00D03260">
        <w:t xml:space="preserve">of the epidemiological evidence on these health effects. </w:t>
      </w:r>
    </w:p>
    <w:p w14:paraId="11BC0219" w14:textId="449853D2" w:rsidR="00AF6DA4" w:rsidRPr="00D03260" w:rsidRDefault="00B83D02" w:rsidP="00AF1EFC">
      <w:pPr>
        <w:pStyle w:val="NumberedHeading3"/>
        <w:numPr>
          <w:ilvl w:val="0"/>
          <w:numId w:val="0"/>
        </w:numPr>
        <w:ind w:left="1440" w:hanging="1440"/>
      </w:pPr>
      <w:bookmarkStart w:id="86" w:name="Sect133HealthEffectsForWhichThereIsInade"/>
      <w:bookmarkStart w:id="87" w:name="_Toc121329115"/>
      <w:bookmarkStart w:id="88" w:name="_Toc141885852"/>
      <w:bookmarkEnd w:id="86"/>
      <w:r w:rsidRPr="00D03260">
        <w:t>1.</w:t>
      </w:r>
      <w:r w:rsidR="007D6334" w:rsidRPr="00D03260">
        <w:t>3</w:t>
      </w:r>
      <w:r w:rsidRPr="00D03260">
        <w:t>.3.</w:t>
      </w:r>
      <w:r w:rsidRPr="00D03260">
        <w:tab/>
      </w:r>
      <w:r w:rsidR="00AF6DA4" w:rsidRPr="00D03260">
        <w:t>Health effects for which there is inadequate or insufficient evidence of an association with indoor damp or mould</w:t>
      </w:r>
      <w:bookmarkEnd w:id="87"/>
      <w:bookmarkEnd w:id="88"/>
    </w:p>
    <w:p w14:paraId="5D139DBA" w14:textId="7C02509B" w:rsidR="00C44013" w:rsidRPr="00D03260" w:rsidRDefault="00A4235C" w:rsidP="00C44013">
      <w:r w:rsidRPr="00D03260">
        <w:t xml:space="preserve">While there was some disagreement within the body of literature evaluated, </w:t>
      </w:r>
      <w:proofErr w:type="gramStart"/>
      <w:r w:rsidRPr="00D03260">
        <w:t>overall</w:t>
      </w:r>
      <w:proofErr w:type="gramEnd"/>
      <w:r w:rsidRPr="00D03260">
        <w:t xml:space="preserve"> there was a fairly strong consensus in </w:t>
      </w:r>
      <w:r w:rsidR="008E0CF6" w:rsidRPr="00D03260">
        <w:t xml:space="preserve">the </w:t>
      </w:r>
      <w:r w:rsidR="006B13DA" w:rsidRPr="00D03260">
        <w:t>body of literature</w:t>
      </w:r>
      <w:r w:rsidR="00BB453F" w:rsidRPr="00D03260">
        <w:t xml:space="preserve"> (in particular, evidence reviews and reports from </w:t>
      </w:r>
      <w:r w:rsidRPr="00D03260">
        <w:t>the international guidelines, international authority and medical professional associations</w:t>
      </w:r>
      <w:r w:rsidR="00BB453F" w:rsidRPr="00D03260">
        <w:t xml:space="preserve">) </w:t>
      </w:r>
      <w:r w:rsidR="006B13DA" w:rsidRPr="00D03260">
        <w:t xml:space="preserve">about </w:t>
      </w:r>
      <w:r w:rsidRPr="00D03260">
        <w:t xml:space="preserve">the differential diagnoses </w:t>
      </w:r>
      <w:r w:rsidR="00491D41" w:rsidRPr="00D03260">
        <w:t xml:space="preserve">or symptoms </w:t>
      </w:r>
      <w:r w:rsidRPr="00D03260">
        <w:t>for which there was inadequate or insufficient evidence for an association between exposure to indoor damp or mould</w:t>
      </w:r>
      <w:r w:rsidR="006B13DA" w:rsidRPr="00D03260">
        <w:t xml:space="preserve">. These </w:t>
      </w:r>
      <w:r w:rsidR="001F47CE" w:rsidRPr="00D03260">
        <w:t xml:space="preserve">differential diagnoses or </w:t>
      </w:r>
      <w:r w:rsidR="006B13DA" w:rsidRPr="00D03260">
        <w:t>symptoms</w:t>
      </w:r>
      <w:r w:rsidRPr="00D03260">
        <w:t xml:space="preserve"> </w:t>
      </w:r>
      <w:r w:rsidR="006B13DA" w:rsidRPr="00D03260">
        <w:t xml:space="preserve">with insufficient evidence for an association </w:t>
      </w:r>
      <w:r w:rsidR="007C334B" w:rsidRPr="00D03260">
        <w:t>between exposure to indoor damp or mould include,</w:t>
      </w:r>
      <w:r w:rsidRPr="00D03260">
        <w:t xml:space="preserve"> </w:t>
      </w:r>
      <w:r w:rsidR="00C44013" w:rsidRPr="00D03260">
        <w:t>acute idiopathic pulmonary haemorrhage (AIPH) in infants; altered lung function/airway obstruction; COPD; rheumatic disorders and autoimmune disease; cancer; reproductive</w:t>
      </w:r>
      <w:r w:rsidR="00491D41" w:rsidRPr="00D03260">
        <w:t xml:space="preserve"> </w:t>
      </w:r>
      <w:r w:rsidR="000750A3" w:rsidRPr="00D03260">
        <w:t>effects</w:t>
      </w:r>
      <w:r w:rsidR="00C44013" w:rsidRPr="00D03260">
        <w:t>; gastrointestinal effects; renal effects; teratogenicity; sarcoidosis; neuropsychological and neurotoxic effects; sleep issues, fatigue, mood disorders and non-specific symptoms; mycotoxicosis</w:t>
      </w:r>
      <w:r w:rsidR="008522C3" w:rsidRPr="00D03260">
        <w:t xml:space="preserve">, </w:t>
      </w:r>
      <w:r w:rsidR="00C44013" w:rsidRPr="00D03260">
        <w:t>SBS and TMS</w:t>
      </w:r>
      <w:r w:rsidR="008522C3" w:rsidRPr="00D03260">
        <w:t>, and CIRS.</w:t>
      </w:r>
    </w:p>
    <w:p w14:paraId="622EEFE4" w14:textId="464019BD" w:rsidR="00A505AF" w:rsidRPr="00D03260" w:rsidRDefault="00095002" w:rsidP="00A4235C">
      <w:r w:rsidRPr="00D03260">
        <w:t xml:space="preserve">See </w:t>
      </w:r>
      <w:hyperlink w:anchor="AppendixCUnlikelyDifferentialDiagnosesOr" w:history="1">
        <w:r w:rsidR="00752FDB" w:rsidRPr="00D03260">
          <w:rPr>
            <w:rStyle w:val="Hyperlink"/>
          </w:rPr>
          <w:t>Appendix C</w:t>
        </w:r>
      </w:hyperlink>
      <w:r w:rsidR="00752FDB" w:rsidRPr="00D03260">
        <w:t xml:space="preserve"> for </w:t>
      </w:r>
      <w:r w:rsidR="00D62373" w:rsidRPr="00D03260">
        <w:t>a</w:t>
      </w:r>
      <w:r w:rsidR="009D4C6A" w:rsidRPr="00D03260">
        <w:t>n overview</w:t>
      </w:r>
      <w:r w:rsidR="00D62373" w:rsidRPr="00D03260">
        <w:t xml:space="preserve"> of the epidemiologic evidence on these health effects. </w:t>
      </w:r>
    </w:p>
    <w:p w14:paraId="00EA5DF2" w14:textId="7CFC6F50" w:rsidR="00D6167E" w:rsidRPr="00D03260" w:rsidRDefault="00D62373" w:rsidP="00A4235C">
      <w:r w:rsidRPr="00D03260">
        <w:t xml:space="preserve">See </w:t>
      </w:r>
      <w:hyperlink w:anchor="AppendixECIRS" w:history="1">
        <w:r w:rsidR="00690201" w:rsidRPr="00D03260">
          <w:rPr>
            <w:rStyle w:val="Hyperlink"/>
          </w:rPr>
          <w:t>Appendix E</w:t>
        </w:r>
      </w:hyperlink>
      <w:r w:rsidR="00BC6179" w:rsidRPr="00D03260">
        <w:t xml:space="preserve"> </w:t>
      </w:r>
      <w:r w:rsidR="00B41549" w:rsidRPr="00D03260">
        <w:t>for further information on CIRS</w:t>
      </w:r>
      <w:r w:rsidR="00501324" w:rsidRPr="00D03260">
        <w:t xml:space="preserve">. Appendix E also </w:t>
      </w:r>
      <w:r w:rsidR="00B41549" w:rsidRPr="00D03260">
        <w:t>includ</w:t>
      </w:r>
      <w:r w:rsidR="00501324" w:rsidRPr="00D03260">
        <w:t>es</w:t>
      </w:r>
      <w:r w:rsidR="00272320" w:rsidRPr="00D03260">
        <w:t>:</w:t>
      </w:r>
      <w:r w:rsidR="00B41549" w:rsidRPr="00D03260">
        <w:t xml:space="preserve"> </w:t>
      </w:r>
    </w:p>
    <w:p w14:paraId="4391742B" w14:textId="791A1BE7" w:rsidR="002F4BEC" w:rsidRPr="00D03260" w:rsidRDefault="00272320" w:rsidP="002F4BEC">
      <w:pPr>
        <w:pStyle w:val="ListBullet"/>
      </w:pPr>
      <w:r w:rsidRPr="00D03260">
        <w:t>information on CIRS from</w:t>
      </w:r>
      <w:r w:rsidR="00B41549" w:rsidRPr="00D03260">
        <w:t xml:space="preserve"> the </w:t>
      </w:r>
      <w:r w:rsidR="00D9710C" w:rsidRPr="00D03260">
        <w:t>House of Representatives Inquiry</w:t>
      </w:r>
    </w:p>
    <w:p w14:paraId="12A63726" w14:textId="06C4AE81" w:rsidR="002F4BEC" w:rsidRPr="00D03260" w:rsidRDefault="00D9710C" w:rsidP="002F4BEC">
      <w:pPr>
        <w:pStyle w:val="ListBullet"/>
      </w:pPr>
      <w:r w:rsidRPr="00D03260">
        <w:t xml:space="preserve">diagnostic tests </w:t>
      </w:r>
      <w:r w:rsidR="00EC1782" w:rsidRPr="00D03260">
        <w:t xml:space="preserve">used in the </w:t>
      </w:r>
      <w:r w:rsidR="00023E26" w:rsidRPr="00D03260">
        <w:t>diagnosis</w:t>
      </w:r>
      <w:r w:rsidR="003F7EEE" w:rsidRPr="00D03260">
        <w:t xml:space="preserve"> CIRS</w:t>
      </w:r>
      <w:r w:rsidR="006B13DA" w:rsidRPr="00D03260">
        <w:t xml:space="preserve"> (note these tests</w:t>
      </w:r>
      <w:r w:rsidR="003F7EEE" w:rsidRPr="00D03260">
        <w:t xml:space="preserve"> </w:t>
      </w:r>
      <w:r w:rsidR="007E5E5F" w:rsidRPr="00D03260">
        <w:t>not recommended due to limited evidence</w:t>
      </w:r>
      <w:r w:rsidR="006B13DA" w:rsidRPr="00D03260">
        <w:t>)</w:t>
      </w:r>
    </w:p>
    <w:p w14:paraId="54D12DE9" w14:textId="0C3FD342" w:rsidR="002F4BEC" w:rsidRPr="00D03260" w:rsidRDefault="00A505AF" w:rsidP="002F4BEC">
      <w:pPr>
        <w:pStyle w:val="ListBullet"/>
      </w:pPr>
      <w:r w:rsidRPr="00D03260">
        <w:t xml:space="preserve">treatments </w:t>
      </w:r>
      <w:r w:rsidR="00470614" w:rsidRPr="00D03260">
        <w:t xml:space="preserve">for patients </w:t>
      </w:r>
      <w:r w:rsidR="007C334B" w:rsidRPr="00D03260">
        <w:t xml:space="preserve">that are </w:t>
      </w:r>
      <w:r w:rsidRPr="00D03260">
        <w:t xml:space="preserve">diagnosed </w:t>
      </w:r>
      <w:r w:rsidR="00366302" w:rsidRPr="00D03260">
        <w:t>by CIRS practitioners</w:t>
      </w:r>
      <w:r w:rsidR="00470614" w:rsidRPr="00D03260">
        <w:t xml:space="preserve"> </w:t>
      </w:r>
      <w:r w:rsidR="007C334B" w:rsidRPr="00D03260">
        <w:t xml:space="preserve">(note </w:t>
      </w:r>
      <w:r w:rsidR="00A1385E" w:rsidRPr="00D03260">
        <w:t xml:space="preserve">there are significant side effects </w:t>
      </w:r>
      <w:r w:rsidR="008C658D" w:rsidRPr="00D03260">
        <w:t xml:space="preserve">with many of the medications used in the </w:t>
      </w:r>
      <w:r w:rsidR="00023E26" w:rsidRPr="00D03260">
        <w:t>treatment of CIRS</w:t>
      </w:r>
      <w:r w:rsidR="007C334B" w:rsidRPr="00D03260">
        <w:t>)</w:t>
      </w:r>
      <w:r w:rsidRPr="00D03260">
        <w:t xml:space="preserve">. </w:t>
      </w:r>
    </w:p>
    <w:p w14:paraId="137CE5F7" w14:textId="07983B62" w:rsidR="00BE0117" w:rsidRPr="00D03260" w:rsidRDefault="00A505AF" w:rsidP="002F4BEC">
      <w:r w:rsidRPr="00D03260">
        <w:t xml:space="preserve">See also </w:t>
      </w:r>
      <w:hyperlink w:anchor="AppendixFPotentialSideEffectsOfPharmaceu" w:history="1">
        <w:r w:rsidR="00EC1782" w:rsidRPr="00D03260">
          <w:rPr>
            <w:rStyle w:val="Hyperlink"/>
          </w:rPr>
          <w:t>Appendix F</w:t>
        </w:r>
      </w:hyperlink>
      <w:r w:rsidR="00EC1782" w:rsidRPr="00D03260">
        <w:t xml:space="preserve"> </w:t>
      </w:r>
      <w:r w:rsidR="00F32F9A" w:rsidRPr="00D03260">
        <w:t>for further details on the</w:t>
      </w:r>
      <w:r w:rsidR="006248D0" w:rsidRPr="00D03260">
        <w:t xml:space="preserve"> </w:t>
      </w:r>
      <w:r w:rsidR="000056EB" w:rsidRPr="00D03260">
        <w:t>‘</w:t>
      </w:r>
      <w:r w:rsidR="00EC1782" w:rsidRPr="00D03260">
        <w:t>Potential side effects of pharmaceuticals</w:t>
      </w:r>
      <w:r w:rsidRPr="00D03260">
        <w:t xml:space="preserve"> used in the </w:t>
      </w:r>
      <w:r w:rsidR="00833280" w:rsidRPr="00D03260">
        <w:t>treatment of CIRS</w:t>
      </w:r>
      <w:r w:rsidR="000056EB" w:rsidRPr="00D03260">
        <w:t>’</w:t>
      </w:r>
      <w:r w:rsidRPr="00D03260">
        <w:t xml:space="preserve">. </w:t>
      </w:r>
    </w:p>
    <w:p w14:paraId="79D03C22" w14:textId="0BE9C554" w:rsidR="003E1056" w:rsidRPr="00D03260" w:rsidRDefault="00B83D02" w:rsidP="00AF1EFC">
      <w:pPr>
        <w:pStyle w:val="NumberedHeading3"/>
        <w:numPr>
          <w:ilvl w:val="0"/>
          <w:numId w:val="0"/>
        </w:numPr>
        <w:ind w:left="1440" w:hanging="1440"/>
      </w:pPr>
      <w:bookmarkStart w:id="89" w:name="_Toc121329116"/>
      <w:bookmarkStart w:id="90" w:name="_Toc141885853"/>
      <w:r w:rsidRPr="00D03260">
        <w:t>1.</w:t>
      </w:r>
      <w:r w:rsidR="007D6334" w:rsidRPr="00D03260">
        <w:t>3</w:t>
      </w:r>
      <w:r w:rsidRPr="00D03260">
        <w:t>.4.</w:t>
      </w:r>
      <w:r w:rsidRPr="00D03260">
        <w:tab/>
      </w:r>
      <w:r w:rsidR="003E1056" w:rsidRPr="00D03260">
        <w:t>Management of patients with persistent symptoms or who remain undiagnosed</w:t>
      </w:r>
      <w:bookmarkEnd w:id="89"/>
      <w:bookmarkEnd w:id="90"/>
    </w:p>
    <w:p w14:paraId="5CD9DD23" w14:textId="2243EABA" w:rsidR="00C530F1" w:rsidRPr="00D03260" w:rsidRDefault="00B37B1A" w:rsidP="00B37B1A">
      <w:pPr>
        <w:pStyle w:val="Boxtext"/>
        <w:rPr>
          <w:lang w:val="en-AU"/>
        </w:rPr>
      </w:pPr>
      <w:r w:rsidRPr="00D03260">
        <w:rPr>
          <w:lang w:val="en-AU"/>
        </w:rPr>
        <w:t xml:space="preserve">This section is aligned with the Australian Government Department of Health DSCATT Clinical Pathway, published in October 2020. The guidance can be applied to the management of patients who have unresolved debilitating symptoms that cannot be attributed to tick-borne disease, exposure to indoor damp or mould or another diagnosable condition. </w:t>
      </w:r>
    </w:p>
    <w:p w14:paraId="690D0B03" w14:textId="51552834" w:rsidR="00C90C4E" w:rsidRPr="00D03260" w:rsidRDefault="00C90C4E" w:rsidP="00C90C4E">
      <w:r w:rsidRPr="00D03260">
        <w:lastRenderedPageBreak/>
        <w:t>The Clinical Pathway acknowledges that because of the imprecise nature of the symptom complexes</w:t>
      </w:r>
      <w:r w:rsidR="003B2B93" w:rsidRPr="00D03260">
        <w:t>,</w:t>
      </w:r>
      <w:r w:rsidRPr="00D03260">
        <w:t xml:space="preserve"> some patients </w:t>
      </w:r>
      <w:r w:rsidR="003B2B93" w:rsidRPr="00D03260">
        <w:t>may</w:t>
      </w:r>
      <w:r w:rsidRPr="00D03260">
        <w:t xml:space="preserve"> remain undiagnosed. Therefore, evidence-based ways to manage ongoing symptoms through a comprehensive patient-centred care plan has been included for patients for whom there is no diagnosis and who are considered to have </w:t>
      </w:r>
      <w:r w:rsidR="00530C10" w:rsidRPr="00D03260">
        <w:t>MUS</w:t>
      </w:r>
      <w:r w:rsidRPr="00D03260">
        <w:t xml:space="preserve"> or ‘undifferentiated illness</w:t>
      </w:r>
      <w:r w:rsidR="00D71606" w:rsidRPr="00D03260">
        <w:t>’</w:t>
      </w:r>
      <w:r w:rsidRPr="00D03260">
        <w:t>.</w:t>
      </w:r>
    </w:p>
    <w:p w14:paraId="346C646E" w14:textId="0FF0A6B4" w:rsidR="00C90C4E" w:rsidRPr="00D03260" w:rsidRDefault="003B2B93" w:rsidP="00C90C4E">
      <w:r w:rsidRPr="00D03260">
        <w:t>In such patients</w:t>
      </w:r>
      <w:r w:rsidR="00C90C4E" w:rsidRPr="00D03260">
        <w:t xml:space="preserve">, it is especially important to ensure that patient or person-centred care is provided to validate, </w:t>
      </w:r>
      <w:proofErr w:type="gramStart"/>
      <w:r w:rsidR="00C90C4E" w:rsidRPr="00D03260">
        <w:t>address</w:t>
      </w:r>
      <w:proofErr w:type="gramEnd"/>
      <w:r w:rsidR="00C90C4E" w:rsidRPr="00D03260">
        <w:t xml:space="preserve"> and manage their symptoms as </w:t>
      </w:r>
      <w:r w:rsidRPr="00D03260">
        <w:t xml:space="preserve">much </w:t>
      </w:r>
      <w:r w:rsidR="00C90C4E" w:rsidRPr="00D03260">
        <w:t xml:space="preserve">as possible. Good communication and empathy are important. Take patients concerns seriously and acknowledge and alleviate their symptoms. Provide support to manage distressing symptoms and any disability that </w:t>
      </w:r>
      <w:r w:rsidR="005855CA" w:rsidRPr="00D03260">
        <w:t xml:space="preserve">arises from </w:t>
      </w:r>
      <w:r w:rsidR="00C90C4E" w:rsidRPr="00D03260">
        <w:t>them.</w:t>
      </w:r>
    </w:p>
    <w:p w14:paraId="3D55B0D8" w14:textId="77777777" w:rsidR="00C90C4E" w:rsidRPr="00D03260" w:rsidRDefault="00C90C4E" w:rsidP="00C90C4E">
      <w:r w:rsidRPr="00D03260">
        <w:t>The management plan for patients who have persistent symptoms or remain undiagnosed should be led by the patient’s GP, in consultation with the patient so the patient can achieve their goals.</w:t>
      </w:r>
    </w:p>
    <w:p w14:paraId="1B6E22FE" w14:textId="314DB55C" w:rsidR="00C90C4E" w:rsidRPr="00D03260" w:rsidRDefault="001A53A8" w:rsidP="00C90C4E">
      <w:r w:rsidRPr="00D03260">
        <w:t>M</w:t>
      </w:r>
      <w:r w:rsidR="00C90C4E" w:rsidRPr="00D03260">
        <w:t>anagement of ongoing symptoms should involve a multidisciplinary approach, incorporating the teamwork of all</w:t>
      </w:r>
      <w:r w:rsidR="00B96141" w:rsidRPr="00D03260">
        <w:t xml:space="preserve"> </w:t>
      </w:r>
      <w:r w:rsidR="002232EB" w:rsidRPr="00D03260">
        <w:t xml:space="preserve">medical professionals </w:t>
      </w:r>
      <w:r w:rsidR="00C90C4E" w:rsidRPr="00D03260">
        <w:t>relevant to the individual patient’s care</w:t>
      </w:r>
      <w:r w:rsidR="007346F9" w:rsidRPr="00D03260">
        <w:t xml:space="preserve">. </w:t>
      </w:r>
      <w:r w:rsidR="00C90C4E" w:rsidRPr="00D03260">
        <w:t>The management of patients must be a collaborative approach between GPs and specialists. Telehealth can also be used where appropriate.</w:t>
      </w:r>
    </w:p>
    <w:p w14:paraId="3B73D0EA" w14:textId="77777777" w:rsidR="00EF1067" w:rsidRPr="00D03260" w:rsidRDefault="00C90C4E" w:rsidP="00C90C4E">
      <w:r w:rsidRPr="00D03260">
        <w:t>Consider referring patients who have MUS to appropriate specialists based on best clinical practice and relevant evidence.</w:t>
      </w:r>
    </w:p>
    <w:p w14:paraId="193ADC63" w14:textId="0A27F3CC" w:rsidR="00C22DEF" w:rsidRPr="00D03260" w:rsidRDefault="003A0E46" w:rsidP="00C90C4E">
      <w:r w:rsidRPr="00D03260">
        <w:t>For more details, s</w:t>
      </w:r>
      <w:r w:rsidR="00EF1067" w:rsidRPr="00D03260">
        <w:t xml:space="preserve">ee </w:t>
      </w:r>
      <w:hyperlink w:anchor="Section64ManagementOfPatientsWithPersist" w:history="1">
        <w:r w:rsidR="00F32F9A" w:rsidRPr="00D03260">
          <w:rPr>
            <w:rStyle w:val="Hyperlink"/>
          </w:rPr>
          <w:t>s</w:t>
        </w:r>
        <w:r w:rsidR="00EF1067" w:rsidRPr="00D03260">
          <w:rPr>
            <w:rStyle w:val="Hyperlink"/>
          </w:rPr>
          <w:t xml:space="preserve">ection </w:t>
        </w:r>
        <w:r w:rsidR="005B719E" w:rsidRPr="00D03260">
          <w:rPr>
            <w:rStyle w:val="Hyperlink"/>
          </w:rPr>
          <w:t>6.4</w:t>
        </w:r>
      </w:hyperlink>
      <w:r w:rsidR="00F32F9A" w:rsidRPr="00D03260">
        <w:t xml:space="preserve"> </w:t>
      </w:r>
      <w:r w:rsidR="007D1C61" w:rsidRPr="00D03260">
        <w:t>on ‘</w:t>
      </w:r>
      <w:r w:rsidR="005B719E" w:rsidRPr="00D03260">
        <w:t xml:space="preserve">Management of </w:t>
      </w:r>
      <w:r w:rsidR="000478D5" w:rsidRPr="00D03260">
        <w:t>patients with persistent symptoms and who remain undiagnosed</w:t>
      </w:r>
      <w:r w:rsidR="007D1C61" w:rsidRPr="00D03260">
        <w:t xml:space="preserve">’, </w:t>
      </w:r>
      <w:hyperlink w:anchor="Section641MUS" w:history="1">
        <w:r w:rsidR="00F32F9A" w:rsidRPr="00D03260">
          <w:rPr>
            <w:rStyle w:val="Hyperlink"/>
          </w:rPr>
          <w:t>s</w:t>
        </w:r>
        <w:r w:rsidR="00153F54" w:rsidRPr="00D03260">
          <w:rPr>
            <w:rStyle w:val="Hyperlink"/>
          </w:rPr>
          <w:t>ection 6.4.1</w:t>
        </w:r>
      </w:hyperlink>
      <w:r w:rsidR="007D1C61" w:rsidRPr="00D03260">
        <w:t xml:space="preserve"> on ‘MUS’</w:t>
      </w:r>
      <w:r w:rsidR="004B0C52" w:rsidRPr="00D03260">
        <w:t xml:space="preserve">, </w:t>
      </w:r>
      <w:hyperlink w:anchor="Section642PracticeHarmMinimisation" w:history="1">
        <w:r w:rsidR="00F32F9A" w:rsidRPr="00D03260">
          <w:rPr>
            <w:rStyle w:val="Hyperlink"/>
          </w:rPr>
          <w:t>s</w:t>
        </w:r>
        <w:r w:rsidR="00153F54" w:rsidRPr="00D03260">
          <w:rPr>
            <w:rStyle w:val="Hyperlink"/>
          </w:rPr>
          <w:t>ection 6.4.2</w:t>
        </w:r>
      </w:hyperlink>
      <w:r w:rsidRPr="00D03260">
        <w:t xml:space="preserve"> on ‘Practice Harm Minimisation’</w:t>
      </w:r>
      <w:r w:rsidR="005B74EF" w:rsidRPr="00D03260">
        <w:t xml:space="preserve">, and </w:t>
      </w:r>
      <w:hyperlink w:anchor="Section643TheSteppedCareModel" w:history="1">
        <w:r w:rsidR="00F32F9A" w:rsidRPr="00D03260">
          <w:rPr>
            <w:rStyle w:val="Hyperlink"/>
          </w:rPr>
          <w:t>s</w:t>
        </w:r>
        <w:r w:rsidRPr="00D03260">
          <w:rPr>
            <w:rStyle w:val="Hyperlink"/>
          </w:rPr>
          <w:t>ection 6.4.3</w:t>
        </w:r>
      </w:hyperlink>
      <w:r w:rsidRPr="00D03260">
        <w:t xml:space="preserve"> on ‘T</w:t>
      </w:r>
      <w:r w:rsidR="005B74EF" w:rsidRPr="00D03260">
        <w:t xml:space="preserve">he Stepped Care </w:t>
      </w:r>
      <w:r w:rsidRPr="00D03260">
        <w:t>M</w:t>
      </w:r>
      <w:r w:rsidR="00153F54" w:rsidRPr="00D03260">
        <w:t>odel</w:t>
      </w:r>
      <w:r w:rsidRPr="00D03260">
        <w:t>’.</w:t>
      </w:r>
      <w:r w:rsidR="00C22DEF" w:rsidRPr="00D03260">
        <w:br w:type="page"/>
      </w:r>
    </w:p>
    <w:p w14:paraId="726A9DF8" w14:textId="640921A3" w:rsidR="00A4235C" w:rsidRPr="00D03260" w:rsidRDefault="00443679" w:rsidP="00AF1EFC">
      <w:pPr>
        <w:pStyle w:val="NumberedHeading1"/>
        <w:ind w:left="360"/>
      </w:pPr>
      <w:bookmarkStart w:id="91" w:name="Section2"/>
      <w:bookmarkStart w:id="92" w:name="_Toc121329117"/>
      <w:bookmarkStart w:id="93" w:name="_Toc141885854"/>
      <w:bookmarkEnd w:id="91"/>
      <w:r w:rsidRPr="00D03260">
        <w:lastRenderedPageBreak/>
        <w:t>Initial assessment and support</w:t>
      </w:r>
      <w:bookmarkEnd w:id="92"/>
      <w:bookmarkEnd w:id="93"/>
    </w:p>
    <w:p w14:paraId="4F585B7C" w14:textId="6235040E" w:rsidR="00C90C4E" w:rsidRPr="00D03260" w:rsidRDefault="00C11A2E" w:rsidP="0051319F">
      <w:r w:rsidRPr="00D03260">
        <w:t xml:space="preserve">The initial assessment and support for a patient who presents at primary care with new onset </w:t>
      </w:r>
      <w:r w:rsidR="00A65D88" w:rsidRPr="00D03260">
        <w:t xml:space="preserve">of </w:t>
      </w:r>
      <w:r w:rsidRPr="00D03260">
        <w:t>respiratory or allergic symptoms or persistent debilitating symptoms (with a history of exposure to indoor damp or mould) should follow usual clinical practice. The Clinical Pathway is to assist GPs and medical professionals with the diagnosis and management of patients who are assessed to be clinically stable.</w:t>
      </w:r>
    </w:p>
    <w:p w14:paraId="330AA164" w14:textId="7C07004C" w:rsidR="00A132F0" w:rsidRPr="00D03260" w:rsidRDefault="004D4B62" w:rsidP="00AF1EFC">
      <w:pPr>
        <w:pStyle w:val="NumberedHeading2"/>
        <w:numPr>
          <w:ilvl w:val="0"/>
          <w:numId w:val="0"/>
        </w:numPr>
        <w:ind w:left="720" w:hanging="720"/>
      </w:pPr>
      <w:bookmarkStart w:id="94" w:name="_Toc121329118"/>
      <w:bookmarkStart w:id="95" w:name="_Toc141885855"/>
      <w:r w:rsidRPr="00D03260">
        <w:t>2.1.</w:t>
      </w:r>
      <w:r w:rsidRPr="00D03260">
        <w:tab/>
      </w:r>
      <w:bookmarkStart w:id="96" w:name="Sect21FollowUsualClinicalAssessmentPract"/>
      <w:bookmarkEnd w:id="96"/>
      <w:r w:rsidR="00A132F0" w:rsidRPr="00D03260">
        <w:t>Follow usual clinical assessment practice including a history of exposure to indoor damp or mould</w:t>
      </w:r>
      <w:bookmarkEnd w:id="94"/>
      <w:bookmarkEnd w:id="95"/>
    </w:p>
    <w:p w14:paraId="7D71F8DF" w14:textId="74E449BE" w:rsidR="008B024B" w:rsidRPr="00D03260" w:rsidRDefault="008B024B" w:rsidP="008B024B">
      <w:r w:rsidRPr="00D03260">
        <w:t>Initial assessment and support should include the following</w:t>
      </w:r>
      <w:r w:rsidR="00860A3B" w:rsidRPr="00D03260">
        <w:t xml:space="preserve"> steps</w:t>
      </w:r>
      <w:r w:rsidRPr="00D03260">
        <w:t>:</w:t>
      </w:r>
    </w:p>
    <w:p w14:paraId="367A0277" w14:textId="16E01DD5" w:rsidR="00692502" w:rsidRPr="00D03260" w:rsidRDefault="00860A3B" w:rsidP="00692502">
      <w:pPr>
        <w:pStyle w:val="ListBullet"/>
      </w:pPr>
      <w:r w:rsidRPr="00D03260">
        <w:t>I</w:t>
      </w:r>
      <w:r w:rsidR="00692502" w:rsidRPr="00D03260">
        <w:t>n the clinical examination of an acute case, specifically check the mucosa of the eyes, upper airways</w:t>
      </w:r>
      <w:r w:rsidR="003F4EB1" w:rsidRPr="00D03260">
        <w:t xml:space="preserve"> (as far as possible)</w:t>
      </w:r>
      <w:r w:rsidR="00692502" w:rsidRPr="00D03260">
        <w:t xml:space="preserve"> as well as the skin</w:t>
      </w:r>
      <w:r w:rsidR="001A53A8" w:rsidRPr="00D03260">
        <w:t>.</w:t>
      </w:r>
      <w:r w:rsidR="00692502" w:rsidRPr="00D03260">
        <w:t xml:space="preserve"> </w:t>
      </w:r>
      <w:r w:rsidR="001A53A8" w:rsidRPr="00D03260">
        <w:t>P</w:t>
      </w:r>
      <w:r w:rsidR="00692502" w:rsidRPr="00D03260">
        <w:t xml:space="preserve">atients who report being exposed to indoor damp and mould often complain about </w:t>
      </w:r>
      <w:r w:rsidR="001A53A8" w:rsidRPr="00D03260">
        <w:t xml:space="preserve">non-specific symptoms that </w:t>
      </w:r>
      <w:r w:rsidR="00692502" w:rsidRPr="00D03260">
        <w:t>relate to these organs</w:t>
      </w:r>
      <w:r w:rsidRPr="00D03260">
        <w:t>.</w:t>
      </w:r>
    </w:p>
    <w:p w14:paraId="01BD6CD2" w14:textId="6C3C5EEF" w:rsidR="00692502" w:rsidRPr="00D03260" w:rsidRDefault="00860A3B" w:rsidP="00692502">
      <w:pPr>
        <w:pStyle w:val="ListBullet"/>
      </w:pPr>
      <w:r w:rsidRPr="00D03260">
        <w:t>F</w:t>
      </w:r>
      <w:r w:rsidR="00692502" w:rsidRPr="00D03260">
        <w:t>rom the history and examination, exclude obvious acute illnesses or chronic diagnosable conditions</w:t>
      </w:r>
      <w:r w:rsidRPr="00D03260">
        <w:t>.</w:t>
      </w:r>
    </w:p>
    <w:p w14:paraId="5B0462BE" w14:textId="6312F8F9" w:rsidR="00692502" w:rsidRPr="00D03260" w:rsidRDefault="00860A3B" w:rsidP="00692502">
      <w:pPr>
        <w:pStyle w:val="ListBullet"/>
      </w:pPr>
      <w:r w:rsidRPr="00D03260">
        <w:t>T</w:t>
      </w:r>
      <w:r w:rsidR="00692502" w:rsidRPr="00D03260">
        <w:t>reat obvious diagnosable conditions</w:t>
      </w:r>
      <w:r w:rsidRPr="00D03260">
        <w:t>.</w:t>
      </w:r>
    </w:p>
    <w:p w14:paraId="524D048B" w14:textId="69E655ED" w:rsidR="00692502" w:rsidRPr="00D03260" w:rsidRDefault="00860A3B" w:rsidP="00692502">
      <w:pPr>
        <w:pStyle w:val="ListBullet"/>
      </w:pPr>
      <w:r w:rsidRPr="00D03260">
        <w:t>P</w:t>
      </w:r>
      <w:r w:rsidR="00692502" w:rsidRPr="00D03260">
        <w:t>rovide clinical advice to assist patient with symptom management, including avoiding/minimising exposure to indoor damp and mould, while investigating any differential diagnoses</w:t>
      </w:r>
      <w:r w:rsidR="00443B07" w:rsidRPr="00D03260">
        <w:t xml:space="preserve"> or symptoms</w:t>
      </w:r>
      <w:r w:rsidRPr="00D03260">
        <w:t>.</w:t>
      </w:r>
    </w:p>
    <w:p w14:paraId="6FB41A17" w14:textId="447B4D66" w:rsidR="00692502" w:rsidRPr="00D03260" w:rsidRDefault="00860A3B" w:rsidP="00692502">
      <w:pPr>
        <w:pStyle w:val="ListBullet"/>
      </w:pPr>
      <w:r w:rsidRPr="00D03260">
        <w:t>A</w:t>
      </w:r>
      <w:r w:rsidR="00692502" w:rsidRPr="00D03260">
        <w:t>rrange referral and follow-up and/or other care as required.</w:t>
      </w:r>
    </w:p>
    <w:p w14:paraId="03CBB042" w14:textId="6C798083" w:rsidR="001039C0" w:rsidRPr="00D03260" w:rsidRDefault="000603B6" w:rsidP="000603B6">
      <w:r w:rsidRPr="00D03260">
        <w:t xml:space="preserve">If a person presents with symptoms that suggest the possibility of health </w:t>
      </w:r>
      <w:r w:rsidR="00BF4DDC" w:rsidRPr="00D03260">
        <w:t>effects</w:t>
      </w:r>
      <w:r w:rsidRPr="00D03260">
        <w:t xml:space="preserve"> that have been shown to be associated with exposure to indoor damp and mould, explore how long the person has had the symptoms and their history of possible exposure to indoor damp or mould.</w:t>
      </w:r>
    </w:p>
    <w:p w14:paraId="00EA97BC" w14:textId="33E0EECA" w:rsidR="00143F73" w:rsidRPr="00D03260" w:rsidRDefault="00513178" w:rsidP="00AF1EFC">
      <w:pPr>
        <w:pStyle w:val="NumberedHeading3"/>
        <w:numPr>
          <w:ilvl w:val="0"/>
          <w:numId w:val="0"/>
        </w:numPr>
        <w:ind w:left="1440" w:hanging="1440"/>
      </w:pPr>
      <w:bookmarkStart w:id="97" w:name="_Toc121329119"/>
      <w:bookmarkStart w:id="98" w:name="_Toc141885856"/>
      <w:r w:rsidRPr="00D03260">
        <w:t>2.1.1.</w:t>
      </w:r>
      <w:r w:rsidRPr="00D03260">
        <w:tab/>
      </w:r>
      <w:bookmarkStart w:id="99" w:name="Sect211ClinicalAdviceForMedicalProfessio"/>
      <w:bookmarkEnd w:id="99"/>
      <w:r w:rsidR="00143F73" w:rsidRPr="00D03260">
        <w:t>Clinical advice for medical professionals to identify an association between fungus exposure and increased symptoms</w:t>
      </w:r>
      <w:bookmarkEnd w:id="97"/>
      <w:bookmarkEnd w:id="98"/>
    </w:p>
    <w:p w14:paraId="185E52FF" w14:textId="36C1C603" w:rsidR="00143F73" w:rsidRPr="00D03260" w:rsidRDefault="003F4EB1" w:rsidP="00143F73">
      <w:r w:rsidRPr="00D03260">
        <w:t>In general, p</w:t>
      </w:r>
      <w:r w:rsidR="008A4C39" w:rsidRPr="00D03260">
        <w:t>atients seek medical advice from exposure to mould for several reasons</w:t>
      </w:r>
      <w:r w:rsidRPr="00D03260">
        <w:t xml:space="preserve"> indicated below</w:t>
      </w:r>
      <w:r w:rsidR="008A4C39" w:rsidRPr="00D03260">
        <w:t>:</w:t>
      </w:r>
    </w:p>
    <w:p w14:paraId="1B7093AA" w14:textId="6DBD3432" w:rsidR="00B2737A" w:rsidRPr="00D03260" w:rsidRDefault="00B2737A" w:rsidP="00B2737A">
      <w:pPr>
        <w:pStyle w:val="ListBullet"/>
      </w:pPr>
      <w:r w:rsidRPr="00D03260">
        <w:t xml:space="preserve">They experience health problems, the circumstances of which suggest an environmental-related link to moisture damage and/or mould exposure </w:t>
      </w:r>
      <w:r w:rsidRPr="00D03260">
        <w:fldChar w:fldCharType="begin"/>
      </w:r>
      <w:r w:rsidR="00217980" w:rsidRPr="00D03260">
        <w:instrText xml:space="preserve"> ADDIN ZOTERO_ITEM CSL_CITATION {"citationID":"UT6OTmNl","properties":{"formattedCitation":"(Larenas-Linnemann et al., 2016; Wiesm\\uc0\\u252{}ller et al., 2017)","plainCitation":"(Larenas-Linnemann et al., 2016; Wiesmüller et al., 2017)","noteIndex":0},"citationItems":[{"id":2143,"uris":["http://zotero.org/groups/4371185/items/Z3TX9P6Y"],"itemData":{"id":2143,"type":"article-journal","abstract":"Fungus-sensitized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(Larenas-Linnemann et al., 2016; Wiesmüller et al., 2017)</w:t>
      </w:r>
      <w:r w:rsidRPr="00D03260">
        <w:fldChar w:fldCharType="end"/>
      </w:r>
      <w:r w:rsidR="003F4EB1" w:rsidRPr="00D03260">
        <w:t>.</w:t>
      </w:r>
    </w:p>
    <w:p w14:paraId="48DD8E9D" w14:textId="0E884F57" w:rsidR="00B2737A" w:rsidRPr="00D03260" w:rsidRDefault="00B2737A" w:rsidP="00B2737A">
      <w:pPr>
        <w:pStyle w:val="ListBullet"/>
      </w:pPr>
      <w:r w:rsidRPr="00D03260">
        <w:t xml:space="preserve">They seek care for medical conditions that subsequently turn out to be triggered, at least in part, by fungi </w:t>
      </w:r>
      <w:r w:rsidRPr="00D03260">
        <w:fldChar w:fldCharType="begin"/>
      </w:r>
      <w:r w:rsidR="00217980" w:rsidRPr="00D03260">
        <w:instrText xml:space="preserve"> ADDIN ZOTERO_ITEM CSL_CITATION {"citationID":"8I2XMDvi","properties":{"formattedCitation":"(Larenas-Linnemann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Pr="00D03260">
        <w:fldChar w:fldCharType="separate"/>
      </w:r>
      <w:r w:rsidRPr="00D03260">
        <w:t>(Larenas-Linnemann et al., 2016)</w:t>
      </w:r>
      <w:r w:rsidRPr="00D03260">
        <w:fldChar w:fldCharType="end"/>
      </w:r>
      <w:r w:rsidR="003F4EB1" w:rsidRPr="00D03260">
        <w:t>.</w:t>
      </w:r>
    </w:p>
    <w:p w14:paraId="76B4FD2A" w14:textId="1E5862BF" w:rsidR="00B2737A" w:rsidRPr="00D03260" w:rsidRDefault="00B2737A" w:rsidP="00B2737A">
      <w:pPr>
        <w:pStyle w:val="ListBullet"/>
      </w:pPr>
      <w:r w:rsidRPr="00D03260">
        <w:t xml:space="preserve">They have mood disorders and non-specific symptoms for which there is a clear temporal relationship to certain environmental or ambient conditions or activities </w:t>
      </w:r>
      <w:r w:rsidRPr="00D03260">
        <w:fldChar w:fldCharType="begin"/>
      </w:r>
      <w:r w:rsidR="00217980" w:rsidRPr="00D03260">
        <w:instrText xml:space="preserve"> ADDIN ZOTERO_ITEM CSL_CITATION {"citationID":"wnBkY2A4","properties":{"formattedCitation":"(Wiesm\\uc0\\u252{}ller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003F4EB1" w:rsidRPr="00D03260">
        <w:t>.</w:t>
      </w:r>
    </w:p>
    <w:p w14:paraId="18613630" w14:textId="3FD0FE52" w:rsidR="00B2737A" w:rsidRPr="00D03260" w:rsidRDefault="00B2737A" w:rsidP="00B2737A">
      <w:pPr>
        <w:pStyle w:val="ListBullet"/>
      </w:pPr>
      <w:r w:rsidRPr="00D03260">
        <w:lastRenderedPageBreak/>
        <w:t xml:space="preserve">They are concerned about possible exposure to mould </w:t>
      </w:r>
      <w:r w:rsidR="003678A8" w:rsidRPr="00D03260">
        <w:t xml:space="preserve">[and damp] </w:t>
      </w:r>
      <w:r w:rsidRPr="00D03260">
        <w:t xml:space="preserve">and health effects from exposure to mould </w:t>
      </w:r>
      <w:r w:rsidR="003678A8" w:rsidRPr="00D03260">
        <w:t xml:space="preserve">[and damp] </w:t>
      </w:r>
      <w:r w:rsidRPr="00D03260">
        <w:t xml:space="preserve">that they have observed in their house </w:t>
      </w:r>
      <w:r w:rsidRPr="00D03260">
        <w:fldChar w:fldCharType="begin"/>
      </w:r>
      <w:r w:rsidR="00217980" w:rsidRPr="00D03260">
        <w:instrText xml:space="preserve"> ADDIN ZOTERO_ITEM CSL_CITATION {"citationID":"EQEtVEq2","properties":{"formattedCitation":"(Larenas-Linnemann et al., 2016; Wiesm\\uc0\\u252{}ller et al., 2017)","plainCitation":"(Larenas-Linnemann et al., 2016; Wiesmüller et al., 2017)","noteIndex":0},"citationItems":[{"id":2143,"uris":["http://zotero.org/groups/4371185/items/Z3TX9P6Y"],"itemData":{"id":2143,"type":"article-journal","abstract":"Fungus-sensitized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(Larenas-Linnemann et al., 2016; Wiesmüller et al., 2017)</w:t>
      </w:r>
      <w:r w:rsidRPr="00D03260">
        <w:fldChar w:fldCharType="end"/>
      </w:r>
      <w:r w:rsidR="003F4EB1" w:rsidRPr="00D03260">
        <w:t>.</w:t>
      </w:r>
    </w:p>
    <w:p w14:paraId="646881B6" w14:textId="4FB96DD3" w:rsidR="00B2737A" w:rsidRPr="00D03260" w:rsidRDefault="00B2737A" w:rsidP="00B2737A">
      <w:pPr>
        <w:pStyle w:val="ListBullet"/>
      </w:pPr>
      <w:r w:rsidRPr="00D03260">
        <w:t xml:space="preserve">Measurements are already available </w:t>
      </w:r>
      <w:r w:rsidRPr="00D03260">
        <w:fldChar w:fldCharType="begin"/>
      </w:r>
      <w:r w:rsidR="00217980" w:rsidRPr="00D03260">
        <w:instrText xml:space="preserve"> ADDIN ZOTERO_ITEM CSL_CITATION {"citationID":"HsiNUimG","properties":{"formattedCitation":"(Wiesm\\uc0\\u252{}ller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003F4EB1" w:rsidRPr="00D03260">
        <w:t>.</w:t>
      </w:r>
    </w:p>
    <w:p w14:paraId="00938F4D" w14:textId="41EA10B3" w:rsidR="00143F73" w:rsidRPr="00D03260" w:rsidRDefault="00B2737A" w:rsidP="00B2737A">
      <w:pPr>
        <w:pStyle w:val="ListBullet"/>
      </w:pPr>
      <w:r w:rsidRPr="00D03260">
        <w:t xml:space="preserve">Medical support is sought in rental and construction disputes </w:t>
      </w:r>
      <w:r w:rsidRPr="00D03260">
        <w:fldChar w:fldCharType="begin"/>
      </w:r>
      <w:r w:rsidR="00217980" w:rsidRPr="00D03260">
        <w:instrText xml:space="preserve"> ADDIN ZOTERO_ITEM CSL_CITATION {"citationID":"JXNbzWbR","properties":{"formattedCitation":"(Wiesm\\uc0\\u252{}ller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0B669A99" w14:textId="45904AD5" w:rsidR="00EF5FCA" w:rsidRPr="00D03260" w:rsidRDefault="00EF5FCA" w:rsidP="00EF5FCA">
      <w:r w:rsidRPr="00D03260">
        <w:t xml:space="preserve">Medical history and physical examination are the basic elements of any diagnostic work-up. </w:t>
      </w:r>
      <w:r w:rsidR="0052217B" w:rsidRPr="00D03260">
        <w:t>A</w:t>
      </w:r>
      <w:r w:rsidRPr="00D03260">
        <w:t>ssociation of fungal exposure with increased symptoms of allergic rhinitis, asthma and atopic dermatitis</w:t>
      </w:r>
      <w:r w:rsidR="0052217B" w:rsidRPr="00D03260">
        <w:t xml:space="preserve"> is well established </w:t>
      </w:r>
      <w:r w:rsidR="0052217B" w:rsidRPr="00D03260">
        <w:fldChar w:fldCharType="begin"/>
      </w:r>
      <w:r w:rsidR="0052217B" w:rsidRPr="00D03260">
        <w:instrText xml:space="preserve"> ADDIN ZOTERO_ITEM CSL_CITATION {"citationID":"OSCdqQrg","properties":{"formattedCitation":"(Larenas-Linnemann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0052217B" w:rsidRPr="00D03260">
        <w:fldChar w:fldCharType="separate"/>
      </w:r>
      <w:r w:rsidR="0052217B" w:rsidRPr="00D03260">
        <w:t>(Larenas-Linnemann et al., 2016)</w:t>
      </w:r>
      <w:r w:rsidR="0052217B" w:rsidRPr="00D03260">
        <w:fldChar w:fldCharType="end"/>
      </w:r>
      <w:r w:rsidR="0052217B" w:rsidRPr="00D03260">
        <w:t>.</w:t>
      </w:r>
      <w:r w:rsidRPr="00D03260">
        <w:t xml:space="preserve"> </w:t>
      </w:r>
      <w:r w:rsidR="0052217B" w:rsidRPr="00D03260">
        <w:t xml:space="preserve">Noting this, </w:t>
      </w:r>
      <w:r w:rsidRPr="00D03260">
        <w:t xml:space="preserve">Larenas-Linnemann et al. advised the clinical evaluation of a patient with any one of these conditions is the same regardless of the patient’s fungus sensitivity, beginning with eliciting a history consistent with increased symptoms that are triggered by exposure to the suspected allergen </w:t>
      </w:r>
      <w:r w:rsidRPr="00D03260">
        <w:fldChar w:fldCharType="begin"/>
      </w:r>
      <w:r w:rsidR="00217980" w:rsidRPr="00D03260">
        <w:instrText xml:space="preserve"> ADDIN ZOTERO_ITEM CSL_CITATION {"citationID":"OSCdqQrg","properties":{"formattedCitation":"(Larenas-Linnemann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Pr="00D03260">
        <w:fldChar w:fldCharType="separate"/>
      </w:r>
      <w:r w:rsidRPr="00D03260">
        <w:t>(Larenas-Linnemann et al., 2016)</w:t>
      </w:r>
      <w:r w:rsidRPr="00D03260">
        <w:fldChar w:fldCharType="end"/>
      </w:r>
      <w:r w:rsidRPr="00D03260">
        <w:t>.</w:t>
      </w:r>
    </w:p>
    <w:p w14:paraId="7A45A004" w14:textId="3C800400" w:rsidR="00EF5FCA" w:rsidRPr="00D03260" w:rsidRDefault="00EF5FCA" w:rsidP="00EF5FCA">
      <w:r w:rsidRPr="00D03260">
        <w:t xml:space="preserve">The AWMF guideline advises taking the medical history should involve a holistic approach, </w:t>
      </w:r>
      <w:r w:rsidR="00B43B75" w:rsidRPr="00D03260">
        <w:t>including</w:t>
      </w:r>
      <w:r w:rsidRPr="00D03260">
        <w:t xml:space="preserve"> the psychosocial dimension as well as environmental exposure and aspects of physical disease. The guideline notes giving equal priority to the psychological and social aspects rarely produces difficulties in the consultation setting once the approach has been explained to the patient </w:t>
      </w:r>
      <w:r w:rsidRPr="00D03260">
        <w:fldChar w:fldCharType="begin"/>
      </w:r>
      <w:r w:rsidR="00217980" w:rsidRPr="00D03260">
        <w:instrText xml:space="preserve"> ADDIN ZOTERO_ITEM CSL_CITATION {"citationID":"kdoVWaCi","properties":{"formattedCitation":"(Wiesm\\uc0\\u252{}ller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5C18C1BF" w14:textId="21D0AD85" w:rsidR="00EF5FCA" w:rsidRPr="00D03260" w:rsidRDefault="001E6B0C" w:rsidP="00EF5FCA">
      <w:r w:rsidRPr="00D03260">
        <w:t>In addition to the general and differential diagnostic history, t</w:t>
      </w:r>
      <w:r w:rsidR="00EF5FCA" w:rsidRPr="00D03260">
        <w:t xml:space="preserve">he following elements should be considered </w:t>
      </w:r>
      <w:r w:rsidR="0034135F" w:rsidRPr="00D03260">
        <w:t xml:space="preserve">while taking </w:t>
      </w:r>
      <w:r w:rsidR="00EF5FCA" w:rsidRPr="00D03260">
        <w:t xml:space="preserve">the medical history in the case of suspected </w:t>
      </w:r>
      <w:r w:rsidR="00860A3B" w:rsidRPr="00D03260">
        <w:t>health conditions</w:t>
      </w:r>
      <w:r w:rsidR="005E1D90" w:rsidRPr="00D03260">
        <w:t xml:space="preserve"> </w:t>
      </w:r>
      <w:r w:rsidR="00EF5FCA" w:rsidRPr="00D03260">
        <w:t>due to mould:</w:t>
      </w:r>
    </w:p>
    <w:p w14:paraId="699E5D19" w14:textId="606FF650" w:rsidR="00EA5279" w:rsidRPr="00D03260" w:rsidRDefault="001E6B0C" w:rsidP="00EA5279">
      <w:pPr>
        <w:pStyle w:val="ListBullet"/>
      </w:pPr>
      <w:r w:rsidRPr="00D03260">
        <w:t>h</w:t>
      </w:r>
      <w:r w:rsidR="00EA5279" w:rsidRPr="00D03260">
        <w:t>istory of exposure in the home, in the workplace and during leisure time</w:t>
      </w:r>
    </w:p>
    <w:p w14:paraId="7B666930" w14:textId="42493D5E" w:rsidR="00EA5279" w:rsidRPr="00D03260" w:rsidRDefault="001E6B0C" w:rsidP="00EA5279">
      <w:pPr>
        <w:pStyle w:val="ListBullet"/>
      </w:pPr>
      <w:r w:rsidRPr="00D03260">
        <w:t>h</w:t>
      </w:r>
      <w:r w:rsidR="00EA5279" w:rsidRPr="00D03260">
        <w:t>istory of infections, including predisposing factors</w:t>
      </w:r>
    </w:p>
    <w:p w14:paraId="22DE3FDD" w14:textId="0EC424FB" w:rsidR="00EA5279" w:rsidRPr="00D03260" w:rsidRDefault="001E6B0C" w:rsidP="00EA5279">
      <w:pPr>
        <w:pStyle w:val="ListBullet"/>
      </w:pPr>
      <w:r w:rsidRPr="00D03260">
        <w:t>h</w:t>
      </w:r>
      <w:r w:rsidR="00EA5279" w:rsidRPr="00D03260">
        <w:t>istory of allergies, including predisposing factors</w:t>
      </w:r>
    </w:p>
    <w:p w14:paraId="4344CAA4" w14:textId="15CB5EE5" w:rsidR="00EA5279" w:rsidRPr="00D03260" w:rsidRDefault="001E6B0C" w:rsidP="00EA5279">
      <w:pPr>
        <w:pStyle w:val="ListBullet"/>
      </w:pPr>
      <w:r w:rsidRPr="00D03260">
        <w:t>h</w:t>
      </w:r>
      <w:r w:rsidR="00EA5279" w:rsidRPr="00D03260">
        <w:t>istory about irritant toxic effects</w:t>
      </w:r>
    </w:p>
    <w:p w14:paraId="411EC8C0" w14:textId="36042307" w:rsidR="00EA5279" w:rsidRPr="00D03260" w:rsidRDefault="001E6B0C" w:rsidP="00EA5279">
      <w:pPr>
        <w:pStyle w:val="ListBullet"/>
      </w:pPr>
      <w:r w:rsidRPr="00D03260">
        <w:t>h</w:t>
      </w:r>
      <w:r w:rsidR="00EA5279" w:rsidRPr="00D03260">
        <w:t>istory about mould odours</w:t>
      </w:r>
    </w:p>
    <w:p w14:paraId="3A207CF5" w14:textId="7E8FB603" w:rsidR="00EF5FCA" w:rsidRPr="00D03260" w:rsidRDefault="001E6B0C" w:rsidP="00EA5279">
      <w:pPr>
        <w:pStyle w:val="ListBullet"/>
      </w:pPr>
      <w:r w:rsidRPr="00D03260">
        <w:t>h</w:t>
      </w:r>
      <w:r w:rsidR="00EA5279" w:rsidRPr="00D03260">
        <w:t xml:space="preserve">istory about mood disorders </w:t>
      </w:r>
      <w:r w:rsidR="00EA5279" w:rsidRPr="00D03260">
        <w:fldChar w:fldCharType="begin"/>
      </w:r>
      <w:r w:rsidR="00217980" w:rsidRPr="00D03260">
        <w:instrText xml:space="preserve"> ADDIN ZOTERO_ITEM CSL_CITATION {"citationID":"QnttJmQM","properties":{"formattedCitation":"(Wiesm\\uc0\\u252{}ller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00EA5279" w:rsidRPr="00D03260">
        <w:fldChar w:fldCharType="separate"/>
      </w:r>
      <w:r w:rsidR="00EA5279" w:rsidRPr="00D03260">
        <w:t>(Wiesmüller et al., 2017)</w:t>
      </w:r>
      <w:r w:rsidR="00EA5279" w:rsidRPr="00D03260">
        <w:fldChar w:fldCharType="end"/>
      </w:r>
      <w:r w:rsidR="00EA5279" w:rsidRPr="00D03260">
        <w:t>.</w:t>
      </w:r>
    </w:p>
    <w:p w14:paraId="09002600" w14:textId="4C791106" w:rsidR="00226CD5" w:rsidRPr="00D03260" w:rsidRDefault="008B7D0C" w:rsidP="00CC2F2D">
      <w:r w:rsidRPr="00D03260">
        <w:t>I</w:t>
      </w:r>
      <w:r w:rsidR="00CC2F2D" w:rsidRPr="00D03260">
        <w:t xml:space="preserve">ndoor environments that have high fungal exposure usually </w:t>
      </w:r>
      <w:r w:rsidR="002E078C" w:rsidRPr="00D03260">
        <w:t xml:space="preserve">also </w:t>
      </w:r>
      <w:r w:rsidR="00CC2F2D" w:rsidRPr="00D03260">
        <w:t xml:space="preserve">have increased moisture content such as in a basement or other damp environment </w:t>
      </w:r>
      <w:r w:rsidR="00CC2F2D" w:rsidRPr="00D03260">
        <w:fldChar w:fldCharType="begin"/>
      </w:r>
      <w:r w:rsidR="00217980" w:rsidRPr="00D03260">
        <w:instrText xml:space="preserve"> ADDIN ZOTERO_ITEM CSL_CITATION {"citationID":"b9Eiu3Vg","properties":{"formattedCitation":"(Larenas-Linnemann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00CC2F2D" w:rsidRPr="00D03260">
        <w:fldChar w:fldCharType="separate"/>
      </w:r>
      <w:r w:rsidR="00CC2F2D" w:rsidRPr="00D03260">
        <w:t>(Larenas-Linnemann et al., 2016)</w:t>
      </w:r>
      <w:r w:rsidR="00CC2F2D" w:rsidRPr="00D03260">
        <w:fldChar w:fldCharType="end"/>
      </w:r>
      <w:r w:rsidR="00CC2F2D" w:rsidRPr="00D03260">
        <w:t xml:space="preserve">. Additionally, old buildings were noted as often experiencing moisture problems that </w:t>
      </w:r>
      <w:r w:rsidR="002E078C" w:rsidRPr="00D03260">
        <w:t xml:space="preserve">may </w:t>
      </w:r>
      <w:r w:rsidR="00CC2F2D" w:rsidRPr="00D03260">
        <w:t xml:space="preserve">result in fungal growth. As such Larenas-Linneman et al. advises </w:t>
      </w:r>
      <w:r w:rsidR="002E078C" w:rsidRPr="00D03260">
        <w:t>‘</w:t>
      </w:r>
      <w:r w:rsidR="00CC2F2D" w:rsidRPr="00D03260">
        <w:t>it is helpful to ask if symptoms increase in the presence of dampness, visible mould in the home, and a mouldy odour</w:t>
      </w:r>
      <w:r w:rsidR="002E078C" w:rsidRPr="00D03260">
        <w:t>’</w:t>
      </w:r>
      <w:r w:rsidR="00CC2F2D" w:rsidRPr="00D03260">
        <w:t xml:space="preserve">. They </w:t>
      </w:r>
      <w:r w:rsidR="002E078C" w:rsidRPr="00D03260">
        <w:t>mentioned</w:t>
      </w:r>
      <w:r w:rsidR="00CC2F2D" w:rsidRPr="00D03260">
        <w:t xml:space="preserve"> this question is necessarily non-specific, noting old buildings often have multiple air quality issues such as rodent and cockroach infestations, lack of ventilation and increased particle counts due to decaying organic material that can trigger symptoms </w:t>
      </w:r>
      <w:r w:rsidR="00CC2F2D" w:rsidRPr="00D03260">
        <w:fldChar w:fldCharType="begin"/>
      </w:r>
      <w:r w:rsidR="00217980" w:rsidRPr="00D03260">
        <w:instrText xml:space="preserve"> ADDIN ZOTERO_ITEM CSL_CITATION {"citationID":"7oMfiSMg","properties":{"formattedCitation":"(Larenas-Linnemann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00CC2F2D" w:rsidRPr="00D03260">
        <w:fldChar w:fldCharType="separate"/>
      </w:r>
      <w:r w:rsidR="00CC2F2D" w:rsidRPr="00D03260">
        <w:t>(Larenas-Linnemann et al., 2016)</w:t>
      </w:r>
      <w:r w:rsidR="00CC2F2D" w:rsidRPr="00D03260">
        <w:fldChar w:fldCharType="end"/>
      </w:r>
      <w:r w:rsidR="00CC2F2D" w:rsidRPr="00D03260">
        <w:t xml:space="preserve">. Questions about whether there is visible mould and whether there is a mouldy smell have been shown to correspond to health effects from fungi </w:t>
      </w:r>
      <w:r w:rsidR="00CC2F2D" w:rsidRPr="00D03260">
        <w:fldChar w:fldCharType="begin"/>
      </w:r>
      <w:r w:rsidR="00217980" w:rsidRPr="00D03260">
        <w:instrText xml:space="preserve"> ADDIN ZOTERO_ITEM CSL_CITATION {"citationID":"ftWGPFEf","properties":{"formattedCitation":"(Larenas-Linnemann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00CC2F2D" w:rsidRPr="00D03260">
        <w:fldChar w:fldCharType="separate"/>
      </w:r>
      <w:r w:rsidR="00CC2F2D" w:rsidRPr="00D03260">
        <w:t>(Larenas-Linnemann et al., 2016)</w:t>
      </w:r>
      <w:r w:rsidR="00CC2F2D" w:rsidRPr="00D03260">
        <w:fldChar w:fldCharType="end"/>
      </w:r>
      <w:r w:rsidR="00CC2F2D" w:rsidRPr="00D03260">
        <w:t>.</w:t>
      </w:r>
    </w:p>
    <w:p w14:paraId="099434D6" w14:textId="1A4C72E6" w:rsidR="000E1BF6" w:rsidRPr="00D03260" w:rsidRDefault="00513178" w:rsidP="00AF1EFC">
      <w:pPr>
        <w:pStyle w:val="NumberedHeading3"/>
        <w:numPr>
          <w:ilvl w:val="0"/>
          <w:numId w:val="0"/>
        </w:numPr>
      </w:pPr>
      <w:bookmarkStart w:id="100" w:name="Section212IdentifySusceptiblePeople"/>
      <w:bookmarkStart w:id="101" w:name="_Toc121329120"/>
      <w:bookmarkStart w:id="102" w:name="_Toc141885857"/>
      <w:bookmarkEnd w:id="100"/>
      <w:r w:rsidRPr="00D03260">
        <w:t>2.1.2.</w:t>
      </w:r>
      <w:r w:rsidRPr="00D03260">
        <w:tab/>
      </w:r>
      <w:bookmarkStart w:id="103" w:name="Sect212IdentifySusceptiblePeople"/>
      <w:bookmarkEnd w:id="103"/>
      <w:r w:rsidR="000E1BF6" w:rsidRPr="00D03260">
        <w:t>Identify susceptible people</w:t>
      </w:r>
      <w:bookmarkEnd w:id="101"/>
      <w:bookmarkEnd w:id="102"/>
    </w:p>
    <w:p w14:paraId="5CD25147" w14:textId="1E947ADB" w:rsidR="000C1029" w:rsidRPr="00D03260" w:rsidRDefault="000C1029" w:rsidP="000C1029">
      <w:r w:rsidRPr="00D03260">
        <w:t xml:space="preserve">People with a pre-existing health condition may be vulnerable to ill-health as a result of exposure to indoor damp or mould or poor indoor air quality, including mould </w:t>
      </w:r>
      <w:r w:rsidRPr="00D03260">
        <w:fldChar w:fldCharType="begin"/>
      </w:r>
      <w:r w:rsidR="0097233B" w:rsidRPr="00D03260">
        <w:instrText xml:space="preserve"> ADDIN ZOTERO_ITEM CSL_CITATION {"citationID":"ST741wlW","properties":{"formattedCitation":"(American Industrial Hygiene Association Indoor Environment Quality Committee, 2020; Environmental Health Standing Committee (enHealth) of the Australian Health Protection Principal Committee, 2021; Hurra\\uc0\\u223{} et al., 2017; National Institute for Health Care and Excellence, 2020a; Wiesm\\uc0\\u252{}ller et al., 2017)","plainCitation":"(American Industrial Hygiene Association Indoor Environment Quality Committee, 2020; Environmental Health Standing Committee (enHealth) of the Australian Health Protection Principal Committee, 2021; Hurraß et al., 2017; National Institute for Health Care and Excellence, 2020a; Wiesmüller et al., 2017)","noteIndex":0},"citationItems":[{"id":2174,"uris":["http://zotero.org/groups/4371185/items/D8SE85GU"],"itemData":{"id":2174,"type":"document","publisher":"American Industrial Hygiene Association","title":"Facts About Mold: An AIHA Perspective for IEQ Investigators, Physicians, and Engineers","author":[{"family":"American Industrial Hygiene Association Indoor Environment Quality Committee","given":""}],"issued":{"date-parts":[["2020",7,8]]}}},{"id":2134,"uris":["http://zotero.org/groups/4371185/items/BHB8PKVA"],"itemData":{"id":2134,"type":"document","publisher":"Australian Government Department of Health and Aged Care","title":"Potential health effects of mould in the environment","URL":"https://www.health.gov.au/resources/publications/enhealth-guidance-potential-health-effects-of-mould-in-the-environment","author":[{"family":"Environmental Health Standing Committee (enHealth) of the Australian Health Protection Principal Committee","given":""}],"issued":{"date-parts":[["2021"]]}}},{"id":2217,"uris":["http://zotero.org/groups/4371185/items/542KM3BH"],"itemData":{"id":2217,"type":"article-journal","abstract":"In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2202,"uris":["http://zotero.org/groups/4371185/items/28ZCQD4V"],"itemData":{"id":2202,"type":"document","publisher":"National Institute for Health and Care Excellence","title":"Indoor air quality at home: NICE guideline","author":[{"family":"National Institute for Health Care and Excellence","given":""}],"issued":{"literal":"2020a"}}},{"id":2051,"uris":["http://zotero.org/groups/4371185/items/QZ4VYG6U"],"itemData":{"id":2051,"type":"article-journal","container-title":"Allergo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00707A99" w:rsidRPr="00D03260">
        <w:rPr>
          <w:rFonts w:cs="Arial"/>
        </w:rPr>
        <w:t xml:space="preserve">(American Industrial Hygiene Association Indoor Environment Quality Committee, 2020; Environmental Health Standing Committee (enHealth) of the Australian Health Protection Principal </w:t>
      </w:r>
      <w:r w:rsidR="00707A99" w:rsidRPr="00D03260">
        <w:rPr>
          <w:rFonts w:cs="Arial"/>
        </w:rPr>
        <w:lastRenderedPageBreak/>
        <w:t>Committee, 2021; Hurraß et al., 2017; National Institute for Health Care and Excellence, 2020a; Wiesmüller et al., 2017)</w:t>
      </w:r>
      <w:r w:rsidRPr="00D03260">
        <w:fldChar w:fldCharType="end"/>
      </w:r>
      <w:r w:rsidRPr="00D03260">
        <w:t>.</w:t>
      </w:r>
    </w:p>
    <w:p w14:paraId="0B850802" w14:textId="3727A8BC" w:rsidR="000C1029" w:rsidRPr="00D03260" w:rsidRDefault="000C1029" w:rsidP="000C1029">
      <w:r w:rsidRPr="00D03260">
        <w:t xml:space="preserve">enHealth advises people with weakened immune systems, allergies, severe asthma or lung diseases are more likely to experience symptoms triggered by breathing in mould spores and fragments, as well as being more susceptible to other serious health effects, such as the lung condition aspergillosis (‘Farmer’s lung’) </w:t>
      </w:r>
      <w:r w:rsidRPr="00D03260">
        <w:fldChar w:fldCharType="begin"/>
      </w:r>
      <w:r w:rsidR="0097233B" w:rsidRPr="00D03260">
        <w:instrText xml:space="preserve"> ADDIN ZOTERO_ITEM CSL_CITATION {"citationID":"xZRhLZFr","properties":{"formattedCitation":"(Environmental Health Standing Committee (enHealth) of the Australian Health Protection Principal Committee, 2021)","plainCitation":"(Environmental Health Standing Committee (enHealth) of the Australian Health Protection Principal Committee, 2021)","noteIndex":0},"citationItems":[{"id":2134,"uris":["http://zotero.org/groups/4371185/items/BHB8PKVA"],"itemData":{"id":2134,"type":"document","publisher":"Australian Government Department of Health and Aged Care","title":"Potential health effects of mould in the environment","URL":"https://www.health.gov.au/resources/publications/enhealth-guidance-potential-health-effects-of-mould-in-the-environment","author":[{"family":"Environmental Health Standing Committee (enHealth) of the Australian Health Protection Principal Committee","given":""}],"issued":{"date-parts":[["2021"]]}}}],"schema":"https://github.com/citation-style-language/schema/raw/master/csl-citation.json"} </w:instrText>
      </w:r>
      <w:r w:rsidRPr="00D03260">
        <w:fldChar w:fldCharType="separate"/>
      </w:r>
      <w:r w:rsidRPr="00D03260">
        <w:t>(Environmental Health Standing Committee (enHealth) of the Australian Health Protection Principal Committee, 2021)</w:t>
      </w:r>
      <w:r w:rsidRPr="00D03260">
        <w:fldChar w:fldCharType="end"/>
      </w:r>
      <w:r w:rsidRPr="00D03260">
        <w:t>.</w:t>
      </w:r>
      <w:r w:rsidR="00FE7B82" w:rsidRPr="00D03260">
        <w:t xml:space="preserve"> </w:t>
      </w:r>
    </w:p>
    <w:p w14:paraId="1579981E" w14:textId="4F23FC40" w:rsidR="00D16250" w:rsidRPr="00D03260" w:rsidRDefault="000C1029" w:rsidP="000C1029">
      <w:r w:rsidRPr="00D03260">
        <w:t xml:space="preserve">The AWMF guideline advised </w:t>
      </w:r>
      <w:r w:rsidR="001A7944" w:rsidRPr="00D03260">
        <w:t xml:space="preserve">at </w:t>
      </w:r>
      <w:r w:rsidRPr="00D03260">
        <w:t xml:space="preserve">risk groups warranting particular protection include individuals on immunosuppression, individuals with CF, and individuals with bronchial asthma </w:t>
      </w:r>
      <w:r w:rsidRPr="00D03260">
        <w:fldChar w:fldCharType="begin"/>
      </w:r>
      <w:r w:rsidR="00217980" w:rsidRPr="00D03260">
        <w:instrText xml:space="preserve"> ADDIN ZOTERO_ITEM CSL_CITATION {"citationID":"zumu6cZQ","properties":{"formattedCitation":"(Wiesm\\uc0\\u252{}ller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The evidence review underpinning the AWMF guideline notes the medical history should identify the most vulnerable and sensitive persons like immunocompromised individuals, allergic (atopic) persons and individuals with pre-existing pulmonary diseases like asthma, COPD, and CF </w:t>
      </w:r>
      <w:r w:rsidRPr="00D03260">
        <w:fldChar w:fldCharType="begin"/>
      </w:r>
      <w:r w:rsidR="00217980" w:rsidRPr="00D03260">
        <w:instrText xml:space="preserve"> ADDIN ZOTERO_ITEM CSL_CITATION {"citationID":"418LkqTl","properties":{"formattedCitation":"(Hurra\\uc0\\u223{} et al., 2017)","plainCitation":"(Hurraß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schema":"https://github.com/citation-style-language/schema/raw/master/csl-citation.json"} </w:instrText>
      </w:r>
      <w:r w:rsidRPr="00D03260">
        <w:fldChar w:fldCharType="separate"/>
      </w:r>
      <w:r w:rsidRPr="00D03260">
        <w:t>(Hurraß et al., 2017)</w:t>
      </w:r>
      <w:r w:rsidRPr="00D03260">
        <w:fldChar w:fldCharType="end"/>
      </w:r>
      <w:r w:rsidRPr="00D03260">
        <w:t>. Mould-allergic patients and patients with a weakened immune system should be provided with specialist patient information about the hazards of indoor mould exposure and preventative steps they can take to minimi</w:t>
      </w:r>
      <w:r w:rsidR="002200AD" w:rsidRPr="00D03260">
        <w:t>s</w:t>
      </w:r>
      <w:r w:rsidRPr="00D03260">
        <w:t>e exposure</w:t>
      </w:r>
      <w:r w:rsidR="009D397D" w:rsidRPr="00D03260">
        <w:t xml:space="preserve"> (s</w:t>
      </w:r>
      <w:r w:rsidR="00357471" w:rsidRPr="00D03260">
        <w:t xml:space="preserve">ee </w:t>
      </w:r>
      <w:r w:rsidR="006075AD" w:rsidRPr="00D03260">
        <w:t xml:space="preserve">also </w:t>
      </w:r>
      <w:hyperlink w:anchor="Sect124IndividualsAndPatientsAtRiskOfHea" w:history="1">
        <w:r w:rsidR="007F15B3" w:rsidRPr="00D03260">
          <w:rPr>
            <w:rStyle w:val="Hyperlink"/>
          </w:rPr>
          <w:t>s</w:t>
        </w:r>
        <w:r w:rsidR="00357471" w:rsidRPr="00D03260">
          <w:rPr>
            <w:rStyle w:val="Hyperlink"/>
          </w:rPr>
          <w:t>ection 1.2.4</w:t>
        </w:r>
      </w:hyperlink>
      <w:r w:rsidR="007F15B3" w:rsidRPr="00D03260">
        <w:t xml:space="preserve"> for further details </w:t>
      </w:r>
      <w:r w:rsidR="000056EB" w:rsidRPr="00D03260">
        <w:t>on ‘</w:t>
      </w:r>
      <w:r w:rsidR="00357471" w:rsidRPr="00D03260">
        <w:t xml:space="preserve">Individuals and patients at risk of </w:t>
      </w:r>
      <w:r w:rsidR="00A221C8" w:rsidRPr="00D03260">
        <w:t xml:space="preserve">health effects due to indoor damp and mould or </w:t>
      </w:r>
      <w:r w:rsidR="00A15366" w:rsidRPr="00D03260">
        <w:t>other factors associated with indoor air quality</w:t>
      </w:r>
      <w:r w:rsidR="00387885" w:rsidRPr="00D03260">
        <w:t>)</w:t>
      </w:r>
      <w:r w:rsidR="00A15366" w:rsidRPr="00D03260">
        <w:t xml:space="preserve"> </w:t>
      </w:r>
      <w:r w:rsidR="009D397D" w:rsidRPr="00D03260">
        <w:fldChar w:fldCharType="begin"/>
      </w:r>
      <w:r w:rsidR="009D397D" w:rsidRPr="00D03260">
        <w:instrText xml:space="preserve"> ADDIN ZOTERO_ITEM CSL_CITATION {"citationID":"S28Ohw81","properties":{"formattedCitation":"(Wiesm\\uc0\\u252{}ller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009D397D" w:rsidRPr="00D03260">
        <w:fldChar w:fldCharType="separate"/>
      </w:r>
      <w:r w:rsidR="009D397D" w:rsidRPr="00D03260">
        <w:t>(Wiesmüller et al., 2017)</w:t>
      </w:r>
      <w:r w:rsidR="009D397D" w:rsidRPr="00D03260">
        <w:fldChar w:fldCharType="end"/>
      </w:r>
      <w:r w:rsidR="009D397D" w:rsidRPr="00D03260">
        <w:t>.</w:t>
      </w:r>
    </w:p>
    <w:p w14:paraId="052A11A4" w14:textId="464A1C77" w:rsidR="00B079CC" w:rsidRPr="00D03260" w:rsidRDefault="00513178" w:rsidP="00AF1EFC">
      <w:pPr>
        <w:pStyle w:val="NumberedHeading3"/>
        <w:numPr>
          <w:ilvl w:val="0"/>
          <w:numId w:val="0"/>
        </w:numPr>
      </w:pPr>
      <w:bookmarkStart w:id="104" w:name="Sect213ClinicalExamination"/>
      <w:bookmarkStart w:id="105" w:name="_Toc121329121"/>
      <w:bookmarkStart w:id="106" w:name="_Toc141885858"/>
      <w:bookmarkEnd w:id="104"/>
      <w:r w:rsidRPr="00D03260">
        <w:t>2.1.3.</w:t>
      </w:r>
      <w:r w:rsidRPr="00D03260">
        <w:tab/>
      </w:r>
      <w:r w:rsidR="00B079CC" w:rsidRPr="00D03260">
        <w:t>Clinical examination</w:t>
      </w:r>
      <w:bookmarkEnd w:id="105"/>
      <w:bookmarkEnd w:id="106"/>
    </w:p>
    <w:p w14:paraId="39F3819E" w14:textId="5C4DC50C" w:rsidR="00B079CC" w:rsidRPr="00D03260" w:rsidRDefault="00B079CC" w:rsidP="00B079CC">
      <w:r w:rsidRPr="00D03260">
        <w:t xml:space="preserve">The target organs noted in the medical history should be prioritised in the physical examination, with particular attention paid to the mucosa of the eyes, and, as far as possible, upper airways, as well as to the skin </w:t>
      </w:r>
      <w:r w:rsidRPr="00D03260">
        <w:fldChar w:fldCharType="begin"/>
      </w:r>
      <w:r w:rsidR="00217980" w:rsidRPr="00D03260">
        <w:instrText xml:space="preserve"> ADDIN ZOTERO_ITEM CSL_CITATION {"citationID":"INRY0LDG","properties":{"formattedCitation":"(Wiesm\\uc0\\u252{}ller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This is because the non-specific symptoms that patients often complain relate to these organs in particular </w:t>
      </w:r>
      <w:r w:rsidRPr="00D03260">
        <w:fldChar w:fldCharType="begin"/>
      </w:r>
      <w:r w:rsidR="00217980" w:rsidRPr="00D03260">
        <w:instrText xml:space="preserve"> ADDIN ZOTERO_ITEM CSL_CITATION {"citationID":"cG1x6R2l","properties":{"formattedCitation":"(Wiesm\\uc0\\u252{}ller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The physical examination should follow usual clinical practice, including being performed in a structured and standardised manner and be well-documented </w:t>
      </w:r>
      <w:r w:rsidRPr="00D03260">
        <w:fldChar w:fldCharType="begin"/>
      </w:r>
      <w:r w:rsidR="00217980" w:rsidRPr="00D03260">
        <w:instrText xml:space="preserve"> ADDIN ZOTERO_ITEM CSL_CITATION {"citationID":"hlUAa1cw","properties":{"formattedCitation":"(Wiesm\\uc0\\u252{}ller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1A0025EF" w14:textId="6D59B729" w:rsidR="00B16506" w:rsidRPr="00D03260" w:rsidRDefault="00513178" w:rsidP="00AF1EFC">
      <w:pPr>
        <w:pStyle w:val="NumberedHeading3"/>
        <w:numPr>
          <w:ilvl w:val="0"/>
          <w:numId w:val="0"/>
        </w:numPr>
        <w:ind w:left="1440" w:hanging="1440"/>
      </w:pPr>
      <w:bookmarkStart w:id="107" w:name="Section214ProvideAdviceOnAvoidingOrMinim"/>
      <w:bookmarkStart w:id="108" w:name="_Toc121329122"/>
      <w:bookmarkStart w:id="109" w:name="_Toc141885859"/>
      <w:bookmarkEnd w:id="107"/>
      <w:r w:rsidRPr="00D03260">
        <w:t>2.1.4.</w:t>
      </w:r>
      <w:r w:rsidRPr="00D03260">
        <w:tab/>
      </w:r>
      <w:bookmarkStart w:id="110" w:name="Sect214ProvideAdviceOnAvoidingOrMinimisi"/>
      <w:bookmarkEnd w:id="110"/>
      <w:r w:rsidR="00B16506" w:rsidRPr="00D03260">
        <w:t>Provide advice on avoiding or minimising exposure to indoor damp or mould, while investigating any differential diagnosis</w:t>
      </w:r>
      <w:bookmarkEnd w:id="108"/>
      <w:bookmarkEnd w:id="109"/>
    </w:p>
    <w:p w14:paraId="7FBFA812" w14:textId="4E4976BF" w:rsidR="00C85EE6" w:rsidRPr="00D03260" w:rsidRDefault="00C85EE6" w:rsidP="00C85EE6">
      <w:r w:rsidRPr="00D03260">
        <w:t xml:space="preserve">Australian and international advice is consistent in that exposure to indoor mould should be minimised or avoided, and dampness and mould-related problems should be prevented </w:t>
      </w:r>
      <w:r w:rsidR="00252A7C" w:rsidRPr="00D03260">
        <w:t>and</w:t>
      </w:r>
      <w:r w:rsidR="00DA7ABC" w:rsidRPr="00D03260">
        <w:t>,</w:t>
      </w:r>
      <w:r w:rsidR="00252A7C" w:rsidRPr="00D03260">
        <w:t xml:space="preserve"> when present, re</w:t>
      </w:r>
      <w:r w:rsidR="00B91BB1" w:rsidRPr="00D03260">
        <w:t xml:space="preserve">mediated, </w:t>
      </w:r>
      <w:r w:rsidRPr="00D03260">
        <w:t xml:space="preserve">even in the absence of health effects/symptoms </w:t>
      </w:r>
      <w:r w:rsidRPr="00D03260">
        <w:fldChar w:fldCharType="begin"/>
      </w:r>
      <w:r w:rsidR="0097233B" w:rsidRPr="00D03260">
        <w:instrText xml:space="preserve"> ADDIN ZOTERO_ITEM CSL_CITATION {"citationID":"rfANLV28","properties":{"formattedCitation":"(Denning &amp; Chakrabarti, 2017; Environmental Health Standing Committee (enHealth) of the Australian Health Protection Principal Committee, 2021; Hurra\\uc0\\u223{} et al., 2017; Larenas-Linnemann et al., 2016; Wiesm\\uc0\\u252{}ller et al., 2017)","plainCitation":"(Denning &amp; Chakrabarti, 2017; Environmental Health Standing Committee (enHealth) of the Australian Health Protection Principal Committee, 2021; Hurraß et al., 2017; Larenas-Linnemann et al., 2016; Wiesmüller et al., 2017)","noteIndex":0},"citationItems":[{"id":2226,"uris":["http://zotero.org/groups/4371185/items/7XNKPSYV"],"itemData":{"id":2226,"type":"article-journal","abstract":"The human respiratory tract is exposed daily to airborne fungi, fungal enzymes, and secondary metabolites. The endemic fungi Histoplasma capsulatum, Coccidioides spp,  Blastomyces dermatitidis, and Paracoccidioides brasiliensis, and occasionally  Aspergillus fumigatus, are primary pulmonary pathogens of otherwise healthy people.  Such infections resolve in most people, and only a few infections lead to disease.  However, many fungi are directly allergenic by colonising the respiratory tract or  indirectly through contact with cell wall constituents and proteases, causing or  exacerbating allergic disease. Increasing evidence implicates high indoor fungal  exposures as a precipitant of asthma in children and in worsening asthma symptoms.  Lung or airways infection by endemic fungi or aspergillus can be diagnosed with  respiratory sample culture or serum IgG testing. Sputum, induced sputum, or  bronchial specimens are all suitable specimens for detecting fungi; microscopy,  fungal culture, galactomannan antigen, and aspergillus PCR are useful tests.  Antifungal treatment is indicated in almost all patients with chronic cavitary  pulmonary infections, chronic invasive and granulomatous rhinosinusitis, and  aspergillus bronchitis. Most patients with fungal asthma benefit from antifungal  therapy. Adverse reactions to oral azoles, drug interactions, and azole resistance  in Aspergillus spp limit therapy. Environmental exposures, genetic factors, and  structural pulmonary risk factors probably underlie disease but are poorly  understood.","container-title":"The Lancet. Infectious diseases","DOI":"10.1016/S1473-3099(17)30309-2","ISSN":"1474-4457 1473-3099","issue":"11","journalAbbreviation":"Lancet Infect Dis","language":"eng","license":"Copyright © 2017 Elsevier Ltd. All rights reserved.","note":"publisher-place: United States\nPMID: 28774699","page":"e357-e366","title":"Pulmonary and sinus fungal diseases in non-immunocompromised patients.","volume":"17","author":[{"family":"Denning","given":"David W."},{"family":"Chakrabarti","given":"Arunaloke"}],"issued":{"date-parts":[["2017",11]]}}},{"id":2134,"uris":["http://zotero.org/groups/4371185/items/BHB8PKVA"],"itemData":{"id":2134,"type":"document","publisher":"Australian Government Department of Health and Aged Care","title":"Potential health effects of mould in the environment","URL":"https://www.health.gov.au/resources/publications/enhealth-guidance-potential-health-effects-of-mould-in-the-environment","author":[{"family":"Environmental Health Standing Committee (enHealth) of the Australian Health Protection Principal Committee","given":""}],"issued":{"date-parts":[["2021"]]}}},{"id":2217,"uris":["http://zotero.org/groups/4371185/items/542KM3BH"],"itemData":{"id":2217,"type":"article-journal","abstract":"In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(Denning &amp; Chakrabarti, 2017; Environmental Health Standing Committee (enHealth) of the Australian Health Protection Principal Committee, 2021; Hurraß et al., 2017; Larenas-Linnemann et al., 2016; Wiesmüller et al., 2017)</w:t>
      </w:r>
      <w:r w:rsidRPr="00D03260">
        <w:fldChar w:fldCharType="end"/>
      </w:r>
      <w:r w:rsidRPr="00D03260">
        <w:t>.</w:t>
      </w:r>
    </w:p>
    <w:p w14:paraId="41CA304D" w14:textId="33C07F7F" w:rsidR="00C85EE6" w:rsidRPr="00D03260" w:rsidRDefault="00513178" w:rsidP="00C6799E">
      <w:pPr>
        <w:pStyle w:val="NumberedHeading4"/>
      </w:pPr>
      <w:bookmarkStart w:id="111" w:name="_Toc121329123"/>
      <w:bookmarkStart w:id="112" w:name="_Toc141885860"/>
      <w:r w:rsidRPr="00D03260">
        <w:t>2.1.4.1.</w:t>
      </w:r>
      <w:r w:rsidRPr="00D03260">
        <w:tab/>
      </w:r>
      <w:r w:rsidR="00C85EE6" w:rsidRPr="00D03260">
        <w:t xml:space="preserve">Official </w:t>
      </w:r>
      <w:r w:rsidR="00B320B2" w:rsidRPr="00D03260">
        <w:t>Australian advice (enHealth)</w:t>
      </w:r>
      <w:bookmarkEnd w:id="111"/>
      <w:bookmarkEnd w:id="112"/>
    </w:p>
    <w:p w14:paraId="0FE4CCB0" w14:textId="0FB4DE2A" w:rsidR="001D2E3C" w:rsidRPr="00D03260" w:rsidRDefault="00746BD5" w:rsidP="002B2090">
      <w:pPr>
        <w:rPr>
          <w:rStyle w:val="Hyperlink"/>
        </w:rPr>
      </w:pPr>
      <w:r w:rsidRPr="00D03260">
        <w:t xml:space="preserve">Provide patients with a hard copy handout of the enHealth factsheet on </w:t>
      </w:r>
      <w:r w:rsidR="00630FDD" w:rsidRPr="00D03260">
        <w:t xml:space="preserve">potential health effects of </w:t>
      </w:r>
      <w:r w:rsidRPr="00D03260">
        <w:t>mould</w:t>
      </w:r>
      <w:r w:rsidR="001D2E3C" w:rsidRPr="00D03260">
        <w:t xml:space="preserve"> in the environment</w:t>
      </w:r>
      <w:r w:rsidR="00173943" w:rsidRPr="00D03260">
        <w:t>.</w:t>
      </w:r>
      <w:r w:rsidR="00553DD3" w:rsidRPr="00D03260">
        <w:t xml:space="preserve"> The enHealth factsheet </w:t>
      </w:r>
      <w:r w:rsidR="00095ECF" w:rsidRPr="00D03260">
        <w:fldChar w:fldCharType="begin"/>
      </w:r>
      <w:r w:rsidR="00095ECF" w:rsidRPr="00D03260">
        <w:instrText xml:space="preserve"> ADDIN ZOTERO_ITEM CSL_CITATION {"citationID":"4lZ5SmHt","properties":{"formattedCitation":"(Environmental Health Standing Committee (enHealth) of the Australian Health Protection Principal Committee, 2021)","plainCitation":"(Environmental Health Standing Committee (enHealth) of the Australian Health Protection Principal Committee, 2021)","noteIndex":0},"citationItems":[{"id":2134,"uris":["http://zotero.org/groups/4371185/items/BHB8PKVA"],"itemData":{"id":2134,"type":"document","publisher":"Australian Government Department of Health and Aged Care","title":"Potential health effects of mould in the environment","URL":"https://www.health.gov.au/resources/publications/enhealth-guidance-potential-health-effects-of-mould-in-the-environment","author":[{"family":"Environmental Health Standing Committee (enHealth) of the Australian Health Protection Principal Committee","given":""}],"issued":{"date-parts":[["2021"]]}}}],"schema":"https://github.com/citation-style-language/schema/raw/master/csl-citation.json"} </w:instrText>
      </w:r>
      <w:r w:rsidR="00095ECF" w:rsidRPr="00D03260">
        <w:fldChar w:fldCharType="separate"/>
      </w:r>
      <w:r w:rsidR="00095ECF" w:rsidRPr="00D03260">
        <w:rPr>
          <w:rFonts w:cs="Arial"/>
        </w:rPr>
        <w:t>(Environmental Health Standing Committee (enHealth) of the Australian Health Protection Principal Committee, 2021)</w:t>
      </w:r>
      <w:r w:rsidR="00095ECF" w:rsidRPr="00D03260">
        <w:fldChar w:fldCharType="end"/>
      </w:r>
      <w:r w:rsidR="00095ECF" w:rsidRPr="00D03260">
        <w:t xml:space="preserve"> </w:t>
      </w:r>
      <w:r w:rsidR="00553DD3" w:rsidRPr="00D03260">
        <w:t xml:space="preserve">is provided at </w:t>
      </w:r>
      <w:hyperlink w:anchor="AppendixDenHealthFactsheetOnPotentialHea" w:history="1">
        <w:r w:rsidR="00553DD3" w:rsidRPr="00D03260">
          <w:rPr>
            <w:rStyle w:val="Hyperlink"/>
          </w:rPr>
          <w:t>Appendix D</w:t>
        </w:r>
      </w:hyperlink>
      <w:r w:rsidR="00553DD3" w:rsidRPr="00D03260">
        <w:t xml:space="preserve">. </w:t>
      </w:r>
      <w:r w:rsidR="002B2090" w:rsidRPr="00D03260">
        <w:t xml:space="preserve">It is available </w:t>
      </w:r>
      <w:r w:rsidR="008D1016" w:rsidRPr="00D03260">
        <w:t xml:space="preserve">on the </w:t>
      </w:r>
      <w:r w:rsidR="00095ECF" w:rsidRPr="00D03260">
        <w:t>Department’s website at</w:t>
      </w:r>
      <w:r w:rsidR="002B2090" w:rsidRPr="00D03260">
        <w:t xml:space="preserve"> </w:t>
      </w:r>
      <w:hyperlink r:id="rId53" w:history="1">
        <w:r w:rsidR="00DB5E84" w:rsidRPr="00D03260">
          <w:rPr>
            <w:rStyle w:val="Hyperlink"/>
            <w:szCs w:val="21"/>
          </w:rPr>
          <w:t>https://www.health.gov.au/resources/publications/enhealth-guidance-potential-health-effects-of-mould-in-the-environment</w:t>
        </w:r>
      </w:hyperlink>
      <w:r w:rsidR="00213298" w:rsidRPr="00D03260">
        <w:t>.</w:t>
      </w:r>
    </w:p>
    <w:p w14:paraId="4CD44A8F" w14:textId="414588C1" w:rsidR="00875B1C" w:rsidRPr="00D03260" w:rsidRDefault="005E30DA" w:rsidP="00875B1C">
      <w:r w:rsidRPr="00D03260">
        <w:t>enHealth</w:t>
      </w:r>
      <w:r w:rsidR="00CD0B0B" w:rsidRPr="00D03260">
        <w:t xml:space="preserve"> factsheet</w:t>
      </w:r>
      <w:r w:rsidR="00E276DC" w:rsidRPr="00D03260">
        <w:t xml:space="preserve"> </w:t>
      </w:r>
      <w:r w:rsidR="00CD0B0B" w:rsidRPr="00D03260">
        <w:t>include</w:t>
      </w:r>
      <w:r w:rsidR="00926297" w:rsidRPr="00D03260">
        <w:t>s</w:t>
      </w:r>
      <w:r w:rsidR="00CD0B0B" w:rsidRPr="00D03260">
        <w:t xml:space="preserve"> </w:t>
      </w:r>
      <w:r w:rsidR="00280667" w:rsidRPr="00D03260">
        <w:t>the following</w:t>
      </w:r>
      <w:r w:rsidR="00095ECF" w:rsidRPr="00D03260">
        <w:t xml:space="preserve"> </w:t>
      </w:r>
      <w:r w:rsidR="00CD0B0B" w:rsidRPr="00D03260">
        <w:t>advice</w:t>
      </w:r>
      <w:r w:rsidR="00875B1C" w:rsidRPr="00D03260">
        <w:t>:</w:t>
      </w:r>
    </w:p>
    <w:p w14:paraId="3CE819AE" w14:textId="5364A369" w:rsidR="001F462C" w:rsidRPr="00D03260" w:rsidRDefault="001F462C" w:rsidP="001F462C">
      <w:pPr>
        <w:pStyle w:val="ListBullet"/>
      </w:pPr>
      <w:r w:rsidRPr="00D03260">
        <w:t>Dampness and mould related problems should be prevented. When they occur, they should be rectified</w:t>
      </w:r>
      <w:r w:rsidR="00D001CD" w:rsidRPr="00D03260">
        <w:t xml:space="preserve"> –</w:t>
      </w:r>
      <w:r w:rsidRPr="00D03260">
        <w:t xml:space="preserve"> remove mould where present, find it when you smell it, </w:t>
      </w:r>
      <w:proofErr w:type="gramStart"/>
      <w:r w:rsidRPr="00D03260">
        <w:t>repair</w:t>
      </w:r>
      <w:proofErr w:type="gramEnd"/>
      <w:r w:rsidRPr="00D03260">
        <w:t xml:space="preserve"> and control sources of excessive moisture – this is the best approach for controlling potential health risks</w:t>
      </w:r>
      <w:r w:rsidR="00A322CC" w:rsidRPr="00D03260">
        <w:t xml:space="preserve">. </w:t>
      </w:r>
    </w:p>
    <w:p w14:paraId="2F2DF431" w14:textId="32E8BC5C" w:rsidR="001F462C" w:rsidRPr="00D03260" w:rsidRDefault="001F462C" w:rsidP="001F462C">
      <w:pPr>
        <w:pStyle w:val="ListBullet"/>
      </w:pPr>
      <w:r w:rsidRPr="00D03260">
        <w:t>There is no exposure limit or health guideline value for exposure to mould</w:t>
      </w:r>
      <w:r w:rsidR="003055EA" w:rsidRPr="00D03260">
        <w:rPr>
          <w:rStyle w:val="FootnoteReference"/>
        </w:rPr>
        <w:footnoteReference w:id="4"/>
      </w:r>
      <w:r w:rsidR="00095ECF" w:rsidRPr="00D03260">
        <w:t>.</w:t>
      </w:r>
      <w:r w:rsidRPr="00D03260">
        <w:t>Where possible, exposure to mould should be minimised – this is particularly recommended for people who are more sensitive to mould exposure</w:t>
      </w:r>
      <w:r w:rsidR="00095ECF" w:rsidRPr="00D03260">
        <w:t>.</w:t>
      </w:r>
    </w:p>
    <w:p w14:paraId="10FDB653" w14:textId="001B60D3" w:rsidR="001F462C" w:rsidRPr="00D03260" w:rsidRDefault="001F462C" w:rsidP="001F462C">
      <w:pPr>
        <w:pStyle w:val="ListBullet"/>
      </w:pPr>
      <w:r w:rsidRPr="00D03260">
        <w:t>Although mould naturally occurs in the environment and can be found almost anywhere, it requires damp surfaces and moisture to grow. People can reduce their exposure through simple measures, however there is no practical way to eliminate all exposure to mould</w:t>
      </w:r>
      <w:r w:rsidR="00095ECF" w:rsidRPr="00D03260">
        <w:t>.</w:t>
      </w:r>
    </w:p>
    <w:p w14:paraId="70483C4E" w14:textId="355E2218" w:rsidR="001F462C" w:rsidRPr="00D03260" w:rsidRDefault="001F462C" w:rsidP="001F462C">
      <w:pPr>
        <w:pStyle w:val="ListBullet"/>
      </w:pPr>
      <w:r w:rsidRPr="00D03260">
        <w:t xml:space="preserve">Indoors, people should: prevent moisture and dampness and ensure adequate ventilation – this will minimise current and future mould growth; fix leaky plumbing, </w:t>
      </w:r>
      <w:proofErr w:type="gramStart"/>
      <w:r w:rsidRPr="00D03260">
        <w:t>roofs</w:t>
      </w:r>
      <w:proofErr w:type="gramEnd"/>
      <w:r w:rsidRPr="00D03260">
        <w:t xml:space="preserve"> and other building faults; clear and maintain gutters; and reduce and remove condensation (e.g.</w:t>
      </w:r>
      <w:r w:rsidR="000800FF" w:rsidRPr="00D03260">
        <w:t>,</w:t>
      </w:r>
      <w:r w:rsidR="00BF4ACA" w:rsidRPr="00D03260">
        <w:t> </w:t>
      </w:r>
      <w:r w:rsidRPr="00D03260">
        <w:t>use exhaust fans and wipe up excess water)</w:t>
      </w:r>
      <w:r w:rsidR="00095ECF" w:rsidRPr="00D03260">
        <w:t>.</w:t>
      </w:r>
    </w:p>
    <w:p w14:paraId="1E3E7858" w14:textId="28815978" w:rsidR="000056EB" w:rsidRPr="00D03260" w:rsidRDefault="001F462C" w:rsidP="001F462C">
      <w:pPr>
        <w:pStyle w:val="ListBullet"/>
      </w:pPr>
      <w:r w:rsidRPr="00D03260">
        <w:t>Homes with inadequate ventilation resulting from poor design, modifications or lack of maintenance may be more prone to developing mould. The cheapest and easiest way of reducing indoor moisture and humidity is by ventilating a room by opening a door or window</w:t>
      </w:r>
      <w:r w:rsidR="00247A60" w:rsidRPr="00D03260">
        <w:t>.</w:t>
      </w:r>
    </w:p>
    <w:p w14:paraId="785821C9" w14:textId="7AD244A4" w:rsidR="001039C0" w:rsidRPr="00D03260" w:rsidRDefault="00513178" w:rsidP="00C6799E">
      <w:pPr>
        <w:pStyle w:val="NumberedHeading4"/>
      </w:pPr>
      <w:bookmarkStart w:id="113" w:name="_Toc121329124"/>
      <w:bookmarkStart w:id="114" w:name="_Toc141885861"/>
      <w:r w:rsidRPr="00D03260">
        <w:t>2.1.</w:t>
      </w:r>
      <w:r w:rsidR="00A436C2" w:rsidRPr="00D03260">
        <w:t>4.2.</w:t>
      </w:r>
      <w:r w:rsidR="00A436C2" w:rsidRPr="00D03260">
        <w:tab/>
      </w:r>
      <w:r w:rsidR="006F36D3" w:rsidRPr="00D03260">
        <w:t>e</w:t>
      </w:r>
      <w:r w:rsidR="00876AA3" w:rsidRPr="00D03260">
        <w:t>nHealth advice on how to remove mould from a home</w:t>
      </w:r>
      <w:bookmarkEnd w:id="113"/>
      <w:bookmarkEnd w:id="114"/>
    </w:p>
    <w:p w14:paraId="4BEA2187" w14:textId="17E6CF64" w:rsidR="00250D95" w:rsidRPr="00D03260" w:rsidRDefault="006F36D3" w:rsidP="00250D95">
      <w:r w:rsidRPr="00D03260">
        <w:t>e</w:t>
      </w:r>
      <w:r w:rsidR="00250D95" w:rsidRPr="00D03260">
        <w:t>nHealth advice is that if a person can see or smell mould (often a dirty or earthy smell), they need to clean it up as mould can damage surfaces it grows on and affect their health. If the person decides to remove the mould themselves, make sure there is good ventilation and wear protective clothing</w:t>
      </w:r>
      <w:r w:rsidR="006776C0" w:rsidRPr="00D03260">
        <w:t>.</w:t>
      </w:r>
      <w:r w:rsidR="00250D95" w:rsidRPr="00D03260">
        <w:t xml:space="preserve"> </w:t>
      </w:r>
      <w:r w:rsidR="006776C0" w:rsidRPr="00D03260">
        <w:t>F</w:t>
      </w:r>
      <w:r w:rsidR="00250D95" w:rsidRPr="00D03260">
        <w:t>or example, wear a shower cap and use gloves, eye protection, overalls, suitable footwear, and a P1 or P2</w:t>
      </w:r>
      <w:r w:rsidR="00C15B1A" w:rsidRPr="00D03260">
        <w:rPr>
          <w:rStyle w:val="FootnoteReference"/>
        </w:rPr>
        <w:footnoteReference w:id="5"/>
      </w:r>
      <w:r w:rsidR="00250D95" w:rsidRPr="00D03260">
        <w:t xml:space="preserve"> face mask </w:t>
      </w:r>
      <w:r w:rsidR="00250D95" w:rsidRPr="00D03260">
        <w:fldChar w:fldCharType="begin"/>
      </w:r>
      <w:r w:rsidR="0097233B" w:rsidRPr="00D03260">
        <w:instrText xml:space="preserve"> ADDIN ZOTERO_ITEM CSL_CITATION {"citationID":"ZxmGGECG","properties":{"formattedCitation":"(Environmental Health Standing Committee (enHealth) of the Australian Health Protection Principal Committee, 2021)","plainCitation":"(Environmental Health Standing Committee (enHealth) of the Australian Health Protection Principal Committee, 2021)","noteIndex":0},"citationItems":[{"id":2134,"uris":["http://zotero.org/groups/4371185/items/BHB8PKVA"],"itemData":{"id":2134,"type":"document","publisher":"Australian Government Department of Health and Aged Care","title":"Potential health effects of mould in the environment","URL":"https://www.health.gov.au/resources/publications/enhealth-guidance-potential-health-effects-of-mould-in-the-environment","author":[{"family":"Environmental Health Standing Committee (enHealth) of the Australian Health Protection Principal Committee","given":""}],"issued":{"date-parts":[["2021"]]}}}],"schema":"https://github.com/citation-style-language/schema/raw/master/csl-citation.json"} </w:instrText>
      </w:r>
      <w:r w:rsidR="00250D95" w:rsidRPr="00D03260">
        <w:fldChar w:fldCharType="separate"/>
      </w:r>
      <w:r w:rsidR="00250D95" w:rsidRPr="00D03260">
        <w:t>(Environmental Health Standing Committee (enHealth) of the Australian Health Protection Principal Committee, 2021)</w:t>
      </w:r>
      <w:r w:rsidR="00250D95" w:rsidRPr="00D03260">
        <w:fldChar w:fldCharType="end"/>
      </w:r>
      <w:r w:rsidR="00250D95" w:rsidRPr="00D03260">
        <w:t>.</w:t>
      </w:r>
    </w:p>
    <w:p w14:paraId="70150D9C" w14:textId="3F43551B" w:rsidR="00250D95" w:rsidRPr="00D03260" w:rsidRDefault="00250D95" w:rsidP="00250D95">
      <w:r w:rsidRPr="00D03260">
        <w:t>Household detergent or white vinegar is usually sufficient to clean the mould. Use a microfibre cloth and rinse the dirty cloth regularly in a separate container of clean water to prevent spreading the mould. DO NOT dry brush the mould area, as the brush can flick spores into the air where they may be breathed in. Contaminated soft furnishings may be difficult to clean and may need to be thrown away.</w:t>
      </w:r>
    </w:p>
    <w:p w14:paraId="72B80F9B" w14:textId="304152F0" w:rsidR="00A66AC6" w:rsidRPr="00D03260" w:rsidRDefault="00250D95" w:rsidP="00250D95">
      <w:r w:rsidRPr="00D03260">
        <w:t xml:space="preserve">If there are large areas of mould or mould regrowth, people should consult a remediation professional. Some mould </w:t>
      </w:r>
      <w:r w:rsidR="00080BF2" w:rsidRPr="00D03260">
        <w:t>may</w:t>
      </w:r>
      <w:r w:rsidR="00E50735" w:rsidRPr="00D03260">
        <w:t xml:space="preserve"> </w:t>
      </w:r>
      <w:r w:rsidRPr="00D03260">
        <w:t xml:space="preserve">not </w:t>
      </w:r>
      <w:r w:rsidR="00E50735" w:rsidRPr="00D03260">
        <w:t>be</w:t>
      </w:r>
      <w:r w:rsidRPr="00D03260">
        <w:t xml:space="preserve"> visible as it might be in a roof space, behind a wall or under floor coverings, so people may need to consult a professional if they can smell but can’t see it </w:t>
      </w:r>
      <w:r w:rsidRPr="00D03260">
        <w:fldChar w:fldCharType="begin"/>
      </w:r>
      <w:r w:rsidR="0097233B" w:rsidRPr="00D03260">
        <w:instrText xml:space="preserve"> ADDIN ZOTERO_ITEM CSL_CITATION {"citationID":"rzXHcBrC","properties":{"formattedCitation":"(Environmental Health Standing Committee (enHealth) of the Australian Health Protection Principal Committee, 2021)","plainCitation":"(Environmental Health Standing Committee (enHealth) of the Australian Health Protection Principal Committee, 2021)","noteIndex":0},"citationItems":[{"id":2134,"uris":["http://zotero.org/groups/4371185/items/BHB8PKVA"],"itemData":{"id":2134,"type":"document","publisher":"Australian Government Department of Health and Aged Care","title":"Potential health effects of mould in the environment","URL":"https://www.health.gov.au/resources/publications/enhealth-guidance-potential-health-effects-of-mould-in-the-environment","author":[{"family":"Environmental Health Standing Committee (enHealth) of the Australian Health Protection Principal Committee","given":""}],"issued":{"date-parts":[["2021"]]}}}],"schema":"https://github.com/citation-style-language/schema/raw/master/csl-citation.json"} </w:instrText>
      </w:r>
      <w:r w:rsidRPr="00D03260">
        <w:fldChar w:fldCharType="separate"/>
      </w:r>
      <w:r w:rsidRPr="00D03260">
        <w:t xml:space="preserve">(Environmental Health Standing Committee (enHealth) of the Australian Health </w:t>
      </w:r>
      <w:r w:rsidRPr="00D03260">
        <w:lastRenderedPageBreak/>
        <w:t>Protection Principal Committee, 2021)</w:t>
      </w:r>
      <w:r w:rsidRPr="00D03260">
        <w:fldChar w:fldCharType="end"/>
      </w:r>
      <w:r w:rsidRPr="00D03260">
        <w:t>.</w:t>
      </w:r>
      <w:r w:rsidR="009E75F1" w:rsidRPr="00D03260">
        <w:t xml:space="preserve"> enHealth advises people that occupational hygienists provide consultancy services at a fee to remove mould, locate mould by inspections (if it can be smelled but not seen), or to find a solution. Australian occupational hygienists</w:t>
      </w:r>
      <w:r w:rsidR="00860A3B" w:rsidRPr="00D03260">
        <w:t xml:space="preserve"> can be found at</w:t>
      </w:r>
      <w:r w:rsidR="000E5531" w:rsidRPr="00D03260">
        <w:t xml:space="preserve"> </w:t>
      </w:r>
      <w:hyperlink r:id="rId54" w:history="1">
        <w:r w:rsidR="009E00B1" w:rsidRPr="00D03260">
          <w:rPr>
            <w:rStyle w:val="Hyperlink"/>
          </w:rPr>
          <w:t>https://www.aioh.org.au/resources/consultants/</w:t>
        </w:r>
      </w:hyperlink>
      <w:r w:rsidR="009E75F1" w:rsidRPr="00D03260">
        <w:t>.</w:t>
      </w:r>
      <w:r w:rsidR="005A5A4A" w:rsidRPr="00D03260">
        <w:t xml:space="preserve"> </w:t>
      </w:r>
    </w:p>
    <w:p w14:paraId="1A3BA9EB" w14:textId="7C4CAD6C" w:rsidR="00250D95" w:rsidRPr="00D03260" w:rsidRDefault="00976800" w:rsidP="00250D95">
      <w:r w:rsidRPr="00D03260">
        <w:t>Separately to this Clinical Pathway, t</w:t>
      </w:r>
      <w:r w:rsidR="00250D95" w:rsidRPr="00D03260">
        <w:t xml:space="preserve">he Australian Government </w:t>
      </w:r>
      <w:r w:rsidR="00250D95" w:rsidRPr="00D03260">
        <w:fldChar w:fldCharType="begin"/>
      </w:r>
      <w:r w:rsidR="00217980" w:rsidRPr="00D03260">
        <w:instrText xml:space="preserve"> ADDIN ZOTERO_ITEM CSL_CITATION {"citationID":"HsvKsNrZ","properties":{"formattedCitation":"(Australian Government, 2020)","plainCitation":"(Australian Government, 2020)","noteIndex":0},"citationItems":[{"id":2185,"uris":["http://zotero.org/groups/4371185/items/F9NCNQWU"],"itemData":{"id":2185,"type":"document","title":"Australian Government response to the House of Representatives Standing Committee on Health, Aged Care and Sport report: Inquiry into Biotoxin-related Illness in Australia","author":[{"family":"Australian Government","given":""}],"issued":{"date-parts":[["2020",3]]}}}],"schema":"https://github.com/citation-style-language/schema/raw/master/csl-citation.json"} </w:instrText>
      </w:r>
      <w:r w:rsidR="00250D95" w:rsidRPr="00D03260">
        <w:fldChar w:fldCharType="separate"/>
      </w:r>
      <w:r w:rsidR="00250D95" w:rsidRPr="00D03260">
        <w:t>(Australian Government, 2020)</w:t>
      </w:r>
      <w:r w:rsidR="00250D95" w:rsidRPr="00D03260">
        <w:fldChar w:fldCharType="end"/>
      </w:r>
      <w:r w:rsidR="00250D95" w:rsidRPr="00D03260">
        <w:t xml:space="preserve"> is addressing issues of the prevalence of dampness and mould in the built environment; and testing and remediation of buildings affected by water damage and/or mould </w:t>
      </w:r>
      <w:r w:rsidRPr="00D03260">
        <w:t xml:space="preserve">as part of other key recommendations from the Report </w:t>
      </w:r>
      <w:r w:rsidR="00250D95" w:rsidRPr="00D03260">
        <w:fldChar w:fldCharType="begin"/>
      </w:r>
      <w:r w:rsidR="00217980" w:rsidRPr="00D03260">
        <w:instrText xml:space="preserve"> ADDIN ZOTERO_ITEM CSL_CITATION {"citationID":"AKOVfHvH","properties":{"formattedCitation":"(House of Representatives Standing Committee on Health, Aged Care and Sport, 2018)","plainCitation":"(House of Representatives Standing Committee on Health, Aged Care and Sport, 2018)","noteIndex":0},"citationItems":[{"id":2054,"uris":["http://zotero.org/groups/4371185/items/Z729ASVA"],"itemData":{"id":2054,"type":"report","language":"English","publisher":"Parliament of the Commonwealth of Australia","title":"Report on the Inquiry into Biotoxin-related Illnesses in Australia","author":[{"family":"House of Representatives Standing Committee on Health, Aged Care and Sport","given":""}],"issued":{"date-parts":[["2018",10]]}}}],"schema":"https://github.com/citation-style-language/schema/raw/master/csl-citation.json"} </w:instrText>
      </w:r>
      <w:r w:rsidR="00250D95" w:rsidRPr="00D03260">
        <w:fldChar w:fldCharType="separate"/>
      </w:r>
      <w:r w:rsidR="00250D95" w:rsidRPr="00D03260">
        <w:t>(House of Representatives Standing Committee on Health, Aged Care and Sport, 2018)</w:t>
      </w:r>
      <w:r w:rsidR="00250D95" w:rsidRPr="00D03260">
        <w:fldChar w:fldCharType="end"/>
      </w:r>
      <w:r w:rsidR="00250D95" w:rsidRPr="00D03260">
        <w:t>.</w:t>
      </w:r>
      <w:r w:rsidR="006776C0" w:rsidRPr="00D03260">
        <w:t xml:space="preserve"> </w:t>
      </w:r>
    </w:p>
    <w:p w14:paraId="54AFD852" w14:textId="7209CBAB" w:rsidR="00AF38F0" w:rsidRPr="00D03260" w:rsidRDefault="006E5C23" w:rsidP="00C6799E">
      <w:pPr>
        <w:pStyle w:val="NumberedHeading4"/>
      </w:pPr>
      <w:bookmarkStart w:id="115" w:name="_Toc121329125"/>
      <w:bookmarkStart w:id="116" w:name="_Toc141885862"/>
      <w:r w:rsidRPr="00D03260">
        <w:t>2.1.4.3.</w:t>
      </w:r>
      <w:r w:rsidRPr="00D03260">
        <w:tab/>
      </w:r>
      <w:r w:rsidR="00CA0DEC" w:rsidRPr="00D03260">
        <w:t>International advice</w:t>
      </w:r>
      <w:bookmarkEnd w:id="115"/>
      <w:bookmarkEnd w:id="116"/>
    </w:p>
    <w:p w14:paraId="2ADBFC25" w14:textId="258EDD35" w:rsidR="000056EB" w:rsidRPr="00D03260" w:rsidRDefault="00872E3E" w:rsidP="00872E3E">
      <w:r w:rsidRPr="00D03260">
        <w:t xml:space="preserve">Evidence from key international literature advocates for a remediation of premises as a preventive or therapeutic measure regardless of the suspected health effects, even in the absence of health effects </w:t>
      </w:r>
      <w:r w:rsidRPr="00D03260">
        <w:fldChar w:fldCharType="begin"/>
      </w:r>
      <w:r w:rsidR="00217980" w:rsidRPr="00D03260">
        <w:instrText xml:space="preserve"> ADDIN ZOTERO_ITEM CSL_CITATION {"citationID":"VtPpX09g","properties":{"formattedCitation":"(Denning &amp; Chakrabarti, 2017; Hurra\\uc0\\u223{} et al., 2017; Wiesm\\uc0\\u252{}ller et al., 2017)","plainCitation":"(Denning &amp; Chakrabarti, 2017; Hurraß et al., 2017; Wiesmüller et al., 2017)","noteIndex":0},"citationItems":[{"id":2226,"uris":["http://zotero.org/groups/4371185/items/7XNKPSYV"],"itemData":{"id":2226,"type":"article-journal","abstract":"The human respiratory tract is exposed daily to airborne fungi, fungal enzymes, and secondary metabolites. The endemic fungi Histoplasma capsulatum, Coccidioides spp,  Blastomyces dermatitidis, and Paracoccidioides brasiliensis, and occasionally  Aspergillus fumigatus, are primary pulmonary pathogens of otherwise healthy people.  Such infections resolve in most people, and only a few infections lead to disease.  However, many fungi are directly allergenic by colonising the respiratory tract or  indirectly through contact with cell wall constituents and proteases, causing or  exacerbating allergic disease. Increasing evidence implicates high indoor fungal  exposures as a precipitant of asthma in children and in worsening asthma symptoms.  Lung or airways infection by endemic fungi or aspergillus can be diagnosed with  respiratory sample culture or serum IgG testing. Sputum, induced sputum, or  bronchial specimens are all suitable specimens for detecting fungi; microscopy,  fungal culture, galactomannan antigen, and aspergillus PCR are useful tests.  Antifungal treatment is indicated in almost all patients with chronic cavitary  pulmonary infections, chronic invasive and granulomatous rhinosinusitis, and  aspergillus bronchitis. Most patients with fungal asthma benefit from antifungal  therapy. Adverse reactions to oral azoles, drug interactions, and azole resistance  in Aspergillus spp limit therapy. Environmental exposures, genetic factors, and  structural pulmonary risk factors probably underlie disease but are poorly  understood.","container-title":"The Lancet. Infectious diseases","DOI":"10.1016/S1473-3099(17)30309-2","ISSN":"1474-4457 1473-3099","issue":"11","journalAbbreviation":"Lancet Infect Dis","language":"eng","license":"Copyright © 2017 Elsevier Ltd. All rights reserved.","note":"publisher-place: United States\nPMID: 28774699","page":"e357-e366","title":"Pulmonary and sinus fungal diseases in non-immunocompromised patients.","volume":"17","author":[{"family":"Denning","given":"David W."},{"family":"Chakrabarti","given":"Arunaloke"}],"issued":{"date-parts":[["2017",11]]}}},{"id":2217,"uris":["http://zotero.org/groups/4371185/items/542KM3BH"],"itemData":{"id":2217,"type":"article-journal","abstract":"In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(Denning &amp; Chakrabarti, 2017; Hurraß et al., 2017; Wiesmüller et al., 2017)</w:t>
      </w:r>
      <w:r w:rsidRPr="00D03260">
        <w:fldChar w:fldCharType="end"/>
      </w:r>
      <w:r w:rsidRPr="00D03260">
        <w:t>. Specifically, several of these key pieces of international literature recommend minimi</w:t>
      </w:r>
      <w:r w:rsidR="002200AD" w:rsidRPr="00D03260">
        <w:t>s</w:t>
      </w:r>
      <w:r w:rsidRPr="00D03260">
        <w:t xml:space="preserve">ation or avoidance of exposure for those with asthma, allergy, other fungal sensitivities or immunocompromised individuals </w:t>
      </w:r>
      <w:r w:rsidRPr="00D03260">
        <w:fldChar w:fldCharType="begin"/>
      </w:r>
      <w:r w:rsidR="00217980" w:rsidRPr="00D03260">
        <w:instrText xml:space="preserve"> ADDIN ZOTERO_ITEM CSL_CITATION {"citationID":"kWtemSAo","properties":{"formattedCitation":"(Denning &amp; Chakrabarti, 2017; Hurra\\uc0\\u223{} et al., 2017; Larenas-Linnemann et al., 2016; Wiesm\\uc0\\u252{}ller et al., 2017)","plainCitation":"(Denning &amp; Chakrabarti, 2017; Hurraß et al., 2017; Larenas-Linnemann et al., 2016; Wiesmüller et al., 2017)","noteIndex":0},"citationItems":[{"id":2226,"uris":["http://zotero.org/groups/4371185/items/7XNKPSYV"],"itemData":{"id":2226,"type":"article-journal","abstract":"The human respiratory tract is exposed daily to airborne fungi, fungal enzymes, and secondary metabolites. The endemic fungi Histoplasma capsulatum, Coccidioides spp,  Blastomyces dermatitidis, and Paracoccidioides brasiliensis, and occasionally  Aspergillus fumigatus, are primary pulmonary pathogens of otherwise healthy people.  Such infections resolve in most people, and only a few infections lead to disease.  However, many fungi are directly allergenic by colonising the respiratory tract or  indirectly through contact with cell wall constituents and proteases, causing or  exacerbating allergic disease. Increasing evidence implicates high indoor fungal  exposures as a precipitant of asthma in children and in worsening asthma symptoms.  Lung or airways infection by endemic fungi or aspergillus can be diagnosed with  respiratory sample culture or serum IgG testing. Sputum, induced sputum, or  bronchial specimens are all suitable specimens for detecting fungi; microscopy,  fungal culture, galactomannan antigen, and aspergillus PCR are useful tests.  Antifungal treatment is indicated in almost all patients with chronic cavitary  pulmonary infections, chronic invasive and granulomatous rhinosinusitis, and  aspergillus bronchitis. Most patients with fungal asthma benefit from antifungal  therapy. Adverse reactions to oral azoles, drug interactions, and azole resistance  in Aspergillus spp limit therapy. Environmental exposures, genetic factors, and  structural pulmonary risk factors probably underlie disease but are poorly  understood.","container-title":"The Lancet. Infectious diseases","DOI":"10.1016/S1473-3099(17)30309-2","ISSN":"1474-4457 1473-3099","issue":"11","journalAbbreviation":"Lancet Infect Dis","language":"eng","license":"Copyright © 2017 Elsevier Ltd. All rights reserved.","note":"publisher-place: United States\nPMID: 28774699","page":"e357-e366","title":"Pulmonary and sinus fungal diseases in non-immunocompromised patients.","volume":"17","author":[{"family":"Denning","given":"David W."},{"family":"Chakrabarti","given":"Arunaloke"}],"issued":{"date-parts":[["2017",11]]}}},{"id":2217,"uris":["http://zotero.org/groups/4371185/items/542KM3BH"],"itemData":{"id":2217,"type":"article-journal","abstract":"In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rPr>
          <w:rFonts w:cs="Arial"/>
        </w:rPr>
        <w:t>(Denning &amp; Chakrabarti, 2017; Hurraß et al., 2017; Larenas-Linnemann et al., 2016; Wiesmüller et al., 2017)</w:t>
      </w:r>
      <w:r w:rsidRPr="00D03260">
        <w:fldChar w:fldCharType="end"/>
      </w:r>
      <w:r w:rsidRPr="00D03260">
        <w:t>.</w:t>
      </w:r>
    </w:p>
    <w:p w14:paraId="5464EEE2" w14:textId="261E6307" w:rsidR="00872E3E" w:rsidRPr="00D03260" w:rsidRDefault="00872E3E" w:rsidP="00872E3E">
      <w:r w:rsidRPr="00D03260">
        <w:t xml:space="preserve">The abridged AWMF guidelines </w:t>
      </w:r>
      <w:r w:rsidRPr="00D03260">
        <w:fldChar w:fldCharType="begin"/>
      </w:r>
      <w:r w:rsidR="00217980" w:rsidRPr="00D03260">
        <w:instrText xml:space="preserve"> ADDIN ZOTERO_ITEM CSL_CITATION {"citationID":"lJ50oD7X","properties":{"formattedCitation":"(Wiesm\\uc0\\u252{}ller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recommend remediation of buildings for all suspected symptoms and illness from exposure to indoor damp or mould:</w:t>
      </w:r>
    </w:p>
    <w:p w14:paraId="2D996159" w14:textId="75C651BD" w:rsidR="00FF16AF" w:rsidRPr="00D03260" w:rsidRDefault="00FF16AF" w:rsidP="00FF16AF">
      <w:pPr>
        <w:pStyle w:val="Quote"/>
        <w:rPr>
          <w:i w:val="0"/>
          <w:iCs w:val="0"/>
        </w:rPr>
      </w:pPr>
      <w:r w:rsidRPr="00D03260">
        <w:t xml:space="preserve">Even if no causal link can be established between symptoms/ﬁndings/disorders and the occurrence of indoor mould/dampness, the ﬁrst “therapeutic” measure to be undertaken from a preventive and hygienic perspective in the case of dampness/mould damage is prompt appropriate and professional remediation; moreover, in the case of severe clinical pictures associated with high risk (immune suppression, cystic fibrosis, asthma) immediate minimization of exposure needs to be achieved. </w:t>
      </w:r>
      <w:r w:rsidRPr="00D03260">
        <w:rPr>
          <w:i w:val="0"/>
          <w:iCs w:val="0"/>
        </w:rPr>
        <w:fldChar w:fldCharType="begin"/>
      </w:r>
      <w:r w:rsidR="00217980" w:rsidRPr="00D03260">
        <w:rPr>
          <w:i w:val="0"/>
          <w:iCs w:val="0"/>
        </w:rPr>
        <w:instrText xml:space="preserve"> ADDIN ZOTERO_ITEM CSL_CITATION {"citationID":"rUp6UgR0","properties":{"formattedCitation":"(Wiesm\\uc0\\u252{}ller et al., 2017, p. 185)","plainCitation":"(Wiesmüller et al., 2017, p. 185)","noteIndex":0},"citationItems":[{"id":2051,"uris":["http://zotero.org/groups/4371185/items/QZ4VYG6U"],"itemData":{"id":2051,"type":"article-journal","container-title":"Allergo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locator":"185"}],"schema":"https://github.com/citation-style-language/schema/raw/master/csl-citation.json"} </w:instrText>
      </w:r>
      <w:r w:rsidRPr="00D03260">
        <w:rPr>
          <w:i w:val="0"/>
          <w:iCs w:val="0"/>
        </w:rPr>
        <w:fldChar w:fldCharType="separate"/>
      </w:r>
      <w:r w:rsidRPr="00D03260">
        <w:rPr>
          <w:i w:val="0"/>
          <w:iCs w:val="0"/>
        </w:rPr>
        <w:t>(Wiesmüller et al., 2017, p. 185)</w:t>
      </w:r>
      <w:r w:rsidRPr="00D03260">
        <w:rPr>
          <w:i w:val="0"/>
          <w:iCs w:val="0"/>
        </w:rPr>
        <w:fldChar w:fldCharType="end"/>
      </w:r>
    </w:p>
    <w:p w14:paraId="70385531" w14:textId="42C3B877" w:rsidR="00FF16AF" w:rsidRPr="00D03260" w:rsidRDefault="00FF16AF" w:rsidP="00A43D7F">
      <w:pPr>
        <w:pStyle w:val="Quote"/>
        <w:spacing w:before="120"/>
      </w:pPr>
      <w:r w:rsidRPr="00D03260">
        <w:rPr>
          <w:rFonts w:eastAsiaTheme="majorEastAsia"/>
        </w:rPr>
        <w:t xml:space="preserve">As with all allergic diseases, exposure avoidance (allergen avoidance) takes priority. Nevertheless, prompt medication is required in order that a symptom-free period is not followed by full-blown allergic disease. It is of paramount importance to eliminate the causes of the dampness creating a basis for indoor mould growth. </w:t>
      </w:r>
      <w:r w:rsidRPr="00D03260">
        <w:rPr>
          <w:rStyle w:val="QuoteChar"/>
          <w:rFonts w:eastAsiaTheme="majorEastAsia"/>
          <w:i/>
          <w:iCs/>
        </w:rPr>
        <w:fldChar w:fldCharType="begin"/>
      </w:r>
      <w:r w:rsidR="00217980" w:rsidRPr="00D03260">
        <w:rPr>
          <w:rStyle w:val="QuoteChar"/>
          <w:rFonts w:eastAsiaTheme="majorEastAsia"/>
          <w:i/>
          <w:iCs/>
        </w:rPr>
        <w:instrText xml:space="preserve"> ADDIN ZOTERO_ITEM CSL_CITATION {"citationID":"eH1KTekm","properties":{"formattedCitation":"(Wiesm\\uc0\\u252{}ller et al., 2017, p. 185)","plainCitation":"(Wiesmüller et al., 2017, p. 185)","noteIndex":0},"citationItems":[{"id":2051,"uris":["http://zotero.org/groups/4371185/items/QZ4VYG6U"],"itemData":{"id":2051,"type":"article-journal","container-title":"Allergo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locator":"185"}],"schema":"https://github.com/citation-style-language/schema/raw/master/csl-citation.json"} </w:instrText>
      </w:r>
      <w:r w:rsidRPr="00D03260">
        <w:rPr>
          <w:rStyle w:val="QuoteChar"/>
          <w:rFonts w:eastAsiaTheme="majorEastAsia"/>
          <w:i/>
          <w:iCs/>
        </w:rPr>
        <w:fldChar w:fldCharType="separate"/>
      </w:r>
      <w:r w:rsidRPr="00D03260">
        <w:rPr>
          <w:i w:val="0"/>
          <w:iCs w:val="0"/>
        </w:rPr>
        <w:t>(Wiesmüller et al., 2017, p. 185)</w:t>
      </w:r>
      <w:r w:rsidRPr="00D03260">
        <w:rPr>
          <w:rStyle w:val="QuoteChar"/>
          <w:rFonts w:eastAsiaTheme="majorEastAsia"/>
          <w:i/>
          <w:iCs/>
        </w:rPr>
        <w:fldChar w:fldCharType="end"/>
      </w:r>
    </w:p>
    <w:p w14:paraId="49BBF02F" w14:textId="77777777" w:rsidR="00B26DD2" w:rsidRPr="00D03260" w:rsidRDefault="00B26DD2" w:rsidP="00B26DD2">
      <w:r w:rsidRPr="00D03260">
        <w:t>The review by Hurraß et al. associated with the AWMF guideline reported it important to address water damage even if no health problems were present:</w:t>
      </w:r>
    </w:p>
    <w:p w14:paraId="49FA0C85" w14:textId="028D743E" w:rsidR="00BE0117" w:rsidRPr="00D03260" w:rsidRDefault="00B26DD2" w:rsidP="003D7C71">
      <w:pPr>
        <w:pStyle w:val="Quote"/>
        <w:rPr>
          <w:i w:val="0"/>
          <w:iCs w:val="0"/>
        </w:rPr>
      </w:pPr>
      <w:r w:rsidRPr="00D03260">
        <w:t xml:space="preserve">From a health care point of view, moisture damage and/or mold growth indoors are always a hygienic problem that – even without present health disorders –must not be tolerated and therefore must be precautionary minimized or terminated if possible. The most important preventive measure for indoor mold exposure is to identify the cause of the moisture/water damage and the proper remediation </w:t>
      </w:r>
      <w:r w:rsidRPr="00D03260">
        <w:rPr>
          <w:i w:val="0"/>
          <w:iCs w:val="0"/>
        </w:rPr>
        <w:fldChar w:fldCharType="begin"/>
      </w:r>
      <w:r w:rsidR="00217980" w:rsidRPr="00D03260">
        <w:rPr>
          <w:i w:val="0"/>
          <w:iCs w:val="0"/>
        </w:rPr>
        <w:instrText xml:space="preserve"> ADDIN ZOTERO_ITEM CSL_CITATION {"citationID":"byhis8OG","properties":{"formattedCitation":"(Hurra\\uc0\\u223{} et al., 2017, p. 307)","plainCitation":"(Hurraß et al., 2017, p. 307)","noteIndex":0},"citationItems":[{"id":2217,"uris":["http://zotero.org/groups/4371185/items/542KM3BH"],"itemData":{"id":2217,"type":"article-journal","abstract":"In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locator":"307"}],"schema":"https://github.com/citation-style-language/schema/raw/master/csl-citation.json"} </w:instrText>
      </w:r>
      <w:r w:rsidRPr="00D03260">
        <w:rPr>
          <w:i w:val="0"/>
          <w:iCs w:val="0"/>
        </w:rPr>
        <w:fldChar w:fldCharType="separate"/>
      </w:r>
      <w:r w:rsidRPr="00D03260">
        <w:rPr>
          <w:i w:val="0"/>
          <w:iCs w:val="0"/>
        </w:rPr>
        <w:t>(Hurraß et al., 2017, p. 307)</w:t>
      </w:r>
      <w:r w:rsidRPr="00D03260">
        <w:rPr>
          <w:i w:val="0"/>
          <w:iCs w:val="0"/>
        </w:rPr>
        <w:fldChar w:fldCharType="end"/>
      </w:r>
      <w:r w:rsidRPr="00D03260">
        <w:rPr>
          <w:i w:val="0"/>
          <w:iCs w:val="0"/>
        </w:rPr>
        <w:t>.</w:t>
      </w:r>
    </w:p>
    <w:p w14:paraId="0BF87152" w14:textId="0D5D4579" w:rsidR="00BB57AF" w:rsidRPr="00D03260" w:rsidRDefault="00F15F20" w:rsidP="00AF1EFC">
      <w:pPr>
        <w:pStyle w:val="NumberedHeading3"/>
        <w:numPr>
          <w:ilvl w:val="0"/>
          <w:numId w:val="0"/>
        </w:numPr>
      </w:pPr>
      <w:bookmarkStart w:id="117" w:name="Sect215MouldTestingAndMouldTestingReport"/>
      <w:bookmarkStart w:id="118" w:name="_Toc121329126"/>
      <w:bookmarkStart w:id="119" w:name="_Toc141885863"/>
      <w:bookmarkEnd w:id="117"/>
      <w:r w:rsidRPr="00D03260">
        <w:t>2.1.5.</w:t>
      </w:r>
      <w:r w:rsidRPr="00D03260">
        <w:tab/>
      </w:r>
      <w:r w:rsidR="00BB57AF" w:rsidRPr="00D03260">
        <w:t>Mould testing and mould testing reports</w:t>
      </w:r>
      <w:bookmarkEnd w:id="118"/>
      <w:bookmarkEnd w:id="119"/>
    </w:p>
    <w:p w14:paraId="5C803370" w14:textId="41E41EA5" w:rsidR="005239F0" w:rsidRPr="00D03260" w:rsidRDefault="005239F0" w:rsidP="005239F0">
      <w:pPr>
        <w:rPr>
          <w:vertAlign w:val="superscript"/>
        </w:rPr>
      </w:pPr>
      <w:r w:rsidRPr="00D03260">
        <w:t xml:space="preserve">International and Australian guidance concurs that where mould is visible it is not generally necessary to test for it in the home </w:t>
      </w:r>
      <w:r w:rsidRPr="00D03260">
        <w:fldChar w:fldCharType="begin"/>
      </w:r>
      <w:r w:rsidR="0097233B" w:rsidRPr="00D03260">
        <w:instrText xml:space="preserve"> ADDIN ZOTERO_ITEM CSL_CITATION {"citationID":"Lti24kvb","properties":{"formattedCitation":"(Environmental Health Standing Committee (enHealth) of the Australian Health Protection Principal Committee, 2021; Wiesm\\uc0\\u252{}ller et al., 2017)","plainCitation":"(Environmental Health Standing Committee (enHealth) of the Australian Health Protection Principal Committee, 2021; Wiesmüller et al., 2017)","noteIndex":0},"citationItems":[{"id":2134,"uris":["http://zotero.org/groups/4371185/items/BHB8PKVA"],"itemData":{"id":2134,"type":"document","publisher":"Australian Government Department of Health and Aged Care","title":"Potential health effects of mould in the environment","URL":"https://www.health.gov.au/resources/publications/enhealth-guidance-potential-health-effects-of-mould-in-the-environment","author":[{"family":"Environmental Health Standing Committee (enHealth) of the Australian Health Protection Principal Committee","given":""}],"issued":{"date-parts":[["2021"]]}}},{"id":2051,"uris":["http://zotero.org/groups/4371185/items/QZ4VYG6U"],"itemData":{"id":2051,"type":"article-journal","container-title":"Allergo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(Environmental Health Standing Committee (enHealth) of the Australian Health Protection Principal Committee, 2021; Wiesmüller et al., 2017)</w:t>
      </w:r>
      <w:r w:rsidRPr="00D03260">
        <w:fldChar w:fldCharType="end"/>
      </w:r>
      <w:r w:rsidRPr="00D03260">
        <w:t>. EnHealth advises, that general</w:t>
      </w:r>
      <w:r w:rsidR="00094776" w:rsidRPr="00D03260">
        <w:t>ly</w:t>
      </w:r>
      <w:r w:rsidRPr="00D03260">
        <w:t xml:space="preserve">, testing for mould is not recommended at all because there </w:t>
      </w:r>
      <w:r w:rsidRPr="00D03260">
        <w:lastRenderedPageBreak/>
        <w:t xml:space="preserve">are no health guideline values for which to compare test results to, meaning that test results cannot be used to determine if a health risk exists. “Mould is everywhere, so if you go testing for it, you will find it” </w:t>
      </w:r>
      <w:r w:rsidRPr="00D03260">
        <w:fldChar w:fldCharType="begin"/>
      </w:r>
      <w:r w:rsidR="0097233B" w:rsidRPr="00D03260">
        <w:instrText xml:space="preserve"> ADDIN ZOTERO_ITEM CSL_CITATION {"citationID":"jdRSZJdv","properties":{"formattedCitation":"(Environmental Health Standing Committee (enHealth) of the Australian Health Protection Principal Committee, 2021)","plainCitation":"(Environmental Health Standing Committee (enHealth) of the Australian Health Protection Principal Committee, 2021)","noteIndex":0},"citationItems":[{"id":2134,"uris":["http://zotero.org/groups/4371185/items/BHB8PKVA"],"itemData":{"id":2134,"type":"document","publisher":"Australian Government Department of Health and Aged Care","title":"Potential health effects of mould in the environment","URL":"https://www.health.gov.au/resources/publications/enhealth-guidance-potential-health-effects-of-mould-in-the-environment","author":[{"family":"Environmental Health Standing Committee (enHealth) of the Australian Health Protection Principal Committee","given":""}],"issued":{"date-parts":[["2021"]]}}}],"schema":"https://github.com/citation-style-language/schema/raw/master/csl-citation.json"} </w:instrText>
      </w:r>
      <w:r w:rsidRPr="00D03260">
        <w:fldChar w:fldCharType="separate"/>
      </w:r>
      <w:r w:rsidRPr="00D03260">
        <w:t>(Environmental Health Standing Committee (enHealth) of the Australian Health Protection Principal Committee, 2021)</w:t>
      </w:r>
      <w:r w:rsidRPr="00D03260">
        <w:fldChar w:fldCharType="end"/>
      </w:r>
      <w:r w:rsidRPr="00D03260">
        <w:t>.</w:t>
      </w:r>
      <w:r w:rsidR="00FE101F" w:rsidRPr="00D03260">
        <w:t xml:space="preserve"> </w:t>
      </w:r>
      <w:r w:rsidR="00884AF5" w:rsidRPr="00D03260">
        <w:t>In certain circumstances, enHealth recommend</w:t>
      </w:r>
      <w:r w:rsidR="00860A3B" w:rsidRPr="00D03260">
        <w:t>s</w:t>
      </w:r>
      <w:r w:rsidR="00884AF5" w:rsidRPr="00D03260">
        <w:t xml:space="preserve"> </w:t>
      </w:r>
      <w:r w:rsidR="00A6617A" w:rsidRPr="00D03260">
        <w:t xml:space="preserve">consulting </w:t>
      </w:r>
      <w:r w:rsidR="00884AF5" w:rsidRPr="00D03260">
        <w:t>an occupational hygienist to evaluate whether a property has a potential indoor damp or mould problem (e</w:t>
      </w:r>
      <w:r w:rsidR="00175BB4" w:rsidRPr="00D03260">
        <w:t>.</w:t>
      </w:r>
      <w:r w:rsidR="00884AF5" w:rsidRPr="00D03260">
        <w:t>g</w:t>
      </w:r>
      <w:r w:rsidR="00175BB4" w:rsidRPr="00D03260">
        <w:t>.</w:t>
      </w:r>
      <w:r w:rsidR="00BE444D" w:rsidRPr="00D03260">
        <w:t>,</w:t>
      </w:r>
      <w:r w:rsidR="00884AF5" w:rsidRPr="00D03260">
        <w:t xml:space="preserve"> identification of hidden mould). These professionals may utilise mould sampling methods consistent with international best practice</w:t>
      </w:r>
      <w:r w:rsidR="00E55FF8" w:rsidRPr="00D03260" w:rsidDel="00094776">
        <w:rPr>
          <w:rStyle w:val="FootnoteReference"/>
        </w:rPr>
        <w:footnoteReference w:id="6"/>
      </w:r>
      <w:r w:rsidR="006F0F2C" w:rsidRPr="00D03260" w:rsidDel="00094776">
        <w:rPr>
          <w:vertAlign w:val="superscript"/>
        </w:rPr>
        <w:t>,</w:t>
      </w:r>
      <w:r w:rsidR="006F0F2C" w:rsidRPr="00D03260" w:rsidDel="00094776">
        <w:rPr>
          <w:rStyle w:val="FootnoteReference"/>
        </w:rPr>
        <w:footnoteReference w:id="7"/>
      </w:r>
      <w:r w:rsidR="00CD0B0B" w:rsidRPr="00D03260">
        <w:t>.</w:t>
      </w:r>
    </w:p>
    <w:p w14:paraId="3D4238D0" w14:textId="21158493" w:rsidR="005239F0" w:rsidRPr="00D03260" w:rsidRDefault="005239F0" w:rsidP="005239F0">
      <w:pPr>
        <w:pStyle w:val="BodyText"/>
      </w:pPr>
      <w:r w:rsidRPr="00D03260">
        <w:t xml:space="preserve">The AWMF guideline advises that, as a rule, there is no medical indication to determine mould indoors, in building materials or fixtures. For visible mould infestation, increased moisture levels in materials or structural abnormalities (moisture or water damage), the identification of indoor mould is not indicated from a diagnostic or therapeutic perspective </w:t>
      </w:r>
      <w:r w:rsidRPr="00D03260">
        <w:fldChar w:fldCharType="begin"/>
      </w:r>
      <w:r w:rsidR="00217980" w:rsidRPr="00D03260">
        <w:instrText xml:space="preserve"> ADDIN ZOTERO_ITEM CSL_CITATION {"citationID":"QGRZJBeM","properties":{"formattedCitation":"(Wiesm\\uc0\\u252{}ller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From a medical perspective, a visual inspection of mould infestation is sufficient to initiate medically justified measures. The greatest relevance is attributed to site visits, which are ideally performed by a physician or experts with structural expertise </w:t>
      </w:r>
      <w:r w:rsidRPr="00D03260">
        <w:fldChar w:fldCharType="begin"/>
      </w:r>
      <w:r w:rsidR="00217980" w:rsidRPr="00D03260">
        <w:instrText xml:space="preserve"> ADDIN ZOTERO_ITEM CSL_CITATION {"citationID":"LAnevTv7","properties":{"formattedCitation":"(Wiesm\\uc0\\u252{}ller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28E15F98" w14:textId="3F8861A1" w:rsidR="00636BE6" w:rsidRPr="00D03260" w:rsidRDefault="00636BE6" w:rsidP="00636BE6">
      <w:r w:rsidRPr="00D03260">
        <w:t xml:space="preserve">The </w:t>
      </w:r>
      <w:r w:rsidR="00D823AF" w:rsidRPr="00D03260">
        <w:t>US Cent</w:t>
      </w:r>
      <w:r w:rsidR="00FB3988" w:rsidRPr="00D03260">
        <w:t>ers</w:t>
      </w:r>
      <w:r w:rsidR="00D823AF" w:rsidRPr="00D03260">
        <w:t xml:space="preserve"> </w:t>
      </w:r>
      <w:r w:rsidR="00FB3988" w:rsidRPr="00D03260">
        <w:t>for</w:t>
      </w:r>
      <w:r w:rsidR="00D823AF" w:rsidRPr="00D03260">
        <w:t xml:space="preserve"> Disease Control</w:t>
      </w:r>
      <w:r w:rsidR="00FB3988" w:rsidRPr="00D03260">
        <w:t xml:space="preserve"> and Prevention</w:t>
      </w:r>
      <w:r w:rsidR="00D823AF" w:rsidRPr="00D03260">
        <w:t xml:space="preserve"> (</w:t>
      </w:r>
      <w:r w:rsidRPr="00D03260">
        <w:t>CDC</w:t>
      </w:r>
      <w:r w:rsidR="00D823AF" w:rsidRPr="00D03260">
        <w:t>)</w:t>
      </w:r>
      <w:r w:rsidRPr="00D03260">
        <w:t xml:space="preserve"> does not recommend environmental testing for moulds or evaluation of patients for mycotoxin-related disease, even in those who live or work in WDBs, in part because of lack of clinical relevance to these tests </w:t>
      </w:r>
      <w:r w:rsidRPr="00D03260">
        <w:fldChar w:fldCharType="begin"/>
      </w:r>
      <w:r w:rsidR="00217980" w:rsidRPr="00D03260">
        <w:instrText xml:space="preserve"> ADDIN ZOTERO_ITEM CSL_CITATION {"citationID":"b3KtkSVU","properties":{"formattedCitation":"(Chang &amp; Gershwin, 2019)","plainCitation":"(Chang &amp; Gershwin, 2019)","noteIndex":0},"citationItems":[{"id":2208,"uris":["http://zotero.org/groups/4371185/items/SJXHQ6D7"],"itemData":{"id":2208,"type":"article-journal","abstract":"In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Eric"}],"issued":{"date-parts":[["2019",12]]}}}],"schema":"https://github.com/citation-style-language/schema/raw/master/csl-citation.json"} </w:instrText>
      </w:r>
      <w:r w:rsidRPr="00D03260">
        <w:fldChar w:fldCharType="separate"/>
      </w:r>
      <w:r w:rsidRPr="00D03260">
        <w:t>(Chang &amp; Gershwin, 2019)</w:t>
      </w:r>
      <w:r w:rsidRPr="00D03260">
        <w:fldChar w:fldCharType="end"/>
      </w:r>
      <w:r w:rsidRPr="00D03260">
        <w:t>.</w:t>
      </w:r>
    </w:p>
    <w:p w14:paraId="6FF1F9EE" w14:textId="2FBF2CB6" w:rsidR="0040241C" w:rsidRPr="00D03260" w:rsidRDefault="0047182B" w:rsidP="0040241C">
      <w:pPr>
        <w:pStyle w:val="BodyText"/>
      </w:pPr>
      <w:r w:rsidRPr="00D03260">
        <w:t>Of note, a</w:t>
      </w:r>
      <w:r w:rsidR="00AF3112" w:rsidRPr="00D03260">
        <w:t xml:space="preserve">n indoor air quality </w:t>
      </w:r>
      <w:r w:rsidR="009B44D6" w:rsidRPr="00D03260">
        <w:t>testing procedure exists in Australia</w:t>
      </w:r>
      <w:r w:rsidR="006E630F" w:rsidRPr="00D03260">
        <w:t xml:space="preserve"> </w:t>
      </w:r>
      <w:r w:rsidR="00AF3112" w:rsidRPr="00D03260">
        <w:t xml:space="preserve">called the </w:t>
      </w:r>
      <w:r w:rsidR="00633709" w:rsidRPr="00D03260">
        <w:t>‘</w:t>
      </w:r>
      <w:r w:rsidR="002A0C19" w:rsidRPr="00D03260">
        <w:t>Environmental Relative Moldiness Index (</w:t>
      </w:r>
      <w:r w:rsidR="006E630F" w:rsidRPr="00D03260">
        <w:t>ERMI</w:t>
      </w:r>
      <w:r w:rsidR="002A0C19" w:rsidRPr="00D03260">
        <w:t>)</w:t>
      </w:r>
      <w:r w:rsidR="007D6C44" w:rsidRPr="00D03260">
        <w:t>’</w:t>
      </w:r>
      <w:r w:rsidR="00D53844" w:rsidRPr="00D03260">
        <w:t>. T</w:t>
      </w:r>
      <w:r w:rsidR="002A0C19" w:rsidRPr="00D03260">
        <w:t xml:space="preserve">his </w:t>
      </w:r>
      <w:r w:rsidR="00D53844" w:rsidRPr="00D03260">
        <w:t xml:space="preserve">test was developed by the </w:t>
      </w:r>
      <w:r w:rsidR="00EE6901" w:rsidRPr="00D03260">
        <w:t xml:space="preserve">US </w:t>
      </w:r>
      <w:r w:rsidR="00130C58" w:rsidRPr="00D03260">
        <w:t>Environment</w:t>
      </w:r>
      <w:r w:rsidR="00375B00" w:rsidRPr="00D03260">
        <w:t>al</w:t>
      </w:r>
      <w:r w:rsidR="00ED0452" w:rsidRPr="00D03260">
        <w:t xml:space="preserve"> Protection Agency</w:t>
      </w:r>
      <w:r w:rsidR="00130C58" w:rsidRPr="00D03260">
        <w:t xml:space="preserve"> (</w:t>
      </w:r>
      <w:r w:rsidR="00BD51BA" w:rsidRPr="00D03260">
        <w:t>EPA</w:t>
      </w:r>
      <w:r w:rsidR="00130C58" w:rsidRPr="00D03260">
        <w:t>).</w:t>
      </w:r>
      <w:r w:rsidR="007D6C44" w:rsidRPr="00D03260">
        <w:t xml:space="preserve"> However, the EPA issued updated information in 2021, confirming that ERMI is not suitable for use in diagnosing mould in premises, and the EPA does not recommend the routine public use of ERMI in homes, schools, or other buildings</w:t>
      </w:r>
      <w:r w:rsidR="007D6C44" w:rsidRPr="00D03260">
        <w:rPr>
          <w:rStyle w:val="FootnoteReference"/>
        </w:rPr>
        <w:footnoteReference w:id="8"/>
      </w:r>
      <w:r w:rsidR="007D6C44" w:rsidRPr="00D03260">
        <w:t xml:space="preserve">. </w:t>
      </w:r>
      <w:r w:rsidR="00DB72BA" w:rsidRPr="00D03260">
        <w:t>The</w:t>
      </w:r>
      <w:r w:rsidR="0040241C" w:rsidRPr="00D03260">
        <w:t xml:space="preserve"> submissions </w:t>
      </w:r>
      <w:r w:rsidRPr="00D03260">
        <w:t xml:space="preserve">to the House of </w:t>
      </w:r>
      <w:r w:rsidR="00226CD5" w:rsidRPr="00D03260">
        <w:t>R</w:t>
      </w:r>
      <w:r w:rsidRPr="00D03260">
        <w:t>epresentative</w:t>
      </w:r>
      <w:r w:rsidR="00226CD5" w:rsidRPr="00D03260">
        <w:t>s</w:t>
      </w:r>
      <w:r w:rsidRPr="00D03260">
        <w:t xml:space="preserve"> Inquiry</w:t>
      </w:r>
      <w:r w:rsidR="00DB72BA" w:rsidRPr="00D03260">
        <w:t xml:space="preserve"> also reported</w:t>
      </w:r>
      <w:r w:rsidRPr="00D03260">
        <w:t xml:space="preserve"> </w:t>
      </w:r>
      <w:r w:rsidR="0040241C" w:rsidRPr="00D03260">
        <w:t xml:space="preserve">that numerous issues exist in relation to ERMI being used as a reliable, validated diagnostic test for mould outside a research environment. </w:t>
      </w:r>
    </w:p>
    <w:p w14:paraId="0278A3B1" w14:textId="56651BB2" w:rsidR="00B34693" w:rsidRPr="00D03260" w:rsidRDefault="008003C7" w:rsidP="00AF1EFC">
      <w:pPr>
        <w:pStyle w:val="NumberedHeading3"/>
        <w:numPr>
          <w:ilvl w:val="0"/>
          <w:numId w:val="0"/>
        </w:numPr>
        <w:ind w:left="1440" w:hanging="1440"/>
      </w:pPr>
      <w:bookmarkStart w:id="120" w:name="_Toc121329127"/>
      <w:bookmarkStart w:id="121" w:name="_Toc141885864"/>
      <w:r w:rsidRPr="00D03260">
        <w:t>2.1.6.</w:t>
      </w:r>
      <w:r w:rsidRPr="00D03260">
        <w:tab/>
      </w:r>
      <w:bookmarkStart w:id="122" w:name="Sect216PrecautionaryAdviceAboutLinkingMo"/>
      <w:bookmarkEnd w:id="122"/>
      <w:r w:rsidR="00B34693" w:rsidRPr="00D03260">
        <w:t>Precautionary advice about linking mould to allergic diseases</w:t>
      </w:r>
      <w:bookmarkEnd w:id="120"/>
      <w:bookmarkEnd w:id="121"/>
    </w:p>
    <w:p w14:paraId="6CD9480A" w14:textId="7F221435" w:rsidR="00462D13" w:rsidRPr="00D03260" w:rsidRDefault="00462D13" w:rsidP="007D6E9B">
      <w:r w:rsidRPr="00D03260">
        <w:rPr>
          <w:i/>
          <w:iCs/>
        </w:rPr>
        <w:t>Penicillium</w:t>
      </w:r>
      <w:r w:rsidRPr="00D03260">
        <w:t xml:space="preserve"> sensitisation has been linked to indoor allergen exposure, particularly in humid mouldy environments and after floods, while data related to </w:t>
      </w:r>
      <w:r w:rsidRPr="00D03260">
        <w:rPr>
          <w:i/>
          <w:iCs/>
        </w:rPr>
        <w:t>Aspergillus</w:t>
      </w:r>
      <w:r w:rsidRPr="00D03260">
        <w:t xml:space="preserve"> and </w:t>
      </w:r>
      <w:r w:rsidRPr="00D03260">
        <w:rPr>
          <w:i/>
          <w:iCs/>
        </w:rPr>
        <w:t>Candida</w:t>
      </w:r>
      <w:r w:rsidRPr="00D03260">
        <w:t xml:space="preserve"> suggests these species have a possible role as allergens </w:t>
      </w:r>
      <w:r w:rsidRPr="00D03260">
        <w:fldChar w:fldCharType="begin"/>
      </w:r>
      <w:r w:rsidR="00217980" w:rsidRPr="00D03260">
        <w:instrText xml:space="preserve"> ADDIN ZOTERO_ITEM CSL_CITATION {"citationID":"txCudQTj","properties":{"formattedCitation":"(Larenas-Linnemann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Pr="00D03260">
        <w:fldChar w:fldCharType="separate"/>
      </w:r>
      <w:r w:rsidRPr="00D03260">
        <w:t>(Larenas-Linnemann et al., 2016)</w:t>
      </w:r>
      <w:r w:rsidRPr="00D03260">
        <w:fldChar w:fldCharType="end"/>
      </w:r>
      <w:r w:rsidRPr="00D03260">
        <w:t xml:space="preserve">. While convincing data are lacking for other allergy-causing fungi other than </w:t>
      </w:r>
      <w:r w:rsidRPr="00D03260">
        <w:rPr>
          <w:i/>
          <w:iCs/>
        </w:rPr>
        <w:t>Alternaria, Cladosporium, Penicillium, Aspergillus,</w:t>
      </w:r>
      <w:r w:rsidRPr="00D03260">
        <w:t xml:space="preserve"> and </w:t>
      </w:r>
      <w:r w:rsidRPr="00D03260">
        <w:rPr>
          <w:i/>
          <w:iCs/>
        </w:rPr>
        <w:t>Candida,</w:t>
      </w:r>
      <w:r w:rsidRPr="00D03260">
        <w:t xml:space="preserve"> it does not mean that they do not exist </w:t>
      </w:r>
      <w:r w:rsidRPr="00D03260">
        <w:fldChar w:fldCharType="begin"/>
      </w:r>
      <w:r w:rsidR="00217980" w:rsidRPr="00D03260">
        <w:instrText xml:space="preserve"> ADDIN ZOTERO_ITEM CSL_CITATION {"citationID":"hpOQk8Hq","properties":{"formattedCitation":"(Larenas-Linnemann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Pr="00D03260">
        <w:fldChar w:fldCharType="separate"/>
      </w:r>
      <w:r w:rsidRPr="00D03260">
        <w:t>(Larenas-Linnemann et al., 2016)</w:t>
      </w:r>
      <w:r w:rsidRPr="00D03260">
        <w:fldChar w:fldCharType="end"/>
      </w:r>
      <w:r w:rsidRPr="00D03260">
        <w:t>.</w:t>
      </w:r>
    </w:p>
    <w:p w14:paraId="0D3E03B3" w14:textId="6B5BF3F6" w:rsidR="00063A36" w:rsidRPr="00D03260" w:rsidRDefault="00462D13" w:rsidP="007D6E9B">
      <w:r w:rsidRPr="00D03260">
        <w:t xml:space="preserve">It is easy for mould to be blamed when a patient sees grey, brown or black stains on sheetrock or plasterboard and they develop symptoms consistent with allergic disease such </w:t>
      </w:r>
      <w:r w:rsidRPr="00D03260">
        <w:lastRenderedPageBreak/>
        <w:t xml:space="preserve">as allergic rhinitis or asthma </w:t>
      </w:r>
      <w:r w:rsidRPr="00D03260">
        <w:fldChar w:fldCharType="begin"/>
      </w:r>
      <w:r w:rsidR="00217980" w:rsidRPr="00D03260">
        <w:instrText xml:space="preserve"> ADDIN ZOTERO_ITEM CSL_CITATION {"citationID":"6HfHr0vd","properties":{"formattedCitation":"(Chang &amp; Gershwin, 2019)","plainCitation":"(Chang &amp; Gershwin, 2019)","noteIndex":0},"citationItems":[{"id":2208,"uris":["http://zotero.org/groups/4371185/items/SJXHQ6D7"],"itemData":{"id":2208,"type":"article-journal","abstract":"In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Eric"}],"issued":{"date-parts":[["2019",12]]}}}],"schema":"https://github.com/citation-style-language/schema/raw/master/csl-citation.json"} </w:instrText>
      </w:r>
      <w:r w:rsidRPr="00D03260">
        <w:fldChar w:fldCharType="separate"/>
      </w:r>
      <w:r w:rsidRPr="00D03260">
        <w:t>(Chang &amp; Gershwin, 2019)</w:t>
      </w:r>
      <w:r w:rsidRPr="00D03260">
        <w:fldChar w:fldCharType="end"/>
      </w:r>
      <w:r w:rsidRPr="00D03260">
        <w:t xml:space="preserve">. However, with a few exceptions there has been no evidence that visible mould correlates with fungal spores in the air. Additionally, many of the symptoms do not match the disease </w:t>
      </w:r>
      <w:r w:rsidRPr="00D03260">
        <w:fldChar w:fldCharType="begin"/>
      </w:r>
      <w:r w:rsidR="00217980" w:rsidRPr="00D03260">
        <w:instrText xml:space="preserve"> ADDIN ZOTERO_ITEM CSL_CITATION {"citationID":"ggtNwcmk","properties":{"formattedCitation":"(Chang &amp; Gershwin, 2019)","plainCitation":"(Chang &amp; Gershwin, 2019)","noteIndex":0},"citationItems":[{"id":2208,"uris":["http://zotero.org/groups/4371185/items/SJXHQ6D7"],"itemData":{"id":2208,"type":"article-journal","abstract":"In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Eric"}],"issued":{"date-parts":[["2019",12]]}}}],"schema":"https://github.com/citation-style-language/schema/raw/master/csl-citation.json"} </w:instrText>
      </w:r>
      <w:r w:rsidRPr="00D03260">
        <w:fldChar w:fldCharType="separate"/>
      </w:r>
      <w:r w:rsidRPr="00D03260">
        <w:t>(Chang &amp; Gershwin, 2019)</w:t>
      </w:r>
      <w:r w:rsidRPr="00D03260">
        <w:fldChar w:fldCharType="end"/>
      </w:r>
      <w:r w:rsidRPr="00D03260">
        <w:t>.</w:t>
      </w:r>
    </w:p>
    <w:p w14:paraId="28881170" w14:textId="4FCA9616" w:rsidR="00CB2567" w:rsidRPr="00D03260" w:rsidRDefault="00462D13" w:rsidP="007D6E9B">
      <w:r w:rsidRPr="00D03260">
        <w:t>Chang and Gershwin provide the following example of a differential diagnosis.</w:t>
      </w:r>
    </w:p>
    <w:p w14:paraId="66AD8F2F" w14:textId="2C59E762" w:rsidR="00462D13" w:rsidRPr="00D03260" w:rsidRDefault="00462D13" w:rsidP="007D6E9B">
      <w:r w:rsidRPr="00D03260">
        <w:t xml:space="preserve">If someone presents with headache, it is unlikely to be allergic in nature, as headache is simply not a symptom of allergy </w:t>
      </w:r>
      <w:r w:rsidRPr="00D03260">
        <w:fldChar w:fldCharType="begin"/>
      </w:r>
      <w:r w:rsidR="00217980" w:rsidRPr="00D03260">
        <w:instrText xml:space="preserve"> ADDIN ZOTERO_ITEM CSL_CITATION {"citationID":"TKwGrxq4","properties":{"formattedCitation":"(Chang &amp; Gershwin, 2019)","plainCitation":"(Chang &amp; Gershwin, 2019)","noteIndex":0},"citationItems":[{"id":2208,"uris":["http://zotero.org/groups/4371185/items/SJXHQ6D7"],"itemData":{"id":2208,"type":"article-journal","abstract":"In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Eric"}],"issued":{"date-parts":[["2019",12]]}}}],"schema":"https://github.com/citation-style-language/schema/raw/master/csl-citation.json"} </w:instrText>
      </w:r>
      <w:r w:rsidRPr="00D03260">
        <w:fldChar w:fldCharType="separate"/>
      </w:r>
      <w:r w:rsidRPr="00D03260">
        <w:t>(Chang &amp; Gershwin, 2019)</w:t>
      </w:r>
      <w:r w:rsidRPr="00D03260">
        <w:fldChar w:fldCharType="end"/>
      </w:r>
      <w:r w:rsidRPr="00D03260">
        <w:t xml:space="preserve">. If the patient is truly suffering from allergic rhinitis, the differential diagnosis includes chronic rhinitis, non-allergic rhinitis with eosinophilia (NARES), anatomical issues, cholinergic or gustatory rhinitis, and many other conditions. If the patient is complaining of headache and vague symptomology, for example loss of concentration or memory loss, then “allergic diseases should not even be in the differential diagnosis” </w:t>
      </w:r>
      <w:r w:rsidRPr="00D03260">
        <w:fldChar w:fldCharType="begin"/>
      </w:r>
      <w:r w:rsidR="00217980" w:rsidRPr="00D03260">
        <w:instrText xml:space="preserve"> ADDIN ZOTERO_ITEM CSL_CITATION {"citationID":"D98IwbLZ","properties":{"formattedCitation":"(Chang &amp; Gershwin, 2019, p. 450)","plainCitation":"(Chang &amp; Gershwin, 2019, p. 450)","noteIndex":0},"citationItems":[{"id":2208,"uris":["http://zotero.org/groups/4371185/items/SJXHQ6D7"],"itemData":{"id":2208,"type":"article-journal","abstract":"In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Eric"}],"issued":{"date-parts":[["2019",12]]}},"locator":"450"}],"schema":"https://github.com/citation-style-language/schema/raw/master/csl-citation.json"} </w:instrText>
      </w:r>
      <w:r w:rsidRPr="00D03260">
        <w:fldChar w:fldCharType="separate"/>
      </w:r>
      <w:r w:rsidRPr="00D03260">
        <w:t>(Chang &amp; Gershwin, 2019, p. 450)</w:t>
      </w:r>
      <w:r w:rsidRPr="00D03260">
        <w:fldChar w:fldCharType="end"/>
      </w:r>
      <w:r w:rsidRPr="00D03260">
        <w:t>.</w:t>
      </w:r>
    </w:p>
    <w:p w14:paraId="2B5AD91D" w14:textId="262FF013" w:rsidR="00462D13" w:rsidRPr="00D03260" w:rsidRDefault="00462D13" w:rsidP="007D6E9B">
      <w:r w:rsidRPr="00D03260">
        <w:t xml:space="preserve">Chang and Gershwin </w:t>
      </w:r>
      <w:r w:rsidRPr="00D03260">
        <w:fldChar w:fldCharType="begin"/>
      </w:r>
      <w:r w:rsidR="00217980" w:rsidRPr="00D03260">
        <w:instrText xml:space="preserve"> ADDIN ZOTERO_ITEM CSL_CITATION {"citationID":"RcJO3YYj","properties":{"formattedCitation":"(Chang &amp; Gershwin, 2019)","plainCitation":"(Chang &amp; Gershwin, 2019)","noteIndex":0},"citationItems":[{"id":2208,"uris":["http://zotero.org/groups/4371185/items/SJXHQ6D7"],"itemData":{"id":2208,"type":"article-journal","abstract":"In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Eric"}],"issued":{"date-parts":[["2019",12]]}}}],"schema":"https://github.com/citation-style-language/schema/raw/master/csl-citation.json"} </w:instrText>
      </w:r>
      <w:r w:rsidRPr="00D03260">
        <w:fldChar w:fldCharType="separate"/>
      </w:r>
      <w:r w:rsidRPr="00D03260">
        <w:t>(Chang &amp; Gershwin, 2019)</w:t>
      </w:r>
      <w:r w:rsidRPr="00D03260">
        <w:fldChar w:fldCharType="end"/>
      </w:r>
      <w:r w:rsidRPr="00D03260">
        <w:t xml:space="preserve"> added more context and explanation to this issue, with the concepts also highlighted by the AWMF guideline </w:t>
      </w:r>
      <w:r w:rsidRPr="00D03260">
        <w:fldChar w:fldCharType="begin"/>
      </w:r>
      <w:r w:rsidR="00217980" w:rsidRPr="00D03260">
        <w:instrText xml:space="preserve"> ADDIN ZOTERO_ITEM CSL_CITATION {"citationID":"lIUfKCNB","properties":{"formattedCitation":"(Wiesm\\uc0\\u252{}ller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Even if there is visible mould this does not mean that the mould is what is causing the disease and to assume a patient is mould allergic or suffers from any type of mould-allergic disease just because there is mould in the home “is profoundly unscientific” </w:t>
      </w:r>
      <w:r w:rsidRPr="00D03260">
        <w:fldChar w:fldCharType="begin"/>
      </w:r>
      <w:r w:rsidR="00217980" w:rsidRPr="00D03260">
        <w:instrText xml:space="preserve"> ADDIN ZOTERO_ITEM CSL_CITATION {"citationID":"vLHDGBSk","properties":{"formattedCitation":"(Chang &amp; Gershwin, 2019, p. 450)","plainCitation":"(Chang &amp; Gershwin, 2019, p. 450)","noteIndex":0},"citationItems":[{"id":2208,"uris":["http://zotero.org/groups/4371185/items/SJXHQ6D7"],"itemData":{"id":2208,"type":"article-journal","abstract":"In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Eric"}],"issued":{"date-parts":[["2019",12]]}},"locator":"450"}],"schema":"https://github.com/citation-style-language/schema/raw/master/csl-citation.json"} </w:instrText>
      </w:r>
      <w:r w:rsidRPr="00D03260">
        <w:fldChar w:fldCharType="separate"/>
      </w:r>
      <w:r w:rsidRPr="00D03260">
        <w:t>(Chang &amp; Gershwin, 2019, p. 450)</w:t>
      </w:r>
      <w:r w:rsidRPr="00D03260">
        <w:fldChar w:fldCharType="end"/>
      </w:r>
      <w:r w:rsidRPr="00D03260">
        <w:t>.</w:t>
      </w:r>
    </w:p>
    <w:p w14:paraId="444FC716" w14:textId="3BBFA888" w:rsidR="000E5A70" w:rsidRPr="00D03260" w:rsidRDefault="00AA02B3" w:rsidP="007D6E9B">
      <w:r w:rsidRPr="00D03260">
        <w:t>Larena</w:t>
      </w:r>
      <w:r w:rsidR="00350845" w:rsidRPr="00D03260">
        <w:t>s</w:t>
      </w:r>
      <w:r w:rsidRPr="00D03260">
        <w:t>-Linnemann et al. in the CME Category 1 clinical commentary review advised that patients who have observed mould/fungi in their home and consequently believe that they have symptoms caused by mould/fungus exposure will, in many cases, display confirmatory bias in their history</w:t>
      </w:r>
      <w:r w:rsidR="00D74272" w:rsidRPr="00D03260">
        <w:t xml:space="preserve"> </w:t>
      </w:r>
      <w:r w:rsidR="00D74272" w:rsidRPr="00D03260">
        <w:fldChar w:fldCharType="begin"/>
      </w:r>
      <w:r w:rsidR="00217980" w:rsidRPr="00D03260">
        <w:instrText xml:space="preserve"> ADDIN ZOTERO_ITEM CSL_CITATION {"citationID":"CqLVt0xf","properties":{"formattedCitation":"(Larenas-Linnemann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00D74272" w:rsidRPr="00D03260">
        <w:fldChar w:fldCharType="separate"/>
      </w:r>
      <w:r w:rsidR="00D74272" w:rsidRPr="00D03260">
        <w:rPr>
          <w:rFonts w:cs="Arial"/>
        </w:rPr>
        <w:t>(Larenas-Linnemann et al., 2016)</w:t>
      </w:r>
      <w:r w:rsidR="00D74272" w:rsidRPr="00D03260">
        <w:fldChar w:fldCharType="end"/>
      </w:r>
      <w:r w:rsidRPr="00D03260">
        <w:t xml:space="preserve">. As such, </w:t>
      </w:r>
      <w:r w:rsidR="00350845" w:rsidRPr="00D03260">
        <w:t>they advised it</w:t>
      </w:r>
      <w:r w:rsidRPr="00D03260">
        <w:t xml:space="preserve"> is important to determine whether the patient had symptoms first and then concluded that fungi in the home must be causing them or whether the patient first observed the fungi and then looked for symptoms that have occurred as a result. The temporal ordering can provide an insight into the role of psychological bias in the development of clinical symptoms</w:t>
      </w:r>
      <w:r w:rsidR="00350845" w:rsidRPr="00D03260">
        <w:t xml:space="preserve"> </w:t>
      </w:r>
      <w:r w:rsidR="00350845" w:rsidRPr="00D03260">
        <w:fldChar w:fldCharType="begin"/>
      </w:r>
      <w:r w:rsidR="00217980" w:rsidRPr="00D03260">
        <w:instrText xml:space="preserve"> ADDIN ZOTERO_ITEM CSL_CITATION {"citationID":"vM8AHl4N","properties":{"formattedCitation":"(Larenas-Linnemann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00350845" w:rsidRPr="00D03260">
        <w:fldChar w:fldCharType="separate"/>
      </w:r>
      <w:r w:rsidR="00350845" w:rsidRPr="00D03260">
        <w:rPr>
          <w:rFonts w:cs="Arial"/>
        </w:rPr>
        <w:t>(Larenas-Linnemann et al., 2016)</w:t>
      </w:r>
      <w:r w:rsidR="00350845" w:rsidRPr="00D03260">
        <w:fldChar w:fldCharType="end"/>
      </w:r>
      <w:r w:rsidRPr="00D03260">
        <w:t>. Larenas-Linnemann et al. further advise</w:t>
      </w:r>
      <w:r w:rsidR="006C0376" w:rsidRPr="00D03260">
        <w:t>d</w:t>
      </w:r>
      <w:r w:rsidRPr="00D03260">
        <w:t xml:space="preserve"> that it may be helpful to ask such patients why they believe that fungi are causing the symptoms and how they came to </w:t>
      </w:r>
      <w:r w:rsidR="009234C1" w:rsidRPr="00D03260">
        <w:t xml:space="preserve">their </w:t>
      </w:r>
      <w:r w:rsidRPr="00D03260">
        <w:t xml:space="preserve">belief. </w:t>
      </w:r>
      <w:r w:rsidR="009234C1" w:rsidRPr="00D03260">
        <w:t>I</w:t>
      </w:r>
      <w:r w:rsidRPr="00D03260">
        <w:t xml:space="preserve">n the initial stages of evaluation </w:t>
      </w:r>
      <w:r w:rsidR="009234C1" w:rsidRPr="00D03260">
        <w:t xml:space="preserve">it is important </w:t>
      </w:r>
      <w:r w:rsidRPr="00D03260">
        <w:t xml:space="preserve">to accept patients’ statements and not to contradict their beliefs until a more trusting relationship has been established </w:t>
      </w:r>
      <w:r w:rsidRPr="00D03260">
        <w:fldChar w:fldCharType="begin"/>
      </w:r>
      <w:r w:rsidR="00217980" w:rsidRPr="00D03260">
        <w:instrText xml:space="preserve"> ADDIN ZOTERO_ITEM CSL_CITATION {"citationID":"uOqzDZNh","properties":{"formattedCitation":"(Larenas-Linnemann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Pr="00D03260">
        <w:fldChar w:fldCharType="separate"/>
      </w:r>
      <w:r w:rsidRPr="00D03260">
        <w:t>(Larenas-Linnemann et al., 2016)</w:t>
      </w:r>
      <w:r w:rsidRPr="00D03260">
        <w:fldChar w:fldCharType="end"/>
      </w:r>
      <w:r w:rsidRPr="00D03260">
        <w:t>.</w:t>
      </w:r>
    </w:p>
    <w:p w14:paraId="50CB9392" w14:textId="0B653FD0" w:rsidR="00305F21" w:rsidRPr="00D03260" w:rsidRDefault="00305F21" w:rsidP="00305F21">
      <w:r w:rsidRPr="00D03260">
        <w:t>It is recommended that medical practitioners keep an open mind when patients speak of symptoms associated with indoor damp or mould</w:t>
      </w:r>
      <w:r w:rsidR="00A6617A" w:rsidRPr="00D03260">
        <w:t>.</w:t>
      </w:r>
      <w:r w:rsidRPr="00D03260">
        <w:t xml:space="preserve"> </w:t>
      </w:r>
      <w:r w:rsidR="00A6617A" w:rsidRPr="00D03260">
        <w:t>W</w:t>
      </w:r>
      <w:r w:rsidRPr="00D03260">
        <w:t>hile the patient may have other underlying medical issues brought to light at the time of the exposure, a considered investigation of the whole clinical history is indicated</w:t>
      </w:r>
      <w:r w:rsidR="00AA02B3" w:rsidRPr="00D03260">
        <w:t>.</w:t>
      </w:r>
    </w:p>
    <w:p w14:paraId="4EAA471C" w14:textId="028C62E0" w:rsidR="009D49A7" w:rsidRPr="00D03260" w:rsidRDefault="008003C7" w:rsidP="00AF1EFC">
      <w:pPr>
        <w:pStyle w:val="NumberedHeading3"/>
        <w:numPr>
          <w:ilvl w:val="0"/>
          <w:numId w:val="0"/>
        </w:numPr>
        <w:ind w:left="1440" w:hanging="1440"/>
      </w:pPr>
      <w:bookmarkStart w:id="123" w:name="_Toc121329128"/>
      <w:bookmarkStart w:id="124" w:name="_Toc141885865"/>
      <w:r w:rsidRPr="00D03260">
        <w:t>2.1.7.</w:t>
      </w:r>
      <w:r w:rsidRPr="00D03260">
        <w:tab/>
      </w:r>
      <w:bookmarkStart w:id="125" w:name="Sect217AdviceOnManagingDiscussionsAboutS"/>
      <w:bookmarkEnd w:id="125"/>
      <w:r w:rsidR="009D49A7" w:rsidRPr="00D03260">
        <w:t>Advice on managing discussions about SBS or TMS in presenting patients</w:t>
      </w:r>
      <w:bookmarkEnd w:id="123"/>
      <w:bookmarkEnd w:id="124"/>
    </w:p>
    <w:p w14:paraId="00D33B05" w14:textId="77777777" w:rsidR="00E31166" w:rsidRPr="00D03260" w:rsidRDefault="00431A84" w:rsidP="007D6E9B">
      <w:r w:rsidRPr="00D03260">
        <w:t xml:space="preserve">Larenas-Linnemann et al. advise patients who present with concerns about fungi may refer to an illness caused by “toxic mould” or “black mould” or that they or their family may have been harmed by exposure to mycotoxins. </w:t>
      </w:r>
    </w:p>
    <w:p w14:paraId="6C291410" w14:textId="5423148A" w:rsidR="00431A84" w:rsidRPr="00D03260" w:rsidRDefault="00431A84" w:rsidP="007D6E9B">
      <w:r w:rsidRPr="00D03260">
        <w:t xml:space="preserve">These patients should be evaluated in the same way as any other patient who has symptoms </w:t>
      </w:r>
      <w:r w:rsidRPr="00D03260">
        <w:fldChar w:fldCharType="begin"/>
      </w:r>
      <w:r w:rsidR="00217980" w:rsidRPr="00D03260">
        <w:instrText xml:space="preserve"> ADDIN ZOTERO_ITEM CSL_CITATION {"citationID":"oZ6VCgpI","properties":{"formattedCitation":"(Larenas-Linnemann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Pr="00D03260">
        <w:fldChar w:fldCharType="separate"/>
      </w:r>
      <w:r w:rsidRPr="00D03260">
        <w:t>(Larenas-Linnemann et al., 2016)</w:t>
      </w:r>
      <w:r w:rsidRPr="00D03260">
        <w:fldChar w:fldCharType="end"/>
      </w:r>
      <w:r w:rsidRPr="00D03260">
        <w:t xml:space="preserve">. Following this evaluation and provided no cause of the symptoms has been identified, they advise it may help to have a frank discussion about the evidence (or lack thereof) for TMS. In their experience, patients who are honestly seeking </w:t>
      </w:r>
      <w:r w:rsidRPr="00D03260">
        <w:lastRenderedPageBreak/>
        <w:t>information about their illness will usually respond favourably to this approach</w:t>
      </w:r>
      <w:r w:rsidR="007C239D" w:rsidRPr="00D03260">
        <w:t>.</w:t>
      </w:r>
      <w:r w:rsidRPr="00D03260">
        <w:t xml:space="preserve"> </w:t>
      </w:r>
      <w:r w:rsidR="007C239D" w:rsidRPr="00D03260">
        <w:t>H</w:t>
      </w:r>
      <w:r w:rsidRPr="00D03260">
        <w:t>owever, patients who hold a pre-existing belief that exposure to mould has caused harm pose additional challenges</w:t>
      </w:r>
      <w:r w:rsidR="00BA334A" w:rsidRPr="00D03260">
        <w:t>.</w:t>
      </w:r>
      <w:r w:rsidRPr="00D03260">
        <w:t xml:space="preserve"> </w:t>
      </w:r>
      <w:r w:rsidR="00BA334A" w:rsidRPr="00D03260">
        <w:t xml:space="preserve">Patients with this belief </w:t>
      </w:r>
      <w:r w:rsidRPr="00D03260">
        <w:t xml:space="preserve">are often unwilling to accept any conclusion other than which they already have, and in some cases are seeking confirmation or validation of their beliefs </w:t>
      </w:r>
      <w:r w:rsidRPr="00D03260">
        <w:fldChar w:fldCharType="begin"/>
      </w:r>
      <w:r w:rsidR="00217980" w:rsidRPr="00D03260">
        <w:instrText xml:space="preserve"> ADDIN ZOTERO_ITEM CSL_CITATION {"citationID":"qnTe4ldX","properties":{"formattedCitation":"(Larenas-Linnemann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Pr="00D03260">
        <w:fldChar w:fldCharType="separate"/>
      </w:r>
      <w:r w:rsidRPr="00D03260">
        <w:t>(Larenas-Linnemann et al., 2016)</w:t>
      </w:r>
      <w:r w:rsidRPr="00D03260">
        <w:fldChar w:fldCharType="end"/>
      </w:r>
      <w:r w:rsidRPr="00D03260">
        <w:t xml:space="preserve">. In such cases, the best approach is to provide the best information that is available about what is and what is not known about the health effects of exposure to fungi and avoid causing harm by doing unnecessary tests or treatment. </w:t>
      </w:r>
      <w:r w:rsidR="00BA334A" w:rsidRPr="00D03260">
        <w:t xml:space="preserve">The advice further notes that </w:t>
      </w:r>
      <w:r w:rsidRPr="00D03260">
        <w:t>“</w:t>
      </w:r>
      <w:r w:rsidR="00BA334A" w:rsidRPr="00D03260">
        <w:t>b</w:t>
      </w:r>
      <w:r w:rsidRPr="00D03260">
        <w:t xml:space="preserve">y engaging in this type of discussion, it is possible that reason will prevail” </w:t>
      </w:r>
      <w:r w:rsidRPr="00D03260">
        <w:fldChar w:fldCharType="begin"/>
      </w:r>
      <w:r w:rsidR="00217980" w:rsidRPr="00D03260">
        <w:instrText xml:space="preserve"> ADDIN ZOTERO_ITEM CSL_CITATION {"citationID":"dn381Qvp","properties":{"formattedCitation":"(Larenas-Linnemann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Pr="00D03260">
        <w:fldChar w:fldCharType="separate"/>
      </w:r>
      <w:r w:rsidRPr="00D03260">
        <w:t>(Larenas-Linnemann et al., 2016)</w:t>
      </w:r>
      <w:r w:rsidRPr="00D03260">
        <w:fldChar w:fldCharType="end"/>
      </w:r>
      <w:r w:rsidRPr="00D03260">
        <w:t>.</w:t>
      </w:r>
    </w:p>
    <w:p w14:paraId="5398BCE4" w14:textId="00F892B1" w:rsidR="000D3A62" w:rsidRPr="00D03260" w:rsidRDefault="008003C7" w:rsidP="00AF1EFC">
      <w:pPr>
        <w:pStyle w:val="NumberedHeading2"/>
        <w:numPr>
          <w:ilvl w:val="0"/>
          <w:numId w:val="0"/>
        </w:numPr>
        <w:ind w:left="720" w:hanging="720"/>
      </w:pPr>
      <w:bookmarkStart w:id="126" w:name="_Toc121329129"/>
      <w:bookmarkStart w:id="127" w:name="_Toc141885866"/>
      <w:r w:rsidRPr="00D03260">
        <w:t>2.2.</w:t>
      </w:r>
      <w:r w:rsidRPr="00D03260">
        <w:tab/>
      </w:r>
      <w:bookmarkStart w:id="128" w:name="Sect22ConsultWithAndReferToAppropriateEx"/>
      <w:bookmarkEnd w:id="128"/>
      <w:r w:rsidR="0016371F" w:rsidRPr="00D03260">
        <w:t xml:space="preserve">Consult </w:t>
      </w:r>
      <w:r w:rsidR="007A42D8" w:rsidRPr="00D03260">
        <w:t xml:space="preserve">with </w:t>
      </w:r>
      <w:r w:rsidR="0016371F" w:rsidRPr="00D03260">
        <w:t>and refer to appropriate experts in relevant medical specialty to provide multi-disciplinary care</w:t>
      </w:r>
      <w:bookmarkEnd w:id="126"/>
      <w:bookmarkEnd w:id="127"/>
    </w:p>
    <w:p w14:paraId="0ACB9021" w14:textId="53A0B1DF" w:rsidR="00AE47B2" w:rsidRPr="00D03260" w:rsidRDefault="00AE47B2" w:rsidP="00AE47B2">
      <w:r w:rsidRPr="00D03260">
        <w:t xml:space="preserve">On the basis of medical history and physical examination further special investigations are performed within the relevant medical speciality, depending on the diagnostic question and differential diagnosis </w:t>
      </w:r>
      <w:r w:rsidRPr="00D03260">
        <w:fldChar w:fldCharType="begin"/>
      </w:r>
      <w:r w:rsidR="00217980" w:rsidRPr="00D03260">
        <w:instrText xml:space="preserve"> ADDIN ZOTERO_ITEM CSL_CITATION {"citationID":"g2mJlUP0","properties":{"formattedCitation":"(Wiesm\\uc0\\u252{}ller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3E650726" w14:textId="7ACDD018" w:rsidR="00AE47B2" w:rsidRPr="00D03260" w:rsidRDefault="00141E4B" w:rsidP="00AE47B2">
      <w:r w:rsidRPr="00D03260">
        <w:t>Adopt a multidisciplinary approach to patient care, involving general practitioners (GP), and where necessary, non-GP specialists such as general physicians, respiratory physicians, infectious diseases (ID) physicians, clinical allergists, clinical immunologists, occupational and environmental physicians, and psychiatrists. The multidisciplinary approach to patient care also involves allied health and non-medical health professionals, including occupational health nurses.</w:t>
      </w:r>
    </w:p>
    <w:p w14:paraId="44D00962" w14:textId="75A0F9F4" w:rsidR="000E5A70" w:rsidRPr="00D03260" w:rsidRDefault="00AE47B2" w:rsidP="00AE47B2">
      <w:r w:rsidRPr="00D03260">
        <w:t>Follow the Australian Asthma Handbook</w:t>
      </w:r>
      <w:r w:rsidR="00B7700F" w:rsidRPr="00D03260">
        <w:t>,</w:t>
      </w:r>
      <w:r w:rsidR="00210C64" w:rsidRPr="00D03260">
        <w:t xml:space="preserve"> available at</w:t>
      </w:r>
      <w:r w:rsidR="009149DB" w:rsidRPr="00D03260">
        <w:t xml:space="preserve"> </w:t>
      </w:r>
      <w:hyperlink r:id="rId55" w:history="1">
        <w:r w:rsidR="007D676F" w:rsidRPr="00D03260">
          <w:rPr>
            <w:rStyle w:val="Hyperlink"/>
            <w:szCs w:val="21"/>
          </w:rPr>
          <w:t>https://www.asthmahandbook.org.au/</w:t>
        </w:r>
      </w:hyperlink>
      <w:r w:rsidRPr="00D03260">
        <w:t xml:space="preserve"> </w:t>
      </w:r>
      <w:r w:rsidR="00760343" w:rsidRPr="00D03260">
        <w:fldChar w:fldCharType="begin"/>
      </w:r>
      <w:r w:rsidR="00217980" w:rsidRPr="00D03260">
        <w:instrText xml:space="preserve"> ADDIN ZOTERO_ITEM CSL_CITATION {"citationID":"d6lDgIwH","properties":{"formattedCitation":"(National Asthma Council Australia, 2022)","plainCitation":"(National Asthma Council Australia, 2022)","noteIndex":0},"citationItems":[{"id":4705,"uris":["http://zotero.org/groups/4371185/items/5Y5IQIDN"],"itemData":{"id":4705,"type":"document","publisher":"National Asthma Council Australia, Melbourne","title":"Australian Asthma Handbook- Version 2.2","URL":"http://www.asthmahandbook.org.au","author":[{"family":"National Asthma Council Australia","given":""}],"issued":{"date-parts":[["2022"]]}}}],"schema":"https://github.com/citation-style-language/schema/raw/master/csl-citation.json"} </w:instrText>
      </w:r>
      <w:r w:rsidR="00760343" w:rsidRPr="00D03260">
        <w:fldChar w:fldCharType="separate"/>
      </w:r>
      <w:r w:rsidR="00760343" w:rsidRPr="00D03260">
        <w:rPr>
          <w:rFonts w:cs="Arial"/>
        </w:rPr>
        <w:t>(National Asthma Council Australia, 2022)</w:t>
      </w:r>
      <w:r w:rsidR="00760343" w:rsidRPr="00D03260">
        <w:fldChar w:fldCharType="end"/>
      </w:r>
      <w:r w:rsidR="00413E0D" w:rsidRPr="00D03260">
        <w:t xml:space="preserve"> </w:t>
      </w:r>
      <w:r w:rsidRPr="00D03260">
        <w:t xml:space="preserve">for the diagnosis and management of patients with suspected asthma. The reported symptomology of </w:t>
      </w:r>
      <w:r w:rsidR="009E7A03" w:rsidRPr="00D03260">
        <w:t xml:space="preserve">so called </w:t>
      </w:r>
      <w:r w:rsidRPr="00D03260">
        <w:t>CIRS in relation to WDBs includes respiratory symptoms, and thus overlaps with the symptomology of asthma.</w:t>
      </w:r>
    </w:p>
    <w:p w14:paraId="7C04C080" w14:textId="27450044" w:rsidR="00AE47B2" w:rsidRPr="00D03260" w:rsidRDefault="00AE47B2" w:rsidP="00AE47B2">
      <w:r w:rsidRPr="00D03260">
        <w:t xml:space="preserve">The action plan of the 2015 National Allergy Strategy </w:t>
      </w:r>
      <w:r w:rsidRPr="00D03260">
        <w:fldChar w:fldCharType="begin"/>
      </w:r>
      <w:r w:rsidR="00217980" w:rsidRPr="00D03260">
        <w:instrText xml:space="preserve"> ADDIN ZOTERO_ITEM CSL_CITATION {"citationID":"koWcx5QY","properties":{"formattedCitation":"(Australian Society of Clinical Immunology and Allergy &amp; Allergy &amp; Anaphylaxis Australia, 2015)","plainCitation":"(Australian Society of Clinical Immunology and Allergy &amp; Allergy &amp; Anaphylaxis Australia, 2015)","noteIndex":0},"citationItems":[{"id":2173,"uris":["http://zotero.org/groups/4371185/items/UHE45RNU"],"itemData":{"id":2173,"type":"document","publisher":"Australian Society of Clinical Immunology and Allergy, and Allergy Anaphylaxis Australia","title":"National Allergy Strategy: Improving the health and quality of life of Australians with allergic disease","author":[{"family":"Australian Society of Clinical Immunology and Allergy","given":""},{"family":"Allergy &amp; Anaphylaxis Australia","given":""}],"accessed":{"date-parts":[["2021",8,27]]},"issued":{"date-parts":[["2015",8]]}}}],"schema":"https://github.com/citation-style-language/schema/raw/master/csl-citation.json"} </w:instrText>
      </w:r>
      <w:r w:rsidRPr="00D03260">
        <w:fldChar w:fldCharType="separate"/>
      </w:r>
      <w:r w:rsidRPr="00D03260">
        <w:t>(Australian Society of Clinical Immunology and Allergy &amp; Allergy &amp; Anaphylaxis Australia, 2015)</w:t>
      </w:r>
      <w:r w:rsidRPr="00D03260">
        <w:fldChar w:fldCharType="end"/>
      </w:r>
      <w:r w:rsidRPr="00D03260">
        <w:t xml:space="preserve"> advises that accurate diagnosis is essential, and requires appropriate specialist care, and that a shared care model for allergy management is considered optimal:</w:t>
      </w:r>
    </w:p>
    <w:p w14:paraId="5D59EEC7" w14:textId="6AD2742D" w:rsidR="00AE47B2" w:rsidRPr="00D03260" w:rsidRDefault="00AE47B2" w:rsidP="00AE47B2">
      <w:pPr>
        <w:pStyle w:val="Quote"/>
        <w:rPr>
          <w:i w:val="0"/>
          <w:iCs w:val="0"/>
        </w:rPr>
      </w:pPr>
      <w:r w:rsidRPr="00D03260">
        <w:t xml:space="preserve">There is increasing evidence that multidisciplinary team-based healthcare contributes to improved health outcomes. This evidence also indicates that a multidisciplinary approach improves the consumer experience of care and reduces the need for hospital and emergency care which is expensive and avoidable. </w:t>
      </w:r>
      <w:r w:rsidRPr="00D03260">
        <w:rPr>
          <w:i w:val="0"/>
          <w:iCs w:val="0"/>
        </w:rPr>
        <w:fldChar w:fldCharType="begin"/>
      </w:r>
      <w:r w:rsidR="00217980" w:rsidRPr="00D03260">
        <w:rPr>
          <w:i w:val="0"/>
          <w:iCs w:val="0"/>
        </w:rPr>
        <w:instrText xml:space="preserve"> ADDIN ZOTERO_ITEM CSL_CITATION {"citationID":"nasLvmaH","properties":{"formattedCitation":"(Australian Society of Clinical Immunology and Allergy &amp; Allergy &amp; Anaphylaxis Australia, 2015, p. 35)","plainCitation":"(Australian Society of Clinical Immunology and Allergy &amp; Allergy &amp; Anaphylaxis Australia, 2015, p. 35)","noteIndex":0},"citationItems":[{"id":2173,"uris":["http://zotero.org/groups/4371185/items/UHE45RNU"],"itemData":{"id":2173,"type":"document","publisher":"Australian Society of Clinical Immunology and Allergy, and Allergy Anaphylaxis Australia","title":"National Allergy Strategy: Improving the health and quality of life of Australians with allergic disease","author":[{"family":"Australian Society of Clinical Immunology and Allergy","given":""},{"family":"Allergy &amp; Anaphylaxis Australia","given":""}],"accessed":{"date-parts":[["2021",8,27]]},"issued":{"date-parts":[["2015",8]]}},"locator":"35"}],"schema":"https://github.com/citation-style-language/schema/raw/master/csl-citation.json"} </w:instrText>
      </w:r>
      <w:r w:rsidRPr="00D03260">
        <w:rPr>
          <w:i w:val="0"/>
          <w:iCs w:val="0"/>
        </w:rPr>
        <w:fldChar w:fldCharType="separate"/>
      </w:r>
      <w:r w:rsidRPr="00D03260">
        <w:rPr>
          <w:i w:val="0"/>
          <w:iCs w:val="0"/>
        </w:rPr>
        <w:t>(Australian Society of Clinical Immunology and Allergy &amp; Allergy &amp; Anaphylaxis Australia, 2015, p. 35)</w:t>
      </w:r>
      <w:r w:rsidRPr="00D03260">
        <w:rPr>
          <w:i w:val="0"/>
          <w:iCs w:val="0"/>
        </w:rPr>
        <w:fldChar w:fldCharType="end"/>
      </w:r>
    </w:p>
    <w:p w14:paraId="06C4BC44" w14:textId="421BBF58" w:rsidR="0016371F" w:rsidRPr="00D03260" w:rsidRDefault="00AE47B2" w:rsidP="00D83D9D">
      <w:r w:rsidRPr="00D03260">
        <w:t xml:space="preserve">Methods for the diagnosis and management of fungus-allergic patients should follow the same clinical pathways used for patients with allergic conditions in general </w:t>
      </w:r>
      <w:r w:rsidRPr="00D03260">
        <w:fldChar w:fldCharType="begin"/>
      </w:r>
      <w:r w:rsidR="00217980" w:rsidRPr="00D03260">
        <w:instrText xml:space="preserve"> ADDIN ZOTERO_ITEM CSL_CITATION {"citationID":"WwGXPZlC","properties":{"formattedCitation":"(Larenas-Linnemann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Pr="00D03260">
        <w:fldChar w:fldCharType="separate"/>
      </w:r>
      <w:r w:rsidRPr="00D03260">
        <w:t>(Larenas-Linnemann et al., 2016)</w:t>
      </w:r>
      <w:r w:rsidRPr="00D03260">
        <w:fldChar w:fldCharType="end"/>
      </w:r>
      <w:r w:rsidRPr="00D03260">
        <w:t>.</w:t>
      </w:r>
    </w:p>
    <w:p w14:paraId="00DA9A6C" w14:textId="21386F31" w:rsidR="006D75FF" w:rsidRPr="00D03260" w:rsidRDefault="006D75FF" w:rsidP="00D83D9D">
      <w:bookmarkStart w:id="129" w:name="Figure1"/>
      <w:bookmarkEnd w:id="129"/>
      <w:r w:rsidRPr="00D03260">
        <w:br w:type="page"/>
      </w:r>
    </w:p>
    <w:p w14:paraId="31DE89EF" w14:textId="55B7C434" w:rsidR="001447AA" w:rsidRPr="00D03260" w:rsidRDefault="00DB059F" w:rsidP="00AF1EFC">
      <w:pPr>
        <w:pStyle w:val="NumberedHeading1"/>
        <w:ind w:left="360"/>
      </w:pPr>
      <w:bookmarkStart w:id="130" w:name="_Toc121329130"/>
      <w:bookmarkStart w:id="131" w:name="_Toc141885867"/>
      <w:r w:rsidRPr="00D03260">
        <w:lastRenderedPageBreak/>
        <w:t>Differential diagnosis</w:t>
      </w:r>
      <w:bookmarkEnd w:id="130"/>
      <w:bookmarkEnd w:id="131"/>
    </w:p>
    <w:p w14:paraId="0288D145" w14:textId="0DF580DB" w:rsidR="00770963" w:rsidRPr="00D03260" w:rsidRDefault="00770963" w:rsidP="00770963">
      <w:r w:rsidRPr="00D03260">
        <w:t xml:space="preserve">The AWMF guideline advises the differential diagnosis always takes priority when assessing the health effects of exposure to mould </w:t>
      </w:r>
      <w:r w:rsidRPr="00D03260">
        <w:fldChar w:fldCharType="begin"/>
      </w:r>
      <w:r w:rsidR="00217980" w:rsidRPr="00D03260">
        <w:instrText xml:space="preserve"> ADDIN ZOTERO_ITEM CSL_CITATION {"citationID":"KmDQk4zh","properties":{"formattedCitation":"(Wiesm\\uc0\\u252{}ller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As the effect of mould </w:t>
      </w:r>
      <w:r w:rsidR="00F57248" w:rsidRPr="00D03260">
        <w:t>is influenced by personal susceptibility</w:t>
      </w:r>
      <w:r w:rsidRPr="00D03260">
        <w:t>, any delay in taking steps</w:t>
      </w:r>
      <w:r w:rsidR="00F57248" w:rsidRPr="00D03260">
        <w:t xml:space="preserve"> (for example, delay </w:t>
      </w:r>
      <w:r w:rsidRPr="00D03260">
        <w:t>caused through mould determination efforts</w:t>
      </w:r>
      <w:r w:rsidR="00F57248" w:rsidRPr="00D03260">
        <w:t>)</w:t>
      </w:r>
      <w:r w:rsidRPr="00D03260">
        <w:t xml:space="preserve">, may </w:t>
      </w:r>
      <w:r w:rsidR="00F57248" w:rsidRPr="00D03260">
        <w:t xml:space="preserve">increase risk for </w:t>
      </w:r>
      <w:r w:rsidRPr="00D03260">
        <w:t xml:space="preserve">persons requiring </w:t>
      </w:r>
      <w:proofErr w:type="gramStart"/>
      <w:r w:rsidRPr="00D03260">
        <w:t>particular protection</w:t>
      </w:r>
      <w:proofErr w:type="gramEnd"/>
      <w:r w:rsidRPr="00D03260">
        <w:t xml:space="preserve"> from mould. Risk groups warranting particular attention include immunosuppressed individuals</w:t>
      </w:r>
      <w:r w:rsidR="00F57248" w:rsidRPr="00D03260">
        <w:t xml:space="preserve"> and</w:t>
      </w:r>
      <w:r w:rsidRPr="00D03260">
        <w:t xml:space="preserve"> individuals with </w:t>
      </w:r>
      <w:r w:rsidR="00A45089" w:rsidRPr="00D03260">
        <w:t>CF</w:t>
      </w:r>
      <w:r w:rsidRPr="00D03260">
        <w:t xml:space="preserve"> (mucoviscidosis) </w:t>
      </w:r>
      <w:r w:rsidR="00F57248" w:rsidRPr="00D03260">
        <w:t xml:space="preserve">or </w:t>
      </w:r>
      <w:r w:rsidRPr="00D03260">
        <w:t xml:space="preserve">bronchial asthma </w:t>
      </w:r>
      <w:r w:rsidRPr="00D03260">
        <w:fldChar w:fldCharType="begin"/>
      </w:r>
      <w:r w:rsidR="00217980" w:rsidRPr="00D03260">
        <w:instrText xml:space="preserve"> ADDIN ZOTERO_ITEM CSL_CITATION {"citationID":"TyBR1ibC","properties":{"formattedCitation":"(Wiesm\\uc0\\u252{}ller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31C65A61" w14:textId="0120FF9C" w:rsidR="00E565C4" w:rsidRPr="00D03260" w:rsidRDefault="00FE204B" w:rsidP="00AF1EFC">
      <w:pPr>
        <w:pStyle w:val="NumberedHeading2"/>
        <w:numPr>
          <w:ilvl w:val="0"/>
          <w:numId w:val="0"/>
        </w:numPr>
        <w:ind w:left="720" w:hanging="720"/>
      </w:pPr>
      <w:bookmarkStart w:id="132" w:name="_Toc121329131"/>
      <w:bookmarkStart w:id="133" w:name="_Toc141885868"/>
      <w:r w:rsidRPr="00D03260">
        <w:t>3.1.</w:t>
      </w:r>
      <w:r w:rsidRPr="00D03260">
        <w:tab/>
      </w:r>
      <w:bookmarkStart w:id="134" w:name="Section31DifferentialDiagnosisForWhichAS"/>
      <w:bookmarkEnd w:id="134"/>
      <w:r w:rsidR="0074502B" w:rsidRPr="00D03260">
        <w:t xml:space="preserve">Differential diagnoses </w:t>
      </w:r>
      <w:r w:rsidR="008B4C8C" w:rsidRPr="00D03260">
        <w:t xml:space="preserve">or symptoms </w:t>
      </w:r>
      <w:r w:rsidR="00E565C4" w:rsidRPr="00D03260">
        <w:t>for which a sufficient level of evidence exists for an association with exposure to indoor damp and mould</w:t>
      </w:r>
      <w:bookmarkEnd w:id="132"/>
      <w:bookmarkEnd w:id="133"/>
    </w:p>
    <w:p w14:paraId="27AB3F1C" w14:textId="76221219" w:rsidR="005C5DEC" w:rsidRPr="00D03260" w:rsidRDefault="00AB2AFB" w:rsidP="009C77C5">
      <w:pPr>
        <w:pStyle w:val="NumberedHeading3"/>
        <w:numPr>
          <w:ilvl w:val="0"/>
          <w:numId w:val="0"/>
        </w:numPr>
        <w:ind w:left="1418" w:hanging="1418"/>
      </w:pPr>
      <w:bookmarkStart w:id="135" w:name="_Toc121329132"/>
      <w:bookmarkStart w:id="136" w:name="_Toc141885869"/>
      <w:bookmarkStart w:id="137" w:name="Section311Asthma"/>
      <w:r w:rsidRPr="00D03260">
        <w:t>3.1.1</w:t>
      </w:r>
      <w:r w:rsidRPr="00D03260">
        <w:tab/>
      </w:r>
      <w:r w:rsidR="00F57248" w:rsidRPr="00D03260">
        <w:tab/>
      </w:r>
      <w:r w:rsidR="005C5DEC" w:rsidRPr="00D03260">
        <w:t xml:space="preserve">Asthma, respiratory infections, rhinitis, wheeze, cough, dyspnoea, bronchitis, </w:t>
      </w:r>
      <w:r w:rsidR="005C5DEC" w:rsidRPr="00D03260">
        <w:rPr>
          <w:szCs w:val="22"/>
        </w:rPr>
        <w:t>upper respiratory tract symptoms, and eczema</w:t>
      </w:r>
      <w:bookmarkEnd w:id="135"/>
      <w:bookmarkEnd w:id="136"/>
    </w:p>
    <w:bookmarkEnd w:id="137"/>
    <w:p w14:paraId="667E6F1F" w14:textId="53C9E41F" w:rsidR="00574F26" w:rsidRPr="00D03260" w:rsidRDefault="00F54756" w:rsidP="00751B33">
      <w:pPr>
        <w:rPr>
          <w:szCs w:val="22"/>
        </w:rPr>
      </w:pPr>
      <w:r w:rsidRPr="00D03260">
        <w:t xml:space="preserve">As mentioned in </w:t>
      </w:r>
      <w:hyperlink w:anchor="Sect131DifferentialDiagnosesOrSymptomsFo" w:history="1">
        <w:r w:rsidR="00B7700F" w:rsidRPr="00D03260">
          <w:rPr>
            <w:rStyle w:val="Hyperlink"/>
          </w:rPr>
          <w:t>s</w:t>
        </w:r>
        <w:r w:rsidR="00A154B2" w:rsidRPr="00D03260">
          <w:rPr>
            <w:rStyle w:val="Hyperlink"/>
          </w:rPr>
          <w:t>ection 1.3.1</w:t>
        </w:r>
      </w:hyperlink>
      <w:r w:rsidR="00A154B2" w:rsidRPr="00D03260">
        <w:t xml:space="preserve"> </w:t>
      </w:r>
      <w:r w:rsidR="006754EE" w:rsidRPr="00D03260">
        <w:t>there are health effects</w:t>
      </w:r>
      <w:r w:rsidR="003E2B48" w:rsidRPr="00D03260">
        <w:t xml:space="preserve"> </w:t>
      </w:r>
      <w:r w:rsidR="003D6660" w:rsidRPr="00D03260">
        <w:t xml:space="preserve">for which </w:t>
      </w:r>
      <w:r w:rsidR="002F05A6" w:rsidRPr="00D03260">
        <w:t xml:space="preserve">a sufficient level of evidence exists </w:t>
      </w:r>
      <w:r w:rsidR="00574F26" w:rsidRPr="00D03260">
        <w:t>fo</w:t>
      </w:r>
      <w:r w:rsidR="008B4C8C" w:rsidRPr="00D03260">
        <w:t>r</w:t>
      </w:r>
      <w:r w:rsidR="00574F26" w:rsidRPr="00D03260">
        <w:t xml:space="preserve"> an association with exposure to indoor damp and mould. </w:t>
      </w:r>
      <w:r w:rsidR="00B03D88" w:rsidRPr="00D03260">
        <w:t xml:space="preserve">These health effects include asthma (development, current, exacerbation), respiratory infections, rhinitis, wheeze, cough, dyspnoea, bronchitis, </w:t>
      </w:r>
      <w:r w:rsidR="00B03D88" w:rsidRPr="00D03260">
        <w:rPr>
          <w:szCs w:val="22"/>
        </w:rPr>
        <w:t xml:space="preserve">upper respiratory tract symptoms, eczema, and HP, </w:t>
      </w:r>
      <w:proofErr w:type="gramStart"/>
      <w:r w:rsidR="00B03D88" w:rsidRPr="00D03260">
        <w:rPr>
          <w:szCs w:val="22"/>
        </w:rPr>
        <w:t>mycoses</w:t>
      </w:r>
      <w:proofErr w:type="gramEnd"/>
      <w:r w:rsidR="00B03D88" w:rsidRPr="00D03260">
        <w:rPr>
          <w:szCs w:val="22"/>
        </w:rPr>
        <w:t xml:space="preserve"> and allergic effects in susceptible people. </w:t>
      </w:r>
      <w:r w:rsidR="002548EF" w:rsidRPr="00D03260">
        <w:rPr>
          <w:szCs w:val="22"/>
        </w:rPr>
        <w:t>A</w:t>
      </w:r>
      <w:r w:rsidR="0016672C" w:rsidRPr="00D03260">
        <w:rPr>
          <w:szCs w:val="22"/>
        </w:rPr>
        <w:t>n overview</w:t>
      </w:r>
      <w:r w:rsidR="002548EF" w:rsidRPr="00D03260">
        <w:rPr>
          <w:szCs w:val="22"/>
        </w:rPr>
        <w:t xml:space="preserve"> of the epidemiological evidence </w:t>
      </w:r>
      <w:r w:rsidR="00E47474" w:rsidRPr="00D03260">
        <w:rPr>
          <w:szCs w:val="22"/>
        </w:rPr>
        <w:t>on exposure to indoor damp and mould, and</w:t>
      </w:r>
      <w:r w:rsidR="002548EF" w:rsidRPr="00D03260">
        <w:rPr>
          <w:szCs w:val="22"/>
        </w:rPr>
        <w:t xml:space="preserve"> </w:t>
      </w:r>
      <w:r w:rsidR="007C239D" w:rsidRPr="00D03260">
        <w:rPr>
          <w:szCs w:val="22"/>
        </w:rPr>
        <w:t>the</w:t>
      </w:r>
      <w:r w:rsidR="006754EE" w:rsidRPr="00D03260">
        <w:rPr>
          <w:szCs w:val="22"/>
        </w:rPr>
        <w:t>se</w:t>
      </w:r>
      <w:r w:rsidR="007C239D" w:rsidRPr="00D03260">
        <w:rPr>
          <w:szCs w:val="22"/>
        </w:rPr>
        <w:t xml:space="preserve"> health effects or symptoms for which a sufficient level of evidence exists</w:t>
      </w:r>
      <w:r w:rsidR="006754EE" w:rsidRPr="00D03260">
        <w:rPr>
          <w:szCs w:val="22"/>
        </w:rPr>
        <w:t>,</w:t>
      </w:r>
      <w:r w:rsidR="007C239D" w:rsidRPr="00D03260">
        <w:rPr>
          <w:szCs w:val="22"/>
        </w:rPr>
        <w:t xml:space="preserve"> </w:t>
      </w:r>
      <w:r w:rsidR="005A73CB" w:rsidRPr="00D03260">
        <w:rPr>
          <w:szCs w:val="22"/>
        </w:rPr>
        <w:t xml:space="preserve">is provided in </w:t>
      </w:r>
      <w:hyperlink w:anchor="AppendixALikelyDifferentialDiagnosesOrSy" w:history="1">
        <w:r w:rsidR="005A73CB" w:rsidRPr="00D03260">
          <w:rPr>
            <w:rStyle w:val="Hyperlink"/>
            <w:szCs w:val="22"/>
          </w:rPr>
          <w:t>Appendix</w:t>
        </w:r>
        <w:r w:rsidR="00771BD5" w:rsidRPr="00D03260">
          <w:rPr>
            <w:rStyle w:val="Hyperlink"/>
            <w:szCs w:val="22"/>
          </w:rPr>
          <w:t xml:space="preserve"> A</w:t>
        </w:r>
      </w:hyperlink>
      <w:r w:rsidR="005A73CB" w:rsidRPr="00D03260">
        <w:rPr>
          <w:szCs w:val="22"/>
        </w:rPr>
        <w:t xml:space="preserve">. </w:t>
      </w:r>
    </w:p>
    <w:p w14:paraId="0D274D9F" w14:textId="3B11E151" w:rsidR="00F54756" w:rsidRPr="00D03260" w:rsidRDefault="00F54756" w:rsidP="0054151E">
      <w:r w:rsidRPr="00D03260">
        <w:t>Further advice on diagnosis of asthma is provided later in this document</w:t>
      </w:r>
      <w:r w:rsidR="00E25E58" w:rsidRPr="00D03260">
        <w:t>:</w:t>
      </w:r>
      <w:r w:rsidRPr="00D03260">
        <w:t xml:space="preserve"> </w:t>
      </w:r>
    </w:p>
    <w:p w14:paraId="14B5A770" w14:textId="77777777" w:rsidR="00F54756" w:rsidRPr="00D03260" w:rsidRDefault="0054151E" w:rsidP="00F54756">
      <w:pPr>
        <w:pStyle w:val="ListParagraph"/>
        <w:numPr>
          <w:ilvl w:val="0"/>
          <w:numId w:val="103"/>
        </w:numPr>
      </w:pPr>
      <w:r w:rsidRPr="00D03260">
        <w:t xml:space="preserve">For advice on diagnostic testing for asthma, see </w:t>
      </w:r>
      <w:hyperlink w:anchor="Section41Asthma" w:history="1">
        <w:r w:rsidR="007F15B3" w:rsidRPr="00D03260">
          <w:rPr>
            <w:rStyle w:val="Hyperlink"/>
          </w:rPr>
          <w:t>s</w:t>
        </w:r>
        <w:r w:rsidRPr="00D03260">
          <w:rPr>
            <w:rStyle w:val="Hyperlink"/>
          </w:rPr>
          <w:t>ection 4.1</w:t>
        </w:r>
      </w:hyperlink>
      <w:r w:rsidRPr="00D03260">
        <w:t xml:space="preserve"> and </w:t>
      </w:r>
      <w:r w:rsidR="007F15B3" w:rsidRPr="00D03260">
        <w:t>s</w:t>
      </w:r>
      <w:r w:rsidRPr="00D03260">
        <w:t xml:space="preserve">ections </w:t>
      </w:r>
      <w:hyperlink w:anchor="Section411Adults" w:history="1">
        <w:r w:rsidRPr="00D03260">
          <w:rPr>
            <w:rStyle w:val="Hyperlink"/>
          </w:rPr>
          <w:t>4.1.1</w:t>
        </w:r>
      </w:hyperlink>
      <w:r w:rsidRPr="00D03260">
        <w:t xml:space="preserve"> to </w:t>
      </w:r>
      <w:hyperlink w:anchor="Section414InfantsAged0To12Months" w:history="1">
        <w:r w:rsidRPr="00D03260">
          <w:rPr>
            <w:rStyle w:val="Hyperlink"/>
          </w:rPr>
          <w:t>4.1.4</w:t>
        </w:r>
      </w:hyperlink>
      <w:r w:rsidRPr="00D03260">
        <w:t xml:space="preserve">. </w:t>
      </w:r>
    </w:p>
    <w:p w14:paraId="18D41D8D" w14:textId="62472606" w:rsidR="00F54756" w:rsidRPr="00D03260" w:rsidRDefault="0054151E" w:rsidP="00F54756">
      <w:pPr>
        <w:pStyle w:val="ListParagraph"/>
        <w:numPr>
          <w:ilvl w:val="0"/>
          <w:numId w:val="103"/>
        </w:numPr>
      </w:pPr>
      <w:r w:rsidRPr="00D03260">
        <w:t xml:space="preserve">For advice on the diagnosis of asthma, see </w:t>
      </w:r>
      <w:hyperlink w:anchor="Section51Asthma" w:history="1">
        <w:r w:rsidR="007F15B3" w:rsidRPr="00D03260">
          <w:rPr>
            <w:rStyle w:val="Hyperlink"/>
          </w:rPr>
          <w:t>s</w:t>
        </w:r>
        <w:r w:rsidRPr="00D03260">
          <w:rPr>
            <w:rStyle w:val="Hyperlink"/>
          </w:rPr>
          <w:t>ection 5.1</w:t>
        </w:r>
      </w:hyperlink>
      <w:r w:rsidRPr="00D03260">
        <w:t xml:space="preserve"> and </w:t>
      </w:r>
      <w:r w:rsidR="007F15B3" w:rsidRPr="00D03260">
        <w:t>s</w:t>
      </w:r>
      <w:r w:rsidRPr="00D03260">
        <w:t xml:space="preserve">ections </w:t>
      </w:r>
      <w:hyperlink w:anchor="Section511ConfirmedDiagnosisOfAsthmaInAd" w:history="1">
        <w:r w:rsidRPr="00D03260">
          <w:rPr>
            <w:rStyle w:val="Hyperlink"/>
          </w:rPr>
          <w:t>5.1.1</w:t>
        </w:r>
      </w:hyperlink>
      <w:r w:rsidRPr="00D03260">
        <w:t xml:space="preserve"> to </w:t>
      </w:r>
      <w:hyperlink w:anchor="Section515NoConfirmedDiagnosisOfAsthmaAn" w:history="1">
        <w:r w:rsidRPr="00D03260">
          <w:rPr>
            <w:rStyle w:val="Hyperlink"/>
          </w:rPr>
          <w:t>5.1.5</w:t>
        </w:r>
      </w:hyperlink>
      <w:r w:rsidRPr="00D03260">
        <w:t>.</w:t>
      </w:r>
    </w:p>
    <w:p w14:paraId="751818A4" w14:textId="5E8A8F11" w:rsidR="00F54756" w:rsidRPr="00D03260" w:rsidRDefault="0054151E" w:rsidP="00751B33">
      <w:pPr>
        <w:pStyle w:val="ListParagraph"/>
        <w:numPr>
          <w:ilvl w:val="0"/>
          <w:numId w:val="103"/>
        </w:numPr>
        <w:rPr>
          <w:szCs w:val="22"/>
        </w:rPr>
      </w:pPr>
      <w:r w:rsidRPr="00D03260">
        <w:t xml:space="preserve">For advice on the initial management of asthma, see </w:t>
      </w:r>
      <w:hyperlink w:anchor="Section621Asthma" w:history="1">
        <w:r w:rsidR="007F15B3" w:rsidRPr="00D03260">
          <w:rPr>
            <w:rStyle w:val="Hyperlink"/>
          </w:rPr>
          <w:t>s</w:t>
        </w:r>
        <w:r w:rsidRPr="00D03260">
          <w:rPr>
            <w:rStyle w:val="Hyperlink"/>
          </w:rPr>
          <w:t>ection 6.2.1</w:t>
        </w:r>
      </w:hyperlink>
      <w:r w:rsidR="00F54756" w:rsidRPr="00D03260">
        <w:t>.</w:t>
      </w:r>
      <w:r w:rsidRPr="00D03260">
        <w:t xml:space="preserve"> </w:t>
      </w:r>
    </w:p>
    <w:p w14:paraId="0B69F2A8" w14:textId="049F65AE" w:rsidR="0054151E" w:rsidRPr="00D03260" w:rsidRDefault="00F54756" w:rsidP="008C14D7">
      <w:pPr>
        <w:pStyle w:val="ListParagraph"/>
        <w:numPr>
          <w:ilvl w:val="0"/>
          <w:numId w:val="103"/>
        </w:numPr>
        <w:rPr>
          <w:szCs w:val="22"/>
        </w:rPr>
      </w:pPr>
      <w:r w:rsidRPr="00D03260">
        <w:t>F</w:t>
      </w:r>
      <w:r w:rsidR="0054151E" w:rsidRPr="00D03260">
        <w:t xml:space="preserve">or advice on the ongoing management of asthma, see </w:t>
      </w:r>
      <w:hyperlink w:anchor="Section711Asthma" w:history="1">
        <w:r w:rsidR="007F15B3" w:rsidRPr="00D03260">
          <w:rPr>
            <w:rStyle w:val="Hyperlink"/>
          </w:rPr>
          <w:t>s</w:t>
        </w:r>
        <w:r w:rsidR="0054151E" w:rsidRPr="00D03260">
          <w:rPr>
            <w:rStyle w:val="Hyperlink"/>
          </w:rPr>
          <w:t>ection 7.1.1</w:t>
        </w:r>
      </w:hyperlink>
      <w:r w:rsidR="0054151E" w:rsidRPr="00D03260">
        <w:t xml:space="preserve">. </w:t>
      </w:r>
    </w:p>
    <w:p w14:paraId="0AA3E437" w14:textId="74F2D290" w:rsidR="00400066" w:rsidRPr="00D03260" w:rsidRDefault="00D2394F" w:rsidP="00AF1EFC">
      <w:pPr>
        <w:pStyle w:val="NumberedHeading3"/>
        <w:numPr>
          <w:ilvl w:val="0"/>
          <w:numId w:val="0"/>
        </w:numPr>
        <w:ind w:left="1440" w:hanging="1440"/>
      </w:pPr>
      <w:bookmarkStart w:id="138" w:name="_Toc121329133"/>
      <w:bookmarkStart w:id="139" w:name="_Toc141885870"/>
      <w:r w:rsidRPr="00D03260">
        <w:t>3.1.</w:t>
      </w:r>
      <w:r w:rsidR="006B6856" w:rsidRPr="00D03260">
        <w:t>2</w:t>
      </w:r>
      <w:r w:rsidRPr="00D03260">
        <w:t>.</w:t>
      </w:r>
      <w:r w:rsidRPr="00D03260">
        <w:tab/>
      </w:r>
      <w:bookmarkStart w:id="140" w:name="Section3110HPMouldRelatedInfectionsAndAl"/>
      <w:bookmarkStart w:id="141" w:name="Sect312HPMouldRelatedInfectionsAndAllerg"/>
      <w:bookmarkEnd w:id="140"/>
      <w:bookmarkEnd w:id="141"/>
      <w:r w:rsidR="00355EEE" w:rsidRPr="00D03260">
        <w:t>H</w:t>
      </w:r>
      <w:r w:rsidR="000E0823" w:rsidRPr="00D03260">
        <w:t>yperse</w:t>
      </w:r>
      <w:r w:rsidR="0002648D" w:rsidRPr="00D03260">
        <w:t>nsitivity pneumonitis (HP)</w:t>
      </w:r>
      <w:r w:rsidR="00400066" w:rsidRPr="00D03260">
        <w:t>, mould-related infections and allergic health effects in susceptible people</w:t>
      </w:r>
      <w:bookmarkEnd w:id="138"/>
      <w:bookmarkEnd w:id="139"/>
    </w:p>
    <w:p w14:paraId="1BB79268" w14:textId="50996E10" w:rsidR="00C52420" w:rsidRPr="00D03260" w:rsidRDefault="00F66A2F" w:rsidP="00C52420">
      <w:pPr>
        <w:rPr>
          <w:szCs w:val="22"/>
        </w:rPr>
      </w:pPr>
      <w:r w:rsidRPr="00D03260">
        <w:rPr>
          <w:szCs w:val="22"/>
        </w:rPr>
        <w:t>As mentioned earlier, there is sufficient evidence for an association between HP</w:t>
      </w:r>
      <w:r w:rsidR="00694E93" w:rsidRPr="00D03260">
        <w:rPr>
          <w:szCs w:val="22"/>
        </w:rPr>
        <w:t>, mycoses</w:t>
      </w:r>
      <w:r w:rsidR="00857C98" w:rsidRPr="00D03260">
        <w:rPr>
          <w:szCs w:val="22"/>
        </w:rPr>
        <w:t xml:space="preserve"> </w:t>
      </w:r>
      <w:r w:rsidRPr="00D03260">
        <w:rPr>
          <w:szCs w:val="22"/>
        </w:rPr>
        <w:t xml:space="preserve">and allergic </w:t>
      </w:r>
      <w:r w:rsidR="00694E93" w:rsidRPr="00D03260">
        <w:rPr>
          <w:szCs w:val="22"/>
        </w:rPr>
        <w:t>effects in susceptible people</w:t>
      </w:r>
      <w:r w:rsidR="006E11B8" w:rsidRPr="00D03260">
        <w:rPr>
          <w:szCs w:val="22"/>
        </w:rPr>
        <w:t xml:space="preserve"> </w:t>
      </w:r>
      <w:r w:rsidRPr="00D03260">
        <w:rPr>
          <w:szCs w:val="22"/>
        </w:rPr>
        <w:t xml:space="preserve">and exposure to indoor damp and mould. </w:t>
      </w:r>
      <w:r w:rsidR="00C52420" w:rsidRPr="00D03260">
        <w:rPr>
          <w:szCs w:val="22"/>
        </w:rPr>
        <w:t>The section</w:t>
      </w:r>
      <w:r w:rsidRPr="00D03260">
        <w:rPr>
          <w:szCs w:val="22"/>
        </w:rPr>
        <w:t>s</w:t>
      </w:r>
      <w:r w:rsidR="00C52420" w:rsidRPr="00D03260">
        <w:rPr>
          <w:szCs w:val="22"/>
        </w:rPr>
        <w:t xml:space="preserve"> below on HP, mould-related infections and allergic health effects in susceptible people contain both </w:t>
      </w:r>
      <w:r w:rsidR="007B42C3" w:rsidRPr="00D03260">
        <w:rPr>
          <w:szCs w:val="22"/>
        </w:rPr>
        <w:t xml:space="preserve">clinical and </w:t>
      </w:r>
      <w:r w:rsidR="00C52420" w:rsidRPr="00D03260">
        <w:rPr>
          <w:szCs w:val="22"/>
        </w:rPr>
        <w:t xml:space="preserve">epidemiological information. The information </w:t>
      </w:r>
      <w:r w:rsidRPr="00D03260">
        <w:rPr>
          <w:szCs w:val="22"/>
        </w:rPr>
        <w:t xml:space="preserve">is included to </w:t>
      </w:r>
      <w:r w:rsidR="00C52420" w:rsidRPr="00D03260">
        <w:rPr>
          <w:szCs w:val="22"/>
        </w:rPr>
        <w:t xml:space="preserve">assist GPs and other medical practitioners </w:t>
      </w:r>
      <w:r w:rsidR="002A17EA" w:rsidRPr="00D03260">
        <w:rPr>
          <w:szCs w:val="22"/>
        </w:rPr>
        <w:t>when</w:t>
      </w:r>
      <w:r w:rsidR="00C52420" w:rsidRPr="00D03260">
        <w:rPr>
          <w:szCs w:val="22"/>
        </w:rPr>
        <w:t xml:space="preserve"> considering these health effects as differential diagnoses in susceptible people who report being exposed to indoor damp and/or mould.</w:t>
      </w:r>
    </w:p>
    <w:p w14:paraId="15A71A02" w14:textId="20DA34AE" w:rsidR="002B4CCB" w:rsidRPr="00D03260" w:rsidRDefault="00D2394F" w:rsidP="00C6799E">
      <w:pPr>
        <w:pStyle w:val="NumberedHeading4"/>
      </w:pPr>
      <w:bookmarkStart w:id="142" w:name="Sect3121HP"/>
      <w:bookmarkStart w:id="143" w:name="_Toc121329134"/>
      <w:bookmarkStart w:id="144" w:name="_Toc141885871"/>
      <w:bookmarkEnd w:id="142"/>
      <w:r w:rsidRPr="00D03260">
        <w:lastRenderedPageBreak/>
        <w:t>3.1.</w:t>
      </w:r>
      <w:r w:rsidR="00CF342A" w:rsidRPr="00D03260">
        <w:t>2</w:t>
      </w:r>
      <w:r w:rsidRPr="00D03260">
        <w:t>.1.</w:t>
      </w:r>
      <w:r w:rsidRPr="00D03260">
        <w:tab/>
      </w:r>
      <w:r w:rsidR="007D3689" w:rsidRPr="00D03260">
        <w:t>H</w:t>
      </w:r>
      <w:r w:rsidR="00355EEE" w:rsidRPr="00D03260">
        <w:t>P</w:t>
      </w:r>
      <w:bookmarkEnd w:id="143"/>
      <w:bookmarkEnd w:id="144"/>
    </w:p>
    <w:p w14:paraId="6689780E" w14:textId="29202B50" w:rsidR="007F42A8" w:rsidRPr="00D03260" w:rsidRDefault="007F42A8" w:rsidP="007F42A8">
      <w:r w:rsidRPr="00D03260">
        <w:t xml:space="preserve">HP, also called </w:t>
      </w:r>
      <w:r w:rsidR="006754EE" w:rsidRPr="00D03260">
        <w:t>‘</w:t>
      </w:r>
      <w:r w:rsidRPr="00D03260">
        <w:t>extrinsic allergic alveolitis</w:t>
      </w:r>
      <w:r w:rsidR="006754EE" w:rsidRPr="00D03260">
        <w:t>’</w:t>
      </w:r>
      <w:r w:rsidRPr="00D03260">
        <w:t>, is an interstitial granulomatous, cell-mediated lung inflammation</w:t>
      </w:r>
      <w:r w:rsidR="00D53FE5" w:rsidRPr="00D03260">
        <w:t>. HP is</w:t>
      </w:r>
      <w:r w:rsidRPr="00D03260">
        <w:t xml:space="preserve"> caused by repeated inhalation of antigens from microorganisms or other sources in susceptible people </w:t>
      </w:r>
      <w:r w:rsidRPr="00D03260">
        <w:fldChar w:fldCharType="begin"/>
      </w:r>
      <w:r w:rsidR="00217980" w:rsidRPr="00D03260">
        <w:instrText xml:space="preserve"> ADDIN ZOTERO_ITEM CSL_CITATION {"citationID":"DbXb0z27","properties":{"formattedCitation":"(American Lung Association et al., 2014; Borchers et al., 2017; Mendell et al., 2011; Park &amp; Cox-Ganser, 2011)","plainCitation":"(American Lung Association et al., 2014; Borchers et al., 2017; Mendell et al., 2011; Park &amp; Cox-Ganser, 2011)","noteIndex":0},"citationItems":[{"id":2177,"uris":["http://zotero.org/groups/4371185/items/RKZL36WX"],"itemData":{"id":2177,"type":"document","abstract":"Because people spend a lot of time indoors, the quality of the air indoors can affect their health.  Remodeling or renovating an existing home has the potential to release indoor pollutants.","language":"en","publisher":"American Lung Association; American Medical Association; U.S. Consumer Product Safety Commission; U.S Environmental Protection Agency","title":"Indoor air pollution: An introduction for health professionals","title-short":"Indoor Air Pollution","URL":"https://www.epa.gov/indoor-air-quality-iaq/indoor-air-pollution-introduction-health-professionals","author":[{"family":"American Lung Association","given":""},{"family":"American Medical Association","given":""},{"family":"U.S. Consumer Product Safety Commission","given":""},{"family":"U.S. Environmental Protection Agency","given":""}],"accessed":{"date-parts":[["2021",9,2]]},"issued":{"date-parts":[["2014"]]}}},{"id":2127,"uris":["http://zotero.org/groups/4371185/items/SH7Q7R7H"],"itemData":{"id":2127,"type":"article-journal","container-title":"Clinical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2055,"uris":["http://zotero.org/groups/4371185/items/VIU9CSHP"],"itemData":{"id":2055,"type":"article-journal","abstract":"Almost all modern buildings experience at least minor, and sometimes serious, water damage during their life span. Excess moisture in buildings becomes a critical  factor for mold (fungal) proliferation in nutrient-rich environments. As a result,  building occupants may be exposed to increased levels of microbial agents such as  fungal spores, cell fragments, cell wall components, or toxins. Such exposures may  result in various diseases and symptoms, both respiratory and non-respiratory.  Respiratory health complaints are common in damp buildings and have been more  thoroughly studied than non-respiratory complaints. Respiratory diseases and  symptoms which may be produced by exposure to indoor fungi include asthma  development, exacerbation of asthma, hypersensitivity pneumonitis, cough, wheeze,  dyspnea (shortness of breath), nasal and throat symptoms, and respiratory  infections. In addition to these illnesses, rhinosinusitis and sarcoidosis in  water-damaged building occupants are also drawing more scientific attention. In this  article, we explore the evidence for adverse effects of fungal exposure on  respiratory health in damp indoor environments and potential disease mechanisms  related to the exposure.","container-title":"Frontiers in bioscience (Elite edition)","DOI":"10.2741/e284","ISSN":"1945-0508 1945-0494","journalAbbreviation":"Front Biosci (Elite Ed)","language":"eng","note":"publisher-place: Singapore\nPMID: 21196349","page":"757-771","title":"Mold exposure and respiratory health in damp indoor environments.","volume":"3","author":[{"family":"Park","given":"Ju-Hyeong"},{"family":"Cox-Ganser","given":"Jean M."}],"issued":{"date-parts":[["2011",1,1]]}}}],"schema":"https://github.com/citation-style-language/schema/raw/master/csl-citation.json"} </w:instrText>
      </w:r>
      <w:r w:rsidRPr="00D03260">
        <w:fldChar w:fldCharType="separate"/>
      </w:r>
      <w:r w:rsidRPr="00D03260">
        <w:t>(American Lung Association et al., 2014; Borchers et al., 2017; Mendell et al., 2011; Park &amp; Cox-Ganser, 2011)</w:t>
      </w:r>
      <w:r w:rsidRPr="00D03260">
        <w:fldChar w:fldCharType="end"/>
      </w:r>
      <w:r w:rsidR="009866C0" w:rsidRPr="00D03260">
        <w:t>.</w:t>
      </w:r>
      <w:r w:rsidRPr="00D03260">
        <w:t xml:space="preserve"> </w:t>
      </w:r>
      <w:r w:rsidR="009A2EB1" w:rsidRPr="00D03260">
        <w:t xml:space="preserve">Many different fungi, bacteria, animal proteins, plants, and chemicals are known causes of HP </w:t>
      </w:r>
      <w:r w:rsidR="009A2EB1" w:rsidRPr="00D03260">
        <w:fldChar w:fldCharType="begin"/>
      </w:r>
      <w:r w:rsidR="00217980" w:rsidRPr="00D03260">
        <w:instrText xml:space="preserve"> ADDIN ZOTERO_ITEM CSL_CITATION {"citationID":"yYzB3VTB","properties":{"formattedCitation":"(National Institute for Occupational Safety and Health et al., 2012)","plainCitation":"(National Institute for Occupational Safety and Health et al., 2012)","noteIndex":0},"citationItems":[{"id":2153,"uris":["http://zotero.org/groups/4371185/items/QTNCQS83"],"itemData":{"id":2153,"type":"document","publisher":"Department of Health and Human Services, Centers for Disease Control and Prevention, National Institute for Occupational Safety and Health. Publication No 2013-102","source":"Publication No 2013-102","title":"Preventing occupational respiratory disease from exposures caused by dampness in office buildings, schools, and other nonindustrial buildings","author":[{"family":"National Institute for Occupational Safety and Health","given":""},{"family":"Kanwal","given":"Richard"},{"family":"Kreiss","given":"Kathleen"},{"family":"Martin","given":"Michelle"},{"family":"Sahakian","given":"Nancy"}],"issued":{"date-parts":[["2012"]]}}}],"schema":"https://github.com/citation-style-language/schema/raw/master/csl-citation.json"} </w:instrText>
      </w:r>
      <w:r w:rsidR="009A2EB1" w:rsidRPr="00D03260">
        <w:fldChar w:fldCharType="separate"/>
      </w:r>
      <w:r w:rsidR="009A2EB1" w:rsidRPr="00D03260">
        <w:t>(National Institute for Occupational Safety and Health et al., 2012)</w:t>
      </w:r>
      <w:r w:rsidR="009A2EB1" w:rsidRPr="00D03260">
        <w:fldChar w:fldCharType="end"/>
      </w:r>
      <w:r w:rsidR="009A2EB1" w:rsidRPr="00D03260">
        <w:t xml:space="preserve">. The antigens that can cause HP are found in dust and aerosols </w:t>
      </w:r>
      <w:r w:rsidR="00D70BDA" w:rsidRPr="00D03260">
        <w:t>mixed</w:t>
      </w:r>
      <w:r w:rsidR="005F2661" w:rsidRPr="00D03260">
        <w:t xml:space="preserve"> </w:t>
      </w:r>
      <w:r w:rsidR="009A2EB1" w:rsidRPr="00D03260">
        <w:t xml:space="preserve">with possible microbially contaminated sources </w:t>
      </w:r>
      <w:r w:rsidR="005F2661" w:rsidRPr="00D03260">
        <w:t>(</w:t>
      </w:r>
      <w:r w:rsidR="00612239" w:rsidRPr="00D03260">
        <w:t>for example,</w:t>
      </w:r>
      <w:r w:rsidR="005F2661" w:rsidRPr="00D03260">
        <w:t xml:space="preserve"> microbes from </w:t>
      </w:r>
      <w:r w:rsidR="009A2EB1" w:rsidRPr="00D03260">
        <w:t xml:space="preserve">birds, feathers, hay, wood dust, air humidifiers, air conditioning systems, indoor fountains, </w:t>
      </w:r>
      <w:proofErr w:type="gramStart"/>
      <w:r w:rsidR="009A2EB1" w:rsidRPr="00D03260">
        <w:t>aquariums</w:t>
      </w:r>
      <w:proofErr w:type="gramEnd"/>
      <w:r w:rsidR="009A2EB1" w:rsidRPr="00D03260">
        <w:t xml:space="preserve"> and steam irons</w:t>
      </w:r>
      <w:r w:rsidR="005F2661" w:rsidRPr="00D03260">
        <w:t>).</w:t>
      </w:r>
      <w:r w:rsidR="009A2EB1" w:rsidRPr="00D03260">
        <w:t xml:space="preserve"> </w:t>
      </w:r>
      <w:r w:rsidR="00612239" w:rsidRPr="00D03260">
        <w:t>M</w:t>
      </w:r>
      <w:r w:rsidR="009A2EB1" w:rsidRPr="00D03260">
        <w:t>ost commonly, the</w:t>
      </w:r>
      <w:r w:rsidR="00C574BD" w:rsidRPr="00D03260">
        <w:t>se</w:t>
      </w:r>
      <w:r w:rsidR="009A2EB1" w:rsidRPr="00D03260">
        <w:t xml:space="preserve"> antigens come from birds, mould and Actinomycetes </w:t>
      </w:r>
      <w:r w:rsidR="009A2EB1" w:rsidRPr="00D03260">
        <w:fldChar w:fldCharType="begin"/>
      </w:r>
      <w:r w:rsidR="00217980" w:rsidRPr="00D03260">
        <w:instrText xml:space="preserve"> ADDIN ZOTERO_ITEM CSL_CITATION {"citationID":"QJrJvvsA","properties":{"formattedCitation":"(Wiesm\\uc0\\u252{}ller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009A2EB1" w:rsidRPr="00D03260">
        <w:fldChar w:fldCharType="separate"/>
      </w:r>
      <w:r w:rsidR="009A2EB1" w:rsidRPr="00D03260">
        <w:t>(Wiesmüller et al., 2017)</w:t>
      </w:r>
      <w:r w:rsidR="009A2EB1" w:rsidRPr="00D03260">
        <w:fldChar w:fldCharType="end"/>
      </w:r>
      <w:r w:rsidR="009A2EB1" w:rsidRPr="00D03260">
        <w:t>.</w:t>
      </w:r>
      <w:r w:rsidR="005620FC" w:rsidRPr="00D03260">
        <w:t xml:space="preserve"> </w:t>
      </w:r>
      <w:r w:rsidRPr="00D03260">
        <w:t xml:space="preserve">The most frequent causal antigens </w:t>
      </w:r>
      <w:r w:rsidR="00F17A56" w:rsidRPr="00D03260">
        <w:t xml:space="preserve">for HP </w:t>
      </w:r>
      <w:r w:rsidRPr="00D03260">
        <w:t>are bird proteins and bacteria such as thermophilic actinomycetes</w:t>
      </w:r>
      <w:r w:rsidR="00612239" w:rsidRPr="00D03260">
        <w:t>.</w:t>
      </w:r>
      <w:r w:rsidRPr="00D03260">
        <w:t xml:space="preserve"> </w:t>
      </w:r>
      <w:r w:rsidR="00612239" w:rsidRPr="00D03260">
        <w:t>H</w:t>
      </w:r>
      <w:r w:rsidRPr="00D03260">
        <w:t>owever</w:t>
      </w:r>
      <w:r w:rsidR="00612239" w:rsidRPr="00D03260">
        <w:t>,</w:t>
      </w:r>
      <w:r w:rsidRPr="00D03260">
        <w:t xml:space="preserve"> fungi have also been implicated in both occupational and non-occupational outbreaks </w:t>
      </w:r>
      <w:r w:rsidRPr="00D03260">
        <w:fldChar w:fldCharType="begin"/>
      </w:r>
      <w:r w:rsidR="00217980" w:rsidRPr="00D03260">
        <w:instrText xml:space="preserve"> ADDIN ZOTERO_ITEM CSL_CITATION {"citationID":"QzZcHqd3","properties":{"formattedCitation":"(Baxi et al., 2016)","plainCitation":"(Baxi et al., 2016)","noteIndex":0},"citationItems":[{"id":2141,"uris":["http://zotero.org/groups/4371185/items/7BUH6L84"],"itemData":{"id":2141,"type":"article-journal","abstract":"Fungi are ubiquitous microorganisms that are present in outdoor and indoor environments. Previous research has found relationships between environmental fungal  exposures and human health effects. We reviewed recent articles focused on fungal  exposure and dampness as risk factors for respiratory disease development, symptoms,  and hypersensitivity. In particular, we reviewed the evidence suggesting that early  exposure to dampness or fungi is associated with the development of asthma and  increased asthma morbidity. Although outdoor exposure to high concentrations of  spores can cause health effects such as asthma attacks in association with  thunderstorms, most people appear to be relatively unaffected unless they are  sensitized to specific genera. Indoor exposure and dampness, however, appears to be  associated with an increased risk of developing asthma in young children and asthma  morbidity in individuals who have asthma. These are important issues because they  provide a rationale for interventions that might be considered for homes and  buildings in which there is increased fungal exposure. In addition to rhinitis and  asthma, fungus exposure is associated with a number of other illnesses including  allergic bronchopulmonary mycoses, allergic fungal sinusitis, and hypersensitivity  pneumonitis. Additional research is necessary to establish causality and evaluate  interventions for fungal- and dampness-related health effects.","container-title":"Journal of Allergy and Clinical Immunology: In Practice","DOI":"10.1016/j.jaip.2016.01.008","ISSN":"2213-2201 2213-2198","issue":"3","license":"Copyright © 2016 American Academy of Allergy, Asthma &amp; Immunology. Published by Elsevier Inc. All rights reserved.","note":"PMID: 26947460 \nPMCID: PMC4861659","page":"396-404","title":"Exposure and health effects of fungi on humans","volume":"4","author":[{"family":"Baxi","given":"Sachin N."},{"family":"Portnoy","given":"Jay M."},{"family":"Larenas-Linnemann","given":"Désirée"},{"family":"Phipatanakul","given":"Wanda"}],"issued":{"date-parts":[["2016"]]}}}],"schema":"https://github.com/citation-style-language/schema/raw/master/csl-citation.json"} </w:instrText>
      </w:r>
      <w:r w:rsidRPr="00D03260">
        <w:fldChar w:fldCharType="separate"/>
      </w:r>
      <w:r w:rsidRPr="00D03260">
        <w:t>(Baxi et al., 2016)</w:t>
      </w:r>
      <w:r w:rsidRPr="00D03260">
        <w:fldChar w:fldCharType="end"/>
      </w:r>
      <w:r w:rsidRPr="00D03260">
        <w:t>.</w:t>
      </w:r>
    </w:p>
    <w:p w14:paraId="42CFAAFF" w14:textId="0C9C0E79" w:rsidR="007F42A8" w:rsidRPr="00D03260" w:rsidRDefault="007F42A8" w:rsidP="007F42A8">
      <w:r w:rsidRPr="00D03260">
        <w:t>Characteristics of the antigens, individual susceptibility, and gene-environment interactions are all important factors working together in HP</w:t>
      </w:r>
      <w:r w:rsidR="00C51EB9" w:rsidRPr="00D03260">
        <w:t>. G</w:t>
      </w:r>
      <w:r w:rsidRPr="00D03260">
        <w:t xml:space="preserve">enetic susceptibility </w:t>
      </w:r>
      <w:r w:rsidR="00C51EB9" w:rsidRPr="00D03260">
        <w:t xml:space="preserve">is also </w:t>
      </w:r>
      <w:r w:rsidRPr="00D03260">
        <w:t>an important factor</w:t>
      </w:r>
      <w:r w:rsidR="00C51EB9" w:rsidRPr="00D03260">
        <w:t xml:space="preserve"> for HP</w:t>
      </w:r>
      <w:r w:rsidRPr="00D03260">
        <w:t xml:space="preserve"> </w:t>
      </w:r>
      <w:r w:rsidRPr="00D03260">
        <w:fldChar w:fldCharType="begin"/>
      </w:r>
      <w:r w:rsidR="00217980" w:rsidRPr="00D03260">
        <w:instrText xml:space="preserve"> ADDIN ZOTERO_ITEM CSL_CITATION {"citationID":"mbGrtDK4","properties":{"formattedCitation":"(Park &amp; Cox-Ganser, 2011)","plainCitation":"(Park &amp; Cox-Ganser, 2011)","noteIndex":0},"citationItems":[{"id":2055,"uris":["http://zotero.org/groups/4371185/items/VIU9CSHP"],"itemData":{"id":2055,"type":"article-journal","abstract":"Almost all modern buildings experience at least minor, and sometimes serious, water damage during their life span. Excess moisture in buildings becomes a critical  factor for mold (fungal) proliferation in nutrient-rich environments. As a result,  building occupants may be exposed to increased levels of microbial agents such as  fungal spores, cell fragments, cell wall components, or toxins. Such exposures may  result in various diseases and symptoms, both respiratory and non-respiratory.  Respiratory health complaints are common in damp buildings and have been more  thoroughly studied than non-respiratory complaints. Respiratory diseases and  symptoms which may be produced by exposure to indoor fungi include asthma  development, exacerbation of asthma, hypersensitivity pneumonitis, cough, wheeze,  dyspnea (shortness of breath), nasal and throat symptoms, and respiratory  infections. In addition to these illnesses, rhinosinusitis and sarcoidosis in  water-damaged building occupants are also drawing more scientific attention. In this  article, we explore the evidence for adverse effects of fungal exposure on  respiratory health in damp indoor environments and potential disease mechanisms  related to the exposure.","container-title":"Frontiers in bioscience (Elite edition)","DOI":"10.2741/e284","ISSN":"1945-0508 1945-0494","journalAbbreviation":"Front Biosci (Elite Ed)","language":"eng","note":"publisher-place: Singapore\nPMID: 21196349","page":"757-771","title":"Mold exposure and respiratory health in damp indoor environments.","volume":"3","author":[{"family":"Park","given":"Ju-Hyeong"},{"family":"Cox-Ganser","given":"Jean M."}],"issued":{"date-parts":[["2011",1,1]]}}}],"schema":"https://github.com/citation-style-language/schema/raw/master/csl-citation.json"} </w:instrText>
      </w:r>
      <w:r w:rsidRPr="00D03260">
        <w:fldChar w:fldCharType="separate"/>
      </w:r>
      <w:r w:rsidRPr="00D03260">
        <w:t>(Park &amp; Cox-Ganser, 2011)</w:t>
      </w:r>
      <w:r w:rsidRPr="00D03260">
        <w:fldChar w:fldCharType="end"/>
      </w:r>
      <w:r w:rsidRPr="00D03260">
        <w:t>. HP may affect from 1</w:t>
      </w:r>
      <w:r w:rsidR="00547A4A" w:rsidRPr="00D03260">
        <w:t>–</w:t>
      </w:r>
      <w:r w:rsidRPr="00D03260">
        <w:t xml:space="preserve">5% or more of a specialised population </w:t>
      </w:r>
      <w:r w:rsidR="00C51EB9" w:rsidRPr="00D03260">
        <w:t xml:space="preserve">(for example, farmers and pigeon breeders because it </w:t>
      </w:r>
      <w:r w:rsidR="004F0408" w:rsidRPr="00D03260">
        <w:t xml:space="preserve">can </w:t>
      </w:r>
      <w:r w:rsidR="00C51EB9" w:rsidRPr="00D03260">
        <w:t xml:space="preserve">cause farmer’s lung and pigeon breeder’s disease) </w:t>
      </w:r>
      <w:r w:rsidRPr="00D03260">
        <w:t>exposed to appropriate antigens</w:t>
      </w:r>
      <w:r w:rsidR="00C51EB9" w:rsidRPr="00D03260">
        <w:t xml:space="preserve"> </w:t>
      </w:r>
      <w:r w:rsidRPr="00D03260">
        <w:t xml:space="preserve"> </w:t>
      </w:r>
      <w:r w:rsidRPr="00D03260">
        <w:fldChar w:fldCharType="begin"/>
      </w:r>
      <w:r w:rsidR="00217980" w:rsidRPr="00D03260">
        <w:instrText xml:space="preserve"> ADDIN ZOTERO_ITEM CSL_CITATION {"citationID":"y3TYIiy7","properties":{"formattedCitation":"(American Lung Association et al., 2014)","plainCitation":"(American Lung Association et al., 2014)","noteIndex":0},"citationItems":[{"id":2177,"uris":["http://zotero.org/groups/4371185/items/RKZL36WX"],"itemData":{"id":2177,"type":"document","abstract":"Because people spend a lot of time indoors, the quality of the air indoors can affect their health.  Remodeling or renovating an existing home has the potential to release indoor pollutants.","language":"en","publisher":"American Lung Association; American Medical Association; U.S. Consumer Product Safety Commission; U.S Environmental Protection Agency","title":"Indoor air pollution: An introduction for health professionals","title-short":"Indoor Air Pollution","URL":"https://www.epa.gov/indoor-air-quality-iaq/indoor-air-pollution-introduction-health-professionals","author":[{"family":"American Lung Association","given":""},{"family":"American Medical Association","given":""},{"family":"U.S. Consumer Product Safety Commission","given":""},{"family":"U.S. Environmental Protection Agency","given":""}],"accessed":{"date-parts":[["2021",9,2]]},"issued":{"date-parts":[["2014"]]}}}],"schema":"https://github.com/citation-style-language/schema/raw/master/csl-citation.json"} </w:instrText>
      </w:r>
      <w:r w:rsidRPr="00D03260">
        <w:fldChar w:fldCharType="separate"/>
      </w:r>
      <w:r w:rsidRPr="00D03260">
        <w:t>(American Lung Association et al., 2014)</w:t>
      </w:r>
      <w:r w:rsidRPr="00D03260">
        <w:fldChar w:fldCharType="end"/>
      </w:r>
      <w:r w:rsidRPr="00D03260">
        <w:t>. The</w:t>
      </w:r>
      <w:r w:rsidR="00332C3E" w:rsidRPr="00D03260">
        <w:t> </w:t>
      </w:r>
      <w:r w:rsidRPr="00D03260">
        <w:t xml:space="preserve">prevalence of HP in the general population is unknown </w:t>
      </w:r>
      <w:r w:rsidRPr="00D03260">
        <w:fldChar w:fldCharType="begin"/>
      </w:r>
      <w:r w:rsidR="00217980" w:rsidRPr="00D03260">
        <w:instrText xml:space="preserve"> ADDIN ZOTERO_ITEM CSL_CITATION {"citationID":"g61H28Yq","properties":{"formattedCitation":"(American Lung Association et al., 2014)","plainCitation":"(American Lung Association et al., 2014)","noteIndex":0},"citationItems":[{"id":2177,"uris":["http://zotero.org/groups/4371185/items/RKZL36WX"],"itemData":{"id":2177,"type":"document","abstract":"Because people spend a lot of time indoors, the quality of the air indoors can affect their health.  Remodeling or renovating an existing home has the potential to release indoor pollutants.","language":"en","publisher":"American Lung Association; American Medical Association; U.S. Consumer Product Safety Commission; U.S Environmental Protection Agency","title":"Indoor air pollution: An introduction for health professionals","title-short":"Indoor Air Pollution","URL":"https://www.epa.gov/indoor-air-quality-iaq/indoor-air-pollution-introduction-health-professionals","author":[{"family":"American Lung Association","given":""},{"family":"American Medical Association","given":""},{"family":"U.S. Consumer Product Safety Commission","given":""},{"family":"U.S. Environmental Protection Agency","given":""}],"accessed":{"date-parts":[["2021",9,2]]},"issued":{"date-parts":[["2014"]]}}}],"schema":"https://github.com/citation-style-language/schema/raw/master/csl-citation.json"} </w:instrText>
      </w:r>
      <w:r w:rsidRPr="00D03260">
        <w:fldChar w:fldCharType="separate"/>
      </w:r>
      <w:r w:rsidRPr="00D03260">
        <w:t>(American Lung Association et al., 2014)</w:t>
      </w:r>
      <w:r w:rsidRPr="00D03260">
        <w:fldChar w:fldCharType="end"/>
      </w:r>
      <w:r w:rsidRPr="00D03260">
        <w:t xml:space="preserve">, but is noted by the CDC to be rare </w:t>
      </w:r>
      <w:r w:rsidRPr="00D03260">
        <w:fldChar w:fldCharType="begin"/>
      </w:r>
      <w:r w:rsidR="00217980" w:rsidRPr="00D03260">
        <w:instrText xml:space="preserve"> ADDIN ZOTERO_ITEM CSL_CITATION {"citationID":"0KRE98lR","properties":{"formattedCitation":"(Park &amp; Cox-Ganser, 2011)","plainCitation":"(Park &amp; Cox-Ganser, 2011)","noteIndex":0},"citationItems":[{"id":2055,"uris":["http://zotero.org/groups/4371185/items/VIU9CSHP"],"itemData":{"id":2055,"type":"article-journal","abstract":"Almost all modern buildings experience at least minor, and sometimes serious, water damage during their life span. Excess moisture in buildings becomes a critical  factor for mold (fungal) proliferation in nutrient-rich environments. As a result,  building occupants may be exposed to increased levels of microbial agents such as  fungal spores, cell fragments, cell wall components, or toxins. Such exposures may  result in various diseases and symptoms, both respiratory and non-respiratory.  Respiratory health complaints are common in damp buildings and have been more  thoroughly studied than non-respiratory complaints. Respiratory diseases and  symptoms which may be produced by exposure to indoor fungi include asthma  development, exacerbation of asthma, hypersensitivity pneumonitis, cough, wheeze,  dyspnea (shortness of breath), nasal and throat symptoms, and respiratory  infections. In addition to these illnesses, rhinosinusitis and sarcoidosis in  water-damaged building occupants are also drawing more scientific attention. In this  article, we explore the evidence for adverse effects of fungal exposure on  respiratory health in damp indoor environments and potential disease mechanisms  related to the exposure.","container-title":"Frontiers in bioscience (Elite edition)","DOI":"10.2741/e284","ISSN":"1945-0508 1945-0494","journalAbbreviation":"Front Biosci (Elite Ed)","language":"eng","note":"publisher-place: Singapore\nPMID: 21196349","page":"757-771","title":"Mold exposure and respiratory health in damp indoor environments.","volume":"3","author":[{"family":"Park","given":"Ju-Hyeong"},{"family":"Cox-Ganser","given":"Jean M."}],"issued":{"date-parts":[["2011",1,1]]}}}],"schema":"https://github.com/citation-style-language/schema/raw/master/csl-citation.json"} </w:instrText>
      </w:r>
      <w:r w:rsidRPr="00D03260">
        <w:fldChar w:fldCharType="separate"/>
      </w:r>
      <w:r w:rsidRPr="00D03260">
        <w:t>(Park &amp; Cox-Ganser, 2011)</w:t>
      </w:r>
      <w:r w:rsidRPr="00D03260">
        <w:fldChar w:fldCharType="end"/>
      </w:r>
      <w:r w:rsidRPr="00D03260">
        <w:t>.</w:t>
      </w:r>
    </w:p>
    <w:p w14:paraId="33DFC06B" w14:textId="21D685AA" w:rsidR="007F42A8" w:rsidRPr="00D03260" w:rsidRDefault="007F42A8" w:rsidP="007F42A8">
      <w:r w:rsidRPr="00D03260">
        <w:t xml:space="preserve">Two guidelines </w:t>
      </w:r>
      <w:r w:rsidRPr="00D03260">
        <w:fldChar w:fldCharType="begin"/>
      </w:r>
      <w:r w:rsidR="00217980" w:rsidRPr="00D03260">
        <w:instrText xml:space="preserve"> ADDIN ZOTERO_ITEM CSL_CITATION {"citationID":"drKvvRP0","properties":{"formattedCitation":"(Wiesm\\uc0\\u252{}ller et al., 2017; World Health Organization, 2009)","plainCitation":"(Wiesmüller et al., 2017; World Health Organization, 2009)","noteIndex":0},"citationItems":[{"id":2051,"uris":["http://zotero.org/groups/4371185/items/QZ4VYG6U"],"itemData":{"id":2051,"type":"article-journal","container-title":"Allergo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(Wiesmüller et al., 2017; World Health Organization, 2009)</w:t>
      </w:r>
      <w:r w:rsidRPr="00D03260">
        <w:fldChar w:fldCharType="end"/>
      </w:r>
      <w:r w:rsidRPr="00D03260">
        <w:t xml:space="preserve"> and three evidence reviews </w:t>
      </w:r>
      <w:r w:rsidRPr="00D03260">
        <w:fldChar w:fldCharType="begin"/>
      </w:r>
      <w:r w:rsidR="00217980" w:rsidRPr="00D03260">
        <w:instrText xml:space="preserve"> ADDIN ZOTERO_ITEM CSL_CITATION {"citationID":"JPhOuUB7","properties":{"formattedCitation":"(Hurra\\uc0\\u223{} et al., 2017; Palaty &amp; Shum, 2012; Park &amp; Cox-Ganser, 2011)","plainCitation":"(Hurraß et al., 2017; Palaty &amp; Shum, 2012; Park &amp; Cox-Ganser, 2011)","noteIndex":0},"citationItems":[{"id":2217,"uris":["http://zotero.org/groups/4371185/items/542KM3BH"],"itemData":{"id":2217,"type":"article-journal","abstract":"In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2055,"uris":["http://zotero.org/groups/4371185/items/VIU9CSHP"],"itemData":{"id":2055,"type":"article-journal","abstract":"Almost all modern buildings experience at least minor, and sometimes serious, water damage during their life span. Excess moisture in buildings becomes a critical  factor for mold (fungal) proliferation in nutrient-rich environments. As a result,  building occupants may be exposed to increased levels of microbial agents such as  fungal spores, cell fragments, cell wall components, or toxins. Such exposures may  result in various diseases and symptoms, both respiratory and non-respiratory.  Respiratory health complaints are common in damp buildings and have been more  thoroughly studied than non-respiratory complaints. Respiratory diseases and  symptoms which may be produced by exposure to indoor fungi include asthma  development, exacerbation of asthma, hypersensitivity pneumonitis, cough, wheeze,  dyspnea (shortness of breath), nasal and throat symptoms, and respiratory  infections. In addition to these illnesses, rhinosinusitis and sarcoidosis in  water-damaged building occupants are also drawing more scientific attention. In this  article, we explore the evidence for adverse effects of fungal exposure on  respiratory health in damp indoor environments and potential disease mechanisms  related to the exposure.","container-title":"Frontiers in bioscience (Elite edition)","DOI":"10.2741/e284","ISSN":"1945-0508 1945-0494","journalAbbreviation":"Front Biosci (Elite Ed)","language":"eng","note":"publisher-place: Singapore\nPMID: 21196349","page":"757-771","title":"Mold exposure and respiratory health in damp indoor environments.","volume":"3","author":[{"family":"Park","given":"Ju-Hyeong"},{"family":"Cox-Ganser","given":"Jean M."}],"issued":{"date-parts":[["2011",1,1]]}}}],"schema":"https://github.com/citation-style-language/schema/raw/master/csl-citation.json"} </w:instrText>
      </w:r>
      <w:r w:rsidRPr="00D03260">
        <w:fldChar w:fldCharType="separate"/>
      </w:r>
      <w:r w:rsidRPr="00D03260">
        <w:t>(Hurraß et al., 2017; Palaty &amp; Shum, 2012; Park &amp; Cox-Ganser, 2011)</w:t>
      </w:r>
      <w:r w:rsidRPr="00D03260">
        <w:fldChar w:fldCharType="end"/>
      </w:r>
      <w:r w:rsidRPr="00D03260">
        <w:t xml:space="preserve">, advised that, in susceptible people, sufficient evidence exists for an association between indoor damp or mould and HP. The association is based on clinical, not epidemiological evidence </w:t>
      </w:r>
      <w:r w:rsidRPr="00D03260">
        <w:fldChar w:fldCharType="begin"/>
      </w:r>
      <w:r w:rsidR="00217980" w:rsidRPr="00D03260">
        <w:instrText xml:space="preserve"> ADDIN ZOTERO_ITEM CSL_CITATION {"citationID":"qwfueV0Y","properties":{"formattedCitation":"(Mendell et al., 2011; Wiesm\\uc0\\u252{}ller et al., 2017; World Health Organization, 2009)","plainCitation":"(Mendell et al., 2011; Wiesmüller et al., 2017; World Health Organization, 2009)","noteIndex":0},"citationItems":[{"id":2232,"uris":["http://zotero.org/groups/4371185/items/KWLCRUWS"],"itemData":{"id":2232,"type":"article-journal","abstract":"OBJECTIVES: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(Mendell et al., 2011; Wiesmüller et al., 2017; World Health Organization, 2009)</w:t>
      </w:r>
      <w:r w:rsidRPr="00D03260">
        <w:fldChar w:fldCharType="end"/>
      </w:r>
      <w:r w:rsidR="00C574BD" w:rsidRPr="00D03260">
        <w:t>.</w:t>
      </w:r>
      <w:r w:rsidRPr="00D03260">
        <w:t xml:space="preserve"> </w:t>
      </w:r>
      <w:r w:rsidR="00C574BD" w:rsidRPr="00D03260">
        <w:t>C</w:t>
      </w:r>
      <w:r w:rsidRPr="00D03260">
        <w:t xml:space="preserve">urrent knowledge </w:t>
      </w:r>
      <w:r w:rsidR="00C574BD" w:rsidRPr="00D03260">
        <w:t xml:space="preserve">is </w:t>
      </w:r>
      <w:r w:rsidRPr="00D03260">
        <w:t xml:space="preserve">based on outbreak investigations and limited epidemiology, mostly in industrial and agricultural settings, but also in office buildings </w:t>
      </w:r>
      <w:r w:rsidRPr="00D03260">
        <w:fldChar w:fldCharType="begin"/>
      </w:r>
      <w:r w:rsidR="00217980" w:rsidRPr="00D03260">
        <w:instrText xml:space="preserve"> ADDIN ZOTERO_ITEM CSL_CITATION {"citationID":"M5nRoY6K","properties":{"formattedCitation":"(Mendell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w:t>
      </w:r>
    </w:p>
    <w:p w14:paraId="2B4EA417" w14:textId="38192A02" w:rsidR="002B4CCB" w:rsidRPr="00D03260" w:rsidRDefault="007F42A8" w:rsidP="007F42A8">
      <w:r w:rsidRPr="00D03260">
        <w:t>Several international authority reports and an evidence review acknowledged the role of damp in office buildings</w:t>
      </w:r>
      <w:r w:rsidR="000A2D77" w:rsidRPr="00D03260">
        <w:t>,</w:t>
      </w:r>
      <w:r w:rsidRPr="00D03260">
        <w:t xml:space="preserve"> homes or air conditioning and humification systems and the development of HP </w:t>
      </w:r>
      <w:r w:rsidRPr="00D03260">
        <w:fldChar w:fldCharType="begin"/>
      </w:r>
      <w:r w:rsidR="00217980" w:rsidRPr="00D03260">
        <w:instrText xml:space="preserve"> ADDIN ZOTERO_ITEM CSL_CITATION {"citationID":"vIiDdL60","properties":{"formattedCitation":"(American Industrial Hygiene Association Indoor Environment Quality Committee, 2018; American Lung Association et al., 2014; Borchers et al., 2017; National Institute for Occupational Safety and Health et al., 2012; Park &amp; Cox-Ganser, 2011)","plainCitation":"(American Industrial Hygiene Association Indoor Environment Quality Committee, 2018; American Lung Association et al., 2014; Borchers et al., 2017; National Institute for Occupational Safety and Health et al., 2012; Park &amp; Cox-Ganser, 2011)","noteIndex":0},"citationItems":[{"id":2175,"uris":["http://zotero.org/groups/4371185/items/TU25PZMB"],"itemData":{"id":2175,"type":"document","publisher":"American Industrial Hygiene Association","title":"Mold and Dampness in the Built Environment: Position Statement","author":[{"family":"American Industrial Hygiene Association Indoor Environment Quality Committee","given":""}],"issued":{"date-parts":[["2018",3]]}}},{"id":2177,"uris":["http://zotero.org/groups/4371185/items/RKZL36WX"],"itemData":{"id":2177,"type":"document","abstract":"Because people spend a lot of time indoors, the quality of the air indoors can affect their health.  Remodeling or renovating an existing home has the potential to release indoor pollutants.","language":"en","publisher":"American Lung Association; American Medical Association; U.S. Consumer Product Safety Commission; U.S Environmental Protection Agency","title":"Indoor air pollution: An introduction for health professionals","title-short":"Indoor Air Pollution","URL":"https://www.epa.gov/indoor-air-quality-iaq/indoor-air-pollution-introduction-health-professionals","author":[{"family":"American Lung Association","given":""},{"family":"American Medical Association","given":""},{"family":"U.S. Consumer Product Safety Commission","given":""},{"family":"U.S. Environmental Protection Agency","given":""}],"accessed":{"date-parts":[["2021",9,2]]},"issued":{"date-parts":[["2014"]]}}},{"id":2127,"uris":["http://zotero.org/groups/4371185/items/SH7Q7R7H"],"itemData":{"id":2127,"type":"article-journal","container-title":"Clinical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Eric"}],"issued":{"date-parts":[["2017"]]}}},{"id":2153,"uris":["http://zotero.org/groups/4371185/items/QTNCQS83"],"itemData":{"id":2153,"type":"document","publisher":"Department of Health and Human Services, Centers for Disease Control and Prevention, National Institute for Occupational Safety and Health. Publication No 2013-102","source":"Publication No 2013-102","title":"Preventing occupational respiratory disease from exposures caused by dampness in office buildings, schools, and other nonindustrial buildings","author":[{"family":"National Institute for Occupational Safety and Health","given":""},{"family":"Kanwal","given":"Richard"},{"family":"Kreiss","given":"Kathleen"},{"family":"Martin","given":"Michelle"},{"family":"Sahakian","given":"Nancy"}],"issued":{"date-parts":[["2012"]]}}},{"id":2055,"uris":["http://zotero.org/groups/4371185/items/VIU9CSHP"],"itemData":{"id":2055,"type":"article-journal","abstract":"Almost all modern buildings experience at least minor, and sometimes serious, water damage during their life span. Excess moisture in buildings becomes a critical  factor for mold (fungal) proliferation in nutrient-rich environments. As a result,  building occupants may be exposed to increased levels of microbial agents such as  fungal spores, cell fragments, cell wall components, or toxins. Such exposures may  result in various diseases and symptoms, both respiratory and non-respiratory.  Respiratory health complaints are common in damp buildings and have been more  thoroughly studied than non-respiratory complaints. Respiratory diseases and  symptoms which may be produced by exposure to indoor fungi include asthma  development, exacerbation of asthma, hypersensitivity pneumonitis, cough, wheeze,  dyspnea (shortness of breath), nasal and throat symptoms, and respiratory  infections. In addition to these illnesses, rhinosinusitis and sarcoidosis in  water-damaged building occupants are also drawing more scientific attention. In this  article, we explore the evidence for adverse effects of fungal exposure on  respiratory health in damp indoor environments and potential disease mechanisms  related to the exposure.","container-title":"Frontiers in bioscience (Elite edition)","DOI":"10.2741/e284","ISSN":"1945-0508 1945-0494","journalAbbreviation":"Front Biosci (Elite Ed)","language":"eng","note":"publisher-place: Singapore\nPMID: 21196349","page":"757-771","title":"Mold exposure and respiratory health in damp indoor environments.","volume":"3","author":[{"family":"Park","given":"Ju-Hyeong"},{"family":"Cox-Ganser","given":"Jean M."}],"issued":{"date-parts":[["2011",1,1]]}}}],"schema":"https://github.com/citation-style-language/schema/raw/master/csl-citation.json"} </w:instrText>
      </w:r>
      <w:r w:rsidRPr="00D03260">
        <w:fldChar w:fldCharType="separate"/>
      </w:r>
      <w:r w:rsidRPr="00D03260">
        <w:t>(American Industrial Hygiene Association Indoor Environment Quality Committee, 2018; American Lung Association et al., 2014; Borchers et al., 2017; National Institute for Occupational Safety and Health et al., 2012; Park &amp; Cox-Ganser, 2011)</w:t>
      </w:r>
      <w:r w:rsidRPr="00D03260">
        <w:fldChar w:fldCharType="end"/>
      </w:r>
      <w:r w:rsidRPr="00D03260">
        <w:t xml:space="preserve">. </w:t>
      </w:r>
      <w:r w:rsidR="00C574BD" w:rsidRPr="00D03260">
        <w:t>There is also advice on</w:t>
      </w:r>
      <w:r w:rsidRPr="00D03260">
        <w:t xml:space="preserve"> air conditioning and humification systems contaminated with bacteria and moulds</w:t>
      </w:r>
      <w:r w:rsidR="00C574BD" w:rsidRPr="00D03260">
        <w:t>. Regarding this</w:t>
      </w:r>
      <w:r w:rsidRPr="00D03260">
        <w:t xml:space="preserve"> the CDC noted HP has been recognised for decades among occupants of residential and office buildings with contaminated heated-water reservoirs, humidifiers, cool-mist vaporisers, wooden water buckets, water flume slides, and water-damaged carpets </w:t>
      </w:r>
      <w:r w:rsidRPr="00D03260">
        <w:fldChar w:fldCharType="begin"/>
      </w:r>
      <w:r w:rsidR="00217980" w:rsidRPr="00D03260">
        <w:instrText xml:space="preserve"> ADDIN ZOTERO_ITEM CSL_CITATION {"citationID":"OpkJH4iN","properties":{"formattedCitation":"(Park &amp; Cox-Ganser, 2011)","plainCitation":"(Park &amp; Cox-Ganser, 2011)","noteIndex":0},"citationItems":[{"id":2055,"uris":["http://zotero.org/groups/4371185/items/VIU9CSHP"],"itemData":{"id":2055,"type":"article-journal","abstract":"Almost all modern buildings experience at least minor, and sometimes serious, water damage during their life span. Excess moisture in buildings becomes a critical  factor for mold (fungal) proliferation in nutrient-rich environments. As a result,  building occupants may be exposed to increased levels of microbial agents such as  fungal spores, cell fragments, cell wall components, or toxins. Such exposures may  result in various diseases and symptoms, both respiratory and non-respiratory.  Respiratory health complaints are common in damp buildings and have been more  thoroughly studied than non-respiratory complaints. Respiratory diseases and  symptoms which may be produced by exposure to indoor fungi include asthma  development, exacerbation of asthma, hypersensitivity pneumonitis, cough, wheeze,  dyspnea (shortness of breath), nasal and throat symptoms, and respiratory  infections. In addition to these illnesses, rhinosinusitis and sarcoidosis in  water-damaged building occupants are also drawing more scientific attention. In this  article, we explore the evidence for adverse effects of fungal exposure on  respiratory health in damp indoor environments and potential disease mechanisms  related to the exposure.","container-title":"Frontiers in bioscience (Elite edition)","DOI":"10.2741/e284","ISSN":"1945-0508 1945-0494","journalAbbreviation":"Front Biosci (Elite Ed)","language":"eng","note":"publisher-place: Singapore\nPMID: 21196349","page":"757-771","title":"Mold exposure and respiratory health in damp indoor environments.","volume":"3","author":[{"family":"Park","given":"Ju-Hyeong"},{"family":"Cox-Ganser","given":"Jean M."}],"issued":{"date-parts":[["2011",1,1]]}}}],"schema":"https://github.com/citation-style-language/schema/raw/master/csl-citation.json"} </w:instrText>
      </w:r>
      <w:r w:rsidRPr="00D03260">
        <w:fldChar w:fldCharType="separate"/>
      </w:r>
      <w:r w:rsidRPr="00D03260">
        <w:t>(Park &amp; Cox-Ganser, 2011)</w:t>
      </w:r>
      <w:r w:rsidRPr="00D03260">
        <w:fldChar w:fldCharType="end"/>
      </w:r>
      <w:r w:rsidRPr="00D03260">
        <w:t xml:space="preserve">. Borchers et al. also noted an increasing number of reports linking other types of household or office mould exposure to the development of HP, including humidifier lung from humidifiers, dehumidifiers, or contaminated air conditioners </w:t>
      </w:r>
      <w:r w:rsidRPr="00D03260">
        <w:fldChar w:fldCharType="begin"/>
      </w:r>
      <w:r w:rsidR="00217980" w:rsidRPr="00D03260">
        <w:instrText xml:space="preserve"> ADDIN ZOTERO_ITEM CSL_CITATION {"citationID":"AgolESV1","properties":{"formattedCitation":"(Borchers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Pr="00D03260">
        <w:fldChar w:fldCharType="separate"/>
      </w:r>
      <w:r w:rsidRPr="00D03260">
        <w:t>(Borchers et al., 2017)</w:t>
      </w:r>
      <w:r w:rsidRPr="00D03260">
        <w:fldChar w:fldCharType="end"/>
      </w:r>
      <w:r w:rsidR="00F17A56" w:rsidRPr="00D03260">
        <w:t>.</w:t>
      </w:r>
      <w:r w:rsidRPr="00D03260">
        <w:t xml:space="preserve"> </w:t>
      </w:r>
      <w:r w:rsidR="00F17A56" w:rsidRPr="00D03260">
        <w:t>T</w:t>
      </w:r>
      <w:r w:rsidRPr="00D03260">
        <w:t>he A</w:t>
      </w:r>
      <w:r w:rsidR="00CE6142" w:rsidRPr="00D03260">
        <w:t xml:space="preserve">merican </w:t>
      </w:r>
      <w:r w:rsidRPr="00D03260">
        <w:t>L</w:t>
      </w:r>
      <w:r w:rsidR="00CE6142" w:rsidRPr="00D03260">
        <w:t xml:space="preserve">ung </w:t>
      </w:r>
      <w:r w:rsidRPr="00D03260">
        <w:t>A</w:t>
      </w:r>
      <w:r w:rsidR="00CE6142" w:rsidRPr="00D03260">
        <w:t>ssociation</w:t>
      </w:r>
      <w:r w:rsidRPr="00D03260">
        <w:t xml:space="preserve">, American Medical Association, EPA, and the Consumer Product Safety Commission noted outbreaks of HP in office buildings have been traced to air conditioning and humidification systems contaminated with bacteria and moulds </w:t>
      </w:r>
      <w:r w:rsidRPr="00D03260">
        <w:fldChar w:fldCharType="begin"/>
      </w:r>
      <w:r w:rsidR="00217980" w:rsidRPr="00D03260">
        <w:instrText xml:space="preserve"> ADDIN ZOTERO_ITEM CSL_CITATION {"citationID":"S6n7lx1i","properties":{"formattedCitation":"(American Lung Association et al., 2014)","plainCitation":"(American Lung Association et al., 2014)","noteIndex":0},"citationItems":[{"id":2177,"uris":["http://zotero.org/groups/4371185/items/RKZL36WX"],"itemData":{"id":2177,"type":"document","abstract":"Because people spend a lot of time indoors, the quality of the air indoors can affect their health.  Remodeling or renovating an existing home has the potential to release indoor pollutants.","language":"en","publisher":"American Lung Association; American Medical Association; U.S. Consumer Product Safety Commission; U.S Environmental Protection Agency","title":"Indoor air pollution: An introduction for health professionals","title-short":"Indoor Air Pollution","URL":"https://www.epa.gov/indoor-air-quality-iaq/indoor-air-pollution-introduction-health-professionals","author":[{"family":"American Lung Association","given":""},{"family":"American Medical Association","given":""},{"family":"U.S. Consumer Product Safety Commission","given":""},{"family":"U.S. Environmental Protection Agency","given":""}],"accessed":{"date-parts":[["2021",9,2]]},"issued":{"date-parts":[["2014"]]}}}],"schema":"https://github.com/citation-style-language/schema/raw/master/csl-citation.json"} </w:instrText>
      </w:r>
      <w:r w:rsidRPr="00D03260">
        <w:fldChar w:fldCharType="separate"/>
      </w:r>
      <w:r w:rsidRPr="00D03260">
        <w:t>(American Lung Association et al., 2014)</w:t>
      </w:r>
      <w:r w:rsidRPr="00D03260">
        <w:fldChar w:fldCharType="end"/>
      </w:r>
      <w:r w:rsidRPr="00D03260">
        <w:t>. Within the home</w:t>
      </w:r>
      <w:r w:rsidR="00612239" w:rsidRPr="00D03260">
        <w:t xml:space="preserve"> environment</w:t>
      </w:r>
      <w:r w:rsidRPr="00D03260">
        <w:t xml:space="preserve">, HP has been often caused by contaminated humidifiers or by pigeon or pet bird antigens </w:t>
      </w:r>
      <w:r w:rsidRPr="00D03260">
        <w:fldChar w:fldCharType="begin"/>
      </w:r>
      <w:r w:rsidR="00217980" w:rsidRPr="00D03260">
        <w:instrText xml:space="preserve"> ADDIN ZOTERO_ITEM CSL_CITATION {"citationID":"Apr87vCD","properties":{"formattedCitation":"(American Lung Association et al., 2014)","plainCitation":"(American Lung Association et al., 2014)","noteIndex":0},"citationItems":[{"id":2177,"uris":["http://zotero.org/groups/4371185/items/RKZL36WX"],"itemData":{"id":2177,"type":"document","abstract":"Because people spend a lot of time indoors, the quality of the air indoors can affect their health.  Remodeling or renovating an existing home has the potential to release indoor pollutants.","language":"en","publisher":"American Lung Association; American Medical Association; U.S. Consumer Product Safety Commission; U.S Environmental Protection Agency","title":"Indoor air pollution: An introduction for health professionals","title-short":"Indoor Air Pollution","URL":"https://www.epa.gov/indoor-air-quality-iaq/indoor-air-pollution-introduction-health-professionals","author":[{"family":"American Lung Association","given":""},{"family":"American Medical Association","given":""},{"family":"U.S. Consumer Product Safety Commission","given":""},{"family":"U.S. Environmental Protection Agency","given":""}],"accessed":{"date-parts":[["2021",9,2]]},"issued":{"date-parts":[["2014"]]}}}],"schema":"https://github.com/citation-style-language/schema/raw/master/csl-citation.json"} </w:instrText>
      </w:r>
      <w:r w:rsidRPr="00D03260">
        <w:fldChar w:fldCharType="separate"/>
      </w:r>
      <w:r w:rsidRPr="00D03260">
        <w:t>(American Lung Association et al., 2014)</w:t>
      </w:r>
      <w:r w:rsidRPr="00D03260">
        <w:fldChar w:fldCharType="end"/>
      </w:r>
      <w:r w:rsidRPr="00D03260">
        <w:t>.</w:t>
      </w:r>
    </w:p>
    <w:p w14:paraId="6EE265A7" w14:textId="775F09EB" w:rsidR="00494C66" w:rsidRPr="00D03260" w:rsidRDefault="00D2394F" w:rsidP="00C6799E">
      <w:pPr>
        <w:pStyle w:val="NumberedHeading4"/>
      </w:pPr>
      <w:bookmarkStart w:id="145" w:name="Sect3122ClinicalPresentationOfHPAndPoten"/>
      <w:bookmarkStart w:id="146" w:name="_Toc121329135"/>
      <w:bookmarkStart w:id="147" w:name="_Toc141885872"/>
      <w:bookmarkEnd w:id="145"/>
      <w:r w:rsidRPr="00D03260">
        <w:rPr>
          <w:iCs/>
        </w:rPr>
        <w:lastRenderedPageBreak/>
        <w:t>3.1.</w:t>
      </w:r>
      <w:r w:rsidR="0025324E" w:rsidRPr="00D03260">
        <w:rPr>
          <w:iCs/>
        </w:rPr>
        <w:t>2</w:t>
      </w:r>
      <w:r w:rsidRPr="00D03260">
        <w:rPr>
          <w:iCs/>
        </w:rPr>
        <w:t>.2.</w:t>
      </w:r>
      <w:r w:rsidRPr="00D03260">
        <w:rPr>
          <w:iCs/>
        </w:rPr>
        <w:tab/>
      </w:r>
      <w:r w:rsidR="00494C66" w:rsidRPr="00D03260">
        <w:t>Clinical presentation of HP and potential for misdiagnosis</w:t>
      </w:r>
      <w:bookmarkEnd w:id="146"/>
      <w:bookmarkEnd w:id="147"/>
    </w:p>
    <w:p w14:paraId="27F261BC" w14:textId="7E8FDF59" w:rsidR="00611346" w:rsidRPr="00D03260" w:rsidRDefault="0034286F" w:rsidP="007D6E9B">
      <w:r w:rsidRPr="00D03260">
        <w:t>While the presentation of HP is traditionally subdivided into acute, sub</w:t>
      </w:r>
      <w:r w:rsidR="009465A9" w:rsidRPr="00D03260">
        <w:t>-</w:t>
      </w:r>
      <w:r w:rsidRPr="00D03260">
        <w:t xml:space="preserve">acute and chronic, considerable overlap in these forms of presentation has been increasingly recognised; a computed tomography (CT) scan can be used to identify these forms </w:t>
      </w:r>
      <w:r w:rsidRPr="00D03260">
        <w:fldChar w:fldCharType="begin"/>
      </w:r>
      <w:r w:rsidR="00217980" w:rsidRPr="00D03260">
        <w:instrText xml:space="preserve"> ADDIN ZOTERO_ITEM CSL_CITATION {"citationID":"hYEeZkAt","properties":{"formattedCitation":"(Borchers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Pr="00D03260">
        <w:fldChar w:fldCharType="separate"/>
      </w:r>
      <w:r w:rsidRPr="00D03260">
        <w:t>(Borchers et al., 2017)</w:t>
      </w:r>
      <w:r w:rsidRPr="00D03260">
        <w:fldChar w:fldCharType="end"/>
      </w:r>
      <w:r w:rsidRPr="00D03260">
        <w:t xml:space="preserve">. The clinical course of the disease is variable and its diagnosis is difficult since no specific test or biomarker provides a consistent diagnosis </w:t>
      </w:r>
      <w:r w:rsidRPr="00D03260">
        <w:fldChar w:fldCharType="begin"/>
      </w:r>
      <w:r w:rsidR="00217980" w:rsidRPr="00D03260">
        <w:instrText xml:space="preserve"> ADDIN ZOTERO_ITEM CSL_CITATION {"citationID":"ekK70jqW","properties":{"formattedCitation":"(Baxi et al., 2016)","plainCitation":"(Baxi et al., 2016)","noteIndex":0},"citationItems":[{"id":2141,"uris":["http://zotero.org/groups/4371185/items/7BUH6L84"],"itemData":{"id":2141,"type":"article-journal","abstract":"Fungi are ubiquitous microorganisms that are present in outdoor and indoor environments. Previous research has found relationships between environmental fungal  exposures and human health effects. We reviewed recent articles focused on fungal  exposure and dampness as risk factors for respiratory disease development, symptoms,  and hypersensitivity. In particular, we reviewed the evidence suggesting that early  exposure to dampness or fungi is associated with the development of asthma and  increased asthma morbidity. Although outdoor exposure to high concentrations of  spores can cause health effects such as asthma attacks in association with  thunderstorms, most people appear to be relatively unaffected unless they are  sensitized to specific genera. Indoor exposure and dampness, however, appears to be  associated with an increased risk of developing asthma in young children and asthma  morbidity in individuals who have asthma. These are important issues because they  provide a rationale for interventions that might be considered for homes and  buildings in which there is increased fungal exposure. In addition to rhinitis and  asthma, fungus exposure is associated with a number of other illnesses including  allergic bronchopulmonary mycoses, allergic fungal sinusitis, and hypersensitivity  pneumonitis. Additional research is necessary to establish causality and evaluate  interventions for fungal- and dampness-related health effects.","container-title":"Journal of Allergy and Clinical Immunology: In Practice","DOI":"10.1016/j.jaip.2016.01.008","ISSN":"2213-2201 2213-2198","issue":"3","license":"Copyright © 2016 American Academy of Allergy, Asthma &amp; Immunology. Published by Elsevier Inc. All rights reserved.","note":"PMID: 26947460 \nPMCID: PMC4861659","page":"396-404","title":"Exposure and health effects of fungi on humans","volume":"4","author":[{"family":"Baxi","given":"Sachin N."},{"family":"Portnoy","given":"Jay M."},{"family":"Larenas-Linnemann","given":"Désirée"},{"family":"Phipatanakul","given":"Wanda"}],"issued":{"date-parts":[["2016"]]}}}],"schema":"https://github.com/citation-style-language/schema/raw/master/csl-citation.json"} </w:instrText>
      </w:r>
      <w:r w:rsidRPr="00D03260">
        <w:fldChar w:fldCharType="separate"/>
      </w:r>
      <w:r w:rsidRPr="00D03260">
        <w:t>(Baxi et al., 2016)</w:t>
      </w:r>
      <w:r w:rsidRPr="00D03260">
        <w:fldChar w:fldCharType="end"/>
      </w:r>
      <w:r w:rsidRPr="00D03260">
        <w:t>. When fungi are involved, HP is characteri</w:t>
      </w:r>
      <w:r w:rsidR="002200AD" w:rsidRPr="00D03260">
        <w:t>s</w:t>
      </w:r>
      <w:r w:rsidRPr="00D03260">
        <w:t xml:space="preserve">ed by the presence of precipitating immunoglobulin G (IgG) antibodies directed at the fungus </w:t>
      </w:r>
      <w:r w:rsidRPr="00D03260">
        <w:fldChar w:fldCharType="begin"/>
      </w:r>
      <w:r w:rsidR="00217980" w:rsidRPr="00D03260">
        <w:instrText xml:space="preserve"> ADDIN ZOTERO_ITEM CSL_CITATION {"citationID":"40sW1pkE","properties":{"formattedCitation":"(Baxi et al., 2016)","plainCitation":"(Baxi et al., 2016)","noteIndex":0},"citationItems":[{"id":2141,"uris":["http://zotero.org/groups/4371185/items/7BUH6L84"],"itemData":{"id":2141,"type":"article-journal","abstract":"Fungi are ubiquitous microorganisms that are present in outdoor and indoor environments. Previous research has found relationships between environmental fungal  exposures and human health effects. We reviewed recent articles focused on fungal  exposure and dampness as risk factors for respiratory disease development, symptoms,  and hypersensitivity. In particular, we reviewed the evidence suggesting that early  exposure to dampness or fungi is associated with the development of asthma and  increased asthma morbidity. Although outdoor exposure to high concentrations of  spores can cause health effects such as asthma attacks in association with  thunderstorms, most people appear to be relatively unaffected unless they are  sensitized to specific genera. Indoor exposure and dampness, however, appears to be  associated with an increased risk of developing asthma in young children and asthma  morbidity in individuals who have asthma. These are important issues because they  provide a rationale for interventions that might be considered for homes and  buildings in which there is increased fungal exposure. In addition to rhinitis and  asthma, fungus exposure is associated with a number of other illnesses including  allergic bronchopulmonary mycoses, allergic fungal sinusitis, and hypersensitivity  pneumonitis. Additional research is necessary to establish causality and evaluate  interventions for fungal- and dampness-related health effects.","container-title":"Journal of Allergy and Clinical Immunology: In Practice","DOI":"10.1016/j.jaip.2016.01.008","ISSN":"2213-2201 2213-2198","issue":"3","license":"Copyright © 2016 American Academy of Allergy, Asthma &amp; Immunology. Published by Elsevier Inc. All rights reserved.","note":"PMID: 26947460 \nPMCID: PMC4861659","page":"396-404","title":"Exposure and health effects of fungi on humans","volume":"4","author":[{"family":"Baxi","given":"Sachin N."},{"family":"Portnoy","given":"Jay M."},{"family":"Larenas-Linnemann","given":"Désirée"},{"family":"Phipatanakul","given":"Wanda"}],"issued":{"date-parts":[["2016"]]}}}],"schema":"https://github.com/citation-style-language/schema/raw/master/csl-citation.json"} </w:instrText>
      </w:r>
      <w:r w:rsidRPr="00D03260">
        <w:fldChar w:fldCharType="separate"/>
      </w:r>
      <w:r w:rsidRPr="00D03260">
        <w:t>(Baxi et al., 2016)</w:t>
      </w:r>
      <w:r w:rsidRPr="00D03260">
        <w:fldChar w:fldCharType="end"/>
      </w:r>
      <w:r w:rsidRPr="00D03260">
        <w:t>.</w:t>
      </w:r>
    </w:p>
    <w:p w14:paraId="3169190A" w14:textId="3DBB7D9A" w:rsidR="0034286F" w:rsidRPr="00D03260" w:rsidRDefault="0034286F" w:rsidP="007D6E9B">
      <w:r w:rsidRPr="00D03260">
        <w:t>The clinical presentations and characteristics of HP include the following:</w:t>
      </w:r>
    </w:p>
    <w:p w14:paraId="78252CCE" w14:textId="42DDFAF5" w:rsidR="00BE0117" w:rsidRPr="00D03260" w:rsidRDefault="00DA468E" w:rsidP="007F2747">
      <w:pPr>
        <w:pStyle w:val="ListBullet"/>
      </w:pPr>
      <w:r w:rsidRPr="00D03260">
        <w:t xml:space="preserve">HP can mimic a respiratory infection </w:t>
      </w:r>
      <w:r w:rsidRPr="00D03260">
        <w:fldChar w:fldCharType="begin"/>
      </w:r>
      <w:r w:rsidR="00217980" w:rsidRPr="00D03260">
        <w:instrText xml:space="preserve"> ADDIN ZOTERO_ITEM CSL_CITATION {"citationID":"EAP20nmd","properties":{"formattedCitation":"(National Institute for Occupational Safety and Health et al., 2012)","plainCitation":"(National Institute for Occupational Safety and Health et al., 2012)","noteIndex":0},"citationItems":[{"id":2153,"uris":["http://zotero.org/groups/4371185/items/QTNCQS83"],"itemData":{"id":2153,"type":"document","publisher":"Department of Health and Human Services, Centers for Disease Control and Prevention, National Institute for Occupational Safety and Health. Publication No 2013-102","source":"Publication No 2013-102","title":"Preventing occupational respiratory disease from exposures caused by dampness in office buildings, schools, and other nonindustrial buildings","author":[{"family":"National Institute for Occupational Safety and Health","given":""},{"family":"Kanwal","given":"Richard"},{"family":"Kreiss","given":"Kathleen"},{"family":"Martin","given":"Michelle"},{"family":"Sahakian","given":"Nancy"}],"issued":{"date-parts":[["2012"]]}}}],"schema":"https://github.com/citation-style-language/schema/raw/master/csl-citation.json"} </w:instrText>
      </w:r>
      <w:r w:rsidRPr="00D03260">
        <w:fldChar w:fldCharType="separate"/>
      </w:r>
      <w:r w:rsidRPr="00D03260">
        <w:t>(National Institute for Occupational Safety and Health et al., 2012)</w:t>
      </w:r>
      <w:r w:rsidRPr="00D03260">
        <w:fldChar w:fldCharType="end"/>
      </w:r>
    </w:p>
    <w:p w14:paraId="661614B4" w14:textId="56372EB6" w:rsidR="00DA468E" w:rsidRPr="00D03260" w:rsidRDefault="00DA468E" w:rsidP="007F2747">
      <w:pPr>
        <w:pStyle w:val="ListBullet"/>
      </w:pPr>
      <w:r w:rsidRPr="00D03260">
        <w:t>There are two symptom patterns in HP:</w:t>
      </w:r>
    </w:p>
    <w:p w14:paraId="47805435" w14:textId="42FA1264" w:rsidR="007F2747" w:rsidRPr="00D03260" w:rsidRDefault="007F2747" w:rsidP="00893310">
      <w:pPr>
        <w:pStyle w:val="Tablelistbullet2"/>
        <w:numPr>
          <w:ilvl w:val="0"/>
          <w:numId w:val="69"/>
        </w:numPr>
      </w:pPr>
      <w:r w:rsidRPr="00D03260">
        <w:t xml:space="preserve">Some individuals experience acute disease symptoms of episodic shortness of breath and flu-like symptoms, including cough, muscle aches, fever, chills, sweating, and fatigue, that start within </w:t>
      </w:r>
      <w:r w:rsidR="00154D45" w:rsidRPr="00D03260">
        <w:t>four</w:t>
      </w:r>
      <w:r w:rsidRPr="00D03260">
        <w:t xml:space="preserve"> to </w:t>
      </w:r>
      <w:r w:rsidR="00154D45" w:rsidRPr="00D03260">
        <w:t>six hours</w:t>
      </w:r>
      <w:r w:rsidRPr="00D03260">
        <w:t xml:space="preserve"> of exposure </w:t>
      </w:r>
      <w:r w:rsidRPr="00D03260">
        <w:fldChar w:fldCharType="begin"/>
      </w:r>
      <w:r w:rsidR="00217980" w:rsidRPr="00D03260">
        <w:instrText xml:space="preserve"> ADDIN ZOTERO_ITEM CSL_CITATION {"citationID":"tbfNMU7I","properties":{"formattedCitation":"(American Lung Association et al., 2014; National Institute for Occupational Safety and Health et al., 2012)","plainCitation":"(American Lung Association et al., 2014; National Institute for Occupational Safety and Health et al., 2012)","noteIndex":0},"citationItems":[{"id":2177,"uris":["http://zotero.org/groups/4371185/items/RKZL36WX"],"itemData":{"id":2177,"type":"document","abstract":"Because people spend a lot of time indoors, the quality of the air indoors can affect their health.  Remodeling or renovating an existing home has the potential to release indoor pollutants.","language":"en","publisher":"American Lung Association; American Medical Association; U.S. Consumer Product Safety Commission; U.S Environmental Protection Agency","title":"Indoor air pollution: An introduction for health professionals","title-short":"Indoor Air Pollution","URL":"https://www.epa.gov/indoor-air-quality-iaq/indoor-air-pollution-introduction-health-professionals","author":[{"family":"American Lung Association","given":""},{"family":"American Medical Association","given":""},{"family":"U.S. Consumer Product Safety Commission","given":""},{"family":"U.S. Environmental Protection Agency","given":""}],"accessed":{"date-parts":[["2021",9,2]]},"issued":{"date-parts":[["2014"]]}}},{"id":2153,"uris":["http://zotero.org/groups/4371185/items/QTNCQS83"],"itemData":{"id":2153,"type":"document","publisher":"Department of Health and Human Services, Centers for Disease Control and Prevention, National Institute for Occupational Safety and Health. Publication No 2013-102","source":"Publication No 2013-102","title":"Preventing occupational respiratory disease from exposures caused by dampness in office buildings, schools, and other nonindustrial buildings","author":[{"family":"National Institute for Occupational Safety and Health","given":""},{"family":"Kanwal","given":"Richard"},{"family":"Kreiss","given":"Kathleen"},{"family":"Martin","given":"Michelle"},{"family":"Sahakian","given":"Nancy"}],"issued":{"date-parts":[["2012"]]}}}],"schema":"https://github.com/citation-style-language/schema/raw/master/csl-citation.json"} </w:instrText>
      </w:r>
      <w:r w:rsidRPr="00D03260">
        <w:fldChar w:fldCharType="separate"/>
      </w:r>
      <w:r w:rsidRPr="00D03260">
        <w:t>(American Lung Association et al., 2014; National Institute for Occupational Safety and Health et al., 2012)</w:t>
      </w:r>
      <w:r w:rsidRPr="00D03260">
        <w:fldChar w:fldCharType="end"/>
      </w:r>
      <w:r w:rsidR="004633C1" w:rsidRPr="00D03260">
        <w:t>. These symptoms</w:t>
      </w:r>
      <w:r w:rsidR="00C3656F" w:rsidRPr="00D03260">
        <w:t xml:space="preserve"> </w:t>
      </w:r>
      <w:r w:rsidR="004633C1" w:rsidRPr="00D03260">
        <w:t xml:space="preserve">may </w:t>
      </w:r>
      <w:r w:rsidRPr="00D03260">
        <w:t xml:space="preserve">last for </w:t>
      </w:r>
      <w:r w:rsidR="00606C45" w:rsidRPr="00D03260">
        <w:t>one to three</w:t>
      </w:r>
      <w:r w:rsidRPr="00D03260">
        <w:t xml:space="preserve"> days if there is no further exposure </w:t>
      </w:r>
      <w:r w:rsidRPr="00D03260">
        <w:fldChar w:fldCharType="begin"/>
      </w:r>
      <w:r w:rsidR="00217980" w:rsidRPr="00D03260">
        <w:instrText xml:space="preserve"> ADDIN ZOTERO_ITEM CSL_CITATION {"citationID":"Qglpwi2R","properties":{"formattedCitation":"(National Institute for Occupational Safety and Health et al., 2012)","plainCitation":"(National Institute for Occupational Safety and Health et al., 2012)","noteIndex":0},"citationItems":[{"id":2153,"uris":["http://zotero.org/groups/4371185/items/QTNCQS83"],"itemData":{"id":2153,"type":"document","publisher":"Department of Health and Human Services, Centers for Disease Control and Prevention, National Institute for Occupational Safety and Health. Publication No 2013-102","source":"Publication No 2013-102","title":"Preventing occupational respiratory disease from exposures caused by dampness in office buildings, schools, and other nonindustrial buildings","author":[{"family":"National Institute for Occupational Safety and Health","given":""},{"family":"Kanwal","given":"Richard"},{"family":"Kreiss","given":"Kathleen"},{"family":"Martin","given":"Michelle"},{"family":"Sahakian","given":"Nancy"}],"issued":{"date-parts":[["2012"]]}}}],"schema":"https://github.com/citation-style-language/schema/raw/master/csl-citation.json"} </w:instrText>
      </w:r>
      <w:r w:rsidRPr="00D03260">
        <w:fldChar w:fldCharType="separate"/>
      </w:r>
      <w:r w:rsidRPr="00D03260">
        <w:t>(National Institute for Occupational Safety and Health et al., 2012)</w:t>
      </w:r>
      <w:r w:rsidRPr="00D03260">
        <w:fldChar w:fldCharType="end"/>
      </w:r>
      <w:r w:rsidRPr="00D03260">
        <w:t>. It is very important to recognise this disease in its earliest stages, when antigen</w:t>
      </w:r>
      <w:r w:rsidR="00064353" w:rsidRPr="00D03260">
        <w:t xml:space="preserve"> removal</w:t>
      </w:r>
      <w:r w:rsidRPr="00D03260">
        <w:t xml:space="preserve"> is often sufficient for recovery </w:t>
      </w:r>
      <w:r w:rsidRPr="00D03260">
        <w:fldChar w:fldCharType="begin"/>
      </w:r>
      <w:r w:rsidR="00217980" w:rsidRPr="00D03260">
        <w:instrText xml:space="preserve"> ADDIN ZOTERO_ITEM CSL_CITATION {"citationID":"KjMmzXNY","properties":{"formattedCitation":"(Borchers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Pr="00D03260">
        <w:fldChar w:fldCharType="separate"/>
      </w:r>
      <w:r w:rsidRPr="00D03260">
        <w:t>(Borchers et al., 2017)</w:t>
      </w:r>
      <w:r w:rsidRPr="00D03260">
        <w:fldChar w:fldCharType="end"/>
      </w:r>
      <w:r w:rsidRPr="00D03260">
        <w:t xml:space="preserve">. Acute HP may show pulmonary oedema on a CT scan </w:t>
      </w:r>
      <w:r w:rsidRPr="00D03260">
        <w:fldChar w:fldCharType="begin"/>
      </w:r>
      <w:r w:rsidR="00217980" w:rsidRPr="00D03260">
        <w:instrText xml:space="preserve"> ADDIN ZOTERO_ITEM CSL_CITATION {"citationID":"n6RSDw76","properties":{"formattedCitation":"(Borchers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Pr="00D03260">
        <w:fldChar w:fldCharType="separate"/>
      </w:r>
      <w:r w:rsidRPr="00D03260">
        <w:t>(Borchers et al., 2017)</w:t>
      </w:r>
      <w:r w:rsidRPr="00D03260">
        <w:fldChar w:fldCharType="end"/>
      </w:r>
      <w:r w:rsidRPr="00D03260">
        <w:t>. Individuals with HP may be at risk for progression to more severe disease if the re</w:t>
      </w:r>
      <w:r w:rsidRPr="00D03260">
        <w:softHyphen/>
        <w:t>lationship between illness and exposure to the damp building is not recogni</w:t>
      </w:r>
      <w:r w:rsidR="002200AD" w:rsidRPr="00D03260">
        <w:t>s</w:t>
      </w:r>
      <w:r w:rsidRPr="00D03260">
        <w:t xml:space="preserve">ed and exposures continue </w:t>
      </w:r>
      <w:r w:rsidRPr="00D03260">
        <w:fldChar w:fldCharType="begin"/>
      </w:r>
      <w:r w:rsidR="00217980" w:rsidRPr="00D03260">
        <w:instrText xml:space="preserve"> ADDIN ZOTERO_ITEM CSL_CITATION {"citationID":"EsblK32b","properties":{"formattedCitation":"(National Institute for Occupational Safety and Health et al., 2012)","plainCitation":"(National Institute for Occupational Safety and Health et al., 2012)","noteIndex":0},"citationItems":[{"id":2153,"uris":["http://zotero.org/groups/4371185/items/QTNCQS83"],"itemData":{"id":2153,"type":"document","publisher":"Department of Health and Human Services, Centers for Disease Control and Prevention, National Institute for Occupational Safety and Health. Publication No 2013-102","source":"Publication No 2013-102","title":"Preventing occupational respiratory disease from exposures caused by dampness in office buildings, schools, and other nonindustrial buildings","author":[{"family":"National Institute for Occupational Safety and Health","given":""},{"family":"Kanwal","given":"Richard"},{"family":"Kreiss","given":"Kathleen"},{"family":"Martin","given":"Michelle"},{"family":"Sahakian","given":"Nancy"}],"issued":{"date-parts":[["2012"]]}}}],"schema":"https://github.com/citation-style-language/schema/raw/master/csl-citation.json"} </w:instrText>
      </w:r>
      <w:r w:rsidRPr="00D03260">
        <w:fldChar w:fldCharType="separate"/>
      </w:r>
      <w:r w:rsidRPr="00D03260">
        <w:t>(National Institute for Occupational Safety and Health et al., 2012)</w:t>
      </w:r>
      <w:r w:rsidRPr="00D03260">
        <w:fldChar w:fldCharType="end"/>
      </w:r>
      <w:r w:rsidR="004633C1" w:rsidRPr="00D03260">
        <w:t>.</w:t>
      </w:r>
    </w:p>
    <w:p w14:paraId="212B4B59" w14:textId="6C7309B1" w:rsidR="007F2747" w:rsidRPr="00D03260" w:rsidRDefault="007F2747" w:rsidP="00893310">
      <w:pPr>
        <w:pStyle w:val="Tablelistbullet2"/>
      </w:pPr>
      <w:r w:rsidRPr="00D03260">
        <w:t xml:space="preserve">Other individuals develop gradual and progressive shortness of breath and cough, often accompanied by weight loss </w:t>
      </w:r>
      <w:r w:rsidRPr="00D03260">
        <w:fldChar w:fldCharType="begin"/>
      </w:r>
      <w:r w:rsidR="00217980" w:rsidRPr="00D03260">
        <w:instrText xml:space="preserve"> ADDIN ZOTERO_ITEM CSL_CITATION {"citationID":"pIMK8i0v","properties":{"formattedCitation":"(National Institute for Occupational Safety and Health et al., 2012)","plainCitation":"(National Institute for Occupational Safety and Health et al., 2012)","noteIndex":0},"citationItems":[{"id":2153,"uris":["http://zotero.org/groups/4371185/items/QTNCQS83"],"itemData":{"id":2153,"type":"document","publisher":"Department of Health and Human Services, Centers for Disease Control and Prevention, National Institute for Occupational Safety and Health. Publication No 2013-102","source":"Publication No 2013-102","title":"Preventing occupational respiratory disease from exposures caused by dampness in office buildings, schools, and other nonindustrial buildings","author":[{"family":"National Institute for Occupational Safety and Health","given":""},{"family":"Kanwal","given":"Richard"},{"family":"Kreiss","given":"Kathleen"},{"family":"Martin","given":"Michelle"},{"family":"Sahakian","given":"Nancy"}],"issued":{"date-parts":[["2012"]]}}}],"schema":"https://github.com/citation-style-language/schema/raw/master/csl-citation.json"} </w:instrText>
      </w:r>
      <w:r w:rsidRPr="00D03260">
        <w:fldChar w:fldCharType="separate"/>
      </w:r>
      <w:r w:rsidRPr="00D03260">
        <w:t>(National Institute for Occupational Safety and Health et al., 2012)</w:t>
      </w:r>
      <w:r w:rsidRPr="00D03260">
        <w:fldChar w:fldCharType="end"/>
      </w:r>
      <w:r w:rsidRPr="00D03260">
        <w:t>. Where antigen exposure continues, chronic HP with irreversible pulmonary fibrosis can develop</w:t>
      </w:r>
      <w:r w:rsidR="004633C1" w:rsidRPr="00D03260">
        <w:t>.</w:t>
      </w:r>
      <w:r w:rsidRPr="00D03260">
        <w:t xml:space="preserve"> </w:t>
      </w:r>
      <w:r w:rsidR="004633C1" w:rsidRPr="00D03260">
        <w:t>C</w:t>
      </w:r>
      <w:r w:rsidRPr="00D03260">
        <w:t xml:space="preserve">hronic HP usually demonstrates bronchiectasis or signs of pulmonary fibrosis such as reticulation on CT scan </w:t>
      </w:r>
      <w:r w:rsidRPr="00D03260">
        <w:fldChar w:fldCharType="begin"/>
      </w:r>
      <w:r w:rsidR="00217980" w:rsidRPr="00D03260">
        <w:instrText xml:space="preserve"> ADDIN ZOTERO_ITEM CSL_CITATION {"citationID":"c6JbIE8c","properties":{"formattedCitation":"(Borchers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Pr="00D03260">
        <w:fldChar w:fldCharType="separate"/>
      </w:r>
      <w:r w:rsidRPr="00D03260">
        <w:t>(Borchers et al., 2017)</w:t>
      </w:r>
      <w:r w:rsidRPr="00D03260">
        <w:fldChar w:fldCharType="end"/>
      </w:r>
      <w:r w:rsidR="004633C1" w:rsidRPr="00D03260">
        <w:t>.</w:t>
      </w:r>
    </w:p>
    <w:p w14:paraId="24961456" w14:textId="4CD859B6" w:rsidR="00635766" w:rsidRPr="00D03260" w:rsidRDefault="00635766" w:rsidP="00635766">
      <w:pPr>
        <w:pStyle w:val="ListBullet"/>
      </w:pPr>
      <w:r w:rsidRPr="00D03260">
        <w:t xml:space="preserve">The first signs that the illness is due to exposures in a </w:t>
      </w:r>
      <w:r w:rsidR="000F3582" w:rsidRPr="00D03260">
        <w:t xml:space="preserve">damp </w:t>
      </w:r>
      <w:r w:rsidRPr="00D03260">
        <w:t>building may be</w:t>
      </w:r>
      <w:r w:rsidR="000F3582" w:rsidRPr="00D03260">
        <w:t>:</w:t>
      </w:r>
      <w:r w:rsidRPr="00D03260">
        <w:t xml:space="preserve"> </w:t>
      </w:r>
      <w:r w:rsidR="000F3582" w:rsidRPr="00D03260">
        <w:t>‘</w:t>
      </w:r>
      <w:r w:rsidRPr="00D03260">
        <w:t>improvement in symptoms and medical tests during a period of time away from the building and worsening on return</w:t>
      </w:r>
      <w:r w:rsidR="000F3582" w:rsidRPr="00D03260">
        <w:t>’</w:t>
      </w:r>
      <w:r w:rsidRPr="00D03260">
        <w:t xml:space="preserve"> </w:t>
      </w:r>
      <w:r w:rsidRPr="00D03260">
        <w:fldChar w:fldCharType="begin"/>
      </w:r>
      <w:r w:rsidR="00217980" w:rsidRPr="00D03260">
        <w:instrText xml:space="preserve"> ADDIN ZOTERO_ITEM CSL_CITATION {"citationID":"MLi1Uvma","properties":{"formattedCitation":"(National Institute for Occupational Safety and Health et al., 2012)","plainCitation":"(National Institute for Occupational Safety and Health et al., 2012)","noteIndex":0},"citationItems":[{"id":2153,"uris":["http://zotero.org/groups/4371185/items/QTNCQS83"],"itemData":{"id":2153,"type":"document","publisher":"Department of Health and Human Services, Centers for Disease Control and Prevention, National Institute for Occupational Safety and Health. Publication No 2013-102","source":"Publication No 2013-102","title":"Preventing occupational respiratory disease from exposures caused by dampness in office buildings, schools, and other nonindustrial buildings","author":[{"family":"National Institute for Occupational Safety and Health","given":""},{"family":"Kanwal","given":"Richard"},{"family":"Kreiss","given":"Kathleen"},{"family":"Martin","given":"Michelle"},{"family":"Sahakian","given":"Nancy"}],"issued":{"date-parts":[["2012"]]}}}],"schema":"https://github.com/citation-style-language/schema/raw/master/csl-citation.json"} </w:instrText>
      </w:r>
      <w:r w:rsidRPr="00D03260">
        <w:fldChar w:fldCharType="separate"/>
      </w:r>
      <w:r w:rsidRPr="00D03260">
        <w:t>(National Institute for Occupational Safety and Health et al., 2012)</w:t>
      </w:r>
      <w:r w:rsidRPr="00D03260">
        <w:fldChar w:fldCharType="end"/>
      </w:r>
      <w:r w:rsidRPr="00D03260">
        <w:t>.</w:t>
      </w:r>
    </w:p>
    <w:p w14:paraId="5BB58EB0" w14:textId="4526295C" w:rsidR="005108C8" w:rsidRPr="00D03260" w:rsidRDefault="000C480B" w:rsidP="000C480B">
      <w:r w:rsidRPr="00D03260">
        <w:t xml:space="preserve">HP is frequently misdiagnosed as a pneumonia of infectious aetiology </w:t>
      </w:r>
      <w:r w:rsidRPr="00D03260">
        <w:fldChar w:fldCharType="begin"/>
      </w:r>
      <w:r w:rsidR="00217980" w:rsidRPr="00D03260">
        <w:instrText xml:space="preserve"> ADDIN ZOTERO_ITEM CSL_CITATION {"citationID":"SY4tqxe2","properties":{"formattedCitation":"(American Lung Association et al., 2014)","plainCitation":"(American Lung Association et al., 2014)","noteIndex":0},"citationItems":[{"id":2177,"uris":["http://zotero.org/groups/4371185/items/RKZL36WX"],"itemData":{"id":2177,"type":"document","abstract":"Because people spend a lot of time indoors, the quality of the air indoors can affect their health.  Remodeling or renovating an existing home has the potential to release indoor pollutants.","language":"en","publisher":"American Lung Association; American Medical Association; U.S. Consumer Product Safety Commission; U.S Environmental Protection Agency","title":"Indoor air pollution: An introduction for health professionals","title-short":"Indoor Air Pollution","URL":"https://www.epa.gov/indoor-air-quality-iaq/indoor-air-pollution-introduction-health-professionals","author":[{"family":"American Lung Association","given":""},{"family":"American Medical Association","given":""},{"family":"U.S. Consumer Product Safety Commission","given":""},{"family":"U.S. Environmental Protection Agency","given":""}],"accessed":{"date-parts":[["2021",9,2]]},"issued":{"date-parts":[["2014"]]}}}],"schema":"https://github.com/citation-style-language/schema/raw/master/csl-citation.json"} </w:instrText>
      </w:r>
      <w:r w:rsidRPr="00D03260">
        <w:fldChar w:fldCharType="separate"/>
      </w:r>
      <w:r w:rsidRPr="00D03260">
        <w:t>(American Lung Association et al., 2014)</w:t>
      </w:r>
      <w:r w:rsidRPr="00D03260">
        <w:fldChar w:fldCharType="end"/>
      </w:r>
      <w:r w:rsidRPr="00D03260">
        <w:t xml:space="preserve">. </w:t>
      </w:r>
      <w:r w:rsidR="000F3582" w:rsidRPr="00D03260">
        <w:t>T</w:t>
      </w:r>
      <w:r w:rsidRPr="00D03260">
        <w:t>he sub</w:t>
      </w:r>
      <w:r w:rsidR="00172B12" w:rsidRPr="00D03260">
        <w:t>-</w:t>
      </w:r>
      <w:r w:rsidRPr="00D03260">
        <w:t>acute and acute forms of the disease may imitate any interstitial lung disease</w:t>
      </w:r>
      <w:r w:rsidR="000F3582" w:rsidRPr="00D03260">
        <w:t>.</w:t>
      </w:r>
      <w:r w:rsidRPr="00D03260">
        <w:t xml:space="preserve"> </w:t>
      </w:r>
      <w:r w:rsidR="000F3582" w:rsidRPr="00D03260">
        <w:t>T</w:t>
      </w:r>
      <w:r w:rsidRPr="00D03260">
        <w:t>he sub</w:t>
      </w:r>
      <w:r w:rsidR="002767B1" w:rsidRPr="00D03260">
        <w:t>-</w:t>
      </w:r>
      <w:r w:rsidRPr="00D03260">
        <w:t xml:space="preserve">acute form may be misdiagnosed as sarcoidosis, tuberculosis, or histoplasmosis, and the chronic form may be misdiagnosed as idiopathic pulmonary fibrosis </w:t>
      </w:r>
      <w:r w:rsidRPr="00D03260">
        <w:fldChar w:fldCharType="begin"/>
      </w:r>
      <w:r w:rsidR="00217980" w:rsidRPr="00D03260">
        <w:instrText xml:space="preserve"> ADDIN ZOTERO_ITEM CSL_CITATION {"citationID":"1X2N9WZB","properties":{"formattedCitation":"(Park &amp; Cox-Ganser, 2011)","plainCitation":"(Park &amp; Cox-Ganser, 2011)","noteIndex":0},"citationItems":[{"id":2055,"uris":["http://zotero.org/groups/4371185/items/VIU9CSHP"],"itemData":{"id":2055,"type":"article-journal","abstract":"Almost all modern buildings experience at least minor, and sometimes serious, water damage during their life span. Excess moisture in buildings becomes a critical  factor for mold (fungal) proliferation in nutrient-rich environments. As a result,  building occupants may be exposed to increased levels of microbial agents such as  fungal spores, cell fragments, cell wall components, or toxins. Such exposures may  result in various diseases and symptoms, both respiratory and non-respiratory.  Respiratory health complaints are common in damp buildings and have been more  thoroughly studied than non-respiratory complaints. Respiratory diseases and  symptoms which may be produced by exposure to indoor fungi include asthma  development, exacerbation of asthma, hypersensitivity pneumonitis, cough, wheeze,  dyspnea (shortness of breath), nasal and throat symptoms, and respiratory  infections. In addition to these illnesses, rhinosinusitis and sarcoidosis in  water-damaged building occupants are also drawing more scientific attention. In this  article, we explore the evidence for adverse effects of fungal exposure on  respiratory health in damp indoor environments and potential disease mechanisms  related to the exposure.","container-title":"Frontiers in bioscience (Elite edition)","DOI":"10.2741/e284","ISSN":"1945-0508 1945-0494","journalAbbreviation":"Front Biosci (Elite Ed)","language":"eng","note":"publisher-place: Singapore\nPMID: 21196349","page":"757-771","title":"Mold exposure and respiratory health in damp indoor environments.","volume":"3","author":[{"family":"Park","given":"Ju-Hyeong"},{"family":"Cox-Ganser","given":"Jean M."}],"issued":{"date-parts":[["2011",1,1]]}}}],"schema":"https://github.com/citation-style-language/schema/raw/master/csl-citation.json"} </w:instrText>
      </w:r>
      <w:r w:rsidRPr="00D03260">
        <w:fldChar w:fldCharType="separate"/>
      </w:r>
      <w:r w:rsidRPr="00D03260">
        <w:t>(Park &amp; Cox-Ganser, 2011)</w:t>
      </w:r>
      <w:r w:rsidRPr="00D03260">
        <w:fldChar w:fldCharType="end"/>
      </w:r>
      <w:r w:rsidRPr="00D03260">
        <w:t xml:space="preserve">. Relationships of duration and intensity of exposure to different clinical forms of HP are currently not understood </w:t>
      </w:r>
      <w:r w:rsidRPr="00D03260">
        <w:fldChar w:fldCharType="begin"/>
      </w:r>
      <w:r w:rsidR="00217980" w:rsidRPr="00D03260">
        <w:instrText xml:space="preserve"> ADDIN ZOTERO_ITEM CSL_CITATION {"citationID":"DpwCK0zZ","properties":{"formattedCitation":"(Park &amp; Cox-Ganser, 2011)","plainCitation":"(Park &amp; Cox-Ganser, 2011)","noteIndex":0},"citationItems":[{"id":2055,"uris":["http://zotero.org/groups/4371185/items/VIU9CSHP"],"itemData":{"id":2055,"type":"article-journal","abstract":"Almost all modern buildings experience at least minor, and sometimes serious, water damage during their life span. Excess moisture in buildings becomes a critical  factor for mold (fungal) proliferation in nutrient-rich environments. As a result,  building occupants may be exposed to increased levels of microbial agents such as  fungal spores, cell fragments, cell wall components, or toxins. Such exposures may  result in various diseases and symptoms, both respiratory and non-respiratory.  Respiratory health complaints are common in damp buildings and have been more  thoroughly studied than non-respiratory complaints. Respiratory diseases and  symptoms which may be produced by exposure to indoor fungi include asthma  development, exacerbation of asthma, hypersensitivity pneumonitis, cough, wheeze,  dyspnea (shortness of breath), nasal and throat symptoms, and respiratory  infections. In addition to these illnesses, rhinosinusitis and sarcoidosis in  water-damaged building occupants are also drawing more scientific attention. In this  article, we explore the evidence for adverse effects of fungal exposure on  respiratory health in damp indoor environments and potential disease mechanisms  related to the exposure.","container-title":"Frontiers in bioscience (Elite edition)","DOI":"10.2741/e284","ISSN":"1945-0508 1945-0494","journalAbbreviation":"Front Biosci (Elite Ed)","language":"eng","note":"publisher-place: Singapore\nPMID: 21196349","page":"757-771","title":"Mold exposure and respiratory health in damp indoor environments.","volume":"3","author":[{"family":"Park","given":"Ju-Hyeong"},{"family":"Cox-Ganser","given":"Jean M."}],"issued":{"date-parts":[["2011",1,1]]}}}],"schema":"https://github.com/citation-style-language/schema/raw/master/csl-citation.json"} </w:instrText>
      </w:r>
      <w:r w:rsidRPr="00D03260">
        <w:fldChar w:fldCharType="separate"/>
      </w:r>
      <w:r w:rsidRPr="00D03260">
        <w:t>(Park &amp; Cox-Ganser, 2011)</w:t>
      </w:r>
      <w:r w:rsidRPr="00D03260">
        <w:fldChar w:fldCharType="end"/>
      </w:r>
      <w:r w:rsidRPr="00D03260">
        <w:t>.</w:t>
      </w:r>
    </w:p>
    <w:p w14:paraId="15BC6A03" w14:textId="6EF63385" w:rsidR="00635766" w:rsidRPr="00D03260" w:rsidRDefault="000C480B" w:rsidP="000C480B">
      <w:r w:rsidRPr="00D03260">
        <w:t>Organic dust toxic syndrome is an acute, systemic flu-like disease caused by the inhalation of high concentrations of bioaerosols found almost exclusively in workplaces</w:t>
      </w:r>
      <w:r w:rsidR="000F3582" w:rsidRPr="00D03260">
        <w:t>.</w:t>
      </w:r>
      <w:r w:rsidRPr="00D03260">
        <w:t xml:space="preserve"> </w:t>
      </w:r>
      <w:r w:rsidR="000F3582" w:rsidRPr="00D03260">
        <w:t>Organic dust toxic syndrome</w:t>
      </w:r>
      <w:r w:rsidRPr="00D03260">
        <w:t xml:space="preserve"> is significantly more common than </w:t>
      </w:r>
      <w:r w:rsidR="00B67DFF" w:rsidRPr="00D03260">
        <w:t>HP</w:t>
      </w:r>
      <w:r w:rsidRPr="00D03260">
        <w:t xml:space="preserve"> from which it is sometimes difficult to distinguish diagnostically </w:t>
      </w:r>
      <w:r w:rsidRPr="00D03260">
        <w:fldChar w:fldCharType="begin"/>
      </w:r>
      <w:r w:rsidR="00217980" w:rsidRPr="00D03260">
        <w:instrText xml:space="preserve"> ADDIN ZOTERO_ITEM CSL_CITATION {"citationID":"wIz1wtHP","properties":{"formattedCitation":"(Wiesm\\uc0\\u252{}ller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176DB2FB" w14:textId="185EBCBA" w:rsidR="000F3582" w:rsidRPr="00D03260" w:rsidRDefault="000F3582" w:rsidP="000C480B">
      <w:r w:rsidRPr="00D03260">
        <w:lastRenderedPageBreak/>
        <w:t>Further advice on diagnosis of HP is provided later in this document</w:t>
      </w:r>
      <w:r w:rsidR="00E25E58" w:rsidRPr="00D03260">
        <w:t>:</w:t>
      </w:r>
      <w:r w:rsidRPr="00D03260">
        <w:t xml:space="preserve"> </w:t>
      </w:r>
    </w:p>
    <w:p w14:paraId="3030B2A4" w14:textId="2FD86550" w:rsidR="000F3582" w:rsidRPr="00D03260" w:rsidRDefault="000F3582" w:rsidP="000F3582">
      <w:pPr>
        <w:pStyle w:val="ListParagraph"/>
        <w:numPr>
          <w:ilvl w:val="0"/>
          <w:numId w:val="104"/>
        </w:numPr>
      </w:pPr>
      <w:r w:rsidRPr="00D03260">
        <w:t>S</w:t>
      </w:r>
      <w:r w:rsidR="007151FC" w:rsidRPr="00D03260">
        <w:t xml:space="preserve">ee </w:t>
      </w:r>
      <w:hyperlink w:anchor="Section44HPDiagnostics" w:history="1">
        <w:r w:rsidR="007F15B3" w:rsidRPr="00D03260">
          <w:rPr>
            <w:rStyle w:val="Hyperlink"/>
          </w:rPr>
          <w:t>s</w:t>
        </w:r>
        <w:r w:rsidR="007151FC" w:rsidRPr="00D03260">
          <w:rPr>
            <w:rStyle w:val="Hyperlink"/>
          </w:rPr>
          <w:t>ection 4.4</w:t>
        </w:r>
      </w:hyperlink>
      <w:r w:rsidR="007D76C3" w:rsidRPr="00D03260">
        <w:t xml:space="preserve"> on ‘HP diagnostics’</w:t>
      </w:r>
      <w:r w:rsidRPr="00D03260">
        <w:t xml:space="preserve"> and</w:t>
      </w:r>
      <w:r w:rsidR="006131EC" w:rsidRPr="00D03260">
        <w:t xml:space="preserve"> </w:t>
      </w:r>
      <w:hyperlink w:anchor="Section4313MouldSpecificIgGDetermination" w:history="1">
        <w:r w:rsidR="007F15B3" w:rsidRPr="00D03260">
          <w:rPr>
            <w:rStyle w:val="Hyperlink"/>
          </w:rPr>
          <w:t>s</w:t>
        </w:r>
        <w:r w:rsidR="006131EC" w:rsidRPr="00D03260">
          <w:rPr>
            <w:rStyle w:val="Hyperlink"/>
          </w:rPr>
          <w:t>ection 4.3.</w:t>
        </w:r>
        <w:r w:rsidR="00B61008" w:rsidRPr="00D03260">
          <w:rPr>
            <w:rStyle w:val="Hyperlink"/>
          </w:rPr>
          <w:t>1.3</w:t>
        </w:r>
      </w:hyperlink>
      <w:r w:rsidR="007D76C3" w:rsidRPr="00D03260">
        <w:t xml:space="preserve"> on ‘Mould-specific IgG determination is only recommended for suspected allergic bronchopulmonary aspergillosis (ABPA) or HP’</w:t>
      </w:r>
      <w:r w:rsidRPr="00D03260">
        <w:t>.</w:t>
      </w:r>
      <w:r w:rsidR="00433737" w:rsidRPr="00D03260">
        <w:t xml:space="preserve"> </w:t>
      </w:r>
    </w:p>
    <w:p w14:paraId="201EA72D" w14:textId="5A85A8E6" w:rsidR="000F3582" w:rsidRPr="00D03260" w:rsidRDefault="000F3582" w:rsidP="000F3582">
      <w:pPr>
        <w:pStyle w:val="ListParagraph"/>
        <w:numPr>
          <w:ilvl w:val="0"/>
          <w:numId w:val="104"/>
        </w:numPr>
      </w:pPr>
      <w:r w:rsidRPr="00D03260">
        <w:t xml:space="preserve">See </w:t>
      </w:r>
      <w:hyperlink w:anchor="Section4314DiagnosticTestsForSpecificDis" w:history="1">
        <w:r w:rsidR="007F15B3" w:rsidRPr="00D03260">
          <w:rPr>
            <w:rStyle w:val="Hyperlink"/>
          </w:rPr>
          <w:t>s</w:t>
        </w:r>
        <w:r w:rsidR="005301C6" w:rsidRPr="00D03260">
          <w:rPr>
            <w:rStyle w:val="Hyperlink"/>
          </w:rPr>
          <w:t>ection 4.3.1.4</w:t>
        </w:r>
      </w:hyperlink>
      <w:r w:rsidR="005301C6" w:rsidRPr="00D03260">
        <w:t xml:space="preserve"> </w:t>
      </w:r>
      <w:r w:rsidR="008B5EEB" w:rsidRPr="00D03260">
        <w:t>on ‘Diagnostic tests for specific disorders’</w:t>
      </w:r>
      <w:r w:rsidRPr="00D03260">
        <w:t xml:space="preserve"> and</w:t>
      </w:r>
      <w:r w:rsidR="008B5EEB" w:rsidRPr="00D03260">
        <w:t xml:space="preserve"> </w:t>
      </w:r>
      <w:hyperlink w:anchor="Section54HP" w:history="1">
        <w:r w:rsidR="007F15B3" w:rsidRPr="00D03260">
          <w:rPr>
            <w:rStyle w:val="Hyperlink"/>
          </w:rPr>
          <w:t>s</w:t>
        </w:r>
        <w:r w:rsidR="008B5EEB" w:rsidRPr="00D03260">
          <w:rPr>
            <w:rStyle w:val="Hyperlink"/>
          </w:rPr>
          <w:t>ection</w:t>
        </w:r>
        <w:r w:rsidR="00EF7ECE" w:rsidRPr="00D03260">
          <w:rPr>
            <w:rStyle w:val="Hyperlink"/>
          </w:rPr>
          <w:t xml:space="preserve"> 5.4</w:t>
        </w:r>
      </w:hyperlink>
      <w:r w:rsidR="008B5EEB" w:rsidRPr="00D03260">
        <w:t xml:space="preserve"> on diagnosis of ‘HP’</w:t>
      </w:r>
      <w:r w:rsidRPr="00D03260">
        <w:t>.</w:t>
      </w:r>
      <w:r w:rsidR="00A25E8E" w:rsidRPr="00D03260">
        <w:t xml:space="preserve"> </w:t>
      </w:r>
    </w:p>
    <w:p w14:paraId="57E61B14" w14:textId="2F395202" w:rsidR="00FE3239" w:rsidRPr="00D03260" w:rsidRDefault="000F3582" w:rsidP="008E7D4E">
      <w:pPr>
        <w:pStyle w:val="ListParagraph"/>
        <w:numPr>
          <w:ilvl w:val="0"/>
          <w:numId w:val="104"/>
        </w:numPr>
      </w:pPr>
      <w:r w:rsidRPr="00D03260">
        <w:t xml:space="preserve">See </w:t>
      </w:r>
      <w:hyperlink w:anchor="Section72HPMouldRelatedInfectionsAndAlle" w:history="1">
        <w:r w:rsidR="007F15B3" w:rsidRPr="00D03260">
          <w:rPr>
            <w:rStyle w:val="Hyperlink"/>
          </w:rPr>
          <w:t>s</w:t>
        </w:r>
        <w:r w:rsidR="00287D72" w:rsidRPr="00D03260">
          <w:rPr>
            <w:rStyle w:val="Hyperlink"/>
          </w:rPr>
          <w:t>ection 7.2</w:t>
        </w:r>
      </w:hyperlink>
      <w:r w:rsidR="00A25E8E" w:rsidRPr="00D03260">
        <w:t xml:space="preserve"> on o</w:t>
      </w:r>
      <w:r w:rsidR="00287D72" w:rsidRPr="00D03260">
        <w:t xml:space="preserve">ngoing management of patients with </w:t>
      </w:r>
      <w:r w:rsidR="00A25E8E" w:rsidRPr="00D03260">
        <w:t>‘</w:t>
      </w:r>
      <w:r w:rsidR="00287D72" w:rsidRPr="00D03260">
        <w:t>HP, mould-related infections and allergic conditions in susceptible people</w:t>
      </w:r>
      <w:r w:rsidR="00A25E8E" w:rsidRPr="00D03260">
        <w:t>’</w:t>
      </w:r>
      <w:r w:rsidR="002A000B" w:rsidRPr="00D03260">
        <w:t>.</w:t>
      </w:r>
    </w:p>
    <w:p w14:paraId="69EFB8DD" w14:textId="71E933A9" w:rsidR="00CF40C0" w:rsidRPr="00D03260" w:rsidRDefault="00277683" w:rsidP="00C6799E">
      <w:pPr>
        <w:pStyle w:val="NumberedHeading4"/>
      </w:pPr>
      <w:bookmarkStart w:id="148" w:name="Sect3123ABPAandAFRSinSusceptiblePeople"/>
      <w:bookmarkStart w:id="149" w:name="_Toc121329136"/>
      <w:bookmarkStart w:id="150" w:name="_Toc141885873"/>
      <w:bookmarkEnd w:id="148"/>
      <w:r w:rsidRPr="00D03260">
        <w:rPr>
          <w:iCs/>
        </w:rPr>
        <w:t>3.1.</w:t>
      </w:r>
      <w:r w:rsidR="0025324E" w:rsidRPr="00D03260">
        <w:rPr>
          <w:iCs/>
        </w:rPr>
        <w:t>2</w:t>
      </w:r>
      <w:r w:rsidRPr="00D03260">
        <w:rPr>
          <w:iCs/>
        </w:rPr>
        <w:t>.3.</w:t>
      </w:r>
      <w:r w:rsidRPr="00D03260">
        <w:rPr>
          <w:iCs/>
        </w:rPr>
        <w:tab/>
      </w:r>
      <w:r w:rsidR="00CF40C0" w:rsidRPr="00D03260">
        <w:t>Allergic bronchopulmonary aspergillosis (ABPA) and allergic fungal sinusitis or rhinosinusitis (AFRS) in susceptible people</w:t>
      </w:r>
      <w:bookmarkEnd w:id="149"/>
      <w:bookmarkEnd w:id="150"/>
    </w:p>
    <w:p w14:paraId="37AE7494" w14:textId="68E5123A" w:rsidR="00002D44" w:rsidRPr="00D03260" w:rsidRDefault="00002D44" w:rsidP="00002D44">
      <w:r w:rsidRPr="00D03260">
        <w:t xml:space="preserve">ABPA is a rare immunological lung disease involving hypersensitivity to </w:t>
      </w:r>
      <w:r w:rsidRPr="00D03260">
        <w:rPr>
          <w:i/>
          <w:iCs/>
        </w:rPr>
        <w:t>Aspergillus fumigatus</w:t>
      </w:r>
      <w:r w:rsidRPr="00D03260">
        <w:t xml:space="preserve"> antigens </w:t>
      </w:r>
      <w:r w:rsidRPr="00D03260">
        <w:fldChar w:fldCharType="begin"/>
      </w:r>
      <w:r w:rsidR="00217980" w:rsidRPr="00D03260">
        <w:instrText xml:space="preserve"> ADDIN ZOTERO_ITEM CSL_CITATION {"citationID":"bwP51FAd","properties":{"formattedCitation":"(Borchers et al., 2017; Hurra\\uc0\\u223{} et al., 2017; Wiesm\\uc0\\u252{}ller et al., 2017)","plainCitation":"(Borchers et al., 2017; Hurraß et al., 2017; Wiesmüller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(Borchers et al., 2017; Hurraß et al., 2017; Wiesmüller et al., 2017)</w:t>
      </w:r>
      <w:r w:rsidRPr="00D03260">
        <w:fldChar w:fldCharType="end"/>
      </w:r>
      <w:r w:rsidRPr="00D03260">
        <w:t xml:space="preserve">. While rare, it is one of the most severe fungus-induced allergic diseases and occurs </w:t>
      </w:r>
      <w:r w:rsidR="00D93CDF" w:rsidRPr="00D03260">
        <w:t>i</w:t>
      </w:r>
      <w:r w:rsidRPr="00D03260">
        <w:t xml:space="preserve">n patients with asthma, CF, or COPD </w:t>
      </w:r>
      <w:r w:rsidRPr="00D03260">
        <w:fldChar w:fldCharType="begin"/>
      </w:r>
      <w:r w:rsidR="00217980" w:rsidRPr="00D03260">
        <w:instrText xml:space="preserve"> ADDIN ZOTERO_ITEM CSL_CITATION {"citationID":"pXLQeBlL","properties":{"formattedCitation":"(Borchers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Pr="00D03260">
        <w:fldChar w:fldCharType="separate"/>
      </w:r>
      <w:r w:rsidRPr="00D03260">
        <w:t>(Borchers et al., 2017)</w:t>
      </w:r>
      <w:r w:rsidRPr="00D03260">
        <w:fldChar w:fldCharType="end"/>
      </w:r>
      <w:r w:rsidRPr="00D03260">
        <w:t xml:space="preserve">. It is caused by the inhalation of </w:t>
      </w:r>
      <w:r w:rsidRPr="00D03260">
        <w:rPr>
          <w:i/>
          <w:iCs/>
        </w:rPr>
        <w:t>Aspergillu</w:t>
      </w:r>
      <w:r w:rsidRPr="00D03260">
        <w:t xml:space="preserve">s spores that then trigger an immunological reaction </w:t>
      </w:r>
      <w:r w:rsidRPr="00D03260">
        <w:fldChar w:fldCharType="begin"/>
      </w:r>
      <w:r w:rsidR="00217980" w:rsidRPr="00D03260">
        <w:instrText xml:space="preserve"> ADDIN ZOTERO_ITEM CSL_CITATION {"citationID":"X5d9QjlJ","properties":{"formattedCitation":"(Wiesm\\uc0\\u252{}ller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There is no evidence that indoor dampness or exposure to mould is associated with ABPA </w:t>
      </w:r>
      <w:r w:rsidRPr="00D03260">
        <w:fldChar w:fldCharType="begin"/>
      </w:r>
      <w:r w:rsidR="00217980" w:rsidRPr="00D03260">
        <w:instrText xml:space="preserve"> ADDIN ZOTERO_ITEM CSL_CITATION {"citationID":"VdHq4hq7","properties":{"formattedCitation":"(Borchers et al., 2017; Hurra\\uc0\\u223{} et al., 2017)","plainCitation":"(Borchers et al., 2017; Hurraß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schema":"https://github.com/citation-style-language/schema/raw/master/csl-citation.json"} </w:instrText>
      </w:r>
      <w:r w:rsidRPr="00D03260">
        <w:fldChar w:fldCharType="separate"/>
      </w:r>
      <w:r w:rsidRPr="00D03260">
        <w:t>(Borchers et al., 2017; Hurraß et al., 2017)</w:t>
      </w:r>
      <w:r w:rsidRPr="00D03260">
        <w:fldChar w:fldCharType="end"/>
      </w:r>
      <w:r w:rsidR="00DF28CD" w:rsidRPr="00D03260">
        <w:t>.</w:t>
      </w:r>
      <w:r w:rsidRPr="00D03260">
        <w:t xml:space="preserve"> </w:t>
      </w:r>
      <w:r w:rsidR="00DF28CD" w:rsidRPr="00D03260">
        <w:t>H</w:t>
      </w:r>
      <w:r w:rsidRPr="00D03260">
        <w:t>owever</w:t>
      </w:r>
      <w:r w:rsidR="00A73538" w:rsidRPr="00D03260">
        <w:t>,</w:t>
      </w:r>
      <w:r w:rsidRPr="00D03260">
        <w:t xml:space="preserve"> it is probable that mould exposures may induce symptoms or possibl</w:t>
      </w:r>
      <w:r w:rsidR="00D5035F" w:rsidRPr="00D03260">
        <w:t>y</w:t>
      </w:r>
      <w:r w:rsidRPr="00D03260">
        <w:t xml:space="preserve"> modify prognosis</w:t>
      </w:r>
      <w:r w:rsidR="00DF28CD" w:rsidRPr="00D03260">
        <w:t xml:space="preserve"> for ABPA patients</w:t>
      </w:r>
      <w:r w:rsidRPr="00D03260">
        <w:t xml:space="preserve"> </w:t>
      </w:r>
      <w:r w:rsidRPr="00D03260">
        <w:fldChar w:fldCharType="begin"/>
      </w:r>
      <w:r w:rsidR="00217980" w:rsidRPr="00D03260">
        <w:instrText xml:space="preserve"> ADDIN ZOTERO_ITEM CSL_CITATION {"citationID":"gWL7lGCv","properties":{"formattedCitation":"(Hurra\\uc0\\u223{} et al., 2017)","plainCitation":"(Hurraß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schema":"https://github.com/citation-style-language/schema/raw/master/csl-citation.json"} </w:instrText>
      </w:r>
      <w:r w:rsidRPr="00D03260">
        <w:fldChar w:fldCharType="separate"/>
      </w:r>
      <w:r w:rsidRPr="00D03260">
        <w:t>(Hurraß et al., 2017)</w:t>
      </w:r>
      <w:r w:rsidRPr="00D03260">
        <w:fldChar w:fldCharType="end"/>
      </w:r>
      <w:r w:rsidRPr="00D03260">
        <w:t>.</w:t>
      </w:r>
    </w:p>
    <w:p w14:paraId="3ABB16A0" w14:textId="7623603C" w:rsidR="00002D44" w:rsidRPr="00D03260" w:rsidRDefault="00002D44" w:rsidP="00002D44">
      <w:r w:rsidRPr="00D03260">
        <w:t xml:space="preserve">A clinical entity similar to ABPA, called </w:t>
      </w:r>
      <w:r w:rsidR="00DF28CD" w:rsidRPr="00D03260">
        <w:t>‘</w:t>
      </w:r>
      <w:r w:rsidRPr="00D03260">
        <w:t>allergic bronchopulmonary mycosis (AB</w:t>
      </w:r>
      <w:r w:rsidR="009866C0" w:rsidRPr="00D03260">
        <w:t>P</w:t>
      </w:r>
      <w:r w:rsidRPr="00D03260">
        <w:t>M)</w:t>
      </w:r>
      <w:r w:rsidR="00DF28CD" w:rsidRPr="00D03260">
        <w:t>’</w:t>
      </w:r>
      <w:r w:rsidRPr="00D03260">
        <w:t xml:space="preserve"> is caused by several other fungi (not </w:t>
      </w:r>
      <w:r w:rsidRPr="00D03260">
        <w:rPr>
          <w:i/>
          <w:iCs/>
        </w:rPr>
        <w:t>Aspergillus</w:t>
      </w:r>
      <w:r w:rsidRPr="00D03260">
        <w:t xml:space="preserve">) and appears to be associated with asthma much less frequently than ABPA </w:t>
      </w:r>
      <w:r w:rsidRPr="00D03260">
        <w:fldChar w:fldCharType="begin"/>
      </w:r>
      <w:r w:rsidR="00217980" w:rsidRPr="00D03260">
        <w:instrText xml:space="preserve"> ADDIN ZOTERO_ITEM CSL_CITATION {"citationID":"aUykSgKg","properties":{"formattedCitation":"(Borchers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Pr="00D03260">
        <w:fldChar w:fldCharType="separate"/>
      </w:r>
      <w:r w:rsidRPr="00D03260">
        <w:t>(Borchers et al., 2017)</w:t>
      </w:r>
      <w:r w:rsidRPr="00D03260">
        <w:fldChar w:fldCharType="end"/>
      </w:r>
      <w:r w:rsidRPr="00D03260">
        <w:t>.</w:t>
      </w:r>
    </w:p>
    <w:p w14:paraId="365FCF31" w14:textId="07FBFAA3" w:rsidR="00002D44" w:rsidRPr="00D03260" w:rsidRDefault="00002D44" w:rsidP="00002D44">
      <w:r w:rsidRPr="00D03260">
        <w:t>The clinical presentation of A</w:t>
      </w:r>
      <w:r w:rsidR="00C56DB0" w:rsidRPr="00D03260">
        <w:t>B</w:t>
      </w:r>
      <w:r w:rsidR="00FE6045" w:rsidRPr="00D03260">
        <w:t>P</w:t>
      </w:r>
      <w:r w:rsidRPr="00D03260">
        <w:t>A includes cough, worsening asthma, haemoptysis and tenacious mucous leading to mucous plugging</w:t>
      </w:r>
      <w:r w:rsidR="00DF28CD" w:rsidRPr="00D03260">
        <w:t>.</w:t>
      </w:r>
      <w:r w:rsidRPr="00D03260">
        <w:t xml:space="preserve"> </w:t>
      </w:r>
      <w:r w:rsidR="00DF28CD" w:rsidRPr="00D03260">
        <w:t>ABPA</w:t>
      </w:r>
      <w:r w:rsidRPr="00D03260">
        <w:t xml:space="preserve"> should be considered if more than two of the following criteria are met: CF; bronchial asthma; eosinophilia of unknown aetiology; volatile antibiotic-resistant infiltrates; acquired central bronchiectasis; </w:t>
      </w:r>
      <w:r w:rsidRPr="00D03260">
        <w:rPr>
          <w:i/>
          <w:iCs/>
        </w:rPr>
        <w:t>Aspergillus</w:t>
      </w:r>
      <w:r w:rsidRPr="00D03260">
        <w:t xml:space="preserve"> detection in sputum; expectoration of brownish mucous plugs; or delayed cutaneous reaction to </w:t>
      </w:r>
      <w:r w:rsidRPr="00D03260">
        <w:rPr>
          <w:i/>
          <w:iCs/>
        </w:rPr>
        <w:t>Aspergillus</w:t>
      </w:r>
      <w:r w:rsidRPr="00D03260">
        <w:t xml:space="preserve"> </w:t>
      </w:r>
      <w:r w:rsidRPr="00D03260">
        <w:fldChar w:fldCharType="begin"/>
      </w:r>
      <w:r w:rsidR="00217980" w:rsidRPr="00D03260">
        <w:instrText xml:space="preserve"> ADDIN ZOTERO_ITEM CSL_CITATION {"citationID":"K6LSd1Uu","properties":{"formattedCitation":"(Wiesm\\uc0\\u252{}ller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769EDBDB" w14:textId="5454E677" w:rsidR="00002D44" w:rsidRPr="00D03260" w:rsidRDefault="00002D44" w:rsidP="00002D44">
      <w:r w:rsidRPr="00D03260">
        <w:t xml:space="preserve">Moulds can trigger chronic inflammation of the nasal and paranasal sinus mucosa via </w:t>
      </w:r>
      <w:proofErr w:type="gramStart"/>
      <w:r w:rsidRPr="00D03260">
        <w:t>a number of</w:t>
      </w:r>
      <w:proofErr w:type="gramEnd"/>
      <w:r w:rsidRPr="00D03260">
        <w:t xml:space="preserve"> mechanisms. AFRS is a localised hypersensitivity reaction </w:t>
      </w:r>
      <w:proofErr w:type="gramStart"/>
      <w:r w:rsidRPr="00D03260">
        <w:t>similar to</w:t>
      </w:r>
      <w:proofErr w:type="gramEnd"/>
      <w:r w:rsidRPr="00D03260">
        <w:t xml:space="preserve"> that seen in patients with ABPA</w:t>
      </w:r>
      <w:r w:rsidR="00DF28CD" w:rsidRPr="00D03260">
        <w:t>.</w:t>
      </w:r>
      <w:r w:rsidRPr="00D03260">
        <w:t xml:space="preserve"> </w:t>
      </w:r>
      <w:r w:rsidR="00DF28CD" w:rsidRPr="00D03260">
        <w:t xml:space="preserve">AFRS </w:t>
      </w:r>
      <w:r w:rsidRPr="00D03260">
        <w:t xml:space="preserve">occurs when fungi colonise the sinuses of patients </w:t>
      </w:r>
      <w:r w:rsidR="00DF28CD" w:rsidRPr="00D03260">
        <w:t xml:space="preserve">that have </w:t>
      </w:r>
      <w:r w:rsidRPr="00D03260">
        <w:t xml:space="preserve">underlying allergic disease and impaired tissue drainage </w:t>
      </w:r>
      <w:r w:rsidRPr="00D03260">
        <w:fldChar w:fldCharType="begin"/>
      </w:r>
      <w:r w:rsidR="00217980" w:rsidRPr="00D03260">
        <w:instrText xml:space="preserve"> ADDIN ZOTERO_ITEM CSL_CITATION {"citationID":"NX8liuRk","properties":{"formattedCitation":"(Borchers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Pr="00D03260">
        <w:fldChar w:fldCharType="separate"/>
      </w:r>
      <w:r w:rsidRPr="00D03260">
        <w:t>(Borchers et al., 2017)</w:t>
      </w:r>
      <w:r w:rsidRPr="00D03260">
        <w:fldChar w:fldCharType="end"/>
      </w:r>
      <w:r w:rsidRPr="00D03260">
        <w:t xml:space="preserve">. </w:t>
      </w:r>
      <w:r w:rsidRPr="00D03260">
        <w:rPr>
          <w:i/>
          <w:iCs/>
        </w:rPr>
        <w:t xml:space="preserve">A. fumigatus </w:t>
      </w:r>
      <w:r w:rsidRPr="00D03260">
        <w:t xml:space="preserve">is the most frequently isolated mould species associated with AFRS, however other fungal species can cause AFRS </w:t>
      </w:r>
      <w:r w:rsidRPr="00D03260">
        <w:fldChar w:fldCharType="begin"/>
      </w:r>
      <w:r w:rsidR="00217980" w:rsidRPr="00D03260">
        <w:instrText xml:space="preserve"> ADDIN ZOTERO_ITEM CSL_CITATION {"citationID":"09sAjfLA","properties":{"formattedCitation":"(Borchers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Pr="00D03260">
        <w:fldChar w:fldCharType="separate"/>
      </w:r>
      <w:r w:rsidRPr="00D03260">
        <w:t>(Borchers et al., 2017)</w:t>
      </w:r>
      <w:r w:rsidRPr="00D03260">
        <w:fldChar w:fldCharType="end"/>
      </w:r>
      <w:r w:rsidRPr="00D03260">
        <w:t>.</w:t>
      </w:r>
    </w:p>
    <w:p w14:paraId="56566B13" w14:textId="12CE66CF" w:rsidR="00635766" w:rsidRPr="00D03260" w:rsidRDefault="00002D44" w:rsidP="00AC62B2">
      <w:r w:rsidRPr="00D03260">
        <w:t>There are five forms of rhinosinusitis triggered by fungi. These are:</w:t>
      </w:r>
    </w:p>
    <w:p w14:paraId="51A09516" w14:textId="77777777" w:rsidR="00334D9D" w:rsidRPr="00D03260" w:rsidRDefault="00334D9D" w:rsidP="00334D9D">
      <w:pPr>
        <w:pStyle w:val="ListBullet"/>
      </w:pPr>
      <w:r w:rsidRPr="00D03260">
        <w:t>acute invasive (including rhinocerebral mucormycosis)</w:t>
      </w:r>
    </w:p>
    <w:p w14:paraId="18843B72" w14:textId="77777777" w:rsidR="00334D9D" w:rsidRPr="00D03260" w:rsidRDefault="00334D9D" w:rsidP="00334D9D">
      <w:pPr>
        <w:pStyle w:val="ListBullet"/>
      </w:pPr>
      <w:r w:rsidRPr="00D03260">
        <w:t>chronic invasive</w:t>
      </w:r>
    </w:p>
    <w:p w14:paraId="23E93EB6" w14:textId="77777777" w:rsidR="00334D9D" w:rsidRPr="00D03260" w:rsidRDefault="00334D9D" w:rsidP="00334D9D">
      <w:pPr>
        <w:pStyle w:val="ListBullet"/>
      </w:pPr>
      <w:r w:rsidRPr="00D03260">
        <w:t>granulomatous invasive</w:t>
      </w:r>
    </w:p>
    <w:p w14:paraId="46178BBB" w14:textId="77777777" w:rsidR="00334D9D" w:rsidRPr="00D03260" w:rsidRDefault="00334D9D" w:rsidP="00334D9D">
      <w:pPr>
        <w:pStyle w:val="ListBullet"/>
      </w:pPr>
      <w:r w:rsidRPr="00D03260">
        <w:t>non-invasive AFRS without spherical mycetoma formation</w:t>
      </w:r>
    </w:p>
    <w:p w14:paraId="105866F1" w14:textId="5E3B8B22" w:rsidR="00334D9D" w:rsidRPr="00D03260" w:rsidRDefault="00334D9D" w:rsidP="00334D9D">
      <w:pPr>
        <w:pStyle w:val="ListBullet"/>
      </w:pPr>
      <w:r w:rsidRPr="00D03260">
        <w:t xml:space="preserve">non-invasive AFRS with spherical mycetoma formation </w:t>
      </w:r>
      <w:r w:rsidRPr="00D03260">
        <w:fldChar w:fldCharType="begin"/>
      </w:r>
      <w:r w:rsidR="00217980" w:rsidRPr="00D03260">
        <w:instrText xml:space="preserve"> ADDIN ZOTERO_ITEM CSL_CITATION {"citationID":"O0CY00Gk","properties":{"formattedCitation":"(Hurra\\uc0\\u223{} et al., 2017; Wiesm\\uc0\\u252{}ller et al., 2017)","plainCitation":"(Hurraß et al., 2017;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(Hurraß et al., 2017; Wiesmüller et al., 2017)</w:t>
      </w:r>
      <w:r w:rsidRPr="00D03260">
        <w:fldChar w:fldCharType="end"/>
      </w:r>
      <w:r w:rsidRPr="00D03260">
        <w:t>.</w:t>
      </w:r>
    </w:p>
    <w:p w14:paraId="19EECD91" w14:textId="4D05EB2E" w:rsidR="00D6172E" w:rsidRPr="00D03260" w:rsidRDefault="00D6172E" w:rsidP="00D6172E">
      <w:r w:rsidRPr="00D03260">
        <w:lastRenderedPageBreak/>
        <w:t xml:space="preserve">Invasive forms of rhinosinusitis are more prevalent in severely immunocompromised patients (e.g., patients with AIDS, diabetes, patients on chemotherapy) and can cause death within a matter of weeks in acute cases </w:t>
      </w:r>
      <w:r w:rsidRPr="00D03260">
        <w:fldChar w:fldCharType="begin"/>
      </w:r>
      <w:r w:rsidR="00217980" w:rsidRPr="00D03260">
        <w:instrText xml:space="preserve"> ADDIN ZOTERO_ITEM CSL_CITATION {"citationID":"affMj9Lx","properties":{"formattedCitation":"(Hurra\\uc0\\u223{} et al., 2017; Wiesm\\uc0\\u252{}ller et al., 2017)","plainCitation":"(Hurraß et al., 2017;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(Hurraß et al., 2017; Wiesmüller et al., 2017)</w:t>
      </w:r>
      <w:r w:rsidRPr="00D03260">
        <w:fldChar w:fldCharType="end"/>
      </w:r>
      <w:r w:rsidRPr="00D03260">
        <w:t xml:space="preserve">. In contrast, the chronic invasive form follows a protracted course with immunocompromised patients predominantly affected </w:t>
      </w:r>
      <w:r w:rsidRPr="00D03260">
        <w:fldChar w:fldCharType="begin"/>
      </w:r>
      <w:r w:rsidR="00217980" w:rsidRPr="00D03260">
        <w:instrText xml:space="preserve"> ADDIN ZOTERO_ITEM CSL_CITATION {"citationID":"4LoXJ9AU","properties":{"formattedCitation":"(Hurra\\uc0\\u223{} et al., 2017; Wiesm\\uc0\\u252{}ller et al., 2017)","plainCitation":"(Hurraß et al., 2017;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(Hurraß et al., 2017; Wiesmüller et al., 2017)</w:t>
      </w:r>
      <w:r w:rsidRPr="00D03260">
        <w:fldChar w:fldCharType="end"/>
      </w:r>
      <w:r w:rsidRPr="00D03260">
        <w:t>.</w:t>
      </w:r>
    </w:p>
    <w:p w14:paraId="6D456616" w14:textId="655ABF97" w:rsidR="00557339" w:rsidRPr="00D03260" w:rsidRDefault="004634EB" w:rsidP="00D6172E">
      <w:r w:rsidRPr="00D03260">
        <w:t>F</w:t>
      </w:r>
      <w:r w:rsidR="00D6172E" w:rsidRPr="00D03260">
        <w:t>ungal colonisation of the lungs is common in patients with asthma, CF, or COPD</w:t>
      </w:r>
      <w:r w:rsidRPr="00D03260">
        <w:t>.</w:t>
      </w:r>
      <w:r w:rsidR="00D6172E" w:rsidRPr="00D03260">
        <w:t xml:space="preserve"> </w:t>
      </w:r>
      <w:r w:rsidRPr="00D03260">
        <w:t>F</w:t>
      </w:r>
      <w:r w:rsidR="00D6172E" w:rsidRPr="00D03260">
        <w:t xml:space="preserve">ungal colonisation in the sinuses is seen in the vast majority of healthy people </w:t>
      </w:r>
      <w:r w:rsidR="00D6172E" w:rsidRPr="00D03260">
        <w:fldChar w:fldCharType="begin"/>
      </w:r>
      <w:r w:rsidR="00217980" w:rsidRPr="00D03260">
        <w:instrText xml:space="preserve"> ADDIN ZOTERO_ITEM CSL_CITATION {"citationID":"pQs96IJz","properties":{"formattedCitation":"(Borchers et al., 2017; Wiesm\\uc0\\u252{}ller et al., 2017)","plainCitation":"(Borchers et al., 2017; Wiesmüller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00D6172E" w:rsidRPr="00D03260">
        <w:fldChar w:fldCharType="separate"/>
      </w:r>
      <w:r w:rsidR="00D6172E" w:rsidRPr="00D03260">
        <w:t>(Borchers et al., 2017; Wiesmüller et al., 2017)</w:t>
      </w:r>
      <w:r w:rsidR="00D6172E" w:rsidRPr="00D03260">
        <w:fldChar w:fldCharType="end"/>
      </w:r>
      <w:r w:rsidRPr="00D03260">
        <w:t>. However,</w:t>
      </w:r>
      <w:r w:rsidR="00D6172E" w:rsidRPr="00D03260">
        <w:t xml:space="preserve"> only some </w:t>
      </w:r>
      <w:r w:rsidRPr="00D03260">
        <w:t xml:space="preserve">of these people </w:t>
      </w:r>
      <w:r w:rsidR="00D6172E" w:rsidRPr="00D03260">
        <w:t xml:space="preserve">develop ABPA or AFRS </w:t>
      </w:r>
      <w:r w:rsidR="00D6172E" w:rsidRPr="00D03260">
        <w:fldChar w:fldCharType="begin"/>
      </w:r>
      <w:r w:rsidR="00217980" w:rsidRPr="00D03260">
        <w:instrText xml:space="preserve"> ADDIN ZOTERO_ITEM CSL_CITATION {"citationID":"I4M5OFfr","properties":{"formattedCitation":"(Borchers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00D6172E" w:rsidRPr="00D03260">
        <w:fldChar w:fldCharType="separate"/>
      </w:r>
      <w:r w:rsidR="00D6172E" w:rsidRPr="00D03260">
        <w:t>(Borchers et al., 2017)</w:t>
      </w:r>
      <w:r w:rsidR="00D6172E" w:rsidRPr="00D03260">
        <w:fldChar w:fldCharType="end"/>
      </w:r>
      <w:r w:rsidR="00D6172E" w:rsidRPr="00D03260">
        <w:t xml:space="preserve">. </w:t>
      </w:r>
      <w:r w:rsidRPr="00D03260">
        <w:t>C</w:t>
      </w:r>
      <w:r w:rsidR="00D6172E" w:rsidRPr="00D03260">
        <w:t>urrently the reasons for this are unclear</w:t>
      </w:r>
      <w:r w:rsidRPr="00D03260">
        <w:t xml:space="preserve"> and</w:t>
      </w:r>
      <w:r w:rsidR="00D6172E" w:rsidRPr="00D03260">
        <w:t xml:space="preserve"> genetic or other predisposing factors are likely to play a major role </w:t>
      </w:r>
      <w:r w:rsidR="00D6172E" w:rsidRPr="00D03260">
        <w:fldChar w:fldCharType="begin"/>
      </w:r>
      <w:r w:rsidR="00217980" w:rsidRPr="00D03260">
        <w:instrText xml:space="preserve"> ADDIN ZOTERO_ITEM CSL_CITATION {"citationID":"txfeYjCq","properties":{"formattedCitation":"(Borchers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00D6172E" w:rsidRPr="00D03260">
        <w:fldChar w:fldCharType="separate"/>
      </w:r>
      <w:r w:rsidR="00D6172E" w:rsidRPr="00D03260">
        <w:t>(Borchers et al., 2017)</w:t>
      </w:r>
      <w:r w:rsidR="00D6172E" w:rsidRPr="00D03260">
        <w:fldChar w:fldCharType="end"/>
      </w:r>
      <w:r w:rsidR="00D6172E" w:rsidRPr="00D03260">
        <w:t>.</w:t>
      </w:r>
    </w:p>
    <w:p w14:paraId="6753065A" w14:textId="462FE5CB" w:rsidR="00A30C41" w:rsidRPr="00D03260" w:rsidRDefault="00D6172E" w:rsidP="00D6172E">
      <w:r w:rsidRPr="00D03260">
        <w:rPr>
          <w:i/>
          <w:iCs/>
        </w:rPr>
        <w:t>A. fumigatus</w:t>
      </w:r>
      <w:r w:rsidRPr="00D03260">
        <w:t xml:space="preserve"> is a common outdoor mould even though it has been associated with building moisture in some studies</w:t>
      </w:r>
      <w:r w:rsidR="00E25E58" w:rsidRPr="00D03260">
        <w:t>.</w:t>
      </w:r>
      <w:r w:rsidRPr="00D03260">
        <w:t xml:space="preserve"> </w:t>
      </w:r>
      <w:r w:rsidR="00E25E58" w:rsidRPr="00D03260">
        <w:t>M</w:t>
      </w:r>
      <w:r w:rsidRPr="00D03260">
        <w:t xml:space="preserve">ost of the moulds implicated </w:t>
      </w:r>
      <w:r w:rsidR="00557339" w:rsidRPr="00D03260">
        <w:t>in</w:t>
      </w:r>
      <w:r w:rsidRPr="00D03260">
        <w:t xml:space="preserve"> ABPM and AF</w:t>
      </w:r>
      <w:r w:rsidR="0008657F" w:rsidRPr="00D03260">
        <w:t>R</w:t>
      </w:r>
      <w:r w:rsidRPr="00D03260">
        <w:t>S are found primarily outdoors or detected with near equal frequency in outdoor and indoor environments. As such, there is no evidence to conclusively link indoor mould exposure to the development of ABPA, AB</w:t>
      </w:r>
      <w:r w:rsidR="00581564" w:rsidRPr="00D03260">
        <w:t>P</w:t>
      </w:r>
      <w:r w:rsidRPr="00D03260">
        <w:t xml:space="preserve">M, or AFRS </w:t>
      </w:r>
      <w:r w:rsidRPr="00D03260">
        <w:fldChar w:fldCharType="begin"/>
      </w:r>
      <w:r w:rsidR="00217980" w:rsidRPr="00D03260">
        <w:instrText xml:space="preserve"> ADDIN ZOTERO_ITEM CSL_CITATION {"citationID":"QL1sIBcE","properties":{"formattedCitation":"(Borchers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Pr="00D03260">
        <w:fldChar w:fldCharType="separate"/>
      </w:r>
      <w:r w:rsidRPr="00D03260">
        <w:t>(Borchers et al., 2017)</w:t>
      </w:r>
      <w:r w:rsidRPr="00D03260">
        <w:fldChar w:fldCharType="end"/>
      </w:r>
      <w:r w:rsidRPr="00D03260">
        <w:t>.</w:t>
      </w:r>
    </w:p>
    <w:p w14:paraId="51CC6908" w14:textId="65685CE1" w:rsidR="00E25E58" w:rsidRPr="00D03260" w:rsidRDefault="00E25E58" w:rsidP="00D6172E">
      <w:r w:rsidRPr="00D03260">
        <w:t xml:space="preserve">Further advice on diagnostics and management of mould-related allergic conditions is provided later in this document: </w:t>
      </w:r>
    </w:p>
    <w:p w14:paraId="5B98093D" w14:textId="287491C0" w:rsidR="00E25E58" w:rsidRPr="00D03260" w:rsidRDefault="00E25E58" w:rsidP="00E25E58">
      <w:pPr>
        <w:pStyle w:val="ListParagraph"/>
        <w:numPr>
          <w:ilvl w:val="0"/>
          <w:numId w:val="105"/>
        </w:numPr>
      </w:pPr>
      <w:r w:rsidRPr="00D03260">
        <w:t>S</w:t>
      </w:r>
      <w:r w:rsidR="004D5B18" w:rsidRPr="00D03260">
        <w:t xml:space="preserve">ee </w:t>
      </w:r>
      <w:hyperlink w:anchor="Section43MouldAllergyDiagnostics" w:history="1">
        <w:r w:rsidR="003C70C8" w:rsidRPr="00D03260">
          <w:rPr>
            <w:rStyle w:val="Hyperlink"/>
          </w:rPr>
          <w:t>s</w:t>
        </w:r>
        <w:r w:rsidR="00122328" w:rsidRPr="00D03260">
          <w:rPr>
            <w:rStyle w:val="Hyperlink"/>
          </w:rPr>
          <w:t>ection 4.3</w:t>
        </w:r>
      </w:hyperlink>
      <w:r w:rsidR="004206E4" w:rsidRPr="00D03260">
        <w:t xml:space="preserve"> on ‘</w:t>
      </w:r>
      <w:r w:rsidR="00122328" w:rsidRPr="00D03260">
        <w:t>Mould allergy diagnostics</w:t>
      </w:r>
      <w:r w:rsidR="004206E4" w:rsidRPr="00D03260">
        <w:t>’</w:t>
      </w:r>
      <w:r w:rsidRPr="00D03260">
        <w:t xml:space="preserve"> and</w:t>
      </w:r>
      <w:r w:rsidR="007E25FF" w:rsidRPr="00D03260">
        <w:t xml:space="preserve"> </w:t>
      </w:r>
      <w:hyperlink w:anchor="Section52MouldAllergy" w:history="1">
        <w:r w:rsidR="003C70C8" w:rsidRPr="00D03260">
          <w:rPr>
            <w:rStyle w:val="Hyperlink"/>
          </w:rPr>
          <w:t>s</w:t>
        </w:r>
        <w:r w:rsidR="007E25FF" w:rsidRPr="00D03260">
          <w:rPr>
            <w:rStyle w:val="Hyperlink"/>
          </w:rPr>
          <w:t>ection 5.</w:t>
        </w:r>
        <w:r w:rsidR="00CB250B" w:rsidRPr="00D03260">
          <w:rPr>
            <w:rStyle w:val="Hyperlink"/>
          </w:rPr>
          <w:t>2</w:t>
        </w:r>
      </w:hyperlink>
      <w:r w:rsidR="004206E4" w:rsidRPr="00D03260">
        <w:t xml:space="preserve"> </w:t>
      </w:r>
      <w:r w:rsidR="007E25FF" w:rsidRPr="00D03260">
        <w:t xml:space="preserve">on </w:t>
      </w:r>
      <w:r w:rsidR="004206E4" w:rsidRPr="00D03260">
        <w:t>the d</w:t>
      </w:r>
      <w:r w:rsidR="00141057" w:rsidRPr="00D03260">
        <w:t xml:space="preserve">iagnosis of </w:t>
      </w:r>
      <w:r w:rsidR="004206E4" w:rsidRPr="00D03260">
        <w:t>‘M</w:t>
      </w:r>
      <w:r w:rsidR="00141057" w:rsidRPr="00D03260">
        <w:t>ould allergy</w:t>
      </w:r>
      <w:r w:rsidR="004206E4" w:rsidRPr="00D03260">
        <w:t>’</w:t>
      </w:r>
      <w:r w:rsidRPr="00D03260">
        <w:t>.</w:t>
      </w:r>
      <w:r w:rsidR="00141057" w:rsidRPr="00D03260">
        <w:t xml:space="preserve"> </w:t>
      </w:r>
    </w:p>
    <w:p w14:paraId="321E4184" w14:textId="2763BA8E" w:rsidR="00E25E58" w:rsidRPr="00D03260" w:rsidRDefault="00E25E58" w:rsidP="00E25E58">
      <w:pPr>
        <w:pStyle w:val="ListParagraph"/>
        <w:numPr>
          <w:ilvl w:val="0"/>
          <w:numId w:val="105"/>
        </w:numPr>
      </w:pPr>
      <w:r w:rsidRPr="00D03260">
        <w:t xml:space="preserve">See </w:t>
      </w:r>
      <w:hyperlink w:anchor="Section622MouldAllergy" w:history="1">
        <w:r w:rsidR="003C70C8" w:rsidRPr="00D03260">
          <w:rPr>
            <w:rStyle w:val="Hyperlink"/>
          </w:rPr>
          <w:t>s</w:t>
        </w:r>
        <w:r w:rsidR="00141057" w:rsidRPr="00D03260">
          <w:rPr>
            <w:rStyle w:val="Hyperlink"/>
          </w:rPr>
          <w:t>ection 6.2.2</w:t>
        </w:r>
      </w:hyperlink>
      <w:r w:rsidR="004206E4" w:rsidRPr="00D03260">
        <w:t xml:space="preserve"> </w:t>
      </w:r>
      <w:r w:rsidR="00141057" w:rsidRPr="00D03260">
        <w:t xml:space="preserve">on </w:t>
      </w:r>
      <w:r w:rsidR="004206E4" w:rsidRPr="00D03260">
        <w:t>the i</w:t>
      </w:r>
      <w:r w:rsidR="00726112" w:rsidRPr="00D03260">
        <w:t xml:space="preserve">nitial management of </w:t>
      </w:r>
      <w:r w:rsidR="004206E4" w:rsidRPr="00D03260">
        <w:t>‘M</w:t>
      </w:r>
      <w:r w:rsidR="00726112" w:rsidRPr="00D03260">
        <w:t>ould allergy</w:t>
      </w:r>
      <w:r w:rsidR="004206E4" w:rsidRPr="00D03260">
        <w:t>’</w:t>
      </w:r>
      <w:r w:rsidRPr="00D03260">
        <w:t>.</w:t>
      </w:r>
      <w:r w:rsidR="00726112" w:rsidRPr="00D03260">
        <w:t xml:space="preserve"> </w:t>
      </w:r>
    </w:p>
    <w:p w14:paraId="505DCC05" w14:textId="594153E5" w:rsidR="00675719" w:rsidRPr="00D03260" w:rsidRDefault="00E25E58" w:rsidP="004567EB">
      <w:pPr>
        <w:pStyle w:val="ListParagraph"/>
        <w:numPr>
          <w:ilvl w:val="0"/>
          <w:numId w:val="105"/>
        </w:numPr>
      </w:pPr>
      <w:r w:rsidRPr="00D03260">
        <w:t xml:space="preserve">See </w:t>
      </w:r>
      <w:hyperlink w:anchor="Section72HPMouldRelatedInfectionsAndAlle" w:history="1">
        <w:r w:rsidR="003C70C8" w:rsidRPr="00D03260">
          <w:rPr>
            <w:rStyle w:val="Hyperlink"/>
          </w:rPr>
          <w:t>s</w:t>
        </w:r>
        <w:r w:rsidR="00726112" w:rsidRPr="00D03260">
          <w:rPr>
            <w:rStyle w:val="Hyperlink"/>
          </w:rPr>
          <w:t>ection 7.2</w:t>
        </w:r>
      </w:hyperlink>
      <w:r w:rsidR="004206E4" w:rsidRPr="00D03260">
        <w:t xml:space="preserve"> </w:t>
      </w:r>
      <w:r w:rsidR="00726112" w:rsidRPr="00D03260">
        <w:t xml:space="preserve">on </w:t>
      </w:r>
      <w:r w:rsidR="004206E4" w:rsidRPr="00D03260">
        <w:t>the o</w:t>
      </w:r>
      <w:r w:rsidR="00726112" w:rsidRPr="00D03260">
        <w:t xml:space="preserve">ngoing management of </w:t>
      </w:r>
      <w:r w:rsidR="00291F96" w:rsidRPr="00D03260">
        <w:t xml:space="preserve">patients with </w:t>
      </w:r>
      <w:r w:rsidR="004206E4" w:rsidRPr="00D03260">
        <w:t>‘</w:t>
      </w:r>
      <w:r w:rsidR="00291F96" w:rsidRPr="00D03260">
        <w:t>HP, mould-related infections and allergic conditions in susceptible people</w:t>
      </w:r>
      <w:r w:rsidR="004206E4" w:rsidRPr="00D03260">
        <w:t>’</w:t>
      </w:r>
      <w:r w:rsidR="00291F96" w:rsidRPr="00D03260">
        <w:t>.</w:t>
      </w:r>
    </w:p>
    <w:p w14:paraId="75CCBBC4" w14:textId="37E63B5B" w:rsidR="000E196A" w:rsidRPr="00D03260" w:rsidRDefault="00CF180B" w:rsidP="00C6799E">
      <w:pPr>
        <w:pStyle w:val="NumberedHeading4"/>
      </w:pPr>
      <w:bookmarkStart w:id="151" w:name="Sect3124MycosesMouldRelatedInfectionsInS"/>
      <w:bookmarkStart w:id="152" w:name="_Toc121329137"/>
      <w:bookmarkStart w:id="153" w:name="_Toc141885874"/>
      <w:bookmarkEnd w:id="151"/>
      <w:r w:rsidRPr="00D03260">
        <w:t>3.1.</w:t>
      </w:r>
      <w:r w:rsidR="00644C6A" w:rsidRPr="00D03260">
        <w:t>2</w:t>
      </w:r>
      <w:r w:rsidRPr="00D03260">
        <w:t>.4.</w:t>
      </w:r>
      <w:r w:rsidRPr="00D03260">
        <w:tab/>
      </w:r>
      <w:r w:rsidR="000E196A" w:rsidRPr="00D03260">
        <w:t>Mycoses (mould-related infections) in susceptible people</w:t>
      </w:r>
      <w:bookmarkEnd w:id="152"/>
      <w:bookmarkEnd w:id="153"/>
    </w:p>
    <w:p w14:paraId="6425F48D" w14:textId="6EEF883D" w:rsidR="00FA4840" w:rsidRPr="00D03260" w:rsidRDefault="00FA4840" w:rsidP="00FA4840">
      <w:r w:rsidRPr="00D03260">
        <w:t xml:space="preserve">The WHO advised there is sufficient evidence of an association with mould infections in susceptible people </w:t>
      </w:r>
      <w:r w:rsidR="000C781B" w:rsidRPr="00D03260">
        <w:t>[</w:t>
      </w:r>
      <w:r w:rsidRPr="00D03260">
        <w:t>and humidifier fever and inhalation fevers]</w:t>
      </w:r>
      <w:r w:rsidR="005014DA" w:rsidRPr="00D03260">
        <w:t>.</w:t>
      </w:r>
      <w:r w:rsidRPr="00D03260">
        <w:t xml:space="preserve"> </w:t>
      </w:r>
      <w:r w:rsidR="005014DA" w:rsidRPr="00D03260">
        <w:t>This</w:t>
      </w:r>
      <w:r w:rsidRPr="00D03260">
        <w:t xml:space="preserve"> association</w:t>
      </w:r>
      <w:r w:rsidR="005014DA" w:rsidRPr="00D03260">
        <w:t xml:space="preserve"> was</w:t>
      </w:r>
      <w:r w:rsidRPr="00D03260">
        <w:t xml:space="preserve"> based primarily on clinical evidence, not epidemiological evidence, and was the only conclusion that refer</w:t>
      </w:r>
      <w:r w:rsidR="005014DA" w:rsidRPr="00D03260">
        <w:t>red</w:t>
      </w:r>
      <w:r w:rsidRPr="00D03260">
        <w:t xml:space="preserve"> explicitly to microbial agents, not dampness and mould </w:t>
      </w:r>
      <w:r w:rsidRPr="00D03260">
        <w:fldChar w:fldCharType="begin"/>
      </w:r>
      <w:r w:rsidR="00217980" w:rsidRPr="00D03260">
        <w:instrText xml:space="preserve"> ADDIN ZOTERO_ITEM CSL_CITATION {"citationID":"DIfLPZ9x","properties":{"formattedCitation":"(World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w:t>
      </w:r>
    </w:p>
    <w:p w14:paraId="1F23B35F" w14:textId="7F41D63D" w:rsidR="00FA4840" w:rsidRPr="00D03260" w:rsidRDefault="00FA4840" w:rsidP="00FA4840">
      <w:r w:rsidRPr="00D03260">
        <w:t xml:space="preserve">Mould-related mycoses </w:t>
      </w:r>
      <w:r w:rsidR="005E5CA8" w:rsidRPr="00D03260">
        <w:t>(</w:t>
      </w:r>
      <w:r w:rsidRPr="00D03260">
        <w:t>infections caused by environmental fungi</w:t>
      </w:r>
      <w:r w:rsidR="005F043B" w:rsidRPr="00D03260">
        <w:t>)</w:t>
      </w:r>
      <w:r w:rsidRPr="00D03260">
        <w:t xml:space="preserve"> in susceptible patients are usually acquired via the airways</w:t>
      </w:r>
      <w:r w:rsidR="005014DA" w:rsidRPr="00D03260">
        <w:t>.</w:t>
      </w:r>
      <w:r w:rsidRPr="00D03260">
        <w:t xml:space="preserve"> </w:t>
      </w:r>
      <w:r w:rsidR="005014DA" w:rsidRPr="00D03260">
        <w:t>T</w:t>
      </w:r>
      <w:r w:rsidRPr="00D03260">
        <w:t xml:space="preserve">he </w:t>
      </w:r>
      <w:r w:rsidR="005014DA" w:rsidRPr="00D03260">
        <w:t xml:space="preserve">most common </w:t>
      </w:r>
      <w:r w:rsidRPr="00D03260">
        <w:t xml:space="preserve">primary site </w:t>
      </w:r>
      <w:r w:rsidR="005014DA" w:rsidRPr="00D03260">
        <w:t xml:space="preserve">of </w:t>
      </w:r>
      <w:r w:rsidRPr="00D03260">
        <w:t xml:space="preserve">infection </w:t>
      </w:r>
      <w:r w:rsidR="005014DA" w:rsidRPr="00D03260">
        <w:t>is</w:t>
      </w:r>
      <w:r w:rsidRPr="00D03260">
        <w:t xml:space="preserve"> </w:t>
      </w:r>
      <w:r w:rsidR="009B2A57" w:rsidRPr="00D03260">
        <w:t xml:space="preserve">the </w:t>
      </w:r>
      <w:r w:rsidRPr="00D03260">
        <w:t xml:space="preserve">lung, with the paranasal sinuses, ear or injured skin more rarely being primary sites </w:t>
      </w:r>
      <w:r w:rsidRPr="00D03260">
        <w:fldChar w:fldCharType="begin"/>
      </w:r>
      <w:r w:rsidR="00217980" w:rsidRPr="00D03260">
        <w:instrText xml:space="preserve"> ADDIN ZOTERO_ITEM CSL_CITATION {"citationID":"aiw24Zkf","properties":{"formattedCitation":"(Wiesm\\uc0\\u252{}ller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37A4F770" w14:textId="0E968AA5" w:rsidR="00FA4840" w:rsidRPr="00D03260" w:rsidRDefault="00FA4840" w:rsidP="00FA4840">
      <w:r w:rsidRPr="00D03260">
        <w:rPr>
          <w:i/>
          <w:iCs/>
        </w:rPr>
        <w:t>Aspergillus</w:t>
      </w:r>
      <w:r w:rsidRPr="00D03260">
        <w:t xml:space="preserve"> appears to be the most aggressive of these fungi, giving rise to infections also in patients with less severe airway disease, such as CF, asthma and </w:t>
      </w:r>
      <w:r w:rsidR="00366AE2" w:rsidRPr="00D03260">
        <w:t>COPD</w:t>
      </w:r>
      <w:r w:rsidRPr="00D03260">
        <w:t xml:space="preserve"> </w:t>
      </w:r>
      <w:r w:rsidRPr="00D03260">
        <w:fldChar w:fldCharType="begin"/>
      </w:r>
      <w:r w:rsidR="00217980" w:rsidRPr="00D03260">
        <w:instrText xml:space="preserve"> ADDIN ZOTERO_ITEM CSL_CITATION {"citationID":"ufSLZSKX","properties":{"formattedCitation":"(World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 xml:space="preserve">. People who are atopic can on occasion contract a severe infection in which aspergillosis causes an allergic reaction with the infection, giving the person wheeze, pulmonary infiltrates and eventually fibrosis </w:t>
      </w:r>
      <w:r w:rsidRPr="00D03260">
        <w:fldChar w:fldCharType="begin"/>
      </w:r>
      <w:r w:rsidR="00217980" w:rsidRPr="00D03260">
        <w:instrText xml:space="preserve"> ADDIN ZOTERO_ITEM CSL_CITATION {"citationID":"1Yb0R6qm","properties":{"formattedCitation":"(Kauffman 2003 in World Health Organization, 2009)","plainCitation":"(Kauffman 2003 in 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Organization","given":""}],"contributor":[{"family":"Rosen","given":"J"}],"accessed":{"date-parts":[["2021",8,20]]},"issued":{"date-parts":[["2009"]]}},"prefix":"Kauffman 2003 in "}],"schema":"https://github.com/citation-style-language/schema/raw/master/csl-citation.json"} </w:instrText>
      </w:r>
      <w:r w:rsidRPr="00D03260">
        <w:fldChar w:fldCharType="separate"/>
      </w:r>
      <w:r w:rsidRPr="00D03260">
        <w:t>(Kauffman 2003 in World Health Organization, 2009)</w:t>
      </w:r>
      <w:r w:rsidRPr="00D03260">
        <w:fldChar w:fldCharType="end"/>
      </w:r>
      <w:r w:rsidRPr="00D03260">
        <w:t xml:space="preserve">. This syndrome can also be found with an aspergilloma (i.e., a tumour in a lung </w:t>
      </w:r>
      <w:r w:rsidR="00327BEA" w:rsidRPr="00D03260">
        <w:t xml:space="preserve">cavity </w:t>
      </w:r>
      <w:r w:rsidRPr="00D03260">
        <w:t xml:space="preserve">consisting of </w:t>
      </w:r>
      <w:r w:rsidRPr="00D03260">
        <w:rPr>
          <w:i/>
          <w:iCs/>
        </w:rPr>
        <w:t>Aspergillus</w:t>
      </w:r>
      <w:r w:rsidRPr="00D03260">
        <w:t xml:space="preserve"> hyphae) </w:t>
      </w:r>
      <w:r w:rsidRPr="00D03260">
        <w:fldChar w:fldCharType="begin"/>
      </w:r>
      <w:r w:rsidR="00217980" w:rsidRPr="00D03260">
        <w:instrText xml:space="preserve"> ADDIN ZOTERO_ITEM CSL_CITATION {"citationID":"Od2Tt4d7","properties":{"formattedCitation":"(Tanaka 2004 in World Health Organization, 2009)","plainCitation":"(Tanaka 2004 in 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Organization","given":""}],"contributor":[{"family":"Rosen","given":"J"}],"accessed":{"date-parts":[["2021",8,20]]},"issued":{"date-parts":[["2009"]]}},"prefix":"Tanaka 2004 in "}],"schema":"https://github.com/citation-style-language/schema/raw/master/csl-citation.json"} </w:instrText>
      </w:r>
      <w:r w:rsidRPr="00D03260">
        <w:fldChar w:fldCharType="separate"/>
      </w:r>
      <w:r w:rsidRPr="00D03260">
        <w:t>(Tanaka 2004 in World Health Organization, 2009)</w:t>
      </w:r>
      <w:r w:rsidRPr="00D03260">
        <w:fldChar w:fldCharType="end"/>
      </w:r>
      <w:r w:rsidRPr="00D03260">
        <w:t>. Chronic pulmonary aspergillosis can occur in people with a</w:t>
      </w:r>
      <w:r w:rsidR="00B66103" w:rsidRPr="00D03260">
        <w:t>n</w:t>
      </w:r>
      <w:r w:rsidRPr="00D03260">
        <w:t xml:space="preserve"> intact immune system and also in patients who have pre-existing lung disease, such as tuberculosis, non-tuberculous mycobacterial disease, COPD, pneumothorax, asthma, or sarcoidosis </w:t>
      </w:r>
      <w:r w:rsidRPr="00D03260">
        <w:fldChar w:fldCharType="begin"/>
      </w:r>
      <w:r w:rsidR="00217980" w:rsidRPr="00D03260">
        <w:instrText xml:space="preserve"> ADDIN ZOTERO_ITEM CSL_CITATION {"citationID":"B8aUoUhq","properties":{"formattedCitation":"(Borchers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Pr="00D03260">
        <w:fldChar w:fldCharType="separate"/>
      </w:r>
      <w:r w:rsidRPr="00D03260">
        <w:t>(Borchers et al., 2017)</w:t>
      </w:r>
      <w:r w:rsidRPr="00D03260">
        <w:fldChar w:fldCharType="end"/>
      </w:r>
      <w:r w:rsidRPr="00D03260">
        <w:t xml:space="preserve">. Aspergilloma (mycetoma or fungus ball), is a localised form of aspergillosis that </w:t>
      </w:r>
      <w:r w:rsidRPr="00D03260">
        <w:lastRenderedPageBreak/>
        <w:t>generally develops in preformed cavities such as the paranasal sinuses or lungs</w:t>
      </w:r>
      <w:r w:rsidR="00327BEA" w:rsidRPr="00D03260">
        <w:t>. This can occur</w:t>
      </w:r>
      <w:r w:rsidRPr="00D03260">
        <w:t xml:space="preserve"> due to a build-up of mould mycelia, with predisposing factors including caverns secondary to tuberculosis, bronchiectasis and malignant disease </w:t>
      </w:r>
      <w:r w:rsidRPr="00D03260">
        <w:fldChar w:fldCharType="begin"/>
      </w:r>
      <w:r w:rsidR="00217980" w:rsidRPr="00D03260">
        <w:instrText xml:space="preserve"> ADDIN ZOTERO_ITEM CSL_CITATION {"citationID":"vpP2o231","properties":{"formattedCitation":"(Hurra\\uc0\\u223{} et al., 2017; Wiesm\\uc0\\u252{}ller et al., 2017)","plainCitation":"(Hurraß et al., 2017;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(Hurraß et al., 2017; Wiesmüller et al., 2017)</w:t>
      </w:r>
      <w:r w:rsidRPr="00D03260">
        <w:fldChar w:fldCharType="end"/>
      </w:r>
      <w:r w:rsidRPr="00D03260">
        <w:t>.</w:t>
      </w:r>
    </w:p>
    <w:p w14:paraId="4EB558CE" w14:textId="0C033A33" w:rsidR="00FA4840" w:rsidRPr="00D03260" w:rsidRDefault="00FA4840" w:rsidP="00FA4840">
      <w:r w:rsidRPr="00D03260">
        <w:t xml:space="preserve">Invasive </w:t>
      </w:r>
      <w:r w:rsidRPr="00D03260">
        <w:rPr>
          <w:i/>
          <w:iCs/>
        </w:rPr>
        <w:t>Aspergillu</w:t>
      </w:r>
      <w:r w:rsidRPr="00D03260">
        <w:t xml:space="preserve">s infections are an important cause of morbidity and mortality in immunodeficient patients </w:t>
      </w:r>
      <w:r w:rsidRPr="00D03260">
        <w:fldChar w:fldCharType="begin"/>
      </w:r>
      <w:r w:rsidR="00217980" w:rsidRPr="00D03260">
        <w:instrText xml:space="preserve"> ADDIN ZOTERO_ITEM CSL_CITATION {"citationID":"4z5LyD6w","properties":{"formattedCitation":"(Hurra\\uc0\\u223{} et al., 2017; Wiesm\\uc0\\u252{}ller et al., 2017)","plainCitation":"(Hurraß et al., 2017;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(Hurraß et al., 2017; Wiesmüller et al., 2017)</w:t>
      </w:r>
      <w:r w:rsidRPr="00D03260">
        <w:fldChar w:fldCharType="end"/>
      </w:r>
      <w:r w:rsidR="00327BEA" w:rsidRPr="00D03260">
        <w:t>.</w:t>
      </w:r>
      <w:r w:rsidRPr="00D03260">
        <w:t xml:space="preserve"> </w:t>
      </w:r>
      <w:r w:rsidR="00327BEA" w:rsidRPr="00D03260">
        <w:t>It</w:t>
      </w:r>
      <w:r w:rsidRPr="00D03260">
        <w:t xml:space="preserve"> </w:t>
      </w:r>
      <w:r w:rsidR="00AA0B42" w:rsidRPr="00D03260">
        <w:t xml:space="preserve">is </w:t>
      </w:r>
      <w:r w:rsidRPr="00D03260">
        <w:t>associated with high mortality rates of between 30</w:t>
      </w:r>
      <w:r w:rsidR="00547A4A" w:rsidRPr="00D03260">
        <w:t>–</w:t>
      </w:r>
      <w:r w:rsidRPr="00D03260">
        <w:t xml:space="preserve">95% in more than 200,000 annual cases of life-threatening </w:t>
      </w:r>
      <w:r w:rsidRPr="00D03260">
        <w:rPr>
          <w:i/>
          <w:iCs/>
        </w:rPr>
        <w:t>Aspergillus</w:t>
      </w:r>
      <w:r w:rsidRPr="00D03260">
        <w:t xml:space="preserve"> infection globally </w:t>
      </w:r>
      <w:r w:rsidRPr="00D03260">
        <w:fldChar w:fldCharType="begin"/>
      </w:r>
      <w:r w:rsidR="00217980" w:rsidRPr="00D03260">
        <w:instrText xml:space="preserve"> ADDIN ZOTERO_ITEM CSL_CITATION {"citationID":"J2FdahyD","properties":{"formattedCitation":"(Wiesm\\uc0\\u252{}ller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In developed countries, fungal infections such as mucormycosis occurs primarily in severely immunocompromised patients (e.g., those with haematological malignancies, organ transplantation, neutropenia, autoimmune disorders, or other impairments in immunity). Only 6</w:t>
      </w:r>
      <w:r w:rsidR="00547A4A" w:rsidRPr="00D03260">
        <w:t>–</w:t>
      </w:r>
      <w:r w:rsidRPr="00D03260">
        <w:t xml:space="preserve">10% of cases occur in people with no underlying disease </w:t>
      </w:r>
      <w:r w:rsidRPr="00D03260">
        <w:fldChar w:fldCharType="begin"/>
      </w:r>
      <w:r w:rsidR="00217980" w:rsidRPr="00D03260">
        <w:instrText xml:space="preserve"> ADDIN ZOTERO_ITEM CSL_CITATION {"citationID":"BROPHYzP","properties":{"formattedCitation":"(Reid et al., 2020)","plainCitation":"(Reid et al., 2020)","noteIndex":0},"citationItems":[{"id":2199,"uris":["http://zotero.org/groups/4371185/items/VPDTPNB9"],"itemData":{"id":2199,"type":"article-journal","abstract":"Mucormycosis is an infection caused by a group of filamentous molds within the order Mucorales. Infections may result from ingestion of contaminated food, inhalation of spores into the nares or lungs, or inoculation into disrupted skin or wounds. In developed countries, mucormycosis occurs primarily in severely immunocompromised hosts (e.g., those with hematological malignancies, organ transplantation, neutropenia, autoimmune disorders, or other impairments in immunity). Only 6 to 10% of cases occur in subjects with no underlying disease. In contrast, in developing countries, most cases of mucormycosis occur in persons with poorly controlled diabetes mellitus or in immunocompetent subjects following trauma. Mucormycosis exhibits a marked propensity to invade blood vessels, leading to thrombosis, necrosis, and infarction of tissue. Mortality associated with invasive mucormycosis is high (&gt; 30-50%), with 90% mortality associated with disseminated disease. Mortality rates are much lower, though still significant (10-30%), among patients with localized cutaneous disease.The diagnosis of mucormycosis relies upon histopathology and culture. Blood tests are of limited diagnostic value. Even with disseminated disease, blood cultures are usually negative. Mucorales have a distinct histological appearance, with irregular, nonseptate hyphae that branch at right angles. Cultures and/or polymerase chain reaction (PCR) are important to identify the genera.Based on anatomic localization, mucormycosis can be classified as one of six forms: (1) rhino-orbital-cerebral mucormycosis (ROCM), (2) pulmonary, (3) cutaneous, (4) gastrointestinal (GI), (5) disseminated, and (6) mucormycosis of uncommon sites. Among diabetics, ROCM is the most common clinical presentation, whereas lung involvement is uncommon. In contrast, among organ transplant recipients or patients with hematological malignancies (HemeM), pulmonary and disseminated diseases are most common. Mucormycosis can progress rapidly, and delay in initiation of treatment by even a few days markedly worsens outcomes.Due to the rarity of mucormycosis, randomized controlled therapeutic trials have not been performed. Lipid formulations of amphotericin B (LFAB) are the mainstay of therapy, but the newer triazoles, posaconazole (POSA) and isavuconazole (ISAV) (the active component of the prodrug isavuconazonium sulfate), may be effective in patients refractory to or intolerant of LFAB. Early surgical debridement or excision plays an important adjunctive role. Additional studies are required to assess the optimal duration of therapy as well as the specific roles of LFAB and the triazoles in the treatment of mucormycosis.","container-title":"Seminars in Respiratory &amp; Critical Care Medicine","DOI":"10.1055/s-0039-3401992","ISSN":"1069-3424","issue":"1","journalAbbreviation":"Seminars in Respiratory &amp; Critical Care Medicine","note":"publisher-place: New York, New York\npublisher: Thieme Medical Publishing Inc.","page":"99-114","title":"Mucormycosis.","volume":"41","author":[{"family":"Reid","given":"Gail"},{"family":"Lynch III","given":"Joseph P."},{"family":"Fishbein","given":"Michael C."},{"family":"Clark","given":"Nina M."},{"family":"Lynch","given":"Joseph P 3rd"}],"issued":{"date-parts":[["2020",2]]}}}],"schema":"https://github.com/citation-style-language/schema/raw/master/csl-citation.json"} </w:instrText>
      </w:r>
      <w:r w:rsidRPr="00D03260">
        <w:fldChar w:fldCharType="separate"/>
      </w:r>
      <w:r w:rsidRPr="00D03260">
        <w:t>(Reid et al., 2020)</w:t>
      </w:r>
      <w:r w:rsidRPr="00D03260">
        <w:fldChar w:fldCharType="end"/>
      </w:r>
      <w:r w:rsidRPr="00D03260">
        <w:t>.</w:t>
      </w:r>
    </w:p>
    <w:p w14:paraId="1E1CBDDD" w14:textId="509FA444" w:rsidR="00FA4840" w:rsidRPr="00D03260" w:rsidRDefault="00FA4840" w:rsidP="00FA4840">
      <w:r w:rsidRPr="00D03260">
        <w:t xml:space="preserve">Infection with </w:t>
      </w:r>
      <w:r w:rsidRPr="00D03260">
        <w:rPr>
          <w:i/>
          <w:iCs/>
        </w:rPr>
        <w:t xml:space="preserve">Aspergillus </w:t>
      </w:r>
      <w:r w:rsidRPr="00D03260">
        <w:t xml:space="preserve">and other fungi such as </w:t>
      </w:r>
      <w:r w:rsidRPr="00D03260">
        <w:rPr>
          <w:i/>
          <w:iCs/>
        </w:rPr>
        <w:t xml:space="preserve">Fusarium </w:t>
      </w:r>
      <w:r w:rsidRPr="00D03260">
        <w:t xml:space="preserve">spp. was a well-known complication in the treatment of patients who are immune compromised </w:t>
      </w:r>
      <w:r w:rsidR="00AA0B42" w:rsidRPr="00D03260">
        <w:t>(</w:t>
      </w:r>
      <w:r w:rsidRPr="00D03260">
        <w:t xml:space="preserve">for example, </w:t>
      </w:r>
      <w:r w:rsidR="00AA0B42" w:rsidRPr="00D03260">
        <w:t xml:space="preserve">due to </w:t>
      </w:r>
      <w:r w:rsidRPr="00D03260">
        <w:t>cancer treatment or infection with human immunodeficiency virus</w:t>
      </w:r>
      <w:r w:rsidR="00AA0B42" w:rsidRPr="00D03260">
        <w:t>)</w:t>
      </w:r>
      <w:r w:rsidRPr="00D03260">
        <w:t xml:space="preserve"> </w:t>
      </w:r>
      <w:r w:rsidRPr="00D03260">
        <w:fldChar w:fldCharType="begin"/>
      </w:r>
      <w:r w:rsidR="00217980" w:rsidRPr="00D03260">
        <w:instrText xml:space="preserve"> ADDIN ZOTERO_ITEM CSL_CITATION {"citationID":"a3pHDKxu","properties":{"formattedCitation":"(Iwen et al. 1994, 1998; Geisler &amp; Corey 2002; Lednicky &amp; Rayner 2006 in World Health Organization, 2009)","plainCitation":"(Iwen et al. 1994, 1998; Geisler &amp; Corey 2002; Lednicky &amp; Rayner 2006 in 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Organization","given":""}],"contributor":[{"family":"Rosen","given":"J"}],"accessed":{"date-parts":[["2021",8,20]]},"issued":{"date-parts":[["2009"]]}},"prefix":"Iwen et al. 1994, 1998; Geisler &amp; Corey 2002; Lednicky &amp; Rayner 2006 in "}],"schema":"https://github.com/citation-style-language/schema/raw/master/csl-citation.json"} </w:instrText>
      </w:r>
      <w:r w:rsidRPr="00D03260">
        <w:fldChar w:fldCharType="separate"/>
      </w:r>
      <w:r w:rsidRPr="00D03260">
        <w:t>(Iwen et al. 1994, 1998; Geisler &amp; Corey 2002; Lednicky &amp; Rayner 2006 in World Health Organization, 2009)</w:t>
      </w:r>
      <w:r w:rsidRPr="00D03260">
        <w:fldChar w:fldCharType="end"/>
      </w:r>
      <w:r w:rsidRPr="00D03260">
        <w:t>. Fungal infections have increased in recent years and high incidence rates are seen particularly in haemato-oncological patients with long phases of neutropenia, as well as in recipients of allogeneic stem cell transplantation. Other forms of immunosuppression, such as prolonged corticosteroid use and interstitial lung disease (including residual cavitation, e.g.</w:t>
      </w:r>
      <w:r w:rsidR="000800FF" w:rsidRPr="00D03260">
        <w:t>,</w:t>
      </w:r>
      <w:r w:rsidRPr="00D03260">
        <w:t xml:space="preserve"> following tuberculosis</w:t>
      </w:r>
      <w:r w:rsidR="00FE7B82" w:rsidRPr="00D03260">
        <w:t>)</w:t>
      </w:r>
      <w:r w:rsidRPr="00D03260">
        <w:t xml:space="preserve"> as well as a combination of these factors, especially in COPD, have also been linked to increased mould infection rates </w:t>
      </w:r>
      <w:r w:rsidRPr="00D03260">
        <w:fldChar w:fldCharType="begin"/>
      </w:r>
      <w:r w:rsidR="00217980" w:rsidRPr="00D03260">
        <w:instrText xml:space="preserve"> ADDIN ZOTERO_ITEM CSL_CITATION {"citationID":"dEWhaCjP","properties":{"formattedCitation":"(Wiesm\\uc0\\u252{}ller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4FAC97C2" w14:textId="1F72AF91" w:rsidR="00FA4840" w:rsidRPr="00D03260" w:rsidRDefault="00FA4840" w:rsidP="00FA4840">
      <w:r w:rsidRPr="00D03260">
        <w:t>However, the WHO advises that some of these patients contract mould infection after exposure indoors</w:t>
      </w:r>
      <w:r w:rsidR="00AA0B42" w:rsidRPr="00D03260">
        <w:t xml:space="preserve">. This </w:t>
      </w:r>
      <w:r w:rsidR="008F350B" w:rsidRPr="00D03260">
        <w:t>does not occur</w:t>
      </w:r>
      <w:r w:rsidRPr="00D03260">
        <w:t xml:space="preserve"> because of water damage in the facilities </w:t>
      </w:r>
      <w:r w:rsidR="00AA0B42" w:rsidRPr="00D03260">
        <w:t>(</w:t>
      </w:r>
      <w:r w:rsidRPr="00D03260">
        <w:t>where they are being treated</w:t>
      </w:r>
      <w:r w:rsidR="00AA0B42" w:rsidRPr="00D03260">
        <w:t>)</w:t>
      </w:r>
      <w:r w:rsidRPr="00D03260">
        <w:t xml:space="preserve"> but because an opportunistic, ubiquitous mould finds a suitable host</w:t>
      </w:r>
      <w:r w:rsidR="008F350B" w:rsidRPr="00D03260">
        <w:t xml:space="preserve"> </w:t>
      </w:r>
      <w:r w:rsidR="008F350B" w:rsidRPr="00D03260">
        <w:fldChar w:fldCharType="begin"/>
      </w:r>
      <w:r w:rsidR="008F350B" w:rsidRPr="00D03260">
        <w:instrText xml:space="preserve"> ADDIN ZOTERO_ITEM CSL_CITATION {"citationID":"2gXbnMSM","properties":{"formattedCitation":"(World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008F350B" w:rsidRPr="00D03260">
        <w:fldChar w:fldCharType="separate"/>
      </w:r>
      <w:r w:rsidR="008F350B" w:rsidRPr="00D03260">
        <w:t>(World Health Organization, 2009)</w:t>
      </w:r>
      <w:r w:rsidR="008F350B" w:rsidRPr="00D03260">
        <w:fldChar w:fldCharType="end"/>
      </w:r>
      <w:r w:rsidRPr="00D03260">
        <w:t xml:space="preserve">. At the time, the WHO noted that no studies have been conducted to link such infections to mould in the indoor environment. </w:t>
      </w:r>
      <w:r w:rsidR="00F22062" w:rsidRPr="00D03260">
        <w:t>A</w:t>
      </w:r>
      <w:r w:rsidRPr="00D03260">
        <w:t xml:space="preserve">dditionally, the type of disease appears to determine the type of infection and the infecting agents are not those typically encountered in damp houses </w:t>
      </w:r>
      <w:r w:rsidRPr="00D03260">
        <w:fldChar w:fldCharType="begin"/>
      </w:r>
      <w:r w:rsidR="00217980" w:rsidRPr="00D03260">
        <w:instrText xml:space="preserve"> ADDIN ZOTERO_ITEM CSL_CITATION {"citationID":"2gXbnMSM","properties":{"formattedCitation":"(World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w:t>
      </w:r>
    </w:p>
    <w:p w14:paraId="2B46CA77" w14:textId="7329EB16" w:rsidR="00FA4840" w:rsidRPr="00D03260" w:rsidRDefault="00FA4840" w:rsidP="00FA4840">
      <w:r w:rsidRPr="00D03260">
        <w:t xml:space="preserve">People with atopy have been reported to sometimes develop sinus disease as a consequence of </w:t>
      </w:r>
      <w:r w:rsidRPr="00D03260">
        <w:rPr>
          <w:i/>
          <w:iCs/>
        </w:rPr>
        <w:t>Aspergillus</w:t>
      </w:r>
      <w:r w:rsidRPr="00D03260">
        <w:t xml:space="preserve"> infection </w:t>
      </w:r>
      <w:r w:rsidRPr="00D03260">
        <w:fldChar w:fldCharType="begin"/>
      </w:r>
      <w:r w:rsidR="00217980" w:rsidRPr="00D03260">
        <w:instrText xml:space="preserve"> ADDIN ZOTERO_ITEM CSL_CITATION {"citationID":"Gq1LkkNV","properties":{"formattedCitation":"(Dufour et al. 2006 in World Health Organization, 2009)","plainCitation":"(Dufour et al. 2006 in 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Organization","given":""}],"contributor":[{"family":"Rosen","given":"J"}],"accessed":{"date-parts":[["2021",8,20]]},"issued":{"date-parts":[["2009"]]}},"prefix":"Dufour et al. 2006 in "}],"schema":"https://github.com/citation-style-language/schema/raw/master/csl-citation.json"} </w:instrText>
      </w:r>
      <w:r w:rsidRPr="00D03260">
        <w:fldChar w:fldCharType="separate"/>
      </w:r>
      <w:r w:rsidRPr="00D03260">
        <w:t>(Dufour et al. 2006 in World Health Organization, 2009)</w:t>
      </w:r>
      <w:r w:rsidRPr="00D03260">
        <w:fldChar w:fldCharType="end"/>
      </w:r>
      <w:r w:rsidRPr="00D03260">
        <w:t>. Exposure to mould has been proposed as the cause of chronic sinusitis</w:t>
      </w:r>
      <w:r w:rsidR="008F350B" w:rsidRPr="00D03260">
        <w:t>.</w:t>
      </w:r>
      <w:r w:rsidRPr="00D03260">
        <w:t xml:space="preserve"> </w:t>
      </w:r>
      <w:r w:rsidR="008F350B" w:rsidRPr="00D03260">
        <w:t>T</w:t>
      </w:r>
      <w:r w:rsidRPr="00D03260">
        <w:t xml:space="preserve">hese patients are reported to show exaggerated humoral and cellular responses </w:t>
      </w:r>
      <w:r w:rsidR="009C2B67" w:rsidRPr="00D03260">
        <w:t>(</w:t>
      </w:r>
      <w:r w:rsidRPr="00D03260">
        <w:t>both type 1 T helper (</w:t>
      </w:r>
      <w:r w:rsidR="009A0D67" w:rsidRPr="00D03260">
        <w:t>TH</w:t>
      </w:r>
      <w:r w:rsidR="008F350B" w:rsidRPr="00D03260">
        <w:t>-</w:t>
      </w:r>
      <w:r w:rsidR="009A0D67" w:rsidRPr="00D03260">
        <w:t>1)</w:t>
      </w:r>
      <w:r w:rsidR="00FE7B82" w:rsidRPr="00D03260">
        <w:t xml:space="preserve"> </w:t>
      </w:r>
      <w:r w:rsidRPr="00D03260">
        <w:t xml:space="preserve">and type </w:t>
      </w:r>
      <w:r w:rsidR="00FE7B82" w:rsidRPr="00D03260">
        <w:t>2</w:t>
      </w:r>
      <w:r w:rsidRPr="00D03260">
        <w:t xml:space="preserve"> T helper (</w:t>
      </w:r>
      <w:r w:rsidR="00201E97" w:rsidRPr="00D03260">
        <w:t>TH</w:t>
      </w:r>
      <w:r w:rsidR="008F350B" w:rsidRPr="00D03260">
        <w:t>-</w:t>
      </w:r>
      <w:r w:rsidR="00201E97" w:rsidRPr="00D03260">
        <w:t>2)</w:t>
      </w:r>
      <w:r w:rsidR="009C2B67" w:rsidRPr="00D03260">
        <w:t>)</w:t>
      </w:r>
      <w:r w:rsidRPr="00D03260">
        <w:t xml:space="preserve"> to common airborne fungi, particularly </w:t>
      </w:r>
      <w:r w:rsidRPr="00D03260">
        <w:rPr>
          <w:i/>
          <w:iCs/>
        </w:rPr>
        <w:t>Alternaria</w:t>
      </w:r>
      <w:r w:rsidRPr="00D03260">
        <w:t xml:space="preserve"> </w:t>
      </w:r>
      <w:r w:rsidRPr="00D03260">
        <w:fldChar w:fldCharType="begin"/>
      </w:r>
      <w:r w:rsidR="00217980" w:rsidRPr="00D03260">
        <w:instrText xml:space="preserve"> ADDIN ZOTERO_ITEM CSL_CITATION {"citationID":"naowwtRG","properties":{"formattedCitation":"(Shin et al. 2004 in World Health Organization, 2009)","plainCitation":"(Shin et al. 2004 in 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Organization","given":""}],"contributor":[{"family":"Rosen","given":"J"}],"accessed":{"date-parts":[["2021",8,20]]},"issued":{"date-parts":[["2009"]]}},"prefix":"Shin et al. 2004 in "}],"schema":"https://github.com/citation-style-language/schema/raw/master/csl-citation.json"} </w:instrText>
      </w:r>
      <w:r w:rsidRPr="00D03260">
        <w:fldChar w:fldCharType="separate"/>
      </w:r>
      <w:r w:rsidRPr="00D03260">
        <w:t>(Shin et al. 2004 in World Health Organization, 2009)</w:t>
      </w:r>
      <w:r w:rsidRPr="00D03260">
        <w:fldChar w:fldCharType="end"/>
      </w:r>
      <w:r w:rsidRPr="00D03260">
        <w:t>.</w:t>
      </w:r>
    </w:p>
    <w:p w14:paraId="10C2EF31" w14:textId="03BDA8A8" w:rsidR="00B26DD2" w:rsidRPr="00D03260" w:rsidRDefault="00FA4840" w:rsidP="00346C4A">
      <w:r w:rsidRPr="00D03260">
        <w:t xml:space="preserve">As such, at risk patients require individualised medical advice regarding risk of infection upon exposure to indoor mould and preventive measures </w:t>
      </w:r>
      <w:r w:rsidRPr="00D03260">
        <w:fldChar w:fldCharType="begin"/>
      </w:r>
      <w:r w:rsidR="00217980" w:rsidRPr="00D03260">
        <w:instrText xml:space="preserve"> ADDIN ZOTERO_ITEM CSL_CITATION {"citationID":"M4wMO5ZO","properties":{"formattedCitation":"(Wiesm\\uc0\\u252{}ller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4A3901B5" w14:textId="77777777" w:rsidR="009C2B67" w:rsidRPr="00D03260" w:rsidRDefault="009C2B67" w:rsidP="00346C4A">
      <w:r w:rsidRPr="00D03260">
        <w:t xml:space="preserve">Further information on diagnosis and management of mould-related infections is provided later in this document: </w:t>
      </w:r>
    </w:p>
    <w:p w14:paraId="5A0B4FA9" w14:textId="570FF5E5" w:rsidR="009C2B67" w:rsidRPr="00D03260" w:rsidRDefault="009C2B67" w:rsidP="009C2B67">
      <w:pPr>
        <w:pStyle w:val="ListParagraph"/>
        <w:numPr>
          <w:ilvl w:val="0"/>
          <w:numId w:val="106"/>
        </w:numPr>
      </w:pPr>
      <w:r w:rsidRPr="00D03260">
        <w:t>S</w:t>
      </w:r>
      <w:r w:rsidR="00CB250B" w:rsidRPr="00D03260">
        <w:t xml:space="preserve">ee </w:t>
      </w:r>
      <w:hyperlink w:anchor="Section53MouldRelatedInfection" w:history="1">
        <w:r w:rsidR="00271A1A" w:rsidRPr="00D03260">
          <w:rPr>
            <w:rStyle w:val="Hyperlink"/>
          </w:rPr>
          <w:t>s</w:t>
        </w:r>
        <w:r w:rsidR="00CB250B" w:rsidRPr="00D03260">
          <w:rPr>
            <w:rStyle w:val="Hyperlink"/>
          </w:rPr>
          <w:t xml:space="preserve">ection </w:t>
        </w:r>
        <w:r w:rsidR="00A5431B" w:rsidRPr="00D03260">
          <w:rPr>
            <w:rStyle w:val="Hyperlink"/>
          </w:rPr>
          <w:t>5.3</w:t>
        </w:r>
      </w:hyperlink>
      <w:r w:rsidR="00A5431B" w:rsidRPr="00D03260">
        <w:t xml:space="preserve"> </w:t>
      </w:r>
      <w:r w:rsidR="008708E0" w:rsidRPr="00D03260">
        <w:t>on the d</w:t>
      </w:r>
      <w:r w:rsidR="00CB250B" w:rsidRPr="00D03260">
        <w:t xml:space="preserve">iagnosis of </w:t>
      </w:r>
      <w:r w:rsidR="008708E0" w:rsidRPr="00D03260">
        <w:t>‘M</w:t>
      </w:r>
      <w:r w:rsidR="00CB250B" w:rsidRPr="00D03260">
        <w:t>ould-related infection</w:t>
      </w:r>
      <w:r w:rsidR="008708E0" w:rsidRPr="00D03260">
        <w:t>’</w:t>
      </w:r>
      <w:r w:rsidRPr="00D03260">
        <w:t>.</w:t>
      </w:r>
    </w:p>
    <w:p w14:paraId="565BEC1C" w14:textId="6D5C39A6" w:rsidR="009C2B67" w:rsidRPr="00D03260" w:rsidRDefault="009C2B67" w:rsidP="009C2B67">
      <w:pPr>
        <w:pStyle w:val="ListParagraph"/>
        <w:numPr>
          <w:ilvl w:val="0"/>
          <w:numId w:val="106"/>
        </w:numPr>
      </w:pPr>
      <w:r w:rsidRPr="00D03260">
        <w:t>See</w:t>
      </w:r>
      <w:r w:rsidR="00CB250B" w:rsidRPr="00D03260">
        <w:t xml:space="preserve"> </w:t>
      </w:r>
      <w:hyperlink w:anchor="Section623MouldRelatedInfection" w:history="1">
        <w:r w:rsidR="00271A1A" w:rsidRPr="00D03260">
          <w:rPr>
            <w:rStyle w:val="Hyperlink"/>
          </w:rPr>
          <w:t>s</w:t>
        </w:r>
        <w:r w:rsidR="00CB250B" w:rsidRPr="00D03260">
          <w:rPr>
            <w:rStyle w:val="Hyperlink"/>
          </w:rPr>
          <w:t>ection</w:t>
        </w:r>
        <w:r w:rsidR="00794974" w:rsidRPr="00D03260">
          <w:rPr>
            <w:rStyle w:val="Hyperlink"/>
          </w:rPr>
          <w:t> </w:t>
        </w:r>
        <w:r w:rsidR="00CB250B" w:rsidRPr="00D03260">
          <w:rPr>
            <w:rStyle w:val="Hyperlink"/>
          </w:rPr>
          <w:t>6.2.3</w:t>
        </w:r>
      </w:hyperlink>
      <w:r w:rsidR="008708E0" w:rsidRPr="00D03260">
        <w:t xml:space="preserve"> </w:t>
      </w:r>
      <w:r w:rsidR="00CB250B" w:rsidRPr="00D03260">
        <w:t xml:space="preserve">on </w:t>
      </w:r>
      <w:r w:rsidR="008708E0" w:rsidRPr="00D03260">
        <w:t>the i</w:t>
      </w:r>
      <w:r w:rsidR="00CB250B" w:rsidRPr="00D03260">
        <w:t xml:space="preserve">nitial management of </w:t>
      </w:r>
      <w:r w:rsidR="008708E0" w:rsidRPr="00D03260">
        <w:t>‘M</w:t>
      </w:r>
      <w:r w:rsidR="00CB250B" w:rsidRPr="00D03260">
        <w:t>ould-related infection</w:t>
      </w:r>
      <w:r w:rsidR="008708E0" w:rsidRPr="00D03260">
        <w:t>’</w:t>
      </w:r>
      <w:r w:rsidRPr="00D03260">
        <w:t>.</w:t>
      </w:r>
      <w:r w:rsidR="00CB250B" w:rsidRPr="00D03260">
        <w:t xml:space="preserve"> </w:t>
      </w:r>
    </w:p>
    <w:p w14:paraId="4967CE2C" w14:textId="3F60CCF6" w:rsidR="00675719" w:rsidRPr="00D03260" w:rsidRDefault="009C2B67" w:rsidP="004567EB">
      <w:pPr>
        <w:pStyle w:val="ListParagraph"/>
        <w:numPr>
          <w:ilvl w:val="0"/>
          <w:numId w:val="106"/>
        </w:numPr>
      </w:pPr>
      <w:r w:rsidRPr="00D03260">
        <w:t xml:space="preserve">See </w:t>
      </w:r>
      <w:hyperlink w:anchor="Section72HPMouldRelatedInfectionsAndAlle" w:history="1">
        <w:r w:rsidR="00271A1A" w:rsidRPr="00D03260">
          <w:rPr>
            <w:rStyle w:val="Hyperlink"/>
          </w:rPr>
          <w:t>s</w:t>
        </w:r>
        <w:r w:rsidR="00CB250B" w:rsidRPr="00D03260">
          <w:rPr>
            <w:rStyle w:val="Hyperlink"/>
          </w:rPr>
          <w:t>ection 7.2</w:t>
        </w:r>
      </w:hyperlink>
      <w:r w:rsidR="008708E0" w:rsidRPr="00D03260">
        <w:t xml:space="preserve"> on the o</w:t>
      </w:r>
      <w:r w:rsidR="00CB250B" w:rsidRPr="00D03260">
        <w:t xml:space="preserve">ngoing management of patients with </w:t>
      </w:r>
      <w:r w:rsidR="00814F18" w:rsidRPr="00D03260">
        <w:t>‘</w:t>
      </w:r>
      <w:r w:rsidR="00CB250B" w:rsidRPr="00D03260">
        <w:t>HP, mould-related infections and allergic conditions in susceptible people</w:t>
      </w:r>
      <w:r w:rsidR="00814F18" w:rsidRPr="00D03260">
        <w:t>’.</w:t>
      </w:r>
    </w:p>
    <w:bookmarkStart w:id="154" w:name="Section34PatientsPresentingWithPersisten"/>
    <w:bookmarkStart w:id="155" w:name="Sect32PatientsPresentingWithPersistentDe"/>
    <w:bookmarkStart w:id="156" w:name="_Toc121329138"/>
    <w:bookmarkStart w:id="157" w:name="_Toc141885875"/>
    <w:bookmarkEnd w:id="154"/>
    <w:bookmarkEnd w:id="155"/>
    <w:p w14:paraId="3CE899A7" w14:textId="3DCBCD4B" w:rsidR="00E4049E" w:rsidRPr="00D03260" w:rsidRDefault="007A48BB" w:rsidP="00AF1EFC">
      <w:pPr>
        <w:pStyle w:val="NumberedHeading2"/>
        <w:numPr>
          <w:ilvl w:val="0"/>
          <w:numId w:val="0"/>
        </w:numPr>
        <w:ind w:left="720" w:hanging="720"/>
      </w:pPr>
      <w:r w:rsidRPr="00D03260">
        <w:rPr>
          <w:noProof/>
        </w:rPr>
        <w:lastRenderedPageBreak/>
        <mc:AlternateContent>
          <mc:Choice Requires="wps">
            <w:drawing>
              <wp:anchor distT="45720" distB="45720" distL="114300" distR="114300" simplePos="0" relativeHeight="251658243" behindDoc="0" locked="0" layoutInCell="1" allowOverlap="1" wp14:anchorId="42ABF340" wp14:editId="44DC4BE4">
                <wp:simplePos x="0" y="0"/>
                <wp:positionH relativeFrom="column">
                  <wp:posOffset>44450</wp:posOffset>
                </wp:positionH>
                <wp:positionV relativeFrom="paragraph">
                  <wp:posOffset>704215</wp:posOffset>
                </wp:positionV>
                <wp:extent cx="5537200" cy="1155700"/>
                <wp:effectExtent l="0" t="0" r="25400" b="25400"/>
                <wp:wrapSquare wrapText="bothSides"/>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1155700"/>
                        </a:xfrm>
                        <a:prstGeom prst="rect">
                          <a:avLst/>
                        </a:prstGeom>
                        <a:solidFill>
                          <a:srgbClr val="FFFFFF"/>
                        </a:solidFill>
                        <a:ln w="9525">
                          <a:solidFill>
                            <a:srgbClr val="000000"/>
                          </a:solidFill>
                          <a:miter lim="800000"/>
                          <a:headEnd/>
                          <a:tailEnd/>
                        </a:ln>
                      </wps:spPr>
                      <wps:txbx>
                        <w:txbxContent>
                          <w:p w14:paraId="66749DB6" w14:textId="066F86C7" w:rsidR="007A48BB" w:rsidRDefault="001773BE">
                            <w:r w:rsidRPr="00C530F1">
                              <w:rPr>
                                <w:color w:val="auto"/>
                                <w:sz w:val="21"/>
                                <w:szCs w:val="21"/>
                              </w:rPr>
                              <w:t>This section and its subsection are aligned with the</w:t>
                            </w:r>
                            <w:r w:rsidR="00F22062">
                              <w:rPr>
                                <w:color w:val="auto"/>
                                <w:sz w:val="21"/>
                                <w:szCs w:val="21"/>
                              </w:rPr>
                              <w:t xml:space="preserve"> Australian Government Department of Health</w:t>
                            </w:r>
                            <w:r w:rsidRPr="00C530F1">
                              <w:rPr>
                                <w:color w:val="auto"/>
                                <w:sz w:val="21"/>
                                <w:szCs w:val="21"/>
                              </w:rPr>
                              <w:t xml:space="preserve"> DSCATT Clinical Pathway</w:t>
                            </w:r>
                            <w:r w:rsidR="002D37DA">
                              <w:rPr>
                                <w:color w:val="auto"/>
                                <w:sz w:val="21"/>
                                <w:szCs w:val="21"/>
                              </w:rPr>
                              <w:t>, published in October 2020</w:t>
                            </w:r>
                            <w:r w:rsidRPr="00C530F1">
                              <w:rPr>
                                <w:color w:val="auto"/>
                                <w:sz w:val="21"/>
                                <w:szCs w:val="21"/>
                              </w:rPr>
                              <w:t>. The guidance can be applied when considering an alternative diagnosis for patients with unresolved debilitating symptoms with a history of exposure to indoor damp or mould</w:t>
                            </w:r>
                            <w:r w:rsidR="00B0499F">
                              <w:rPr>
                                <w:color w:val="auto"/>
                                <w:sz w:val="21"/>
                                <w:szCs w:val="21"/>
                              </w:rPr>
                              <w:t>,</w:t>
                            </w:r>
                            <w:r w:rsidRPr="00C530F1">
                              <w:rPr>
                                <w:color w:val="auto"/>
                                <w:sz w:val="21"/>
                                <w:szCs w:val="21"/>
                              </w:rPr>
                              <w:t xml:space="preserve"> and where symptoms are not associated with asthma, respiratory or allergic conditions.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BF340" id="_x0000_s1050" type="#_x0000_t202" alt="&quot;&quot;" style="position:absolute;left:0;text-align:left;margin-left:3.5pt;margin-top:55.45pt;width:436pt;height:9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">
                <v:textbox>
                  <w:txbxContent>
                    <w:p w14:paraId="66749DB6" w14:textId="066F86C7" w:rsidR="007A48BB" w:rsidRDefault="001773BE">
                      <w:r w:rsidRPr="00C530F1">
                        <w:rPr>
                          <w:color w:val="auto"/>
                          <w:sz w:val="21"/>
                          <w:szCs w:val="21"/>
                        </w:rPr>
                        <w:t>This section and its subsection are aligned with the</w:t>
                      </w:r>
                      <w:r w:rsidR="00F22062">
                        <w:rPr>
                          <w:color w:val="auto"/>
                          <w:sz w:val="21"/>
                          <w:szCs w:val="21"/>
                        </w:rPr>
                        <w:t xml:space="preserve"> Australian Government Department of Health</w:t>
                      </w:r>
                      <w:r w:rsidRPr="00C530F1">
                        <w:rPr>
                          <w:color w:val="auto"/>
                          <w:sz w:val="21"/>
                          <w:szCs w:val="21"/>
                        </w:rPr>
                        <w:t xml:space="preserve"> DSCATT Clinical Pathway</w:t>
                      </w:r>
                      <w:r w:rsidR="002D37DA">
                        <w:rPr>
                          <w:color w:val="auto"/>
                          <w:sz w:val="21"/>
                          <w:szCs w:val="21"/>
                        </w:rPr>
                        <w:t>, published in October 2020</w:t>
                      </w:r>
                      <w:r w:rsidRPr="00C530F1">
                        <w:rPr>
                          <w:color w:val="auto"/>
                          <w:sz w:val="21"/>
                          <w:szCs w:val="21"/>
                        </w:rPr>
                        <w:t>. The guidance can be applied when considering an alternative diagnosis for patients with unresolved debilitating symptoms with a history of exposure to indoor damp or mould</w:t>
                      </w:r>
                      <w:r w:rsidR="00B0499F">
                        <w:rPr>
                          <w:color w:val="auto"/>
                          <w:sz w:val="21"/>
                          <w:szCs w:val="21"/>
                        </w:rPr>
                        <w:t>,</w:t>
                      </w:r>
                      <w:r w:rsidRPr="00C530F1">
                        <w:rPr>
                          <w:color w:val="auto"/>
                          <w:sz w:val="21"/>
                          <w:szCs w:val="21"/>
                        </w:rPr>
                        <w:t xml:space="preserve"> and where symptoms are not associated with asthma, respiratory or allergic conditions. </w:t>
                      </w:r>
                    </w:p>
                  </w:txbxContent>
                </v:textbox>
                <w10:wrap type="square"/>
              </v:shape>
            </w:pict>
          </mc:Fallback>
        </mc:AlternateContent>
      </w:r>
      <w:r w:rsidR="00EE4971" w:rsidRPr="00D03260">
        <w:t>3.</w:t>
      </w:r>
      <w:r w:rsidR="007D6334" w:rsidRPr="00D03260">
        <w:t>2</w:t>
      </w:r>
      <w:r w:rsidR="00EE4971" w:rsidRPr="00D03260">
        <w:t>.</w:t>
      </w:r>
      <w:r w:rsidR="00EE4971" w:rsidRPr="00D03260">
        <w:tab/>
      </w:r>
      <w:r w:rsidR="00E4049E" w:rsidRPr="00D03260">
        <w:t>Patients presenting with persistent debilitating symptoms and no diagnosis</w:t>
      </w:r>
      <w:bookmarkEnd w:id="156"/>
      <w:bookmarkEnd w:id="157"/>
    </w:p>
    <w:p w14:paraId="304BE81C" w14:textId="77777777" w:rsidR="00C530F1" w:rsidRPr="00D03260" w:rsidRDefault="00C530F1" w:rsidP="00C530F1"/>
    <w:p w14:paraId="6AD4437B" w14:textId="3B7686A0" w:rsidR="00867478" w:rsidRPr="00D03260" w:rsidRDefault="00116BFD" w:rsidP="00AF1EFC">
      <w:pPr>
        <w:pStyle w:val="NumberedHeading3"/>
        <w:numPr>
          <w:ilvl w:val="0"/>
          <w:numId w:val="0"/>
        </w:numPr>
        <w:ind w:left="1440" w:hanging="1440"/>
      </w:pPr>
      <w:bookmarkStart w:id="158" w:name="Sect321IfAHealthEffectAssociatedWithExpo"/>
      <w:bookmarkStart w:id="159" w:name="_Toc121329139"/>
      <w:bookmarkStart w:id="160" w:name="_Toc141885876"/>
      <w:bookmarkEnd w:id="158"/>
      <w:r w:rsidRPr="00D03260">
        <w:t>3.</w:t>
      </w:r>
      <w:r w:rsidR="007D6334" w:rsidRPr="00D03260">
        <w:t>2</w:t>
      </w:r>
      <w:r w:rsidRPr="00D03260">
        <w:t>.1.</w:t>
      </w:r>
      <w:r w:rsidRPr="00D03260">
        <w:tab/>
      </w:r>
      <w:r w:rsidR="00867478" w:rsidRPr="00D03260">
        <w:t>If a health effect associated with exposure to indoor damp or mould is not suspected, consider alternative diagnoses</w:t>
      </w:r>
      <w:bookmarkEnd w:id="159"/>
      <w:bookmarkEnd w:id="160"/>
    </w:p>
    <w:p w14:paraId="55576D02" w14:textId="18D8D48E" w:rsidR="00E709AA" w:rsidRPr="00D03260" w:rsidRDefault="00E709AA" w:rsidP="00C530F1">
      <w:r w:rsidRPr="00D03260">
        <w:t>Take care to identify any potentially treatable illness.</w:t>
      </w:r>
    </w:p>
    <w:p w14:paraId="15FDD5E6" w14:textId="39889D13" w:rsidR="00E709AA" w:rsidRPr="00D03260" w:rsidRDefault="00E709AA" w:rsidP="00C530F1">
      <w:r w:rsidRPr="00D03260">
        <w:rPr>
          <w:color w:val="auto"/>
        </w:rPr>
        <w:t xml:space="preserve">The identification of MUS, including </w:t>
      </w:r>
      <w:r w:rsidR="004D4EAE" w:rsidRPr="00D03260">
        <w:rPr>
          <w:color w:val="auto"/>
        </w:rPr>
        <w:t xml:space="preserve">in </w:t>
      </w:r>
      <w:r w:rsidR="00465E2C" w:rsidRPr="00D03260">
        <w:rPr>
          <w:color w:val="auto"/>
          <w:szCs w:val="22"/>
        </w:rPr>
        <w:t xml:space="preserve">patients with unresolved debilitating symptoms with a history of exposure to indoor damp or mould and </w:t>
      </w:r>
      <w:r w:rsidR="00587AD1" w:rsidRPr="00D03260">
        <w:rPr>
          <w:color w:val="auto"/>
        </w:rPr>
        <w:t xml:space="preserve">that cannot be attributed to </w:t>
      </w:r>
      <w:r w:rsidR="00F0198D" w:rsidRPr="00D03260">
        <w:rPr>
          <w:color w:val="auto"/>
        </w:rPr>
        <w:t>another diagnosable condition</w:t>
      </w:r>
      <w:r w:rsidRPr="00D03260">
        <w:rPr>
          <w:color w:val="auto"/>
        </w:rPr>
        <w:t>, is one of exclusion</w:t>
      </w:r>
      <w:r w:rsidR="00A204FF" w:rsidRPr="00D03260">
        <w:rPr>
          <w:color w:val="auto"/>
        </w:rPr>
        <w:t>. These patients</w:t>
      </w:r>
      <w:r w:rsidRPr="00D03260">
        <w:rPr>
          <w:color w:val="auto"/>
        </w:rPr>
        <w:t xml:space="preserve"> require </w:t>
      </w:r>
      <w:r w:rsidRPr="00D03260">
        <w:t>ongoing review as new symptoms arise or treatments are trialled. A full history and examination are critical.</w:t>
      </w:r>
    </w:p>
    <w:p w14:paraId="6820D241" w14:textId="6436B885" w:rsidR="00177BE0" w:rsidRPr="00D03260" w:rsidRDefault="00E709AA" w:rsidP="00C530F1">
      <w:r w:rsidRPr="00D03260">
        <w:t xml:space="preserve">A clue to the underlying cause may be found in the </w:t>
      </w:r>
      <w:proofErr w:type="gramStart"/>
      <w:r w:rsidRPr="00D03260">
        <w:t>particular symptom</w:t>
      </w:r>
      <w:proofErr w:type="gramEnd"/>
      <w:r w:rsidRPr="00D03260">
        <w:t xml:space="preserve"> cluster, time course of symptoms, family history, social history, medications, travel or occupation.</w:t>
      </w:r>
    </w:p>
    <w:p w14:paraId="4F588803" w14:textId="33CE58AA" w:rsidR="00F04548" w:rsidRPr="00D03260" w:rsidRDefault="00E709AA" w:rsidP="00C530F1">
      <w:r w:rsidRPr="00D03260">
        <w:t>Develop a differential diagnosis with consideration of the following causes:</w:t>
      </w:r>
    </w:p>
    <w:p w14:paraId="7538A441" w14:textId="77777777" w:rsidR="000B3C35" w:rsidRPr="00D03260" w:rsidRDefault="000B3C35" w:rsidP="000B3C35">
      <w:pPr>
        <w:pStyle w:val="ListBullet"/>
      </w:pPr>
      <w:r w:rsidRPr="00D03260">
        <w:t>infectious – including blood-borne or sexually transmitted infections, vector-borne diseases, travel related, food and water-borne</w:t>
      </w:r>
    </w:p>
    <w:p w14:paraId="1902380B" w14:textId="77777777" w:rsidR="000B3C35" w:rsidRPr="00D03260" w:rsidRDefault="000B3C35" w:rsidP="000B3C35">
      <w:pPr>
        <w:pStyle w:val="ListBullet"/>
      </w:pPr>
      <w:r w:rsidRPr="00D03260">
        <w:t>autoimmune – including inflammatory arthritis, motor neurone disease, multiple sclerosis</w:t>
      </w:r>
    </w:p>
    <w:p w14:paraId="052CBD2A" w14:textId="77777777" w:rsidR="000B3C35" w:rsidRPr="00D03260" w:rsidRDefault="000B3C35" w:rsidP="000B3C35">
      <w:pPr>
        <w:pStyle w:val="ListBullet"/>
      </w:pPr>
      <w:r w:rsidRPr="00D03260">
        <w:t xml:space="preserve">neoplastic </w:t>
      </w:r>
    </w:p>
    <w:p w14:paraId="2061AC75" w14:textId="77777777" w:rsidR="000B3C35" w:rsidRPr="00D03260" w:rsidRDefault="000B3C35" w:rsidP="000B3C35">
      <w:pPr>
        <w:pStyle w:val="ListBullet"/>
      </w:pPr>
      <w:r w:rsidRPr="00D03260">
        <w:t xml:space="preserve">psychological – including depression, anxiety and reactions to traumatic </w:t>
      </w:r>
      <w:proofErr w:type="gramStart"/>
      <w:r w:rsidRPr="00D03260">
        <w:t>events</w:t>
      </w:r>
      <w:proofErr w:type="gramEnd"/>
    </w:p>
    <w:p w14:paraId="5E21C0D2" w14:textId="77777777" w:rsidR="000B3C35" w:rsidRPr="00D03260" w:rsidRDefault="000B3C35" w:rsidP="000B3C35">
      <w:pPr>
        <w:pStyle w:val="ListBullet"/>
      </w:pPr>
      <w:r w:rsidRPr="00D03260">
        <w:t>inflammatory</w:t>
      </w:r>
    </w:p>
    <w:p w14:paraId="4FEF1A98" w14:textId="77777777" w:rsidR="000B3C35" w:rsidRPr="00D03260" w:rsidRDefault="000B3C35" w:rsidP="000B3C35">
      <w:pPr>
        <w:pStyle w:val="ListBullet"/>
      </w:pPr>
      <w:r w:rsidRPr="00D03260">
        <w:t>vascular</w:t>
      </w:r>
    </w:p>
    <w:p w14:paraId="22DC1F0C" w14:textId="77777777" w:rsidR="000B3C35" w:rsidRPr="00D03260" w:rsidRDefault="000B3C35" w:rsidP="000B3C35">
      <w:pPr>
        <w:pStyle w:val="ListBullet"/>
      </w:pPr>
      <w:r w:rsidRPr="00D03260">
        <w:t>neurological</w:t>
      </w:r>
    </w:p>
    <w:p w14:paraId="719FE36D" w14:textId="77777777" w:rsidR="000B3C35" w:rsidRPr="00D03260" w:rsidRDefault="000B3C35" w:rsidP="000B3C35">
      <w:pPr>
        <w:pStyle w:val="ListBullet"/>
      </w:pPr>
      <w:r w:rsidRPr="00D03260">
        <w:t>cardio-respiratory</w:t>
      </w:r>
    </w:p>
    <w:p w14:paraId="4DCF6491" w14:textId="7184FD00" w:rsidR="000B3C35" w:rsidRPr="00D03260" w:rsidRDefault="000B3C35" w:rsidP="000B3C35">
      <w:pPr>
        <w:pStyle w:val="ListBullet"/>
      </w:pPr>
      <w:r w:rsidRPr="00D03260">
        <w:t>lifestyle related – including diet, exercise, sleep and stress.</w:t>
      </w:r>
    </w:p>
    <w:p w14:paraId="15EAEFF3" w14:textId="77777777" w:rsidR="000B3C35" w:rsidRPr="00D03260" w:rsidRDefault="000B3C35">
      <w:pPr>
        <w:spacing w:before="0" w:after="0" w:line="240" w:lineRule="auto"/>
      </w:pPr>
      <w:r w:rsidRPr="00D03260">
        <w:br w:type="page"/>
      </w:r>
    </w:p>
    <w:p w14:paraId="52D932F7" w14:textId="28199ECB" w:rsidR="000B3C35" w:rsidRPr="00D03260" w:rsidRDefault="00F214CF" w:rsidP="00AF1EFC">
      <w:pPr>
        <w:pStyle w:val="NumberedHeading1"/>
        <w:ind w:left="360"/>
      </w:pPr>
      <w:bookmarkStart w:id="161" w:name="_Toc121329140"/>
      <w:bookmarkStart w:id="162" w:name="_Toc141885877"/>
      <w:r w:rsidRPr="00D03260">
        <w:lastRenderedPageBreak/>
        <w:t>Diagnostic testing</w:t>
      </w:r>
      <w:bookmarkEnd w:id="161"/>
      <w:bookmarkEnd w:id="162"/>
    </w:p>
    <w:p w14:paraId="6B31EC06" w14:textId="4E8861A1" w:rsidR="000B3C35" w:rsidRPr="00D03260" w:rsidRDefault="00C81999" w:rsidP="00AF1EFC">
      <w:pPr>
        <w:pStyle w:val="NumberedHeading2"/>
        <w:numPr>
          <w:ilvl w:val="0"/>
          <w:numId w:val="0"/>
        </w:numPr>
      </w:pPr>
      <w:bookmarkStart w:id="163" w:name="_Toc121329141"/>
      <w:bookmarkStart w:id="164" w:name="_Toc141885878"/>
      <w:r w:rsidRPr="00D03260">
        <w:t>4.1.</w:t>
      </w:r>
      <w:r w:rsidRPr="00D03260">
        <w:tab/>
      </w:r>
      <w:bookmarkStart w:id="165" w:name="Section41Asthma"/>
      <w:bookmarkEnd w:id="165"/>
      <w:r w:rsidR="00F214CF" w:rsidRPr="00D03260">
        <w:t>Asthma</w:t>
      </w:r>
      <w:bookmarkEnd w:id="163"/>
      <w:bookmarkEnd w:id="164"/>
    </w:p>
    <w:p w14:paraId="63AACC2B" w14:textId="2023F195" w:rsidR="00C714FA" w:rsidRPr="00D03260" w:rsidRDefault="00C714FA" w:rsidP="00C714FA">
      <w:r w:rsidRPr="00D03260">
        <w:t xml:space="preserve">Follow the Australian national guidelines in the Australian Asthma Handbook </w:t>
      </w:r>
      <w:r w:rsidR="008C76B2" w:rsidRPr="00D03260">
        <w:fldChar w:fldCharType="begin"/>
      </w:r>
      <w:r w:rsidR="00217980" w:rsidRPr="00D03260">
        <w:instrText xml:space="preserve"> ADDIN ZOTERO_ITEM CSL_CITATION {"citationID":"ZPw9fVxK","properties":{"formattedCitation":"(National Asthma Council Australia, 2022)","plainCitation":"(National Asthma Council Australia, 2022)","noteIndex":0},"citationItems":[{"id":4705,"uris":["http://zotero.org/groups/4371185/items/5Y5IQIDN"],"itemData":{"id":4705,"type":"document","publisher":"National Asthma Council Australia, Melbourne","title":"Australian Asthma Handbook- Version 2.2","URL":"http://www.asthmahandbook.org.au","author":[{"family":"National Asthma Council Australia","given":""}],"issued":{"date-parts":[["2022"]]}}}],"schema":"https://github.com/citation-style-language/schema/raw/master/csl-citation.json"} </w:instrText>
      </w:r>
      <w:r w:rsidR="008C76B2" w:rsidRPr="00D03260">
        <w:fldChar w:fldCharType="separate"/>
      </w:r>
      <w:r w:rsidR="008C76B2" w:rsidRPr="00D03260">
        <w:rPr>
          <w:rFonts w:cs="Arial"/>
        </w:rPr>
        <w:t>(National Asthma Council Australia, 2022)</w:t>
      </w:r>
      <w:r w:rsidR="008C76B2" w:rsidRPr="00D03260">
        <w:fldChar w:fldCharType="end"/>
      </w:r>
      <w:r w:rsidRPr="00D03260">
        <w:t xml:space="preserve"> for diagnostic testing and clinical considerations for diagnosing asthma in adults, adolescents and children.</w:t>
      </w:r>
    </w:p>
    <w:p w14:paraId="393EBCCB" w14:textId="440E8F36" w:rsidR="00F214CF" w:rsidRPr="00D03260" w:rsidRDefault="00C81999" w:rsidP="00AF1EFC">
      <w:pPr>
        <w:pStyle w:val="NumberedHeading3"/>
        <w:numPr>
          <w:ilvl w:val="0"/>
          <w:numId w:val="0"/>
        </w:numPr>
      </w:pPr>
      <w:bookmarkStart w:id="166" w:name="_Toc121329142"/>
      <w:bookmarkStart w:id="167" w:name="_Toc141885879"/>
      <w:r w:rsidRPr="00D03260">
        <w:t>4.1.1.</w:t>
      </w:r>
      <w:r w:rsidRPr="00D03260">
        <w:tab/>
      </w:r>
      <w:bookmarkStart w:id="168" w:name="Section411Adults"/>
      <w:bookmarkEnd w:id="168"/>
      <w:r w:rsidR="008A6ECF" w:rsidRPr="00D03260">
        <w:t>Adults</w:t>
      </w:r>
      <w:bookmarkEnd w:id="166"/>
      <w:bookmarkEnd w:id="167"/>
    </w:p>
    <w:p w14:paraId="4355BD3F" w14:textId="721B4ECD" w:rsidR="00290497" w:rsidRPr="00D03260" w:rsidRDefault="00290497" w:rsidP="00290497">
      <w:pPr>
        <w:rPr>
          <w:b/>
          <w:bCs/>
        </w:rPr>
      </w:pPr>
      <w:r w:rsidRPr="00D03260">
        <w:rPr>
          <w:b/>
          <w:bCs/>
        </w:rPr>
        <w:t xml:space="preserve">In adults, </w:t>
      </w:r>
      <w:r w:rsidR="0082596E" w:rsidRPr="00D03260">
        <w:rPr>
          <w:b/>
          <w:bCs/>
        </w:rPr>
        <w:t>a</w:t>
      </w:r>
      <w:r w:rsidRPr="00D03260">
        <w:rPr>
          <w:b/>
          <w:bCs/>
        </w:rPr>
        <w:t>sthma is defined clinically as the combination of variable respiratory symptoms (e.g.</w:t>
      </w:r>
      <w:r w:rsidR="000800FF" w:rsidRPr="00D03260">
        <w:rPr>
          <w:b/>
          <w:bCs/>
        </w:rPr>
        <w:t>,</w:t>
      </w:r>
      <w:r w:rsidRPr="00D03260">
        <w:rPr>
          <w:b/>
          <w:bCs/>
        </w:rPr>
        <w:t xml:space="preserve"> wheeze, shortness of breath, </w:t>
      </w:r>
      <w:proofErr w:type="gramStart"/>
      <w:r w:rsidRPr="00D03260">
        <w:rPr>
          <w:b/>
          <w:bCs/>
        </w:rPr>
        <w:t>cough</w:t>
      </w:r>
      <w:proofErr w:type="gramEnd"/>
      <w:r w:rsidRPr="00D03260">
        <w:rPr>
          <w:b/>
          <w:bCs/>
        </w:rPr>
        <w:t xml:space="preserve"> and chest tightness) and excessive variation in lung function.</w:t>
      </w:r>
    </w:p>
    <w:p w14:paraId="143BD852" w14:textId="77777777" w:rsidR="00E074CA" w:rsidRPr="00D03260" w:rsidRDefault="00290497" w:rsidP="00290497">
      <w:r w:rsidRPr="00D03260">
        <w:t>Refer to Clinical processes and considerations for diagnosing asthma in adults and adolescents</w:t>
      </w:r>
      <w:r w:rsidR="00E074CA" w:rsidRPr="00D03260">
        <w:t xml:space="preserve"> at:</w:t>
      </w:r>
    </w:p>
    <w:p w14:paraId="55C8568B" w14:textId="36994E7B" w:rsidR="00BE6738" w:rsidRPr="00D03260" w:rsidRDefault="00000000" w:rsidP="006D75FF">
      <w:pPr>
        <w:pStyle w:val="ListBullet"/>
        <w:rPr>
          <w:rStyle w:val="Hyperlink"/>
        </w:rPr>
      </w:pPr>
      <w:hyperlink r:id="rId56" w:history="1">
        <w:r w:rsidR="00290497" w:rsidRPr="00D03260">
          <w:rPr>
            <w:rStyle w:val="Hyperlink"/>
          </w:rPr>
          <w:t>https://www.asthmahandbook.org.au/diagnosis/adults</w:t>
        </w:r>
      </w:hyperlink>
    </w:p>
    <w:p w14:paraId="31FCB1D2" w14:textId="7280E1CE" w:rsidR="00C36607" w:rsidRPr="00D03260" w:rsidRDefault="00000000" w:rsidP="006D75FF">
      <w:pPr>
        <w:pStyle w:val="ListBullet"/>
      </w:pPr>
      <w:hyperlink r:id="rId57" w:history="1">
        <w:r w:rsidR="00C36607" w:rsidRPr="00D03260">
          <w:rPr>
            <w:rStyle w:val="Hyperlink"/>
          </w:rPr>
          <w:t>https://www.asthmahandbook.org.au/diagnosis/adults/initial-investigations</w:t>
        </w:r>
      </w:hyperlink>
      <w:r w:rsidR="00810E85" w:rsidRPr="00D03260">
        <w:t>.</w:t>
      </w:r>
    </w:p>
    <w:p w14:paraId="1D0A992D" w14:textId="60872AFD" w:rsidR="00C714FA" w:rsidRPr="00D03260" w:rsidRDefault="00C81999" w:rsidP="00AF1EFC">
      <w:pPr>
        <w:pStyle w:val="NumberedHeading3"/>
        <w:numPr>
          <w:ilvl w:val="0"/>
          <w:numId w:val="0"/>
        </w:numPr>
      </w:pPr>
      <w:bookmarkStart w:id="169" w:name="Section412Adolescents"/>
      <w:bookmarkStart w:id="170" w:name="_Toc121329143"/>
      <w:bookmarkStart w:id="171" w:name="_Toc141885880"/>
      <w:bookmarkEnd w:id="169"/>
      <w:r w:rsidRPr="00D03260">
        <w:t>4.1.2.</w:t>
      </w:r>
      <w:r w:rsidRPr="00D03260">
        <w:tab/>
      </w:r>
      <w:r w:rsidR="00290497" w:rsidRPr="00D03260">
        <w:t>Adolescents</w:t>
      </w:r>
      <w:bookmarkEnd w:id="170"/>
      <w:bookmarkEnd w:id="171"/>
    </w:p>
    <w:p w14:paraId="7E5584BF" w14:textId="07C64819" w:rsidR="00B66DE3" w:rsidRPr="00D03260" w:rsidRDefault="00B66DE3" w:rsidP="00B66DE3">
      <w:r w:rsidRPr="00D03260">
        <w:t>Refer to Special considerations for asthma diagnosis and management in adolescents and young adults</w:t>
      </w:r>
      <w:r w:rsidR="00575D4F" w:rsidRPr="00D03260">
        <w:t xml:space="preserve"> at:</w:t>
      </w:r>
      <w:r w:rsidRPr="00D03260">
        <w:t xml:space="preserve"> </w:t>
      </w:r>
      <w:hyperlink r:id="rId58" w:history="1">
        <w:r w:rsidR="00810E85" w:rsidRPr="00D03260">
          <w:rPr>
            <w:rStyle w:val="Hyperlink"/>
          </w:rPr>
          <w:t>https://www.asthmahandbook.org.au/diagnosis/adolescents</w:t>
        </w:r>
      </w:hyperlink>
      <w:r w:rsidR="00810E85" w:rsidRPr="00D03260">
        <w:t>.</w:t>
      </w:r>
    </w:p>
    <w:p w14:paraId="31D2A114" w14:textId="55D704D1" w:rsidR="00B66DE3" w:rsidRPr="00D03260" w:rsidRDefault="00B66DE3" w:rsidP="00B66DE3">
      <w:r w:rsidRPr="00D03260">
        <w:t>For appropriate investigations, follow the recommendations</w:t>
      </w:r>
      <w:r w:rsidR="002D37DA" w:rsidRPr="00D03260">
        <w:t xml:space="preserve"> at</w:t>
      </w:r>
      <w:r w:rsidR="00575D4F" w:rsidRPr="00D03260">
        <w:t>:</w:t>
      </w:r>
      <w:r w:rsidRPr="00D03260">
        <w:t xml:space="preserve"> </w:t>
      </w:r>
      <w:hyperlink r:id="rId59" w:history="1">
        <w:r w:rsidRPr="00D03260">
          <w:rPr>
            <w:rStyle w:val="Hyperlink"/>
          </w:rPr>
          <w:t>https://www.asthmahandbook.org.au/diagnosis/adolescents/investigations</w:t>
        </w:r>
      </w:hyperlink>
      <w:r w:rsidR="00810E85" w:rsidRPr="00D03260">
        <w:t>.</w:t>
      </w:r>
    </w:p>
    <w:p w14:paraId="5A90950E" w14:textId="78F0E25B" w:rsidR="00417823" w:rsidRPr="00D03260" w:rsidRDefault="00C81999" w:rsidP="00AF1EFC">
      <w:pPr>
        <w:pStyle w:val="NumberedHeading3"/>
        <w:numPr>
          <w:ilvl w:val="0"/>
          <w:numId w:val="0"/>
        </w:numPr>
      </w:pPr>
      <w:bookmarkStart w:id="172" w:name="Section413ChildrenAged1Year"/>
      <w:bookmarkStart w:id="173" w:name="_Toc121329144"/>
      <w:bookmarkStart w:id="174" w:name="_Toc141885881"/>
      <w:bookmarkEnd w:id="172"/>
      <w:r w:rsidRPr="00D03260">
        <w:t>4.1.3.</w:t>
      </w:r>
      <w:r w:rsidRPr="00D03260">
        <w:tab/>
      </w:r>
      <w:r w:rsidR="00417823" w:rsidRPr="00D03260">
        <w:t>Children aged 1+ year</w:t>
      </w:r>
      <w:bookmarkEnd w:id="173"/>
      <w:bookmarkEnd w:id="174"/>
    </w:p>
    <w:p w14:paraId="087AC06F" w14:textId="633524D9" w:rsidR="00684633" w:rsidRPr="00D03260" w:rsidRDefault="00684633" w:rsidP="00684633">
      <w:pPr>
        <w:rPr>
          <w:shd w:val="clear" w:color="auto" w:fill="FBFBFB"/>
        </w:rPr>
      </w:pPr>
      <w:r w:rsidRPr="00D03260">
        <w:t xml:space="preserve">Follow the Australian Asthma Handbook </w:t>
      </w:r>
      <w:r w:rsidR="00293DE6" w:rsidRPr="00D03260">
        <w:fldChar w:fldCharType="begin"/>
      </w:r>
      <w:r w:rsidR="00217980" w:rsidRPr="00D03260">
        <w:instrText xml:space="preserve"> ADDIN ZOTERO_ITEM CSL_CITATION {"citationID":"RQPqHFJh","properties":{"formattedCitation":"(National Asthma Council Australia, 2022)","plainCitation":"(National Asthma Council Australia, 2022)","noteIndex":0},"citationItems":[{"id":4705,"uris":["http://zotero.org/groups/4371185/items/5Y5IQIDN"],"itemData":{"id":4705,"type":"document","publisher":"National Asthma Council Australia, Melbourne","title":"Australian Asthma Handbook- Version 2.2","URL":"http://www.asthmahandbook.org.au","author":[{"family":"National Asthma Council Australia","given":""}],"issued":{"date-parts":[["2022"]]}}}],"schema":"https://github.com/citation-style-language/schema/raw/master/csl-citation.json"} </w:instrText>
      </w:r>
      <w:r w:rsidR="00293DE6" w:rsidRPr="00D03260">
        <w:fldChar w:fldCharType="separate"/>
      </w:r>
      <w:r w:rsidR="00293DE6" w:rsidRPr="00D03260">
        <w:rPr>
          <w:rFonts w:cs="Arial"/>
        </w:rPr>
        <w:t>(National Asthma Council Australia, 2022)</w:t>
      </w:r>
      <w:r w:rsidR="00293DE6" w:rsidRPr="00D03260">
        <w:fldChar w:fldCharType="end"/>
      </w:r>
      <w:r w:rsidR="00CD4E2B" w:rsidRPr="00D03260">
        <w:t xml:space="preserve"> </w:t>
      </w:r>
      <w:r w:rsidRPr="00D03260">
        <w:t>for clinical processes and considerations for investigating wheezing and diagnosing asthma in children</w:t>
      </w:r>
      <w:r w:rsidR="00402833" w:rsidRPr="00D03260">
        <w:t>;</w:t>
      </w:r>
      <w:r w:rsidRPr="00D03260">
        <w:t xml:space="preserve"> </w:t>
      </w:r>
      <w:hyperlink r:id="rId60" w:history="1">
        <w:r w:rsidRPr="00D03260">
          <w:rPr>
            <w:rStyle w:val="Hyperlink"/>
            <w:rFonts w:cs="Arial"/>
            <w:sz w:val="21"/>
            <w:szCs w:val="21"/>
            <w:shd w:val="clear" w:color="auto" w:fill="FBFBFB"/>
          </w:rPr>
          <w:t>https://www.asthmahandbook.org.au/diagnosis/children</w:t>
        </w:r>
      </w:hyperlink>
      <w:r w:rsidR="00810E85" w:rsidRPr="00D03260">
        <w:t>.</w:t>
      </w:r>
    </w:p>
    <w:p w14:paraId="27FA6ACF" w14:textId="79976C97" w:rsidR="00B66DE3" w:rsidRPr="00D03260" w:rsidRDefault="00684633" w:rsidP="00B66DE3">
      <w:r w:rsidRPr="00D03260">
        <w:t>There is no single reliable test (‘gold standard’) and there are no standardised diagnostic criteria for asthma.</w:t>
      </w:r>
    </w:p>
    <w:p w14:paraId="1E6ED7FE" w14:textId="0A23F27C" w:rsidR="00315E73" w:rsidRPr="00D03260" w:rsidRDefault="00C81999" w:rsidP="00AF1EFC">
      <w:pPr>
        <w:pStyle w:val="NumberedHeading3"/>
        <w:numPr>
          <w:ilvl w:val="0"/>
          <w:numId w:val="0"/>
        </w:numPr>
      </w:pPr>
      <w:bookmarkStart w:id="175" w:name="Section414InfantsAged0To12Months"/>
      <w:bookmarkStart w:id="176" w:name="_Toc121329145"/>
      <w:bookmarkStart w:id="177" w:name="_Toc141885882"/>
      <w:bookmarkEnd w:id="175"/>
      <w:r w:rsidRPr="00D03260">
        <w:t>4.1.4.</w:t>
      </w:r>
      <w:r w:rsidRPr="00D03260">
        <w:tab/>
      </w:r>
      <w:r w:rsidR="00315E73" w:rsidRPr="00D03260">
        <w:t xml:space="preserve">Infants aged </w:t>
      </w:r>
      <w:r w:rsidR="00AC3E37" w:rsidRPr="00D03260">
        <w:t>zero</w:t>
      </w:r>
      <w:r w:rsidR="00315E73" w:rsidRPr="00D03260">
        <w:t xml:space="preserve"> to 12 months</w:t>
      </w:r>
      <w:bookmarkEnd w:id="176"/>
      <w:bookmarkEnd w:id="177"/>
    </w:p>
    <w:p w14:paraId="4EB3AB18" w14:textId="697860C8" w:rsidR="00C74E0F" w:rsidRPr="00D03260" w:rsidRDefault="00C74E0F" w:rsidP="00C74E0F">
      <w:r w:rsidRPr="00D03260">
        <w:t xml:space="preserve">The Australian Asthma Handbook </w:t>
      </w:r>
      <w:r w:rsidR="00402833" w:rsidRPr="00D03260">
        <w:t>(</w:t>
      </w:r>
      <w:hyperlink r:id="rId61" w:history="1">
        <w:r w:rsidR="00402833" w:rsidRPr="00D03260">
          <w:rPr>
            <w:rStyle w:val="Hyperlink"/>
            <w:rFonts w:cs="Arial"/>
            <w:sz w:val="21"/>
            <w:szCs w:val="21"/>
            <w:shd w:val="clear" w:color="auto" w:fill="FBFBFB"/>
          </w:rPr>
          <w:t>https://www.asthmahandbook.org.au/diagnosis/children</w:t>
        </w:r>
      </w:hyperlink>
      <w:r w:rsidR="00402833" w:rsidRPr="00D03260">
        <w:rPr>
          <w:rFonts w:cs="Arial"/>
          <w:sz w:val="21"/>
          <w:szCs w:val="21"/>
          <w:shd w:val="clear" w:color="auto" w:fill="FBFBFB"/>
        </w:rPr>
        <w:t>)</w:t>
      </w:r>
      <w:r w:rsidRPr="00D03260">
        <w:rPr>
          <w:rFonts w:cs="Arial"/>
          <w:color w:val="212121"/>
          <w:sz w:val="21"/>
          <w:szCs w:val="21"/>
          <w:shd w:val="clear" w:color="auto" w:fill="FBFBFB"/>
        </w:rPr>
        <w:t xml:space="preserve"> </w:t>
      </w:r>
      <w:r w:rsidRPr="00D03260">
        <w:t>advises</w:t>
      </w:r>
      <w:r w:rsidR="004203FC" w:rsidRPr="00D03260">
        <w:t xml:space="preserve"> the following</w:t>
      </w:r>
      <w:r w:rsidRPr="00D03260">
        <w:t xml:space="preserve"> for infants aged </w:t>
      </w:r>
      <w:r w:rsidR="00AC3E37" w:rsidRPr="00D03260">
        <w:t xml:space="preserve">zero to </w:t>
      </w:r>
      <w:r w:rsidRPr="00D03260">
        <w:t>12 months:</w:t>
      </w:r>
    </w:p>
    <w:p w14:paraId="67C58EAA" w14:textId="121C0AC7" w:rsidR="006633E0" w:rsidRPr="00D03260" w:rsidRDefault="006633E0" w:rsidP="006633E0">
      <w:pPr>
        <w:pStyle w:val="ListBullet"/>
      </w:pPr>
      <w:r w:rsidRPr="00D03260">
        <w:t>Asthma should not be diagnosed in infants aged less than 12 months old</w:t>
      </w:r>
      <w:r w:rsidR="00575D4F" w:rsidRPr="00D03260">
        <w:t>.</w:t>
      </w:r>
    </w:p>
    <w:p w14:paraId="20FF1056" w14:textId="58D623F2" w:rsidR="006633E0" w:rsidRPr="00D03260" w:rsidRDefault="006633E0" w:rsidP="006633E0">
      <w:pPr>
        <w:pStyle w:val="ListBullet"/>
      </w:pPr>
      <w:r w:rsidRPr="00D03260">
        <w:t>Wheezing at this age group is most commonly due to acute viral bronchiolitis or to small and/or floppy airways</w:t>
      </w:r>
      <w:r w:rsidR="00575D4F" w:rsidRPr="00D03260">
        <w:t>.</w:t>
      </w:r>
    </w:p>
    <w:p w14:paraId="74228164" w14:textId="576A5E1C" w:rsidR="006633E0" w:rsidRPr="00D03260" w:rsidRDefault="006633E0" w:rsidP="006633E0">
      <w:pPr>
        <w:pStyle w:val="ListBullet"/>
      </w:pPr>
      <w:r w:rsidRPr="00D03260">
        <w:t>Infants with clinically significant wheezing should be refer</w:t>
      </w:r>
      <w:r w:rsidR="00293DE6" w:rsidRPr="00D03260">
        <w:t>r</w:t>
      </w:r>
      <w:r w:rsidRPr="00D03260">
        <w:t>ed to a paediatric respiratory physician or paediatrician</w:t>
      </w:r>
      <w:r w:rsidR="00293DE6" w:rsidRPr="00D03260">
        <w:t xml:space="preserve"> </w:t>
      </w:r>
      <w:r w:rsidR="00293DE6" w:rsidRPr="00D03260">
        <w:fldChar w:fldCharType="begin"/>
      </w:r>
      <w:r w:rsidR="00217980" w:rsidRPr="00D03260">
        <w:instrText xml:space="preserve"> ADDIN ZOTERO_ITEM CSL_CITATION {"citationID":"jK841B3K","properties":{"formattedCitation":"(National Asthma Council Australia, 2022)","plainCitation":"(National Asthma Council Australia, 2022)","noteIndex":0},"citationItems":[{"id":4705,"uris":["http://zotero.org/groups/4371185/items/5Y5IQIDN"],"itemData":{"id":4705,"type":"document","publisher":"National Asthma Council Australia, Melbourne","title":"Australian Asthma Handbook- Version 2.2","URL":"http://www.asthmahandbook.org.au","author":[{"family":"National Asthma Council Australia","given":""}],"issued":{"date-parts":[["2022"]]}}}],"schema":"https://github.com/citation-style-language/schema/raw/master/csl-citation.json"} </w:instrText>
      </w:r>
      <w:r w:rsidR="00293DE6" w:rsidRPr="00D03260">
        <w:fldChar w:fldCharType="separate"/>
      </w:r>
      <w:r w:rsidR="00293DE6" w:rsidRPr="00D03260">
        <w:rPr>
          <w:rFonts w:cs="Arial"/>
        </w:rPr>
        <w:t>(National Asthma Council Australia, 2022)</w:t>
      </w:r>
      <w:r w:rsidR="00293DE6" w:rsidRPr="00D03260">
        <w:fldChar w:fldCharType="end"/>
      </w:r>
      <w:r w:rsidR="004203FC" w:rsidRPr="00D03260">
        <w:t>.</w:t>
      </w:r>
    </w:p>
    <w:p w14:paraId="3B74D597" w14:textId="41D8CA16" w:rsidR="004F59B6" w:rsidRPr="00D03260" w:rsidRDefault="00B56090" w:rsidP="00AF1EFC">
      <w:pPr>
        <w:pStyle w:val="NumberedHeading2"/>
        <w:numPr>
          <w:ilvl w:val="0"/>
          <w:numId w:val="0"/>
        </w:numPr>
      </w:pPr>
      <w:bookmarkStart w:id="178" w:name="_Toc121329146"/>
      <w:bookmarkStart w:id="179" w:name="_Toc141885883"/>
      <w:r w:rsidRPr="00D03260">
        <w:lastRenderedPageBreak/>
        <w:t>4.2.</w:t>
      </w:r>
      <w:r w:rsidRPr="00D03260">
        <w:tab/>
      </w:r>
      <w:bookmarkStart w:id="180" w:name="Section42MouldInfectionDiagnostics"/>
      <w:bookmarkEnd w:id="180"/>
      <w:r w:rsidR="004F59B6" w:rsidRPr="00D03260">
        <w:t>Mould infection diagnostics</w:t>
      </w:r>
      <w:bookmarkEnd w:id="178"/>
      <w:bookmarkEnd w:id="179"/>
    </w:p>
    <w:p w14:paraId="3B5DE69E" w14:textId="2303685F" w:rsidR="002B0C40" w:rsidRPr="00D03260" w:rsidRDefault="002B0C40" w:rsidP="002B0C40">
      <w:r w:rsidRPr="00D03260">
        <w:t>The AWMF guideline advises the core elements of the diagnostic work-up for mould infection include microbiological, immunological, molecular biological, and radiological</w:t>
      </w:r>
      <w:r w:rsidR="00D82258" w:rsidRPr="00D03260">
        <w:t xml:space="preserve"> testing</w:t>
      </w:r>
      <w:r w:rsidRPr="00D03260">
        <w:t xml:space="preserve"> </w:t>
      </w:r>
      <w:r w:rsidRPr="00D03260">
        <w:fldChar w:fldCharType="begin"/>
      </w:r>
      <w:r w:rsidR="00217980" w:rsidRPr="00D03260">
        <w:instrText xml:space="preserve"> ADDIN ZOTERO_ITEM CSL_CITATION {"citationID":"DYNh1w9f","properties":{"formattedCitation":"(Wiesm\\uc0\\u252{}ller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rPr>
          <w:rFonts w:cs="Calibri"/>
        </w:rPr>
        <w:t>(Wiesmüller et al., 2017)</w:t>
      </w:r>
      <w:r w:rsidRPr="00D03260">
        <w:fldChar w:fldCharType="end"/>
      </w:r>
      <w:r w:rsidRPr="00D03260">
        <w:t>.</w:t>
      </w:r>
    </w:p>
    <w:p w14:paraId="1C65056E" w14:textId="459F9A69" w:rsidR="002B0C40" w:rsidRPr="00D03260" w:rsidRDefault="002B0C40" w:rsidP="002B0C40">
      <w:r w:rsidRPr="00D03260">
        <w:t>Denning &amp; Chakrabarti</w:t>
      </w:r>
      <w:r w:rsidRPr="00D03260">
        <w:rPr>
          <w:rStyle w:val="FootnoteReference"/>
        </w:rPr>
        <w:footnoteReference w:id="9"/>
      </w:r>
      <w:r w:rsidRPr="00D03260">
        <w:t xml:space="preserve"> advise that lung or airways infection by endemic fungi or </w:t>
      </w:r>
      <w:r w:rsidR="00730DA5" w:rsidRPr="00D03260">
        <w:rPr>
          <w:i/>
          <w:iCs/>
        </w:rPr>
        <w:t>A</w:t>
      </w:r>
      <w:r w:rsidRPr="00D03260">
        <w:rPr>
          <w:i/>
          <w:iCs/>
        </w:rPr>
        <w:t>spergillus</w:t>
      </w:r>
      <w:r w:rsidRPr="00D03260">
        <w:t xml:space="preserve"> can be diagnosed with respiratory sample culture or serum IgG testing </w:t>
      </w:r>
      <w:r w:rsidRPr="00D03260">
        <w:fldChar w:fldCharType="begin"/>
      </w:r>
      <w:r w:rsidR="00217980" w:rsidRPr="00D03260">
        <w:instrText xml:space="preserve"> ADDIN ZOTERO_ITEM CSL_CITATION {"citationID":"a0yC7hss","properties":{"formattedCitation":"(Denning &amp; Chakrabarti, 2017)","plainCitation":"(Denning &amp; Chakrabarti, 2017)","noteIndex":0},"citationItems":[{"id":2226,"uris":["http://zotero.org/groups/4371185/items/7XNKPSYV"],"itemData":{"id":2226,"type":"article-journal","abstract":"The human respiratory tract is exposed daily to airborne fungi, fungal enzymes, and secondary metabolites. The endemic fungi Histoplasma capsulatum, Coccidioides spp,  Blastomyces dermatitidis, and Paracoccidioides brasiliensis, and occasionally  Aspergillus fumigatus, are primary pulmonary pathogens of otherwise healthy people.  Such infections resolve in most people, and only a few infections lead to disease.  However, many fungi are directly allergenic by colonising the respiratory tract or  indirectly through contact with cell wall constituents and proteases, causing or  exacerbating allergic disease. Increasing evidence implicates high indoor fungal  exposures as a precipitant of asthma in children and in worsening asthma symptoms.  Lung or airways infection by endemic fungi or aspergillus can be diagnosed with  respiratory sample culture or serum IgG testing. Sputum, induced sputum, or  bronchial specimens are all suitable specimens for detecting fungi; microscopy,  fungal culture, galactomannan antigen, and aspergillus PCR are useful tests.  Antifungal treatment is indicated in almost all patients with chronic cavitary  pulmonary infections, chronic invasive and granulomatous rhinosinusitis, and  aspergillus bronchitis. Most patients with fungal asthma benefit from antifungal  therapy. Adverse reactions to oral azoles, drug interactions, and azole resistance  in Aspergillus spp limit therapy. Environmental exposures, genetic factors, and  structural pulmonary risk factors probably underlie disease but are poorly  understood.","container-title":"The Lancet. Infectious diseases","DOI":"10.1016/S1473-3099(17)30309-2","ISSN":"1474-4457 1473-3099","issue":"11","journalAbbreviation":"Lancet Infect Dis","language":"eng","license":"Copyright © 2017 Elsevier Ltd. All rights reserved.","note":"publisher-place: United States\nPMID: 28774699","page":"e357-e366","title":"Pulmonary and sinus fungal diseases in non-immunocompromised patients.","volume":"17","author":[{"family":"Denning","given":"David W."},{"family":"Chakrabarti","given":"Arunaloke"}],"issued":{"date-parts":[["2017",11]]}}}],"schema":"https://github.com/citation-style-language/schema/raw/master/csl-citation.json"} </w:instrText>
      </w:r>
      <w:r w:rsidRPr="00D03260">
        <w:fldChar w:fldCharType="separate"/>
      </w:r>
      <w:r w:rsidRPr="00D03260">
        <w:t>(Denning &amp; Chakrabarti, 2017)</w:t>
      </w:r>
      <w:r w:rsidRPr="00D03260">
        <w:fldChar w:fldCharType="end"/>
      </w:r>
      <w:r w:rsidRPr="00D03260">
        <w:t xml:space="preserve">. Sputum, induced sputum, or bronchial specimens are all suitable specimens for detecting fungi. Microscopy, fungal culture, galactomannan antigen, and </w:t>
      </w:r>
      <w:r w:rsidR="00730DA5" w:rsidRPr="00D03260">
        <w:rPr>
          <w:i/>
          <w:iCs/>
        </w:rPr>
        <w:t>A</w:t>
      </w:r>
      <w:r w:rsidRPr="00D03260">
        <w:rPr>
          <w:i/>
          <w:iCs/>
        </w:rPr>
        <w:t>spergillus</w:t>
      </w:r>
      <w:r w:rsidRPr="00D03260">
        <w:t xml:space="preserve"> </w:t>
      </w:r>
      <w:r w:rsidR="0062790E" w:rsidRPr="00D03260">
        <w:t>p</w:t>
      </w:r>
      <w:r w:rsidR="006C1C8D" w:rsidRPr="00D03260">
        <w:t xml:space="preserve">olymerised </w:t>
      </w:r>
      <w:r w:rsidR="0062790E" w:rsidRPr="00D03260">
        <w:t>c</w:t>
      </w:r>
      <w:r w:rsidR="006C1C8D" w:rsidRPr="00D03260">
        <w:t xml:space="preserve">hain </w:t>
      </w:r>
      <w:r w:rsidR="0062790E" w:rsidRPr="00D03260">
        <w:t>r</w:t>
      </w:r>
      <w:r w:rsidR="006C1C8D" w:rsidRPr="00D03260">
        <w:t>eaction (</w:t>
      </w:r>
      <w:r w:rsidRPr="00D03260">
        <w:t>PCR</w:t>
      </w:r>
      <w:r w:rsidR="006C1C8D" w:rsidRPr="00D03260">
        <w:t>)</w:t>
      </w:r>
      <w:r w:rsidRPr="00D03260">
        <w:t xml:space="preserve"> are useful tests</w:t>
      </w:r>
      <w:r w:rsidR="004E6755" w:rsidRPr="00D03260">
        <w:t xml:space="preserve"> </w:t>
      </w:r>
      <w:r w:rsidR="004E6755" w:rsidRPr="00D03260">
        <w:fldChar w:fldCharType="begin"/>
      </w:r>
      <w:r w:rsidR="00217980" w:rsidRPr="00D03260">
        <w:instrText xml:space="preserve"> ADDIN ZOTERO_ITEM CSL_CITATION {"citationID":"7WzQm0pO","properties":{"formattedCitation":"(Denning &amp; Chakrabarti, 2017)","plainCitation":"(Denning &amp; Chakrabarti, 2017)","noteIndex":0},"citationItems":[{"id":2226,"uris":["http://zotero.org/groups/4371185/items/7XNKPSYV"],"itemData":{"id":2226,"type":"article-journal","abstract":"The human respiratory tract is exposed daily to airborne fungi, fungal enzymes, and secondary metabolites. The endemic fungi Histoplasma capsulatum, Coccidioides spp,  Blastomyces dermatitidis, and Paracoccidioides brasiliensis, and occasionally  Aspergillus fumigatus, are primary pulmonary pathogens of otherwise healthy people.  Such infections resolve in most people, and only a few infections lead to disease.  However, many fungi are directly allergenic by colonising the respiratory tract or  indirectly through contact with cell wall constituents and proteases, causing or  exacerbating allergic disease. Increasing evidence implicates high indoor fungal  exposures as a precipitant of asthma in children and in worsening asthma symptoms.  Lung or airways infection by endemic fungi or aspergillus can be diagnosed with  respiratory sample culture or serum IgG testing. Sputum, induced sputum, or  bronchial specimens are all suitable specimens for detecting fungi; microscopy,  fungal culture, galactomannan antigen, and aspergillus PCR are useful tests.  Antifungal treatment is indicated in almost all patients with chronic cavitary  pulmonary infections, chronic invasive and granulomatous rhinosinusitis, and  aspergillus bronchitis. Most patients with fungal asthma benefit from antifungal  therapy. Adverse reactions to oral azoles, drug interactions, and azole resistance  in Aspergillus spp limit therapy. Environmental exposures, genetic factors, and  structural pulmonary risk factors probably underlie disease but are poorly  understood.","container-title":"The Lancet. Infectious diseases","DOI":"10.1016/S1473-3099(17)30309-2","ISSN":"1474-4457 1473-3099","issue":"11","journalAbbreviation":"Lancet Infect Dis","language":"eng","license":"Copyright © 2017 Elsevier Ltd. All rights reserved.","note":"publisher-place: United States\nPMID: 28774699","page":"e357-e366","title":"Pulmonary and sinus fungal diseases in non-immunocompromised patients.","volume":"17","author":[{"family":"Denning","given":"David W."},{"family":"Chakrabarti","given":"Arunaloke"}],"issued":{"date-parts":[["2017",11]]}}}],"schema":"https://github.com/citation-style-language/schema/raw/master/csl-citation.json"} </w:instrText>
      </w:r>
      <w:r w:rsidR="004E6755" w:rsidRPr="00D03260">
        <w:fldChar w:fldCharType="separate"/>
      </w:r>
      <w:r w:rsidR="004E6755" w:rsidRPr="00D03260">
        <w:rPr>
          <w:rFonts w:cs="Arial"/>
        </w:rPr>
        <w:t>(Denning &amp; Chakrabarti, 2017)</w:t>
      </w:r>
      <w:r w:rsidR="004E6755" w:rsidRPr="00D03260">
        <w:fldChar w:fldCharType="end"/>
      </w:r>
      <w:r w:rsidRPr="00D03260">
        <w:t xml:space="preserve">. The detection of galactomannan for diagnostic purposes is only indicated in invasive aspergillosis </w:t>
      </w:r>
      <w:r w:rsidRPr="00D03260">
        <w:fldChar w:fldCharType="begin"/>
      </w:r>
      <w:r w:rsidR="00217980" w:rsidRPr="00D03260">
        <w:instrText xml:space="preserve"> ADDIN ZOTERO_ITEM CSL_CITATION {"citationID":"9r2iL3yu","properties":{"formattedCitation":"(Wiesm\\uc0\\u252{}ller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6A8E121E" w14:textId="3794D98A" w:rsidR="002B0C40" w:rsidRPr="00D03260" w:rsidRDefault="002B0C40" w:rsidP="002B0C40">
      <w:r w:rsidRPr="00D03260">
        <w:t xml:space="preserve">The detection of β-1,3-D-glucan in serum, while technically challenging could be helpful in the diagnostic workup on invasive mycosis. </w:t>
      </w:r>
      <w:r w:rsidR="00575D4F" w:rsidRPr="00D03260">
        <w:t>However, i</w:t>
      </w:r>
      <w:r w:rsidRPr="00D03260">
        <w:t xml:space="preserve">ts application is not indicated in conjunction with indoor mould </w:t>
      </w:r>
      <w:r w:rsidRPr="00D03260">
        <w:fldChar w:fldCharType="begin"/>
      </w:r>
      <w:r w:rsidR="00217980" w:rsidRPr="00D03260">
        <w:instrText xml:space="preserve"> ADDIN ZOTERO_ITEM CSL_CITATION {"citationID":"jCqqgSVc","properties":{"formattedCitation":"(Wiesm\\uc0\\u252{}ller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7E88A429" w14:textId="14D66FB8" w:rsidR="0000179C" w:rsidRPr="00D03260" w:rsidRDefault="00B56090" w:rsidP="00AF1EFC">
      <w:pPr>
        <w:pStyle w:val="NumberedHeading2"/>
        <w:numPr>
          <w:ilvl w:val="0"/>
          <w:numId w:val="0"/>
        </w:numPr>
      </w:pPr>
      <w:bookmarkStart w:id="181" w:name="_Toc121329147"/>
      <w:bookmarkStart w:id="182" w:name="_Toc141885884"/>
      <w:r w:rsidRPr="00D03260">
        <w:t>4.3.</w:t>
      </w:r>
      <w:r w:rsidRPr="00D03260">
        <w:tab/>
      </w:r>
      <w:bookmarkStart w:id="183" w:name="Section43MouldAllergyDiagnostics"/>
      <w:bookmarkEnd w:id="183"/>
      <w:r w:rsidR="0000179C" w:rsidRPr="00D03260">
        <w:t>Mould allergy diagnostics</w:t>
      </w:r>
      <w:bookmarkEnd w:id="181"/>
      <w:bookmarkEnd w:id="182"/>
    </w:p>
    <w:p w14:paraId="5F304235" w14:textId="0A78F923" w:rsidR="0000179C" w:rsidRPr="00D03260" w:rsidRDefault="0000179C" w:rsidP="0000179C">
      <w:r w:rsidRPr="00D03260">
        <w:t>The AWMF guideline advises that allergic disorders due to mould allergens can essentially manifest as conjunctivitis, rhinitis, rhinosinusitis, allergic bronchial asthma, urticaria, HP and ABPA. As such, the differential diagnosis based on the medical history and clinical laboratory</w:t>
      </w:r>
      <w:r w:rsidRPr="00D03260">
        <w:rPr>
          <w:i/>
          <w:iCs/>
        </w:rPr>
        <w:t xml:space="preserve"> in</w:t>
      </w:r>
      <w:r w:rsidRPr="00D03260">
        <w:t xml:space="preserve"> </w:t>
      </w:r>
      <w:r w:rsidRPr="00D03260">
        <w:rPr>
          <w:i/>
          <w:iCs/>
        </w:rPr>
        <w:t xml:space="preserve">vitro/in vivo </w:t>
      </w:r>
      <w:r w:rsidRPr="00D03260">
        <w:t xml:space="preserve">testing is of central importance. In individual cases, the allergic reaction needs to be confirmed and the allergy trigger </w:t>
      </w:r>
      <w:r w:rsidR="003535AA" w:rsidRPr="00D03260">
        <w:t xml:space="preserve">should be </w:t>
      </w:r>
      <w:r w:rsidRPr="00D03260">
        <w:t>identified.</w:t>
      </w:r>
    </w:p>
    <w:p w14:paraId="22CA063C" w14:textId="6B3264A4" w:rsidR="002B0C40" w:rsidRPr="00D03260" w:rsidRDefault="0000179C" w:rsidP="0000179C">
      <w:r w:rsidRPr="00D03260">
        <w:t xml:space="preserve">While there is a wide variety of </w:t>
      </w:r>
      <w:r w:rsidRPr="00D03260">
        <w:rPr>
          <w:i/>
          <w:iCs/>
        </w:rPr>
        <w:t>in vitro</w:t>
      </w:r>
      <w:r w:rsidRPr="00D03260">
        <w:t xml:space="preserve"> tests to measure parameters of the cellular and humoral allergic reaction on different levels, the repertoire of commercially available mould allergen extracts is limited and primarily covers typical species found in outdoor air</w:t>
      </w:r>
      <w:r w:rsidR="003535AA" w:rsidRPr="00D03260">
        <w:t xml:space="preserve"> (not indoor air)</w:t>
      </w:r>
      <w:r w:rsidRPr="00D03260">
        <w:t xml:space="preserve"> </w:t>
      </w:r>
      <w:r w:rsidRPr="00D03260">
        <w:fldChar w:fldCharType="begin"/>
      </w:r>
      <w:r w:rsidR="00217980" w:rsidRPr="00D03260">
        <w:instrText xml:space="preserve"> ADDIN ZOTERO_ITEM CSL_CITATION {"citationID":"3XFhyW2O","properties":{"formattedCitation":"(Wiesm\\uc0\\u252{}ller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004203FC" w:rsidRPr="00D03260">
        <w:t>.</w:t>
      </w:r>
    </w:p>
    <w:p w14:paraId="3D845DD7" w14:textId="5FE16CE6" w:rsidR="00B71B01" w:rsidRPr="00D03260" w:rsidRDefault="00B56090" w:rsidP="00AF1EFC">
      <w:pPr>
        <w:pStyle w:val="NumberedHeading3"/>
        <w:numPr>
          <w:ilvl w:val="0"/>
          <w:numId w:val="0"/>
        </w:numPr>
      </w:pPr>
      <w:bookmarkStart w:id="184" w:name="Sect431RecommendedDiagnosticTests"/>
      <w:bookmarkStart w:id="185" w:name="_Toc121329148"/>
      <w:bookmarkStart w:id="186" w:name="_Toc141885885"/>
      <w:bookmarkEnd w:id="184"/>
      <w:r w:rsidRPr="00D03260">
        <w:t>4.3.1.</w:t>
      </w:r>
      <w:r w:rsidRPr="00D03260">
        <w:tab/>
      </w:r>
      <w:r w:rsidR="00B71B01" w:rsidRPr="00D03260">
        <w:t>Recommended diagnostic tests</w:t>
      </w:r>
      <w:bookmarkEnd w:id="185"/>
      <w:bookmarkEnd w:id="186"/>
    </w:p>
    <w:p w14:paraId="621D6116" w14:textId="05DB2AE4" w:rsidR="001715A7" w:rsidRPr="00D03260" w:rsidRDefault="001715A7" w:rsidP="001715A7">
      <w:r w:rsidRPr="00D03260">
        <w:t xml:space="preserve">In principle, the same guidelines and recommendations apply to the diagnostics of mould allergy as to other allergen sources that cause immediate-type allergies </w:t>
      </w:r>
      <w:r w:rsidRPr="00D03260">
        <w:fldChar w:fldCharType="begin"/>
      </w:r>
      <w:r w:rsidR="00217980" w:rsidRPr="00D03260">
        <w:instrText xml:space="preserve"> ADDIN ZOTERO_ITEM CSL_CITATION {"citationID":"3aYFyQ2U","properties":{"formattedCitation":"(Wiesm\\uc0\\u252{}ller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004203FC" w:rsidRPr="00D03260">
        <w:t>.</w:t>
      </w:r>
    </w:p>
    <w:p w14:paraId="1C22624F" w14:textId="77777777" w:rsidR="001715A7" w:rsidRPr="00D03260" w:rsidRDefault="001715A7" w:rsidP="001715A7">
      <w:r w:rsidRPr="00D03260">
        <w:t>The core element of allergy diagnostics in the AWMF guideline include:</w:t>
      </w:r>
    </w:p>
    <w:p w14:paraId="23E2E7BC" w14:textId="77777777" w:rsidR="00BF34B8" w:rsidRPr="00D03260" w:rsidRDefault="00BF34B8" w:rsidP="008B72E4">
      <w:pPr>
        <w:pStyle w:val="ListBullet"/>
      </w:pPr>
      <w:r w:rsidRPr="00D03260">
        <w:t>medical history: holistic approach; taking the psychosocial dimension into account equally as for environmental exposure and physical disease</w:t>
      </w:r>
    </w:p>
    <w:p w14:paraId="52E0CF7E" w14:textId="77777777" w:rsidR="00BF34B8" w:rsidRPr="00D03260" w:rsidRDefault="00BF34B8" w:rsidP="008B72E4">
      <w:pPr>
        <w:pStyle w:val="ListBullet"/>
      </w:pPr>
      <w:r w:rsidRPr="00D03260">
        <w:t>skin prick testing</w:t>
      </w:r>
    </w:p>
    <w:p w14:paraId="158502F5" w14:textId="069207F1" w:rsidR="00BF34B8" w:rsidRPr="00D03260" w:rsidRDefault="00BF34B8" w:rsidP="008B72E4">
      <w:pPr>
        <w:pStyle w:val="ListBullet"/>
      </w:pPr>
      <w:r w:rsidRPr="00D03260">
        <w:rPr>
          <w:i/>
          <w:iCs/>
        </w:rPr>
        <w:t>in vitro</w:t>
      </w:r>
      <w:r w:rsidRPr="00D03260">
        <w:t xml:space="preserve"> serological examination of specific IgE antibodies in type I sensitisation</w:t>
      </w:r>
      <w:r w:rsidR="00C21B0C" w:rsidRPr="00D03260">
        <w:t>,</w:t>
      </w:r>
      <w:r w:rsidRPr="00D03260">
        <w:t xml:space="preserve"> or specific IgG antibodies in </w:t>
      </w:r>
      <w:r w:rsidR="00A45089" w:rsidRPr="00D03260">
        <w:t>HP</w:t>
      </w:r>
      <w:r w:rsidRPr="00D03260">
        <w:t xml:space="preserve"> </w:t>
      </w:r>
      <w:r w:rsidR="00D82258" w:rsidRPr="00D03260">
        <w:t xml:space="preserve">only </w:t>
      </w:r>
      <w:r w:rsidRPr="00D03260">
        <w:t>(</w:t>
      </w:r>
      <w:r w:rsidR="00757459" w:rsidRPr="00D03260">
        <w:t xml:space="preserve">this is </w:t>
      </w:r>
      <w:r w:rsidRPr="00D03260">
        <w:t xml:space="preserve">noted as being </w:t>
      </w:r>
      <w:r w:rsidRPr="00D03260">
        <w:rPr>
          <w:b/>
          <w:bCs/>
        </w:rPr>
        <w:t>extremely rare</w:t>
      </w:r>
      <w:r w:rsidRPr="00D03260">
        <w:t xml:space="preserve"> in non-occupationally related indoor exposure)</w:t>
      </w:r>
    </w:p>
    <w:p w14:paraId="2ACF3BA2" w14:textId="114B4EB8" w:rsidR="00BF34B8" w:rsidRPr="00D03260" w:rsidRDefault="00BF34B8" w:rsidP="008B72E4">
      <w:pPr>
        <w:pStyle w:val="ListBullet"/>
      </w:pPr>
      <w:r w:rsidRPr="00D03260">
        <w:lastRenderedPageBreak/>
        <w:t>provocation testing (nasal, conjunctival, bronchial, as indicated)</w:t>
      </w:r>
      <w:r w:rsidR="001D1717" w:rsidRPr="00D03260">
        <w:t>:</w:t>
      </w:r>
    </w:p>
    <w:p w14:paraId="7E4F5967" w14:textId="7D139E8B" w:rsidR="008B72E4" w:rsidRPr="00D03260" w:rsidRDefault="008B72E4" w:rsidP="00893310">
      <w:pPr>
        <w:pStyle w:val="Tablelistbullet2"/>
      </w:pPr>
      <w:r w:rsidRPr="00D03260">
        <w:t>Identification of a specific IgE means that a specific sensitisation is present, but this should not be conflated with clinically relevant allergy any more than a positive skin test reaction</w:t>
      </w:r>
    </w:p>
    <w:p w14:paraId="4525D1CF" w14:textId="77777777" w:rsidR="008B72E4" w:rsidRPr="00D03260" w:rsidRDefault="008B72E4" w:rsidP="00893310">
      <w:pPr>
        <w:pStyle w:val="Tablelistbullet2"/>
      </w:pPr>
      <w:r w:rsidRPr="00D03260">
        <w:t xml:space="preserve">Negative </w:t>
      </w:r>
      <w:r w:rsidRPr="00D03260">
        <w:rPr>
          <w:i/>
          <w:iCs/>
        </w:rPr>
        <w:t>in vitro</w:t>
      </w:r>
      <w:r w:rsidRPr="00D03260">
        <w:t xml:space="preserve"> and </w:t>
      </w:r>
      <w:r w:rsidRPr="00D03260">
        <w:rPr>
          <w:i/>
          <w:iCs/>
        </w:rPr>
        <w:t>in vivo</w:t>
      </w:r>
      <w:r w:rsidRPr="00D03260">
        <w:t xml:space="preserve"> tests do not exclude sensitisation or mould allergy.</w:t>
      </w:r>
    </w:p>
    <w:p w14:paraId="45054AAB" w14:textId="20B1BA39" w:rsidR="0000179C" w:rsidRPr="00D03260" w:rsidRDefault="008E01D8" w:rsidP="00A8110A">
      <w:r w:rsidRPr="00D03260">
        <w:t>The following five conditions need to be met for a mould allergy diagnosis:</w:t>
      </w:r>
    </w:p>
    <w:p w14:paraId="747C5B71" w14:textId="368F6A4C" w:rsidR="00A8110A" w:rsidRPr="00D03260" w:rsidRDefault="00A8110A" w:rsidP="00A8110A">
      <w:pPr>
        <w:pStyle w:val="ListNumber"/>
      </w:pPr>
      <w:r w:rsidRPr="00D03260">
        <w:t>A pathogenic mould antigen is present in the environment</w:t>
      </w:r>
      <w:r w:rsidR="003A46E1" w:rsidRPr="00D03260">
        <w:t>.</w:t>
      </w:r>
    </w:p>
    <w:p w14:paraId="61CCE48D" w14:textId="36EDBF60" w:rsidR="00A8110A" w:rsidRPr="00D03260" w:rsidRDefault="00A8110A" w:rsidP="00A8110A">
      <w:pPr>
        <w:pStyle w:val="ListNumber"/>
      </w:pPr>
      <w:r w:rsidRPr="00D03260">
        <w:t>There is an unequivocal temporal relationship between allergic symptoms and exposure to the mould allergen</w:t>
      </w:r>
      <w:r w:rsidR="003A46E1" w:rsidRPr="00D03260">
        <w:t>.</w:t>
      </w:r>
    </w:p>
    <w:p w14:paraId="0C68E1A6" w14:textId="59D39094" w:rsidR="00A8110A" w:rsidRPr="00D03260" w:rsidRDefault="00A8110A" w:rsidP="00A8110A">
      <w:pPr>
        <w:pStyle w:val="ListNumber"/>
      </w:pPr>
      <w:r w:rsidRPr="00D03260">
        <w:t>Atopic predisposition is present</w:t>
      </w:r>
      <w:r w:rsidR="003A46E1" w:rsidRPr="00D03260">
        <w:t>.</w:t>
      </w:r>
    </w:p>
    <w:p w14:paraId="2EA54A6A" w14:textId="245E5B47" w:rsidR="00A8110A" w:rsidRPr="00D03260" w:rsidRDefault="00A8110A" w:rsidP="00A8110A">
      <w:pPr>
        <w:pStyle w:val="ListNumber"/>
      </w:pPr>
      <w:r w:rsidRPr="00D03260">
        <w:t>There is evidence of speciﬁc IgE formation to mould antigens</w:t>
      </w:r>
      <w:r w:rsidR="003A46E1" w:rsidRPr="00D03260">
        <w:t>.</w:t>
      </w:r>
    </w:p>
    <w:p w14:paraId="16248553" w14:textId="4C859DA1" w:rsidR="00A8110A" w:rsidRPr="00D03260" w:rsidRDefault="00A8110A" w:rsidP="00A8110A">
      <w:pPr>
        <w:pStyle w:val="ListNumber"/>
      </w:pPr>
      <w:r w:rsidRPr="00D03260">
        <w:t xml:space="preserve">Measures to avoid mould allergens exhibit clear clinical effects </w:t>
      </w:r>
      <w:r w:rsidRPr="00D03260">
        <w:fldChar w:fldCharType="begin"/>
      </w:r>
      <w:r w:rsidR="00217980" w:rsidRPr="00D03260">
        <w:instrText xml:space="preserve"> ADDIN ZOTERO_ITEM CSL_CITATION {"citationID":"LRApTASu","properties":{"formattedCitation":"(Wiesm\\uc0\\u252{}ller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rPr>
          <w:rFonts w:cs="Calibri"/>
        </w:rPr>
        <w:t>(Wiesmüller et al., 2017)</w:t>
      </w:r>
      <w:r w:rsidRPr="00D03260">
        <w:fldChar w:fldCharType="end"/>
      </w:r>
      <w:r w:rsidRPr="00D03260">
        <w:t>.</w:t>
      </w:r>
    </w:p>
    <w:p w14:paraId="4766DE47" w14:textId="460916A7" w:rsidR="00DD3306" w:rsidRPr="00D03260" w:rsidRDefault="00B56090" w:rsidP="00C6799E">
      <w:pPr>
        <w:pStyle w:val="NumberedHeading4"/>
      </w:pPr>
      <w:bookmarkStart w:id="187" w:name="_Toc121329149"/>
      <w:bookmarkStart w:id="188" w:name="_Toc141885886"/>
      <w:r w:rsidRPr="00D03260">
        <w:t>4.3.1.1.</w:t>
      </w:r>
      <w:r w:rsidRPr="00D03260">
        <w:tab/>
      </w:r>
      <w:r w:rsidR="00DD3306" w:rsidRPr="00D03260">
        <w:t>Serological investigations</w:t>
      </w:r>
      <w:bookmarkEnd w:id="187"/>
      <w:bookmarkEnd w:id="188"/>
    </w:p>
    <w:p w14:paraId="5C734025" w14:textId="13A2CC59" w:rsidR="00DC139D" w:rsidRPr="00D03260" w:rsidRDefault="00DC139D" w:rsidP="00DC139D">
      <w:r w:rsidRPr="00D03260">
        <w:t xml:space="preserve">Serological </w:t>
      </w:r>
      <w:r w:rsidRPr="00D03260">
        <w:rPr>
          <w:i/>
          <w:iCs/>
        </w:rPr>
        <w:t xml:space="preserve">in vitro </w:t>
      </w:r>
      <w:r w:rsidRPr="00D03260">
        <w:t xml:space="preserve">tests include specific IgE antibody determination in the case of IgE-mediated disease, or specific IgG antibody determination in the case of HP. While the identification of elevated specific antibodies provides a clear indication of sensitisation, the AWMF advises this does not equate to clinical relevance; although the predictive value for clinical relevance increases according to the degree of sensitisation </w:t>
      </w:r>
      <w:r w:rsidRPr="00D03260">
        <w:fldChar w:fldCharType="begin"/>
      </w:r>
      <w:r w:rsidR="00217980" w:rsidRPr="00D03260">
        <w:instrText xml:space="preserve"> ADDIN ZOTERO_ITEM CSL_CITATION {"citationID":"CnCsVKs1","properties":{"formattedCitation":"(van Kampen et al. 2008 in Wiesm\\uc0\\u252{}ller et al., 2017)","plainCitation":"(van Kampen et al. 2008 in 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Peter"},{"family":"Steiß","given":"Jens-Oliver"},{"family":"Szewszyk","given":"Regine"},{"family":"Thomas","given":"Peter"},{"family":"Valtanen","given":"Kerttu"},{"family":"Hurraß","given":"Julia"}],"issued":{"date-parts":[["2017",8]]}},"prefix":"van Kampen et al. 2008 in "}],"schema":"https://github.com/citation-style-language/schema/raw/master/csl-citation.json"} </w:instrText>
      </w:r>
      <w:r w:rsidRPr="00D03260">
        <w:fldChar w:fldCharType="separate"/>
      </w:r>
      <w:r w:rsidRPr="00D03260">
        <w:t>(van Kampen et al. 2008 in Wiesmüller et al., 2017)</w:t>
      </w:r>
      <w:r w:rsidRPr="00D03260">
        <w:fldChar w:fldCharType="end"/>
      </w:r>
      <w:r w:rsidRPr="00D03260">
        <w:t>.</w:t>
      </w:r>
    </w:p>
    <w:p w14:paraId="67738BDC" w14:textId="39E3CE45" w:rsidR="00297B8A" w:rsidRPr="00D03260" w:rsidRDefault="00B56090" w:rsidP="00C6799E">
      <w:pPr>
        <w:pStyle w:val="NumberedHeading4"/>
      </w:pPr>
      <w:bookmarkStart w:id="189" w:name="_Toc121329150"/>
      <w:bookmarkStart w:id="190" w:name="_Toc141885887"/>
      <w:r w:rsidRPr="00D03260">
        <w:t>4.3.1.2.</w:t>
      </w:r>
      <w:r w:rsidRPr="00D03260">
        <w:tab/>
      </w:r>
      <w:r w:rsidR="00297B8A" w:rsidRPr="00D03260">
        <w:t>Identification of mould-specific IgE antibodies</w:t>
      </w:r>
      <w:bookmarkEnd w:id="189"/>
      <w:bookmarkEnd w:id="190"/>
    </w:p>
    <w:p w14:paraId="1425D45A" w14:textId="4BF640D8" w:rsidR="00CF783A" w:rsidRPr="00D03260" w:rsidRDefault="00CF783A" w:rsidP="00CF783A">
      <w:r w:rsidRPr="00D03260">
        <w:t xml:space="preserve">The AWMF guideline advises that the identification of allergen-specific IgE indicates specific sensitisation, but not necessarily disease. Results can only be correctly interpreted in conjunction with medical history, clinical </w:t>
      </w:r>
      <w:proofErr w:type="gramStart"/>
      <w:r w:rsidRPr="00D03260">
        <w:t>picture</w:t>
      </w:r>
      <w:proofErr w:type="gramEnd"/>
      <w:r w:rsidRPr="00D03260">
        <w:t xml:space="preserve"> and the results of organ-specific provocation tests. Positive reactions caused by cross-sensitivity are only of partial relevance </w:t>
      </w:r>
      <w:r w:rsidRPr="00D03260">
        <w:fldChar w:fldCharType="begin"/>
      </w:r>
      <w:r w:rsidR="00217980" w:rsidRPr="00D03260">
        <w:instrText xml:space="preserve"> ADDIN ZOTERO_ITEM CSL_CITATION {"citationID":"NtRTDZ5L","properties":{"formattedCitation":"(Wiesm\\uc0\\u252{}ller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61A24CB0" w14:textId="7B3F13A7" w:rsidR="00B36A15" w:rsidRPr="00D03260" w:rsidRDefault="00B56090" w:rsidP="00C6799E">
      <w:pPr>
        <w:pStyle w:val="NumberedHeading4"/>
      </w:pPr>
      <w:bookmarkStart w:id="191" w:name="_Toc121329151"/>
      <w:bookmarkStart w:id="192" w:name="_Toc141885888"/>
      <w:r w:rsidRPr="00D03260">
        <w:t>4.3.1.3.</w:t>
      </w:r>
      <w:r w:rsidRPr="00D03260">
        <w:tab/>
      </w:r>
      <w:bookmarkStart w:id="193" w:name="Section4313MouldSpecificIgGDetermination"/>
      <w:bookmarkEnd w:id="193"/>
      <w:r w:rsidR="00B36A15" w:rsidRPr="00D03260">
        <w:t xml:space="preserve">Mould-specific IgG determination is only recommended for suspected </w:t>
      </w:r>
      <w:r w:rsidR="00D359CD" w:rsidRPr="00D03260">
        <w:t>a</w:t>
      </w:r>
      <w:r w:rsidR="00705B33" w:rsidRPr="00D03260">
        <w:t xml:space="preserve">llergic </w:t>
      </w:r>
      <w:r w:rsidR="00D359CD" w:rsidRPr="00D03260">
        <w:t>b</w:t>
      </w:r>
      <w:r w:rsidR="00705B33" w:rsidRPr="00D03260">
        <w:t xml:space="preserve">ronchopulmonary </w:t>
      </w:r>
      <w:r w:rsidR="00D359CD" w:rsidRPr="00D03260">
        <w:t>a</w:t>
      </w:r>
      <w:r w:rsidR="00705B33" w:rsidRPr="00D03260">
        <w:t>spergillosis (</w:t>
      </w:r>
      <w:r w:rsidR="00B36A15" w:rsidRPr="00D03260">
        <w:t>AB</w:t>
      </w:r>
      <w:r w:rsidR="00C56DB0" w:rsidRPr="00D03260">
        <w:t>P</w:t>
      </w:r>
      <w:r w:rsidR="00B36A15" w:rsidRPr="00D03260">
        <w:t>A</w:t>
      </w:r>
      <w:r w:rsidR="00705B33" w:rsidRPr="00D03260">
        <w:t>)</w:t>
      </w:r>
      <w:r w:rsidR="00B36A15" w:rsidRPr="00D03260">
        <w:t xml:space="preserve"> or HP</w:t>
      </w:r>
      <w:bookmarkEnd w:id="191"/>
      <w:bookmarkEnd w:id="192"/>
    </w:p>
    <w:p w14:paraId="0D5D11A9" w14:textId="602721EB" w:rsidR="006B6F42" w:rsidRPr="00D03260" w:rsidRDefault="006B6F42" w:rsidP="006B6F42">
      <w:r w:rsidRPr="00D03260">
        <w:t xml:space="preserve">Mould-specific IgG antibody determination </w:t>
      </w:r>
      <w:r w:rsidRPr="00D03260">
        <w:rPr>
          <w:b/>
          <w:bCs/>
        </w:rPr>
        <w:t>is recommended</w:t>
      </w:r>
      <w:r w:rsidRPr="00D03260">
        <w:t xml:space="preserve"> only in the case of </w:t>
      </w:r>
      <w:r w:rsidRPr="00D03260">
        <w:rPr>
          <w:b/>
          <w:bCs/>
        </w:rPr>
        <w:t>suspected A</w:t>
      </w:r>
      <w:r w:rsidR="00E21032" w:rsidRPr="00D03260">
        <w:rPr>
          <w:b/>
          <w:bCs/>
        </w:rPr>
        <w:t>B</w:t>
      </w:r>
      <w:r w:rsidRPr="00D03260">
        <w:rPr>
          <w:b/>
          <w:bCs/>
        </w:rPr>
        <w:t>PA</w:t>
      </w:r>
      <w:r w:rsidRPr="00D03260">
        <w:t xml:space="preserve"> (type I and III allergy) or </w:t>
      </w:r>
      <w:r w:rsidRPr="00D03260">
        <w:rPr>
          <w:b/>
          <w:bCs/>
        </w:rPr>
        <w:t>HP</w:t>
      </w:r>
      <w:r w:rsidRPr="00D03260">
        <w:t xml:space="preserve"> (type III and </w:t>
      </w:r>
      <w:r w:rsidR="003E5F35" w:rsidRPr="00D03260">
        <w:t>intravenous (</w:t>
      </w:r>
      <w:r w:rsidRPr="00D03260">
        <w:t>IV</w:t>
      </w:r>
      <w:r w:rsidR="003E5F35" w:rsidRPr="00D03260">
        <w:t>)</w:t>
      </w:r>
      <w:r w:rsidRPr="00D03260">
        <w:t xml:space="preserve"> allergy), as it can make a helpful contribution to diagnosis</w:t>
      </w:r>
      <w:r w:rsidR="00461773" w:rsidRPr="00D03260">
        <w:t xml:space="preserve"> </w:t>
      </w:r>
      <w:r w:rsidR="00461773" w:rsidRPr="00D03260">
        <w:fldChar w:fldCharType="begin"/>
      </w:r>
      <w:r w:rsidR="00217980" w:rsidRPr="00D03260">
        <w:instrText xml:space="preserve"> ADDIN ZOTERO_ITEM CSL_CITATION {"citationID":"FP17EQL0","properties":{"formattedCitation":"(Wiesm\\uc0\\u252{}ller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00461773" w:rsidRPr="00D03260">
        <w:fldChar w:fldCharType="separate"/>
      </w:r>
      <w:r w:rsidR="00461773" w:rsidRPr="00D03260">
        <w:rPr>
          <w:rFonts w:cs="Arial"/>
        </w:rPr>
        <w:t>(Wiesmüller et al., 2017)</w:t>
      </w:r>
      <w:r w:rsidR="00461773" w:rsidRPr="00D03260">
        <w:fldChar w:fldCharType="end"/>
      </w:r>
      <w:r w:rsidRPr="00D03260">
        <w:t>. In A</w:t>
      </w:r>
      <w:r w:rsidR="00E21032" w:rsidRPr="00D03260">
        <w:t>BP</w:t>
      </w:r>
      <w:r w:rsidRPr="00D03260">
        <w:t xml:space="preserve">A, a significant increase is not only seen in total IgE and specific IgE against </w:t>
      </w:r>
      <w:r w:rsidRPr="00D03260">
        <w:rPr>
          <w:i/>
          <w:iCs/>
        </w:rPr>
        <w:t xml:space="preserve">A. fumigatus, </w:t>
      </w:r>
      <w:r w:rsidRPr="00D03260">
        <w:t xml:space="preserve">but also in specific IgG against </w:t>
      </w:r>
      <w:r w:rsidRPr="00D03260">
        <w:rPr>
          <w:i/>
          <w:iCs/>
        </w:rPr>
        <w:t xml:space="preserve">A. fumigatus. </w:t>
      </w:r>
      <w:r w:rsidRPr="00D03260">
        <w:t xml:space="preserve">The specific IgG against </w:t>
      </w:r>
      <w:r w:rsidRPr="00D03260">
        <w:rPr>
          <w:i/>
          <w:iCs/>
        </w:rPr>
        <w:t xml:space="preserve">A. fumigatus </w:t>
      </w:r>
      <w:r w:rsidRPr="00D03260">
        <w:t>is markedly elevated compared with patients allergically sensitised to</w:t>
      </w:r>
      <w:r w:rsidRPr="00D03260">
        <w:rPr>
          <w:i/>
          <w:iCs/>
        </w:rPr>
        <w:t xml:space="preserve"> A</w:t>
      </w:r>
      <w:r w:rsidR="003E0CBF" w:rsidRPr="00D03260">
        <w:rPr>
          <w:i/>
          <w:iCs/>
        </w:rPr>
        <w:t>.</w:t>
      </w:r>
      <w:r w:rsidRPr="00D03260">
        <w:rPr>
          <w:i/>
          <w:iCs/>
        </w:rPr>
        <w:t xml:space="preserve"> fumigatus, </w:t>
      </w:r>
      <w:r w:rsidRPr="00D03260">
        <w:t>with the AWMF guideline advising it is therefore recommended in the differential diagnosis of ABPA</w:t>
      </w:r>
      <w:r w:rsidR="00E15461" w:rsidRPr="00D03260">
        <w:t xml:space="preserve"> </w:t>
      </w:r>
      <w:r w:rsidR="00E15461" w:rsidRPr="00D03260">
        <w:fldChar w:fldCharType="begin"/>
      </w:r>
      <w:r w:rsidR="00217980" w:rsidRPr="00D03260">
        <w:instrText xml:space="preserve"> ADDIN ZOTERO_ITEM CSL_CITATION {"citationID":"roYBBbZX","properties":{"formattedCitation":"(Wiesm\\uc0\\u252{}ller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00E15461" w:rsidRPr="00D03260">
        <w:fldChar w:fldCharType="separate"/>
      </w:r>
      <w:r w:rsidR="00E15461" w:rsidRPr="00D03260">
        <w:rPr>
          <w:rFonts w:cs="Arial"/>
        </w:rPr>
        <w:t>(Wiesmüller et al., 2017)</w:t>
      </w:r>
      <w:r w:rsidR="00E15461" w:rsidRPr="00D03260">
        <w:fldChar w:fldCharType="end"/>
      </w:r>
      <w:r w:rsidRPr="00D03260">
        <w:t>.</w:t>
      </w:r>
    </w:p>
    <w:p w14:paraId="467B4973" w14:textId="434A3CBF" w:rsidR="006B6F42" w:rsidRPr="00D03260" w:rsidRDefault="006B6F42" w:rsidP="006B6F42">
      <w:r w:rsidRPr="00D03260">
        <w:t xml:space="preserve">The determination of specific IgG antibodies in the diagnostic work-up for </w:t>
      </w:r>
      <w:r w:rsidRPr="00D03260">
        <w:rPr>
          <w:b/>
          <w:bCs/>
        </w:rPr>
        <w:t>immediate-type IgE mould allergy (type 1 allergy)</w:t>
      </w:r>
      <w:r w:rsidRPr="00D03260">
        <w:t xml:space="preserve"> is of no diagnostic relevance and </w:t>
      </w:r>
      <w:r w:rsidRPr="00D03260">
        <w:rPr>
          <w:b/>
          <w:bCs/>
        </w:rPr>
        <w:t>is not recommended</w:t>
      </w:r>
      <w:r w:rsidRPr="00D03260">
        <w:t xml:space="preserve"> </w:t>
      </w:r>
      <w:r w:rsidRPr="00D03260">
        <w:fldChar w:fldCharType="begin"/>
      </w:r>
      <w:r w:rsidR="00217980" w:rsidRPr="00D03260">
        <w:instrText xml:space="preserve"> ADDIN ZOTERO_ITEM CSL_CITATION {"citationID":"gkCkOq89","properties":{"formattedCitation":"(Chang &amp; Gershwin, 2019; Wiesm\\uc0\\u252{}ller et al., 2017)","plainCitation":"(Chang &amp; Gershwin, 2019; Wiesmüller et al., 2017)","noteIndex":0},"citationItems":[{"id":2208,"uris":["http://zotero.org/groups/4371185/items/SJXHQ6D7"],"itemData":{"id":2208,"type":"article-journal","abstract":"In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(Chang &amp; Gershwin, 2019; Wiesmüller et al., 2017)</w:t>
      </w:r>
      <w:r w:rsidRPr="00D03260">
        <w:fldChar w:fldCharType="end"/>
      </w:r>
      <w:r w:rsidRPr="00D03260">
        <w:t>. People develop IgGs to foreign proteins when exposed to them</w:t>
      </w:r>
      <w:r w:rsidR="00404687" w:rsidRPr="00D03260">
        <w:t>.</w:t>
      </w:r>
      <w:r w:rsidRPr="00D03260">
        <w:t xml:space="preserve"> </w:t>
      </w:r>
      <w:r w:rsidR="00404687" w:rsidRPr="00D03260">
        <w:t>H</w:t>
      </w:r>
      <w:r w:rsidRPr="00D03260">
        <w:t xml:space="preserve">owever, IgGs do not measure allergies </w:t>
      </w:r>
      <w:r w:rsidRPr="00D03260">
        <w:fldChar w:fldCharType="begin"/>
      </w:r>
      <w:r w:rsidR="00217980" w:rsidRPr="00D03260">
        <w:instrText xml:space="preserve"> ADDIN ZOTERO_ITEM CSL_CITATION {"citationID":"GoGySYee","properties":{"formattedCitation":"(Chang &amp; Gershwin, 2019)","plainCitation":"(Chang &amp; Gershwin, 2019)","noteIndex":0},"citationItems":[{"id":2208,"uris":["http://zotero.org/groups/4371185/items/SJXHQ6D7"],"itemData":{"id":2208,"type":"article-journal","abstract":"In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Eric"}],"issued":{"date-parts":[["2019",12]]}}}],"schema":"https://github.com/citation-style-language/schema/raw/master/csl-citation.json"} </w:instrText>
      </w:r>
      <w:r w:rsidRPr="00D03260">
        <w:fldChar w:fldCharType="separate"/>
      </w:r>
      <w:r w:rsidRPr="00D03260">
        <w:t>(Chang &amp; Gershwin, 2019)</w:t>
      </w:r>
      <w:r w:rsidRPr="00D03260">
        <w:fldChar w:fldCharType="end"/>
      </w:r>
      <w:r w:rsidRPr="00D03260">
        <w:t xml:space="preserve">. IgG testing is highly costly to patients and there is no clinical benefit to performing these tests </w:t>
      </w:r>
      <w:r w:rsidRPr="00D03260">
        <w:fldChar w:fldCharType="begin"/>
      </w:r>
      <w:r w:rsidR="00217980" w:rsidRPr="00D03260">
        <w:instrText xml:space="preserve"> ADDIN ZOTERO_ITEM CSL_CITATION {"citationID":"PE0pSvTD","properties":{"formattedCitation":"(Chang &amp; Gershwin, 2019)","plainCitation":"(Chang &amp; Gershwin, 2019)","noteIndex":0},"citationItems":[{"id":2208,"uris":["http://zotero.org/groups/4371185/items/SJXHQ6D7"],"itemData":{"id":2208,"type":"article-journal","abstract":"In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Eric"}],"issued":{"date-parts":[["2019",12]]}}}],"schema":"https://github.com/citation-style-language/schema/raw/master/csl-citation.json"} </w:instrText>
      </w:r>
      <w:r w:rsidRPr="00D03260">
        <w:fldChar w:fldCharType="separate"/>
      </w:r>
      <w:r w:rsidRPr="00D03260">
        <w:t>(Chang &amp; Gershwin, 2019)</w:t>
      </w:r>
      <w:r w:rsidRPr="00D03260">
        <w:fldChar w:fldCharType="end"/>
      </w:r>
      <w:r w:rsidRPr="00D03260">
        <w:t>.</w:t>
      </w:r>
    </w:p>
    <w:p w14:paraId="49CF55C3" w14:textId="3BCA348A" w:rsidR="008D4789" w:rsidRPr="00D03260" w:rsidRDefault="00A9225C" w:rsidP="00C6799E">
      <w:pPr>
        <w:pStyle w:val="NumberedHeading4"/>
      </w:pPr>
      <w:bookmarkStart w:id="194" w:name="_Toc121329152"/>
      <w:bookmarkStart w:id="195" w:name="_Toc141885889"/>
      <w:r w:rsidRPr="00D03260">
        <w:lastRenderedPageBreak/>
        <w:t>4.3.1.4.</w:t>
      </w:r>
      <w:r w:rsidRPr="00D03260">
        <w:tab/>
      </w:r>
      <w:bookmarkStart w:id="196" w:name="Section4314DiagnosticTestsForSpecificDis"/>
      <w:bookmarkEnd w:id="196"/>
      <w:r w:rsidR="008D4789" w:rsidRPr="00D03260">
        <w:t>Diagnostic tests for specific disorders</w:t>
      </w:r>
      <w:bookmarkEnd w:id="194"/>
      <w:bookmarkEnd w:id="195"/>
    </w:p>
    <w:p w14:paraId="755A3953" w14:textId="2642710A" w:rsidR="00C660DB" w:rsidRPr="00D03260" w:rsidRDefault="00C660DB" w:rsidP="00C660DB">
      <w:r w:rsidRPr="00D03260">
        <w:t xml:space="preserve">The analysis of immune complexes is confined to particular disorders of type III allergic reactions such as HP. Beyond this, it has no place in the diagnostics of mould exposure </w:t>
      </w:r>
      <w:r w:rsidRPr="00D03260">
        <w:fldChar w:fldCharType="begin"/>
      </w:r>
      <w:r w:rsidR="00217980" w:rsidRPr="00D03260">
        <w:instrText xml:space="preserve"> ADDIN ZOTERO_ITEM CSL_CITATION {"citationID":"pYYWTs09","properties":{"formattedCitation":"(Wiesm\\uc0\\u252{}ller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0F43D01A" w14:textId="57FEF367" w:rsidR="00427ED9" w:rsidRPr="00D03260" w:rsidRDefault="00551CA7" w:rsidP="00C6799E">
      <w:pPr>
        <w:pStyle w:val="NumberedHeading4"/>
      </w:pPr>
      <w:bookmarkStart w:id="197" w:name="_Toc121329153"/>
      <w:bookmarkStart w:id="198" w:name="_Toc141885890"/>
      <w:r w:rsidRPr="00D03260">
        <w:t>4.3.1.5.</w:t>
      </w:r>
      <w:r w:rsidRPr="00D03260">
        <w:tab/>
      </w:r>
      <w:r w:rsidR="00427ED9" w:rsidRPr="00D03260">
        <w:t>Provocation tests</w:t>
      </w:r>
      <w:bookmarkEnd w:id="197"/>
      <w:bookmarkEnd w:id="198"/>
    </w:p>
    <w:p w14:paraId="40680B31" w14:textId="38303135" w:rsidR="00455DAB" w:rsidRPr="00D03260" w:rsidRDefault="00455DAB" w:rsidP="00455DAB">
      <w:r w:rsidRPr="00D03260">
        <w:t>Where medical history, physical examination and serology fail to unequivocally establish the diagnosis of mould allergy, the AWMF guideline advises provocation testing may be indicated if this will significantly impact treatment, prevention, and</w:t>
      </w:r>
      <w:r w:rsidR="00D51E13" w:rsidRPr="00D03260">
        <w:t>/</w:t>
      </w:r>
      <w:r w:rsidRPr="00D03260">
        <w:t xml:space="preserve">or compensation. Organ specific provocation testing (skin testing, or nasal, conjunctival or bronchial provocation testing) is aimed at confirming the clinical relevance of existing sensitisations or supposedly observed symptoms </w:t>
      </w:r>
      <w:r w:rsidRPr="00D03260">
        <w:fldChar w:fldCharType="begin"/>
      </w:r>
      <w:r w:rsidR="00217980" w:rsidRPr="00D03260">
        <w:instrText xml:space="preserve"> ADDIN ZOTERO_ITEM CSL_CITATION {"citationID":"HPTwDXMy","properties":{"formattedCitation":"(Wiesm\\uc0\\u252{}ller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w:t>
      </w:r>
    </w:p>
    <w:p w14:paraId="3CE3EED7" w14:textId="2237D252" w:rsidR="00D53F44" w:rsidRPr="00D03260" w:rsidRDefault="00551CA7" w:rsidP="00AF1EFC">
      <w:pPr>
        <w:pStyle w:val="NumberedHeading3"/>
        <w:numPr>
          <w:ilvl w:val="0"/>
          <w:numId w:val="0"/>
        </w:numPr>
        <w:ind w:left="1440" w:hanging="1440"/>
      </w:pPr>
      <w:bookmarkStart w:id="199" w:name="Section432ProvideAdviceToPatientsAboutTh"/>
      <w:bookmarkStart w:id="200" w:name="_Toc121329154"/>
      <w:bookmarkStart w:id="201" w:name="_Toc141885891"/>
      <w:bookmarkEnd w:id="199"/>
      <w:r w:rsidRPr="00D03260">
        <w:t>4.3.2.</w:t>
      </w:r>
      <w:r w:rsidRPr="00D03260">
        <w:tab/>
      </w:r>
      <w:r w:rsidR="00D53F44" w:rsidRPr="00D03260">
        <w:t>Provide advice to patients about the tests for allergy to mould</w:t>
      </w:r>
      <w:bookmarkEnd w:id="200"/>
      <w:bookmarkEnd w:id="201"/>
    </w:p>
    <w:p w14:paraId="55795FD5" w14:textId="03DF47DF" w:rsidR="009206C1" w:rsidRPr="00D03260" w:rsidRDefault="00D53F44" w:rsidP="00D53F44">
      <w:r w:rsidRPr="00D03260">
        <w:t xml:space="preserve">Even if there is visible mould and if a patient has a negative skin prick or specific IgE blood testing to mould it is likely that their symptoms are not due to mould, but to another allergen, this most probably being dust mites </w:t>
      </w:r>
      <w:r w:rsidRPr="00D03260">
        <w:fldChar w:fldCharType="begin"/>
      </w:r>
      <w:r w:rsidR="00217980" w:rsidRPr="00D03260">
        <w:instrText xml:space="preserve"> ADDIN ZOTERO_ITEM CSL_CITATION {"citationID":"D7qTWizU","properties":{"formattedCitation":"(Chang &amp; Gershwin, 2019)","plainCitation":"(Chang &amp; Gershwin, 2019)","noteIndex":0},"citationItems":[{"id":2208,"uris":["http://zotero.org/groups/4371185/items/SJXHQ6D7"],"itemData":{"id":2208,"type":"article-journal","abstract":"In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Eric"}],"issued":{"date-parts":[["2019",12]]}}}],"schema":"https://github.com/citation-style-language/schema/raw/master/csl-citation.json"} </w:instrText>
      </w:r>
      <w:r w:rsidRPr="00D03260">
        <w:fldChar w:fldCharType="separate"/>
      </w:r>
      <w:r w:rsidRPr="00D03260">
        <w:t>(Chang &amp; Gershwin, 2019)</w:t>
      </w:r>
      <w:r w:rsidRPr="00D03260">
        <w:fldChar w:fldCharType="end"/>
      </w:r>
      <w:r w:rsidRPr="00D03260">
        <w:t xml:space="preserve">. If the patient has a positive skin test or specific IgE test for mould and has allergy symptoms this does not mean the patient has an allergy to mould as both </w:t>
      </w:r>
      <w:r w:rsidRPr="00D03260">
        <w:rPr>
          <w:i/>
          <w:iCs/>
        </w:rPr>
        <w:t>in vivo</w:t>
      </w:r>
      <w:r w:rsidRPr="00D03260">
        <w:t xml:space="preserve"> and </w:t>
      </w:r>
      <w:r w:rsidRPr="00D03260">
        <w:rPr>
          <w:i/>
          <w:iCs/>
        </w:rPr>
        <w:t>in vitro tests</w:t>
      </w:r>
      <w:r w:rsidRPr="00D03260">
        <w:t xml:space="preserve"> only test for sensitisation, not clinical allergy </w:t>
      </w:r>
      <w:r w:rsidRPr="00D03260">
        <w:fldChar w:fldCharType="begin"/>
      </w:r>
      <w:r w:rsidR="00217980" w:rsidRPr="00D03260">
        <w:instrText xml:space="preserve"> ADDIN ZOTERO_ITEM CSL_CITATION {"citationID":"r85d0q6G","properties":{"formattedCitation":"(Chang &amp; Gershwin, 2019)","plainCitation":"(Chang &amp; Gershwin, 2019)","noteIndex":0},"citationItems":[{"id":2208,"uris":["http://zotero.org/groups/4371185/items/SJXHQ6D7"],"itemData":{"id":2208,"type":"article-journal","abstract":"In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Eric"}],"issued":{"date-parts":[["2019",12]]}}}],"schema":"https://github.com/citation-style-language/schema/raw/master/csl-citation.json"} </w:instrText>
      </w:r>
      <w:r w:rsidRPr="00D03260">
        <w:fldChar w:fldCharType="separate"/>
      </w:r>
      <w:r w:rsidRPr="00D03260">
        <w:t>(Chang &amp; Gershwin, 2019)</w:t>
      </w:r>
      <w:r w:rsidRPr="00D03260">
        <w:fldChar w:fldCharType="end"/>
      </w:r>
      <w:r w:rsidRPr="00D03260">
        <w:t>. Pet dander and dust mites</w:t>
      </w:r>
      <w:r w:rsidR="00585BE6" w:rsidRPr="00D03260">
        <w:t>,</w:t>
      </w:r>
      <w:r w:rsidRPr="00D03260">
        <w:t xml:space="preserve"> that often co-exist in homes where there is mould</w:t>
      </w:r>
      <w:r w:rsidR="00585BE6" w:rsidRPr="00D03260">
        <w:t>,</w:t>
      </w:r>
      <w:r w:rsidRPr="00D03260">
        <w:t xml:space="preserve"> are much more potent than mould spores as allergic proteins and are much more relevant than mould spores on patients with allergic rhinoconjunctivitis or asthma </w:t>
      </w:r>
      <w:r w:rsidRPr="00D03260">
        <w:fldChar w:fldCharType="begin"/>
      </w:r>
      <w:r w:rsidR="00217980" w:rsidRPr="00D03260">
        <w:instrText xml:space="preserve"> ADDIN ZOTERO_ITEM CSL_CITATION {"citationID":"SyXR4BeM","properties":{"formattedCitation":"(Chang &amp; Gershwin, 2019)","plainCitation":"(Chang &amp; Gershwin, 2019)","noteIndex":0},"citationItems":[{"id":2208,"uris":["http://zotero.org/groups/4371185/items/SJXHQ6D7"],"itemData":{"id":2208,"type":"article-journal","abstract":"In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Eric"}],"issued":{"date-parts":[["2019",12]]}}}],"schema":"https://github.com/citation-style-language/schema/raw/master/csl-citation.json"} </w:instrText>
      </w:r>
      <w:r w:rsidRPr="00D03260">
        <w:fldChar w:fldCharType="separate"/>
      </w:r>
      <w:r w:rsidRPr="00D03260">
        <w:t>(Chang &amp; Gershwin, 2019)</w:t>
      </w:r>
      <w:r w:rsidRPr="00D03260">
        <w:fldChar w:fldCharType="end"/>
      </w:r>
      <w:r w:rsidRPr="00D03260">
        <w:t>.</w:t>
      </w:r>
    </w:p>
    <w:p w14:paraId="0F4E88B2" w14:textId="2C431434" w:rsidR="00D53F44" w:rsidRPr="00D03260" w:rsidRDefault="00D53F44" w:rsidP="00D53F44">
      <w:r w:rsidRPr="00D03260">
        <w:t>The AWMF guideline reinforces this, noting the sensitisation potential of moulds is considered significantly lower compared with</w:t>
      </w:r>
      <w:r w:rsidR="002852E1" w:rsidRPr="00D03260">
        <w:t xml:space="preserve"> other strong allergens (</w:t>
      </w:r>
      <w:r w:rsidRPr="00D03260">
        <w:t>for example, fur-bearing pets and house dust mites indoors, and grass and tree pollen outdoors</w:t>
      </w:r>
      <w:r w:rsidR="002852E1" w:rsidRPr="00D03260">
        <w:t>)</w:t>
      </w:r>
      <w:r w:rsidRPr="00D03260">
        <w:t xml:space="preserve"> </w:t>
      </w:r>
      <w:r w:rsidRPr="00D03260">
        <w:fldChar w:fldCharType="begin"/>
      </w:r>
      <w:r w:rsidR="00217980" w:rsidRPr="00D03260">
        <w:instrText xml:space="preserve"> ADDIN ZOTERO_ITEM CSL_CITATION {"citationID":"TeQ94oT4","properties":{"formattedCitation":"(Wiesm\\uc0\\u252{}ller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The updated I</w:t>
      </w:r>
      <w:r w:rsidR="006F4D01" w:rsidRPr="00D03260">
        <w:t>O</w:t>
      </w:r>
      <w:r w:rsidRPr="00D03260">
        <w:t xml:space="preserve">M conclusions on </w:t>
      </w:r>
      <w:r w:rsidR="002D54F5" w:rsidRPr="00D03260">
        <w:t xml:space="preserve">exacerbation of </w:t>
      </w:r>
      <w:r w:rsidRPr="00D03260">
        <w:t xml:space="preserve">asthma found sufficient evidence of a causal relationship between </w:t>
      </w:r>
      <w:r w:rsidR="00C01E80" w:rsidRPr="00D03260">
        <w:t xml:space="preserve">exacerbation of </w:t>
      </w:r>
      <w:r w:rsidRPr="00D03260">
        <w:t xml:space="preserve">asthma and exposure to house dust mite allergens, cat allergens, </w:t>
      </w:r>
      <w:r w:rsidR="008754F1" w:rsidRPr="00D03260">
        <w:t xml:space="preserve">and </w:t>
      </w:r>
      <w:r w:rsidRPr="00D03260">
        <w:t>cockroach allergens</w:t>
      </w:r>
      <w:r w:rsidR="00582646" w:rsidRPr="00D03260">
        <w:t xml:space="preserve"> (in individual</w:t>
      </w:r>
      <w:r w:rsidR="00DC67C5" w:rsidRPr="00D03260">
        <w:t>s</w:t>
      </w:r>
      <w:r w:rsidR="00582646" w:rsidRPr="00D03260">
        <w:t xml:space="preserve"> sensitised to these allergens)</w:t>
      </w:r>
      <w:r w:rsidR="007D7806" w:rsidRPr="00D03260">
        <w:t>,</w:t>
      </w:r>
      <w:r w:rsidR="00582646" w:rsidRPr="00D03260">
        <w:t xml:space="preserve"> </w:t>
      </w:r>
      <w:r w:rsidRPr="00D03260">
        <w:t xml:space="preserve">but not </w:t>
      </w:r>
      <w:r w:rsidR="00967273" w:rsidRPr="00D03260">
        <w:t xml:space="preserve">for people exposed to indoor dampness and dampness related agents </w:t>
      </w:r>
      <w:r w:rsidRPr="00D03260">
        <w:fldChar w:fldCharType="begin"/>
      </w:r>
      <w:r w:rsidR="00217980" w:rsidRPr="00D03260">
        <w:instrText xml:space="preserve"> ADDIN ZOTERO_ITEM CSL_CITATION {"citationID":"jTfndIdE","properties":{"formattedCitation":"(Kanchongkittiphon et al., 2015)","plainCitation":"(Kanchongkittiphon et al., 2015)","noteIndex":0},"citationItems":[{"id":2231,"uris":["http://zotero.org/groups/4371185/items/5BSGNUCK"],"itemData":{"id":2231,"type":"article-journal","abstract":"ackground: Previous research has found relationships between specific indoor environmental exposures and exacerbation of asthma.\n\nObjectives: In this review we provide an updated summary of knowledge from the scientific literature on indoor exposures and exacerbation of asthma.\n\nMethods: Peer-reviewed articles published from 2000 to 2013 on indoor exposures and exacerbation of asthma were identified through PubMed, from reference lists, and from authors' files. Articles that focused on modifiable indoor exposures in relation to frequency or severity of exacerbation of asthma were selected for review. Research findings were reviewed and summarized with consideration of the strength of the evidence.\n\nResults: Sixty-nine eligible articles were included. Major changed conclusions include a causal relationship with exacerbation for indoor dampness or dampness-related agents (in children); associations with exacerbation for dampness or dampness-related agents (in adults), endotoxin, and environmental tobacco smoke (in preschool children); and limited or suggestive evidence for association with exacerbation for indoor culturable Penicillium or total fungi, nitrogen dioxide, rodents (nonoccupational), feather/down pillows (protective relative to synthetic bedding), and (regardless of specific sensitization) dust mite, cockroach, dog, and dampness-related agents.\n\nDiscussion: This review, incorporating evidence reported since 2000, increases the strength of evidence linking many indoor factors to the exacerbation of asthma. Conclusions should be considered provisional until all available evidence is examined more thoroughly.\n\nConclusion: Multiple indoor exposures, especially dampness-related agents, merit increased attention to prevent exacerbation of asthma, possibly even in nonsensitized individuals. Additional research to establish causality and evaluate interventions is needed for these and other indoor exposures.","container-title":"Environmental health perspectives","ISSN":"0091-6765","issue":"1","journalAbbreviation":"Environmental health perspectives","note":"publisher: NLM-Export","page":"6-20","title":"Indoor environmental exposures and exacerbation of asthma: an update to the 2000 review by the Institute of Medicine","volume":"123","author":[{"family":"Kanchongkittiphon","given":"Watcharoot"},{"family":"Mendell","given":"Mark J"},{"family":"Gaffin","given":"Jonathan M"},{"family":"Wang","given":"Grace"},{"family":"Phipatanakul","given":"Wanda"}],"issued":{"date-parts":[["2015"]]}}}],"schema":"https://github.com/citation-style-language/schema/raw/master/csl-citation.json"} </w:instrText>
      </w:r>
      <w:r w:rsidRPr="00D03260">
        <w:fldChar w:fldCharType="separate"/>
      </w:r>
      <w:r w:rsidRPr="00D03260">
        <w:t>(Kanchongkittiphon et al., 2015)</w:t>
      </w:r>
      <w:r w:rsidRPr="00D03260">
        <w:fldChar w:fldCharType="end"/>
      </w:r>
      <w:r w:rsidRPr="00D03260">
        <w:t xml:space="preserve">. As a general rule, sensitisation, including to moulds, is not equivalent to a clinically relevant allergy </w:t>
      </w:r>
      <w:r w:rsidRPr="00D03260">
        <w:fldChar w:fldCharType="begin"/>
      </w:r>
      <w:r w:rsidR="00217980" w:rsidRPr="00D03260">
        <w:instrText xml:space="preserve"> ADDIN ZOTERO_ITEM CSL_CITATION {"citationID":"kwhg3cca","properties":{"formattedCitation":"(Wiesm\\uc0\\u252{}ller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52DEDF4B" w14:textId="7045BEA8" w:rsidR="00EA6336" w:rsidRPr="00D03260" w:rsidRDefault="00D53F44" w:rsidP="00D53F44">
      <w:r w:rsidRPr="00D03260">
        <w:t xml:space="preserve">However, if a patient is truly sensitised to mould and reports suffering from nasal symptoms such as rhinorrhoea, </w:t>
      </w:r>
      <w:proofErr w:type="gramStart"/>
      <w:r w:rsidRPr="00D03260">
        <w:t>congestion</w:t>
      </w:r>
      <w:proofErr w:type="gramEnd"/>
      <w:r w:rsidRPr="00D03260">
        <w:t xml:space="preserve"> or sneezing, then the mould spores can be a cause of their allergies. The pathophysiology of allergic rhinitis is through cross-linking of antigen-specific IgE on the surface of mast cells with consequent release of mediators such as histamine and other inflammatory substances.</w:t>
      </w:r>
      <w:r w:rsidR="00EA6336" w:rsidRPr="00D03260">
        <w:br w:type="page"/>
      </w:r>
    </w:p>
    <w:p w14:paraId="780A4F2C" w14:textId="26A78000" w:rsidR="00FB4CA7" w:rsidRPr="00D03260" w:rsidRDefault="00551CA7" w:rsidP="00AF1EFC">
      <w:pPr>
        <w:pStyle w:val="NumberedHeading2"/>
        <w:numPr>
          <w:ilvl w:val="0"/>
          <w:numId w:val="0"/>
        </w:numPr>
      </w:pPr>
      <w:bookmarkStart w:id="202" w:name="_Toc121329155"/>
      <w:bookmarkStart w:id="203" w:name="_Toc141885892"/>
      <w:r w:rsidRPr="00D03260">
        <w:t>4.4.</w:t>
      </w:r>
      <w:r w:rsidRPr="00D03260">
        <w:tab/>
      </w:r>
      <w:bookmarkStart w:id="204" w:name="Section44HPDiagnostics"/>
      <w:bookmarkEnd w:id="204"/>
      <w:r w:rsidR="00A45089" w:rsidRPr="00D03260">
        <w:t xml:space="preserve">HP </w:t>
      </w:r>
      <w:r w:rsidR="00EB56F6" w:rsidRPr="00D03260">
        <w:t>diagnostics</w:t>
      </w:r>
      <w:bookmarkEnd w:id="202"/>
      <w:bookmarkEnd w:id="203"/>
    </w:p>
    <w:p w14:paraId="3E8C30AA" w14:textId="47526AD1" w:rsidR="00FB4CA7" w:rsidRPr="00D03260" w:rsidRDefault="00FB4CA7" w:rsidP="00FB4CA7">
      <w:r w:rsidRPr="00D03260">
        <w:t xml:space="preserve">Allergic alveolitis is diagnosed with various clinical and paraclinical tests, including pathological examination and imaging of the lungs </w:t>
      </w:r>
      <w:r w:rsidRPr="00D03260">
        <w:fldChar w:fldCharType="begin"/>
      </w:r>
      <w:r w:rsidR="00217980" w:rsidRPr="00D03260">
        <w:instrText xml:space="preserve"> ADDIN ZOTERO_ITEM CSL_CITATION {"citationID":"YlV56eZk","properties":{"formattedCitation":"(Wild, Lopez et al. 2001 in World Health Organization, 2009)","plainCitation":"(Wild, Lopez et al. 2001 in 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Organization","given":""}],"contributor":[{"family":"Rosen","given":"J"}],"accessed":{"date-parts":[["2021",8,20]]},"issued":{"date-parts":[["2009"]]}},"prefix":"Wild, Lopez et al. 2001 in "}],"schema":"https://github.com/citation-style-language/schema/raw/master/csl-citation.json"} </w:instrText>
      </w:r>
      <w:r w:rsidRPr="00D03260">
        <w:fldChar w:fldCharType="separate"/>
      </w:r>
      <w:r w:rsidRPr="00D03260">
        <w:t>(Wild, Lopez et al. 2001 in World Health Organization, 2009)</w:t>
      </w:r>
      <w:r w:rsidRPr="00D03260">
        <w:fldChar w:fldCharType="end"/>
      </w:r>
      <w:r w:rsidRPr="00D03260">
        <w:t>.</w:t>
      </w:r>
    </w:p>
    <w:p w14:paraId="10F27824" w14:textId="356DE45B" w:rsidR="00FB4CA7" w:rsidRPr="00D03260" w:rsidRDefault="00FB4CA7" w:rsidP="00FB4CA7">
      <w:r w:rsidRPr="00D03260">
        <w:t xml:space="preserve">While the presentation of HP is traditionally subdivided into acute, subacute and chronic, considerable overlap in these forms of presentation has been increasingly recognised; a CT scan can be used to identify these forms </w:t>
      </w:r>
      <w:r w:rsidRPr="00D03260">
        <w:fldChar w:fldCharType="begin"/>
      </w:r>
      <w:r w:rsidR="00217980" w:rsidRPr="00D03260">
        <w:instrText xml:space="preserve"> ADDIN ZOTERO_ITEM CSL_CITATION {"citationID":"1S9Mv60F","properties":{"formattedCitation":"(Borchers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Pr="00D03260">
        <w:fldChar w:fldCharType="separate"/>
      </w:r>
      <w:r w:rsidRPr="00D03260">
        <w:t>(Borchers et al., 2017)</w:t>
      </w:r>
      <w:r w:rsidRPr="00D03260">
        <w:fldChar w:fldCharType="end"/>
      </w:r>
      <w:r w:rsidRPr="00D03260">
        <w:t xml:space="preserve">. The clinical course of the disease is variable and its diagnosis is difficult since no specific test or biomarker provides a consistent diagnosis </w:t>
      </w:r>
      <w:r w:rsidRPr="00D03260">
        <w:fldChar w:fldCharType="begin"/>
      </w:r>
      <w:r w:rsidR="00217980" w:rsidRPr="00D03260">
        <w:instrText xml:space="preserve"> ADDIN ZOTERO_ITEM CSL_CITATION {"citationID":"gtzRMw6Q","properties":{"formattedCitation":"(Baxi et al., 2016)","plainCitation":"(Baxi et al., 2016)","noteIndex":0},"citationItems":[{"id":2141,"uris":["http://zotero.org/groups/4371185/items/7BUH6L84"],"itemData":{"id":2141,"type":"article-journal","abstract":"Fungi are ubiquitous microorganisms that are present in outdoor and indoor environments. Previous research has found relationships between environmental fungal  exposures and human health effects. We reviewed recent articles focused on fungal  exposure and dampness as risk factors for respiratory disease development, symptoms,  and hypersensitivity. In particular, we reviewed the evidence suggesting that early  exposure to dampness or fungi is associated with the development of asthma and  increased asthma morbidity. Although outdoor exposure to high concentrations of  spores can cause health effects such as asthma attacks in association with  thunderstorms, most people appear to be relatively unaffected unless they are  sensitized to specific genera. Indoor exposure and dampness, however, appears to be  associated with an increased risk of developing asthma in young children and asthma  morbidity in individuals who have asthma. These are important issues because they  provide a rationale for interventions that might be considered for homes and  buildings in which there is increased fungal exposure. In addition to rhinitis and  asthma, fungus exposure is associated with a number of other illnesses including  allergic bronchopulmonary mycoses, allergic fungal sinusitis, and hypersensitivity  pneumonitis. Additional research is necessary to establish causality and evaluate  interventions for fungal- and dampness-related health effects.","container-title":"Journal of Allergy and Clinical Immunology: In Practice","DOI":"10.1016/j.jaip.2016.01.008","ISSN":"2213-2201 2213-2198","issue":"3","license":"Copyright © 2016 American Academy of Allergy, Asthma &amp; Immunology. Published by Elsevier Inc. All rights reserved.","note":"PMID: 26947460 \nPMCID: PMC4861659","page":"396-404","title":"Exposure and health effects of fungi on humans","volume":"4","author":[{"family":"Baxi","given":"Sachin N."},{"family":"Portnoy","given":"Jay M."},{"family":"Larenas-Linnemann","given":"Désirée"},{"family":"Phipatanakul","given":"Wanda"}],"issued":{"date-parts":[["2016"]]}}}],"schema":"https://github.com/citation-style-language/schema/raw/master/csl-citation.json"} </w:instrText>
      </w:r>
      <w:r w:rsidRPr="00D03260">
        <w:fldChar w:fldCharType="separate"/>
      </w:r>
      <w:r w:rsidRPr="00D03260">
        <w:t>(Baxi et al., 2016)</w:t>
      </w:r>
      <w:r w:rsidRPr="00D03260">
        <w:fldChar w:fldCharType="end"/>
      </w:r>
      <w:r w:rsidRPr="00D03260">
        <w:t>. When fungi are involved, HP is characteri</w:t>
      </w:r>
      <w:r w:rsidR="00CA264F" w:rsidRPr="00D03260">
        <w:t>s</w:t>
      </w:r>
      <w:r w:rsidRPr="00D03260">
        <w:t xml:space="preserve">ed by the presence of precipitating IgG antibodies directed at the fungus </w:t>
      </w:r>
      <w:r w:rsidRPr="00D03260">
        <w:fldChar w:fldCharType="begin"/>
      </w:r>
      <w:r w:rsidR="00217980" w:rsidRPr="00D03260">
        <w:instrText xml:space="preserve"> ADDIN ZOTERO_ITEM CSL_CITATION {"citationID":"S19hnh0V","properties":{"formattedCitation":"(Baxi et al., 2016)","plainCitation":"(Baxi et al., 2016)","noteIndex":0},"citationItems":[{"id":2141,"uris":["http://zotero.org/groups/4371185/items/7BUH6L84"],"itemData":{"id":2141,"type":"article-journal","abstract":"Fungi are ubiquitous microorganisms that are present in outdoor and indoor environments. Previous research has found relationships between environmental fungal  exposures and human health effects. We reviewed recent articles focused on fungal  exposure and dampness as risk factors for respiratory disease development, symptoms,  and hypersensitivity. In particular, we reviewed the evidence suggesting that early  exposure to dampness or fungi is associated with the development of asthma and  increased asthma morbidity. Although outdoor exposure to high concentrations of  spores can cause health effects such as asthma attacks in association with  thunderstorms, most people appear to be relatively unaffected unless they are  sensitized to specific genera. Indoor exposure and dampness, however, appears to be  associated with an increased risk of developing asthma in young children and asthma  morbidity in individuals who have asthma. These are important issues because they  provide a rationale for interventions that might be considered for homes and  buildings in which there is increased fungal exposure. In addition to rhinitis and  asthma, fungus exposure is associated with a number of other illnesses including  allergic bronchopulmonary mycoses, allergic fungal sinusitis, and hypersensitivity  pneumonitis. Additional research is necessary to establish causality and evaluate  interventions for fungal- and dampness-related health effects.","container-title":"Journal of Allergy and Clinical Immunology: In Practice","DOI":"10.1016/j.jaip.2016.01.008","ISSN":"2213-2201 2213-2198","issue":"3","license":"Copyright © 2016 American Academy of Allergy, Asthma &amp; Immunology. Published by Elsevier Inc. All rights reserved.","note":"PMID: 26947460 \nPMCID: PMC4861659","page":"396-404","title":"Exposure and health effects of fungi on humans","volume":"4","author":[{"family":"Baxi","given":"Sachin N."},{"family":"Portnoy","given":"Jay M."},{"family":"Larenas-Linnemann","given":"Désirée"},{"family":"Phipatanakul","given":"Wanda"}],"issued":{"date-parts":[["2016"]]}}}],"schema":"https://github.com/citation-style-language/schema/raw/master/csl-citation.json"} </w:instrText>
      </w:r>
      <w:r w:rsidRPr="00D03260">
        <w:fldChar w:fldCharType="separate"/>
      </w:r>
      <w:r w:rsidRPr="00D03260">
        <w:t>(Baxi et al., 2016)</w:t>
      </w:r>
      <w:r w:rsidRPr="00D03260">
        <w:fldChar w:fldCharType="end"/>
      </w:r>
      <w:r w:rsidRPr="00D03260">
        <w:t>.</w:t>
      </w:r>
    </w:p>
    <w:p w14:paraId="39AF4B3E" w14:textId="7ECB6069" w:rsidR="00BA278B" w:rsidRPr="00D03260" w:rsidRDefault="00551CA7" w:rsidP="00AF1EFC">
      <w:pPr>
        <w:pStyle w:val="NumberedHeading2"/>
        <w:numPr>
          <w:ilvl w:val="0"/>
          <w:numId w:val="0"/>
        </w:numPr>
        <w:ind w:left="720" w:hanging="720"/>
      </w:pPr>
      <w:bookmarkStart w:id="205" w:name="_Toc121329156"/>
      <w:bookmarkStart w:id="206" w:name="_Toc141885893"/>
      <w:r w:rsidRPr="00D03260">
        <w:t>4.5.</w:t>
      </w:r>
      <w:r w:rsidRPr="00D03260">
        <w:tab/>
      </w:r>
      <w:r w:rsidR="00BA278B" w:rsidRPr="00D03260">
        <w:t>Refer for laboratory testing in a NATA/RCPA accredited laboratory</w:t>
      </w:r>
      <w:bookmarkEnd w:id="205"/>
      <w:bookmarkEnd w:id="206"/>
    </w:p>
    <w:p w14:paraId="14E65F52" w14:textId="368506E3" w:rsidR="00BA278B" w:rsidRPr="00D03260" w:rsidRDefault="009D6973" w:rsidP="00A1315C">
      <w:pPr>
        <w:pStyle w:val="NumberedHeading3"/>
        <w:numPr>
          <w:ilvl w:val="0"/>
          <w:numId w:val="0"/>
        </w:numPr>
        <w:ind w:left="1440" w:hanging="1440"/>
      </w:pPr>
      <w:bookmarkStart w:id="207" w:name="_Toc121329157"/>
      <w:bookmarkStart w:id="208" w:name="_Toc141885894"/>
      <w:r w:rsidRPr="00D03260">
        <w:rPr>
          <w:rStyle w:val="BodyTextChar"/>
          <w:sz w:val="32"/>
          <w:szCs w:val="26"/>
        </w:rPr>
        <w:t>4.5.1</w:t>
      </w:r>
      <w:r w:rsidR="00A1315C" w:rsidRPr="00D03260">
        <w:rPr>
          <w:rStyle w:val="BodyTextChar"/>
          <w:sz w:val="32"/>
          <w:szCs w:val="26"/>
        </w:rPr>
        <w:t>.</w:t>
      </w:r>
      <w:r w:rsidR="00A1315C" w:rsidRPr="00D03260">
        <w:rPr>
          <w:rStyle w:val="BodyTextChar"/>
          <w:sz w:val="32"/>
          <w:szCs w:val="26"/>
        </w:rPr>
        <w:tab/>
      </w:r>
      <w:r w:rsidR="00BA278B" w:rsidRPr="00D03260">
        <w:rPr>
          <w:rStyle w:val="BodyTextChar"/>
          <w:sz w:val="32"/>
          <w:szCs w:val="26"/>
        </w:rPr>
        <w:t>NATA/RCPA Accreditation and Accredited Laboratories</w:t>
      </w:r>
      <w:bookmarkEnd w:id="207"/>
      <w:bookmarkEnd w:id="208"/>
    </w:p>
    <w:p w14:paraId="64E37F70" w14:textId="323073CA" w:rsidR="00BA278B" w:rsidRPr="00D03260" w:rsidRDefault="00BA278B" w:rsidP="00BA278B">
      <w:r w:rsidRPr="00D03260">
        <w:t>It is essential to use NATA/RCPA-accredited, internationally recognised laboratories for diagnostic testing. NATA accreditation provides a means of determining, formally recognising and promoting that</w:t>
      </w:r>
      <w:r w:rsidRPr="00D03260">
        <w:rPr>
          <w:rStyle w:val="BodyTextChar"/>
        </w:rPr>
        <w:t xml:space="preserve"> an organisation is competent to perform testing, inspection, calibration, and other related activities. Accreditation delivers confidence and underpins the quality of results. NATA’s accreditation is based on a peer-review process and is based on international standards. Since NATA accreditation is highly regarded both nationally and internationally as a reliable indicator of technical competence, use of the NATA logo and use of a NATA endorsement on reports tells prospective and current clients that the facility has been assessed against best international practice</w:t>
      </w:r>
      <w:r w:rsidR="00672228" w:rsidRPr="00D03260">
        <w:rPr>
          <w:rStyle w:val="BodyTextChar"/>
        </w:rPr>
        <w:t xml:space="preserve"> </w:t>
      </w:r>
      <w:r w:rsidR="00672228" w:rsidRPr="00D03260">
        <w:rPr>
          <w:rStyle w:val="BodyTextChar"/>
        </w:rPr>
        <w:fldChar w:fldCharType="begin"/>
      </w:r>
      <w:r w:rsidR="00217980" w:rsidRPr="00D03260">
        <w:rPr>
          <w:rStyle w:val="BodyTextChar"/>
        </w:rPr>
        <w:instrText xml:space="preserve"> ADDIN ZOTERO_ITEM CSL_CITATION {"citationID":"a6px4AhJ","properties":{"formattedCitation":"(National Association of Testing Authority, Australia, n.d.)","plainCitation":"(National Association of Testing Authority, Australia, n.d.)","noteIndex":0},"citationItems":[{"id":651,"uris":["http://zotero.org/groups/2576105/items/T22MKCMC"],"itemData":{"id":651,"type":"webpage","abstract":"Accreditation provides a means of determining, formally recognising and promoting that an organisation is competent to perform specific types of conformity assessment activities including but not limited to testing, inspection, calibration, and other related activities in a reliable credible and acc...","title":"About accreditation","URL":"https://www.nata.com.au/about-nata/about-accreditation","author":[{"literal":"National Association of Testing Authority, Australia"}]}}],"schema":"https://github.com/citation-style-language/schema/raw/master/csl-citation.json"} </w:instrText>
      </w:r>
      <w:r w:rsidR="00672228" w:rsidRPr="00D03260">
        <w:rPr>
          <w:rStyle w:val="BodyTextChar"/>
        </w:rPr>
        <w:fldChar w:fldCharType="separate"/>
      </w:r>
      <w:r w:rsidR="00672228" w:rsidRPr="00D03260">
        <w:rPr>
          <w:rFonts w:cs="Arial"/>
        </w:rPr>
        <w:t>(National Association of Testing Authority, Australia, n.d.)</w:t>
      </w:r>
      <w:r w:rsidR="00672228" w:rsidRPr="00D03260">
        <w:rPr>
          <w:rStyle w:val="BodyTextChar"/>
        </w:rPr>
        <w:fldChar w:fldCharType="end"/>
      </w:r>
      <w:r w:rsidRPr="00D03260">
        <w:rPr>
          <w:rStyle w:val="BodyTextChar"/>
        </w:rPr>
        <w:t>.</w:t>
      </w:r>
      <w:r w:rsidRPr="00D03260">
        <w:rPr>
          <w:rStyle w:val="FootnoteReference"/>
        </w:rPr>
        <w:footnoteReference w:id="10"/>
      </w:r>
    </w:p>
    <w:p w14:paraId="069CE3CD" w14:textId="4EA16EBF" w:rsidR="006D75FF" w:rsidRPr="00D03260" w:rsidRDefault="00BA278B" w:rsidP="00BA278B">
      <w:r w:rsidRPr="00D03260">
        <w:t>Additionally, RCPA notes Australia leads the world in laboratory accreditation and advises all pathology laboratories in Australia receiving funding via Medicare must be accredited by the NATA/RCPA Laboratory Accreditation Program. The Standards are set by the NPAAC. The quality management aspects of the NPAAC requirements are based on the international standard ISO 15189 Standard for Medical Laboratories</w:t>
      </w:r>
      <w:r w:rsidR="006B2BA7" w:rsidRPr="00D03260">
        <w:t xml:space="preserve"> </w:t>
      </w:r>
      <w:r w:rsidR="006B2BA7" w:rsidRPr="00D03260">
        <w:fldChar w:fldCharType="begin"/>
      </w:r>
      <w:r w:rsidR="00217980" w:rsidRPr="00D03260">
        <w:instrText xml:space="preserve"> ADDIN ZOTERO_ITEM CSL_CITATION {"citationID":"MUC4LhVv","properties":{"formattedCitation":"(Royal College of Pathologists of Australasia, n.d.)","plainCitation":"(Royal College of Pathologists of Australasia, n.d.)","noteIndex":0},"citationItems":[{"id":643,"uris":["http://zotero.org/groups/2576105/items/X37EMMHC"],"itemData":{"id":643,"type":"webpage","container-title":"Royal College of Pathologists of Australasia","title":"Lab accreditation","URL":"https://www.rcpa.edu.au/Patients/Lab-Accreditation#:%E2%89%88:text=All%20pathology%20laboratories%20in%20Australia,Accreditation%20Advisory%20Council%20(NPAAC)","author":[{"literal":"Royal College of Pathologists of Australasia"}]}}],"schema":"https://github.com/citation-style-language/schema/raw/master/csl-citation.json"} </w:instrText>
      </w:r>
      <w:r w:rsidR="006B2BA7" w:rsidRPr="00D03260">
        <w:fldChar w:fldCharType="separate"/>
      </w:r>
      <w:r w:rsidR="006B2BA7" w:rsidRPr="00D03260">
        <w:rPr>
          <w:rFonts w:cs="Arial"/>
        </w:rPr>
        <w:t>(Royal College of Pathologists of Australasia, n.d.)</w:t>
      </w:r>
      <w:r w:rsidR="006B2BA7" w:rsidRPr="00D03260">
        <w:fldChar w:fldCharType="end"/>
      </w:r>
      <w:r w:rsidRPr="00D03260">
        <w:t>.</w:t>
      </w:r>
    </w:p>
    <w:p w14:paraId="19D8BA34" w14:textId="55DF879F" w:rsidR="00C22691" w:rsidRPr="00D03260" w:rsidRDefault="005B6502" w:rsidP="00AF1EFC">
      <w:pPr>
        <w:pStyle w:val="NumberedHeading2"/>
        <w:numPr>
          <w:ilvl w:val="0"/>
          <w:numId w:val="0"/>
        </w:numPr>
        <w:ind w:left="720" w:hanging="720"/>
      </w:pPr>
      <w:bookmarkStart w:id="209" w:name="_Toc121329158"/>
      <w:bookmarkStart w:id="210" w:name="_Toc141885895"/>
      <w:r w:rsidRPr="00D03260">
        <w:t>4.6.</w:t>
      </w:r>
      <w:r w:rsidRPr="00D03260">
        <w:tab/>
      </w:r>
      <w:bookmarkStart w:id="211" w:name="Section46DiagnosticTestsThatAreNotRecomm"/>
      <w:bookmarkEnd w:id="211"/>
      <w:r w:rsidR="00C22691" w:rsidRPr="00D03260">
        <w:t>Diagnostic tests that are not recommended by international mainstream medical guidance</w:t>
      </w:r>
      <w:bookmarkEnd w:id="209"/>
      <w:bookmarkEnd w:id="210"/>
    </w:p>
    <w:p w14:paraId="2A6C24AC" w14:textId="2774DF8D" w:rsidR="00C22691" w:rsidRPr="00D03260" w:rsidRDefault="008B3F01" w:rsidP="008B3F01">
      <w:pPr>
        <w:pStyle w:val="NumberedHeading3"/>
        <w:numPr>
          <w:ilvl w:val="0"/>
          <w:numId w:val="0"/>
        </w:numPr>
      </w:pPr>
      <w:bookmarkStart w:id="212" w:name="_Toc121329159"/>
      <w:bookmarkStart w:id="213" w:name="_Toc141885896"/>
      <w:r w:rsidRPr="00D03260">
        <w:t>4.6.1.</w:t>
      </w:r>
      <w:r w:rsidRPr="00D03260">
        <w:tab/>
      </w:r>
      <w:r w:rsidR="00C22691" w:rsidRPr="00D03260">
        <w:t>Lymphocyte transformation test</w:t>
      </w:r>
      <w:bookmarkEnd w:id="212"/>
      <w:bookmarkEnd w:id="213"/>
    </w:p>
    <w:p w14:paraId="11C7B4C7" w14:textId="3281ACA1" w:rsidR="00C22691" w:rsidRPr="00D03260" w:rsidRDefault="00C22691" w:rsidP="00C22691">
      <w:r w:rsidRPr="00D03260">
        <w:t>Lymphocyte transformation testing (LTT) for mould is not indicated as a diagnostic method. This is because mould allergens do not cause type IV sensiti</w:t>
      </w:r>
      <w:r w:rsidR="00CA264F" w:rsidRPr="00D03260">
        <w:t>s</w:t>
      </w:r>
      <w:r w:rsidRPr="00D03260">
        <w:t xml:space="preserve">ation </w:t>
      </w:r>
      <w:r w:rsidRPr="00D03260">
        <w:fldChar w:fldCharType="begin"/>
      </w:r>
      <w:r w:rsidR="00217980" w:rsidRPr="00D03260">
        <w:instrText xml:space="preserve"> ADDIN ZOTERO_ITEM CSL_CITATION {"citationID":"km61fc0L","properties":{"formattedCitation":"(Wiesm\\uc0\\u252{}ller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356EE50D" w14:textId="4D8E0ECF" w:rsidR="00C22691" w:rsidRPr="00D03260" w:rsidRDefault="008B3F01" w:rsidP="008B3F01">
      <w:pPr>
        <w:pStyle w:val="NumberedHeading3"/>
        <w:numPr>
          <w:ilvl w:val="0"/>
          <w:numId w:val="0"/>
        </w:numPr>
      </w:pPr>
      <w:bookmarkStart w:id="214" w:name="_Toc121329160"/>
      <w:bookmarkStart w:id="215" w:name="_Toc141885897"/>
      <w:r w:rsidRPr="00D03260">
        <w:t>4.6.2.</w:t>
      </w:r>
      <w:r w:rsidRPr="00D03260">
        <w:tab/>
      </w:r>
      <w:bookmarkStart w:id="216" w:name="Section462MycotoxinsInSerum"/>
      <w:bookmarkEnd w:id="216"/>
      <w:r w:rsidR="00C22691" w:rsidRPr="00D03260">
        <w:t>Mycotoxins in serum</w:t>
      </w:r>
      <w:bookmarkEnd w:id="214"/>
      <w:bookmarkEnd w:id="215"/>
    </w:p>
    <w:p w14:paraId="7A55E462" w14:textId="0DD4A2D2" w:rsidR="00C22691" w:rsidRPr="00D03260" w:rsidRDefault="00C22691" w:rsidP="00C22691">
      <w:r w:rsidRPr="00D03260">
        <w:t>Testing for antibodies to mycotoxins ha</w:t>
      </w:r>
      <w:r w:rsidR="00CC4DD6" w:rsidRPr="00D03260">
        <w:t>s</w:t>
      </w:r>
      <w:r w:rsidRPr="00D03260">
        <w:t xml:space="preserve"> not been validated and has no clinical utility </w:t>
      </w:r>
      <w:r w:rsidRPr="00D03260">
        <w:fldChar w:fldCharType="begin"/>
      </w:r>
      <w:r w:rsidR="00217980" w:rsidRPr="00D03260">
        <w:instrText xml:space="preserve"> ADDIN ZOTERO_ITEM CSL_CITATION {"citationID":"2J0FUJ0a","properties":{"formattedCitation":"(Chang &amp; Gershwin, 2019; Wiesm\\uc0\\u252{}ller et al., 2017)","plainCitation":"(Chang &amp; Gershwin, 2019; Wiesmüller et al., 2017)","noteIndex":0},"citationItems":[{"id":2208,"uris":["http://zotero.org/groups/4371185/items/SJXHQ6D7"],"itemData":{"id":2208,"type":"article-journal","abstract":"In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(Chang &amp; Gershwin, 2019; Wiesmüller et al., 2017)</w:t>
      </w:r>
      <w:r w:rsidRPr="00D03260">
        <w:fldChar w:fldCharType="end"/>
      </w:r>
      <w:r w:rsidRPr="00D03260">
        <w:t xml:space="preserve">. Current analytical possibilities do not permit reliable determination or evaluation of indoor mycotoxin exposure. The determination of mycotoxins in blood, serum or urine is of no relevance in practical medicine, and for the time being, must remain confined to scientific investigations </w:t>
      </w:r>
      <w:r w:rsidRPr="00D03260">
        <w:fldChar w:fldCharType="begin"/>
      </w:r>
      <w:r w:rsidR="00217980" w:rsidRPr="00D03260">
        <w:instrText xml:space="preserve"> ADDIN ZOTERO_ITEM CSL_CITATION {"citationID":"u5rrm9uZ","properties":{"formattedCitation":"(Wiesm\\uc0\\u252{}ller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r w:rsidR="00B602A5" w:rsidRPr="00D03260">
        <w:t xml:space="preserve"> See</w:t>
      </w:r>
      <w:r w:rsidR="00A96108" w:rsidRPr="00D03260">
        <w:t> </w:t>
      </w:r>
      <w:hyperlink w:anchor="AppendixCUnlikelyDifferentialDiagnosesOr" w:history="1">
        <w:r w:rsidR="005537A3" w:rsidRPr="00D03260">
          <w:rPr>
            <w:rStyle w:val="Hyperlink"/>
          </w:rPr>
          <w:t xml:space="preserve">Appendix </w:t>
        </w:r>
        <w:r w:rsidR="0092246B" w:rsidRPr="00D03260">
          <w:rPr>
            <w:rStyle w:val="Hyperlink"/>
          </w:rPr>
          <w:t>C</w:t>
        </w:r>
      </w:hyperlink>
      <w:r w:rsidR="00271A1A" w:rsidRPr="00D03260">
        <w:t xml:space="preserve"> for more information</w:t>
      </w:r>
      <w:r w:rsidR="00AB2AFB" w:rsidRPr="00D03260">
        <w:t xml:space="preserve"> on ‘</w:t>
      </w:r>
      <w:r w:rsidR="00820EA5" w:rsidRPr="00D03260">
        <w:t>Concerns about unvalidated tests and testing to detect mycotoxins in humans’</w:t>
      </w:r>
      <w:r w:rsidR="00271A1A" w:rsidRPr="00D03260">
        <w:t>.</w:t>
      </w:r>
    </w:p>
    <w:p w14:paraId="4C277A70" w14:textId="0BCEE0DE" w:rsidR="00C22691" w:rsidRPr="00D03260" w:rsidRDefault="008B3F01" w:rsidP="008B3F01">
      <w:pPr>
        <w:pStyle w:val="NumberedHeading3"/>
        <w:numPr>
          <w:ilvl w:val="0"/>
          <w:numId w:val="0"/>
        </w:numPr>
      </w:pPr>
      <w:bookmarkStart w:id="217" w:name="_Toc121329161"/>
      <w:bookmarkStart w:id="218" w:name="_Toc141885898"/>
      <w:r w:rsidRPr="00D03260">
        <w:t>4.6.3.</w:t>
      </w:r>
      <w:r w:rsidRPr="00D03260">
        <w:tab/>
      </w:r>
      <w:r w:rsidR="00C22691" w:rsidRPr="00D03260">
        <w:t>Cytokines and eosinophil cationic protein (ECP)</w:t>
      </w:r>
      <w:bookmarkEnd w:id="217"/>
      <w:bookmarkEnd w:id="218"/>
    </w:p>
    <w:p w14:paraId="2190F7D3" w14:textId="3C02F11C" w:rsidR="00C22691" w:rsidRPr="00D03260" w:rsidRDefault="00C22691" w:rsidP="00C22691">
      <w:r w:rsidRPr="00D03260">
        <w:t xml:space="preserve">No special indication occurs for these nonspecific markers of eosinophil activation and recruitment in the identification of mould allergy </w:t>
      </w:r>
      <w:r w:rsidRPr="00D03260">
        <w:fldChar w:fldCharType="begin"/>
      </w:r>
      <w:r w:rsidR="00217980" w:rsidRPr="00D03260">
        <w:instrText xml:space="preserve"> ADDIN ZOTERO_ITEM CSL_CITATION {"citationID":"Qv8Vpbvm","properties":{"formattedCitation":"(Wiesm\\uc0\\u252{}ller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51802B06" w14:textId="6354317F" w:rsidR="00C22691" w:rsidRPr="00D03260" w:rsidRDefault="008B3F01" w:rsidP="008B3F01">
      <w:pPr>
        <w:pStyle w:val="NumberedHeading3"/>
        <w:numPr>
          <w:ilvl w:val="0"/>
          <w:numId w:val="0"/>
        </w:numPr>
      </w:pPr>
      <w:bookmarkStart w:id="219" w:name="_Toc121329162"/>
      <w:bookmarkStart w:id="220" w:name="_Toc141885899"/>
      <w:r w:rsidRPr="00D03260">
        <w:t>4.6.4.</w:t>
      </w:r>
      <w:r w:rsidRPr="00D03260">
        <w:tab/>
      </w:r>
      <w:r w:rsidR="00C22691" w:rsidRPr="00D03260">
        <w:t>Toxicological diagnostics</w:t>
      </w:r>
      <w:bookmarkEnd w:id="219"/>
      <w:bookmarkEnd w:id="220"/>
    </w:p>
    <w:p w14:paraId="3CFF690F" w14:textId="0D32FE19" w:rsidR="00F37635" w:rsidRPr="00D03260" w:rsidRDefault="00C22691" w:rsidP="00C22691">
      <w:pPr>
        <w:pStyle w:val="BodyText"/>
      </w:pPr>
      <w:r w:rsidRPr="00D03260">
        <w:t>Currently</w:t>
      </w:r>
      <w:r w:rsidR="003A4293" w:rsidRPr="00D03260">
        <w:t>,</w:t>
      </w:r>
      <w:r w:rsidRPr="00D03260">
        <w:t xml:space="preserve"> there are no practicable and validated toxicological test methods that could be applied in clinical diagnostic practice for indoor mould exposure </w:t>
      </w:r>
      <w:r w:rsidRPr="00D03260">
        <w:fldChar w:fldCharType="begin"/>
      </w:r>
      <w:r w:rsidR="00217980" w:rsidRPr="00D03260">
        <w:instrText xml:space="preserve"> ADDIN ZOTERO_ITEM CSL_CITATION {"citationID":"i7FVdVvl","properties":{"formattedCitation":"(Wiesm\\uc0\\u252{}ller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2D627CB5" w14:textId="7DCF6C21" w:rsidR="00FC08AA" w:rsidRPr="00D03260" w:rsidRDefault="008051B8" w:rsidP="00317A21">
      <w:pPr>
        <w:pStyle w:val="NumberedHeading2"/>
        <w:numPr>
          <w:ilvl w:val="0"/>
          <w:numId w:val="0"/>
        </w:numPr>
        <w:ind w:left="720" w:hanging="720"/>
        <w:rPr>
          <w:rFonts w:cstheme="minorHAnsi"/>
        </w:rPr>
      </w:pPr>
      <w:bookmarkStart w:id="221" w:name="_Toc121329163"/>
      <w:bookmarkStart w:id="222" w:name="Section47PersistentDebilitatingSymptoms"/>
      <w:bookmarkStart w:id="223" w:name="_Toc107998599"/>
      <w:bookmarkStart w:id="224" w:name="_Toc141885900"/>
      <w:r w:rsidRPr="00D03260">
        <w:t>4.</w:t>
      </w:r>
      <w:r w:rsidR="007B3DD4" w:rsidRPr="00D03260">
        <w:t>7</w:t>
      </w:r>
      <w:r w:rsidRPr="00D03260">
        <w:t>.</w:t>
      </w:r>
      <w:r w:rsidRPr="00D03260">
        <w:tab/>
      </w:r>
      <w:r w:rsidR="006B0F9C" w:rsidRPr="00D03260">
        <w:t>Patient presenting with persistent debilitating symptoms and no diagnosis</w:t>
      </w:r>
      <w:bookmarkEnd w:id="221"/>
      <w:bookmarkEnd w:id="222"/>
      <w:bookmarkEnd w:id="223"/>
      <w:bookmarkEnd w:id="224"/>
    </w:p>
    <w:p w14:paraId="682ED6AB" w14:textId="62723C30" w:rsidR="00BB40EA" w:rsidRPr="00D03260" w:rsidRDefault="00BB40EA" w:rsidP="00BB40EA">
      <w:pPr>
        <w:pStyle w:val="Boxtext"/>
        <w:rPr>
          <w:rFonts w:ascii="Calibri" w:hAnsi="Calibri"/>
          <w:b/>
          <w:bCs/>
          <w:lang w:val="en-AU" w:eastAsia="en-NZ"/>
        </w:rPr>
      </w:pPr>
      <w:r w:rsidRPr="00D03260">
        <w:rPr>
          <w:lang w:val="en-AU"/>
        </w:rPr>
        <w:t xml:space="preserve">This section is aligned with the Australian Government Department of Health DSCATT Clinical Pathway, published in October 2020. The guidance can be applied when considering diagnostic testing for patients with unresolved debilitating symptoms with a history of exposure to indoor damp or mould, and where symptoms are not associated with asthma, respiratory or allergic conditions. </w:t>
      </w:r>
    </w:p>
    <w:p w14:paraId="2903575C" w14:textId="55B05161" w:rsidR="006B0F9C" w:rsidRPr="00D03260" w:rsidRDefault="006B0F9C" w:rsidP="006B0F9C">
      <w:pPr>
        <w:rPr>
          <w:lang w:eastAsia="en-GB"/>
        </w:rPr>
      </w:pPr>
      <w:r w:rsidRPr="00D03260">
        <w:rPr>
          <w:rFonts w:cstheme="minorHAnsi"/>
        </w:rPr>
        <w:t xml:space="preserve">Investigations should be underpinned by clinical evidence. </w:t>
      </w:r>
      <w:r w:rsidRPr="00D03260">
        <w:rPr>
          <w:lang w:eastAsia="en-GB"/>
        </w:rPr>
        <w:t xml:space="preserve">International evidence indicates patients with MUS are at risk of potentially harmful additional testing and are often subjected to repeated diagnostic investigations, and unnecessary and costly referrals and interventions. Unnecessary investigations that do not show anything are often not reassuring. They can make someone worry that there is something still to be found and more tests are needed. </w:t>
      </w:r>
    </w:p>
    <w:p w14:paraId="003B3473" w14:textId="77599515" w:rsidR="006D75FF" w:rsidRPr="00D03260" w:rsidRDefault="006B0F9C" w:rsidP="006B0F9C">
      <w:r w:rsidRPr="00D03260">
        <w:rPr>
          <w:lang w:eastAsia="en-GB"/>
        </w:rPr>
        <w:t xml:space="preserve">For fatigue, </w:t>
      </w:r>
      <w:r w:rsidRPr="00D03260">
        <w:t>diagnostic testing is determined by the differential diagnosis as per normal clinical practice</w:t>
      </w:r>
      <w:r w:rsidR="00F31EA1" w:rsidRPr="00D03260">
        <w:t xml:space="preserve"> </w:t>
      </w:r>
      <w:r w:rsidR="00F31EA1" w:rsidRPr="00D03260">
        <w:fldChar w:fldCharType="begin"/>
      </w:r>
      <w:r w:rsidR="00217980" w:rsidRPr="00D03260">
        <w:instrText xml:space="preserve"> ADDIN ZOTERO_ITEM CSL_CITATION {"citationID":"ntlmKM0H","properties":{"formattedCitation":"(Murtagh, 2003)","plainCitation":"(Murtagh, 2003)","noteIndex":0},"citationItems":[{"id":608,"uris":["http://zotero.org/groups/2576105/items/UHJQ6EGN"],"itemData":{"id":608,"type":"article-journal","container-title":"Australian Family Physician","ISSN":"0300-8495","issue":"11","page":"873-876","title":"Fatigue - a general diagnostic approach","volume":"32","author":[{"family":"Murtagh","given":"John"}],"issued":{"date-parts":[["2003"]]}}}],"schema":"https://github.com/citation-style-language/schema/raw/master/csl-citation.json"} </w:instrText>
      </w:r>
      <w:r w:rsidR="00F31EA1" w:rsidRPr="00D03260">
        <w:fldChar w:fldCharType="separate"/>
      </w:r>
      <w:r w:rsidR="00F31EA1" w:rsidRPr="00D03260">
        <w:rPr>
          <w:rFonts w:cs="Arial"/>
        </w:rPr>
        <w:t>(Murtagh, 2003)</w:t>
      </w:r>
      <w:r w:rsidR="00F31EA1" w:rsidRPr="00D03260">
        <w:fldChar w:fldCharType="end"/>
      </w:r>
      <w:r w:rsidRPr="00D03260">
        <w:t>.</w:t>
      </w:r>
      <w:r w:rsidR="00FF1622" w:rsidRPr="00D03260">
        <w:t xml:space="preserve"> </w:t>
      </w:r>
      <w:r w:rsidR="006D75FF" w:rsidRPr="00D03260">
        <w:br w:type="page"/>
      </w:r>
    </w:p>
    <w:p w14:paraId="278F9F5F" w14:textId="54A41FCA" w:rsidR="00D3544B" w:rsidRPr="00D03260" w:rsidRDefault="008E6B7A" w:rsidP="00AF1EFC">
      <w:pPr>
        <w:pStyle w:val="NumberedHeading1"/>
        <w:ind w:left="360"/>
      </w:pPr>
      <w:bookmarkStart w:id="225" w:name="_Toc121329164"/>
      <w:bookmarkStart w:id="226" w:name="_Toc141885901"/>
      <w:r w:rsidRPr="00D03260">
        <w:t>Diagnosis</w:t>
      </w:r>
      <w:bookmarkEnd w:id="225"/>
      <w:bookmarkEnd w:id="226"/>
    </w:p>
    <w:p w14:paraId="1FC5C5A4" w14:textId="28FD91EC" w:rsidR="008E6B7A" w:rsidRPr="00D03260" w:rsidRDefault="008051B8" w:rsidP="00AF1EFC">
      <w:pPr>
        <w:pStyle w:val="NumberedHeading2"/>
        <w:numPr>
          <w:ilvl w:val="0"/>
          <w:numId w:val="0"/>
        </w:numPr>
      </w:pPr>
      <w:bookmarkStart w:id="227" w:name="_Toc121329165"/>
      <w:bookmarkStart w:id="228" w:name="_Toc141885902"/>
      <w:r w:rsidRPr="00D03260">
        <w:t>5.1.</w:t>
      </w:r>
      <w:r w:rsidRPr="00D03260">
        <w:tab/>
      </w:r>
      <w:bookmarkStart w:id="229" w:name="Section51Asthma"/>
      <w:bookmarkEnd w:id="229"/>
      <w:r w:rsidR="00D6377F" w:rsidRPr="00D03260">
        <w:t>Asthma</w:t>
      </w:r>
      <w:bookmarkEnd w:id="227"/>
      <w:bookmarkEnd w:id="228"/>
    </w:p>
    <w:p w14:paraId="7A2D082A" w14:textId="3D689985" w:rsidR="00BC619E" w:rsidRPr="00D03260" w:rsidRDefault="00C57563" w:rsidP="00AF1EFC">
      <w:pPr>
        <w:pStyle w:val="NumberedHeading3"/>
        <w:numPr>
          <w:ilvl w:val="0"/>
          <w:numId w:val="0"/>
        </w:numPr>
      </w:pPr>
      <w:bookmarkStart w:id="230" w:name="_Toc121329166"/>
      <w:bookmarkStart w:id="231" w:name="_Toc141885903"/>
      <w:r w:rsidRPr="00D03260">
        <w:t>5.1.1.</w:t>
      </w:r>
      <w:r w:rsidRPr="00D03260">
        <w:tab/>
      </w:r>
      <w:bookmarkStart w:id="232" w:name="Section511ConfirmedDiagnosisOfAsthmaInAd"/>
      <w:bookmarkEnd w:id="232"/>
      <w:r w:rsidR="00BC619E" w:rsidRPr="00D03260">
        <w:t>Confirmed diagnosis of asthma in adults</w:t>
      </w:r>
      <w:bookmarkEnd w:id="230"/>
      <w:bookmarkEnd w:id="231"/>
      <w:r w:rsidR="00BC619E" w:rsidRPr="00D03260">
        <w:t xml:space="preserve"> </w:t>
      </w:r>
    </w:p>
    <w:p w14:paraId="3F3180E0" w14:textId="12A3F39D" w:rsidR="00C16007" w:rsidRPr="00D03260" w:rsidRDefault="00C16007" w:rsidP="00C16007">
      <w:r w:rsidRPr="00D03260">
        <w:t xml:space="preserve">Follow the Australian Asthma Handbook guidelines </w:t>
      </w:r>
      <w:r w:rsidR="004B3890" w:rsidRPr="00D03260">
        <w:fldChar w:fldCharType="begin"/>
      </w:r>
      <w:r w:rsidR="00217980" w:rsidRPr="00D03260">
        <w:instrText xml:space="preserve"> ADDIN ZOTERO_ITEM CSL_CITATION {"citationID":"HNG4ql5o","properties":{"formattedCitation":"(National Asthma Council Australia, 2022)","plainCitation":"(National Asthma Council Australia, 2022)","noteIndex":0},"citationItems":[{"id":4705,"uris":["http://zotero.org/groups/4371185/items/5Y5IQIDN"],"itemData":{"id":4705,"type":"document","publisher":"National Asthma Council Australia, Melbourne","title":"Australian Asthma Handbook- Version 2.2","URL":"http://www.asthmahandbook.org.au","author":[{"family":"National Asthma Council Australia","given":""}],"issued":{"date-parts":[["2022"]]}}}],"schema":"https://github.com/citation-style-language/schema/raw/master/csl-citation.json"} </w:instrText>
      </w:r>
      <w:r w:rsidR="004B3890" w:rsidRPr="00D03260">
        <w:fldChar w:fldCharType="separate"/>
      </w:r>
      <w:r w:rsidR="004B3890" w:rsidRPr="00D03260">
        <w:rPr>
          <w:rFonts w:cs="Arial"/>
        </w:rPr>
        <w:t>(National Asthma Council Australia, 2022)</w:t>
      </w:r>
      <w:r w:rsidR="004B3890" w:rsidRPr="00D03260">
        <w:fldChar w:fldCharType="end"/>
      </w:r>
      <w:r w:rsidR="00DB3403" w:rsidRPr="00D03260">
        <w:t xml:space="preserve"> </w:t>
      </w:r>
      <w:r w:rsidRPr="00D03260">
        <w:t>and recommendations on making a diagnosis of asthma in adults</w:t>
      </w:r>
      <w:r w:rsidR="00402833" w:rsidRPr="00D03260">
        <w:t>;</w:t>
      </w:r>
      <w:r w:rsidRPr="00D03260">
        <w:t xml:space="preserve"> </w:t>
      </w:r>
      <w:hyperlink r:id="rId62" w:history="1">
        <w:r w:rsidRPr="00D03260">
          <w:rPr>
            <w:rStyle w:val="Hyperlink"/>
          </w:rPr>
          <w:t>https://www.asthmahandbook.org.au/diagnosis/adults/making-a-diagnosis</w:t>
        </w:r>
      </w:hyperlink>
    </w:p>
    <w:p w14:paraId="324C3D5B" w14:textId="09970747" w:rsidR="00BC619E" w:rsidRPr="00D03260" w:rsidRDefault="00C16007" w:rsidP="00BC619E">
      <w:r w:rsidRPr="00D03260">
        <w:t xml:space="preserve">Make a diagnosis of asthma if </w:t>
      </w:r>
      <w:proofErr w:type="gramStart"/>
      <w:r w:rsidRPr="00D03260">
        <w:t>all of</w:t>
      </w:r>
      <w:proofErr w:type="gramEnd"/>
      <w:r w:rsidRPr="00D03260">
        <w:t xml:space="preserve"> the following apply:</w:t>
      </w:r>
    </w:p>
    <w:p w14:paraId="2EB9830E" w14:textId="19A9BE07" w:rsidR="00011C69" w:rsidRPr="00D03260" w:rsidRDefault="00011C69" w:rsidP="00011C69">
      <w:pPr>
        <w:pStyle w:val="ListBullet"/>
      </w:pPr>
      <w:r w:rsidRPr="00D03260">
        <w:t xml:space="preserve">The person has a history of variable symptoms (especially </w:t>
      </w:r>
      <w:r w:rsidR="003A111E" w:rsidRPr="00D03260">
        <w:t>cough</w:t>
      </w:r>
      <w:r w:rsidRPr="00D03260">
        <w:t xml:space="preserve">, chest tightness, </w:t>
      </w:r>
      <w:proofErr w:type="gramStart"/>
      <w:r w:rsidRPr="00D03260">
        <w:t>wheeze</w:t>
      </w:r>
      <w:proofErr w:type="gramEnd"/>
      <w:r w:rsidRPr="00D03260">
        <w:t xml:space="preserve"> and shortness of breath)</w:t>
      </w:r>
      <w:r w:rsidR="004E5CA3" w:rsidRPr="00D03260">
        <w:t>.</w:t>
      </w:r>
    </w:p>
    <w:p w14:paraId="1DE576AC" w14:textId="0FB1BA68" w:rsidR="00011C69" w:rsidRPr="00D03260" w:rsidRDefault="00011C69" w:rsidP="00011C69">
      <w:pPr>
        <w:pStyle w:val="ListBullet"/>
      </w:pPr>
      <w:r w:rsidRPr="00D03260">
        <w:t>Expiratory airflow limitation has been demonstrated (FEV</w:t>
      </w:r>
      <w:r w:rsidRPr="00D03260">
        <w:rPr>
          <w:vertAlign w:val="subscript"/>
        </w:rPr>
        <w:t>1</w:t>
      </w:r>
      <w:r w:rsidR="005F1600" w:rsidRPr="00D03260">
        <w:t>/</w:t>
      </w:r>
      <w:r w:rsidRPr="00D03260">
        <w:t>VC less than lower limit of normal for age)</w:t>
      </w:r>
      <w:r w:rsidR="004E5CA3" w:rsidRPr="00D03260">
        <w:t>.</w:t>
      </w:r>
    </w:p>
    <w:p w14:paraId="07065C03" w14:textId="77777777" w:rsidR="00011C69" w:rsidRPr="00D03260" w:rsidRDefault="00011C69" w:rsidP="00011C69">
      <w:pPr>
        <w:pStyle w:val="ListBullet"/>
      </w:pPr>
      <w:r w:rsidRPr="00D03260">
        <w:t>Expiratory airflow limitation has been shown to be variable.</w:t>
      </w:r>
    </w:p>
    <w:p w14:paraId="1A04830F" w14:textId="77777777" w:rsidR="00011C69" w:rsidRPr="00D03260" w:rsidRDefault="00011C69" w:rsidP="00011C69">
      <w:pPr>
        <w:pStyle w:val="ListBullet"/>
      </w:pPr>
      <w:r w:rsidRPr="00D03260">
        <w:t>There are no signs that suggest an alternative diagnosis.</w:t>
      </w:r>
    </w:p>
    <w:p w14:paraId="2B31A7D9" w14:textId="261A042D" w:rsidR="00B92246" w:rsidRPr="00D03260" w:rsidRDefault="00C57563" w:rsidP="00AF1EFC">
      <w:pPr>
        <w:pStyle w:val="NumberedHeading3"/>
        <w:numPr>
          <w:ilvl w:val="0"/>
          <w:numId w:val="0"/>
        </w:numPr>
        <w:ind w:left="1440" w:hanging="1440"/>
      </w:pPr>
      <w:bookmarkStart w:id="233" w:name="_Toc121329167"/>
      <w:bookmarkStart w:id="234" w:name="_Toc141885904"/>
      <w:r w:rsidRPr="00D03260">
        <w:t>5.1.2.</w:t>
      </w:r>
      <w:r w:rsidRPr="00D03260">
        <w:tab/>
      </w:r>
      <w:r w:rsidR="00B92246" w:rsidRPr="00D03260">
        <w:t>No confirmed diagnosis of asthma in adults- consider alternative diagnoses</w:t>
      </w:r>
      <w:bookmarkEnd w:id="233"/>
      <w:bookmarkEnd w:id="234"/>
    </w:p>
    <w:p w14:paraId="009C3E9A" w14:textId="39837C52" w:rsidR="00523805" w:rsidRPr="00D03260" w:rsidRDefault="00523805" w:rsidP="00523805">
      <w:r w:rsidRPr="00D03260">
        <w:t>If no confirmed diagnosis of asthma, consider alternative diagnoses for respiratory symptoms</w:t>
      </w:r>
      <w:r w:rsidR="00402833" w:rsidRPr="00D03260">
        <w:t>;</w:t>
      </w:r>
      <w:r w:rsidRPr="00D03260">
        <w:t xml:space="preserve"> </w:t>
      </w:r>
      <w:hyperlink r:id="rId63" w:history="1">
        <w:r w:rsidRPr="00D03260">
          <w:rPr>
            <w:rStyle w:val="Hyperlink"/>
          </w:rPr>
          <w:t>https://www.asthmahandbook.org.au/diagnosis/adults/alternative-diagnoses</w:t>
        </w:r>
      </w:hyperlink>
      <w:r w:rsidRPr="00D03260">
        <w:t xml:space="preserve">. </w:t>
      </w:r>
      <w:r w:rsidR="00181A3C" w:rsidRPr="00D03260">
        <w:t xml:space="preserve">The </w:t>
      </w:r>
      <w:r w:rsidR="00436595" w:rsidRPr="00D03260">
        <w:t xml:space="preserve">Australian Asthma Handbook </w:t>
      </w:r>
      <w:r w:rsidR="00436595" w:rsidRPr="00D03260">
        <w:fldChar w:fldCharType="begin"/>
      </w:r>
      <w:r w:rsidR="00217980" w:rsidRPr="00D03260">
        <w:instrText xml:space="preserve"> ADDIN ZOTERO_ITEM CSL_CITATION {"citationID":"Kwg99LIB","properties":{"formattedCitation":"(National Asthma Council Australia, 2022)","plainCitation":"(National Asthma Council Australia, 2022)","noteIndex":0},"citationItems":[{"id":4705,"uris":["http://zotero.org/groups/4371185/items/5Y5IQIDN"],"itemData":{"id":4705,"type":"document","publisher":"National Asthma Council Australia, Melbourne","title":"Australian Asthma Handbook- Version 2.2","URL":"http://www.asthmahandbook.org.au","author":[{"family":"National Asthma Council Australia","given":""}],"issued":{"date-parts":[["2022"]]}}}],"schema":"https://github.com/citation-style-language/schema/raw/master/csl-citation.json"} </w:instrText>
      </w:r>
      <w:r w:rsidR="00436595" w:rsidRPr="00D03260">
        <w:fldChar w:fldCharType="separate"/>
      </w:r>
      <w:r w:rsidR="00436595" w:rsidRPr="00D03260">
        <w:rPr>
          <w:rFonts w:cs="Arial"/>
        </w:rPr>
        <w:t>(National Asthma Council Australia, 2022)</w:t>
      </w:r>
      <w:r w:rsidR="00436595" w:rsidRPr="00D03260">
        <w:fldChar w:fldCharType="end"/>
      </w:r>
      <w:r w:rsidR="00FE232B" w:rsidRPr="00D03260">
        <w:t xml:space="preserve"> advises that a</w:t>
      </w:r>
      <w:r w:rsidRPr="00D03260">
        <w:t>lternative diagnoses for respiratory symptoms in adults include:</w:t>
      </w:r>
    </w:p>
    <w:p w14:paraId="051A530B" w14:textId="6FCDB230" w:rsidR="00523805" w:rsidRPr="00D03260" w:rsidRDefault="00AE200E" w:rsidP="00523805">
      <w:pPr>
        <w:pStyle w:val="ListBullet"/>
      </w:pPr>
      <w:r w:rsidRPr="00D03260">
        <w:t>p</w:t>
      </w:r>
      <w:r w:rsidR="00523805" w:rsidRPr="00D03260">
        <w:t>oor cardiopulmonary fitness</w:t>
      </w:r>
    </w:p>
    <w:p w14:paraId="5DF09035" w14:textId="4C26F398" w:rsidR="00523805" w:rsidRPr="00D03260" w:rsidRDefault="00AE200E" w:rsidP="00523805">
      <w:pPr>
        <w:pStyle w:val="ListBullet"/>
      </w:pPr>
      <w:r w:rsidRPr="00D03260">
        <w:t>o</w:t>
      </w:r>
      <w:r w:rsidR="00523805" w:rsidRPr="00D03260">
        <w:t>ther respiratory conditions (e.g.</w:t>
      </w:r>
      <w:r w:rsidR="000800FF" w:rsidRPr="00D03260">
        <w:t>,</w:t>
      </w:r>
      <w:r w:rsidR="00523805" w:rsidRPr="00D03260">
        <w:t xml:space="preserve"> bronchiectasis, COPD, hyperventilation/dysfunctional breathing, inhaled foreign body, large airway stenosis, pleural effusion, pulmonary fibrosis, rhinitis/rhinosinusitis, upper airway dysfunction</w:t>
      </w:r>
    </w:p>
    <w:p w14:paraId="70D923F7" w14:textId="51EF06CE" w:rsidR="00523805" w:rsidRPr="00D03260" w:rsidRDefault="00AE200E" w:rsidP="00523805">
      <w:pPr>
        <w:pStyle w:val="ListBullet"/>
      </w:pPr>
      <w:r w:rsidRPr="00D03260">
        <w:t>c</w:t>
      </w:r>
      <w:r w:rsidR="00523805" w:rsidRPr="00D03260">
        <w:t>ardiovascular disease (e.g.</w:t>
      </w:r>
      <w:r w:rsidR="000800FF" w:rsidRPr="00D03260">
        <w:t>,</w:t>
      </w:r>
      <w:r w:rsidR="00523805" w:rsidRPr="00D03260">
        <w:t xml:space="preserve"> chronic heart failure, pulmonary hypertension)</w:t>
      </w:r>
    </w:p>
    <w:p w14:paraId="5545AC19" w14:textId="4B980F7F" w:rsidR="00523805" w:rsidRPr="00D03260" w:rsidRDefault="00AE200E" w:rsidP="00523805">
      <w:pPr>
        <w:pStyle w:val="ListBullet"/>
      </w:pPr>
      <w:r w:rsidRPr="00D03260">
        <w:t>c</w:t>
      </w:r>
      <w:r w:rsidR="00523805" w:rsidRPr="00D03260">
        <w:t>omorbid conditions (</w:t>
      </w:r>
      <w:r w:rsidR="000F4072" w:rsidRPr="00D03260">
        <w:t>e.g.</w:t>
      </w:r>
      <w:r w:rsidR="000800FF" w:rsidRPr="00D03260">
        <w:t>,</w:t>
      </w:r>
      <w:r w:rsidR="00523805" w:rsidRPr="00D03260">
        <w:t xml:space="preserve"> obesity, gastro-oesophageal reflux)</w:t>
      </w:r>
    </w:p>
    <w:p w14:paraId="6CE80E2D" w14:textId="5F994168" w:rsidR="00523805" w:rsidRPr="00D03260" w:rsidRDefault="00AE200E" w:rsidP="00523805">
      <w:pPr>
        <w:pStyle w:val="ListBullet"/>
      </w:pPr>
      <w:r w:rsidRPr="00D03260">
        <w:t>l</w:t>
      </w:r>
      <w:r w:rsidR="00523805" w:rsidRPr="00D03260">
        <w:t>ung cancer</w:t>
      </w:r>
    </w:p>
    <w:p w14:paraId="34242752" w14:textId="323C7898" w:rsidR="00FE232B" w:rsidRPr="00D03260" w:rsidRDefault="00AE200E" w:rsidP="00A80889">
      <w:pPr>
        <w:pStyle w:val="ListBullet"/>
      </w:pPr>
      <w:r w:rsidRPr="00D03260">
        <w:t>r</w:t>
      </w:r>
      <w:r w:rsidR="00523805" w:rsidRPr="00D03260">
        <w:t>are disorders (e.g.</w:t>
      </w:r>
      <w:r w:rsidR="000800FF" w:rsidRPr="00D03260">
        <w:t>,</w:t>
      </w:r>
      <w:r w:rsidR="00523805" w:rsidRPr="00D03260">
        <w:t xml:space="preserve"> alpha-1 antitrypsin deficiency)</w:t>
      </w:r>
      <w:r w:rsidR="00F37635" w:rsidRPr="00D03260">
        <w:t>.</w:t>
      </w:r>
    </w:p>
    <w:p w14:paraId="6FC0007C" w14:textId="1863AF2D" w:rsidR="00563CB5" w:rsidRPr="00D03260" w:rsidRDefault="00C57563" w:rsidP="00AF1EFC">
      <w:pPr>
        <w:pStyle w:val="NumberedHeading3"/>
        <w:numPr>
          <w:ilvl w:val="0"/>
          <w:numId w:val="0"/>
        </w:numPr>
        <w:ind w:left="1440" w:hanging="1440"/>
      </w:pPr>
      <w:bookmarkStart w:id="235" w:name="_Toc121329168"/>
      <w:bookmarkStart w:id="236" w:name="_Toc141885905"/>
      <w:r w:rsidRPr="00D03260">
        <w:t>5.1.3.</w:t>
      </w:r>
      <w:r w:rsidRPr="00D03260">
        <w:tab/>
      </w:r>
      <w:r w:rsidR="00563CB5" w:rsidRPr="00D03260">
        <w:t>Confirmed diagnosis of asthma in children aged one year and over</w:t>
      </w:r>
      <w:bookmarkEnd w:id="235"/>
      <w:bookmarkEnd w:id="236"/>
    </w:p>
    <w:p w14:paraId="33DF970C" w14:textId="1EF10FA6" w:rsidR="00563CB5" w:rsidRPr="00D03260" w:rsidRDefault="00563CB5" w:rsidP="00563CB5">
      <w:r w:rsidRPr="00D03260">
        <w:t xml:space="preserve">Follow the guidelines and recommendations of the Australian Asthma Handbook </w:t>
      </w:r>
      <w:r w:rsidR="006E4A48" w:rsidRPr="00D03260">
        <w:fldChar w:fldCharType="begin"/>
      </w:r>
      <w:r w:rsidR="00217980" w:rsidRPr="00D03260">
        <w:instrText xml:space="preserve"> ADDIN ZOTERO_ITEM CSL_CITATION {"citationID":"vxKORYAK","properties":{"formattedCitation":"(National Asthma Council Australia, 2022)","plainCitation":"(National Asthma Council Australia, 2022)","noteIndex":0},"citationItems":[{"id":4705,"uris":["http://zotero.org/groups/4371185/items/5Y5IQIDN"],"itemData":{"id":4705,"type":"document","publisher":"National Asthma Council Australia, Melbourne","title":"Australian Asthma Handbook- Version 2.2","URL":"http://www.asthmahandbook.org.au","author":[{"family":"National Asthma Council Australia","given":""}],"issued":{"date-parts":[["2022"]]}}}],"schema":"https://github.com/citation-style-language/schema/raw/master/csl-citation.json"} </w:instrText>
      </w:r>
      <w:r w:rsidR="006E4A48" w:rsidRPr="00D03260">
        <w:fldChar w:fldCharType="separate"/>
      </w:r>
      <w:r w:rsidR="006E4A48" w:rsidRPr="00D03260">
        <w:rPr>
          <w:rFonts w:cs="Arial"/>
        </w:rPr>
        <w:t>(National Asthma Council Australia, 2022)</w:t>
      </w:r>
      <w:r w:rsidR="006E4A48" w:rsidRPr="00D03260">
        <w:fldChar w:fldCharType="end"/>
      </w:r>
      <w:r w:rsidR="001776F8" w:rsidRPr="00D03260">
        <w:t xml:space="preserve"> </w:t>
      </w:r>
      <w:r w:rsidRPr="00D03260">
        <w:t xml:space="preserve">to confirm a diagnosis of asthma in children. A clinical definition of asthma in children </w:t>
      </w:r>
      <w:r w:rsidR="00402833" w:rsidRPr="00D03260">
        <w:t>(</w:t>
      </w:r>
      <w:hyperlink r:id="rId64" w:history="1">
        <w:r w:rsidR="00402833" w:rsidRPr="00D03260">
          <w:rPr>
            <w:rStyle w:val="Hyperlink"/>
          </w:rPr>
          <w:t>https://www.asthmahandbook.org.au/diagnosis/children</w:t>
        </w:r>
      </w:hyperlink>
      <w:r w:rsidR="00402833" w:rsidRPr="00D03260">
        <w:t xml:space="preserve">) </w:t>
      </w:r>
      <w:r w:rsidRPr="00D03260">
        <w:t>is:</w:t>
      </w:r>
    </w:p>
    <w:p w14:paraId="23B286E5" w14:textId="16C8D58F" w:rsidR="00563CB5" w:rsidRPr="00D03260" w:rsidRDefault="00563CB5" w:rsidP="00563CB5">
      <w:pPr>
        <w:rPr>
          <w:rFonts w:cs="Arial"/>
          <w:b/>
          <w:bCs/>
          <w:szCs w:val="21"/>
        </w:rPr>
      </w:pPr>
      <w:r w:rsidRPr="00D03260">
        <w:rPr>
          <w:rFonts w:cs="Arial"/>
          <w:b/>
          <w:bCs/>
          <w:szCs w:val="21"/>
        </w:rPr>
        <w:t>Asthma is defined clinically as the combination of variable respiratory symptoms (e.g.</w:t>
      </w:r>
      <w:r w:rsidR="000800FF" w:rsidRPr="00D03260">
        <w:rPr>
          <w:rFonts w:cs="Arial"/>
          <w:b/>
          <w:bCs/>
          <w:szCs w:val="21"/>
        </w:rPr>
        <w:t>, </w:t>
      </w:r>
      <w:r w:rsidRPr="00D03260">
        <w:rPr>
          <w:rFonts w:cs="Arial"/>
          <w:b/>
          <w:bCs/>
          <w:szCs w:val="21"/>
        </w:rPr>
        <w:t xml:space="preserve">wheeze, shortness of breath, </w:t>
      </w:r>
      <w:proofErr w:type="gramStart"/>
      <w:r w:rsidRPr="00D03260">
        <w:rPr>
          <w:rFonts w:cs="Arial"/>
          <w:b/>
          <w:bCs/>
          <w:szCs w:val="21"/>
        </w:rPr>
        <w:t>cough</w:t>
      </w:r>
      <w:proofErr w:type="gramEnd"/>
      <w:r w:rsidRPr="00D03260">
        <w:rPr>
          <w:rFonts w:cs="Arial"/>
          <w:b/>
          <w:bCs/>
          <w:szCs w:val="21"/>
        </w:rPr>
        <w:t xml:space="preserve"> and chest tightness) and excessive variation in lung function, i.e.</w:t>
      </w:r>
      <w:r w:rsidR="000800FF" w:rsidRPr="00D03260">
        <w:rPr>
          <w:rFonts w:cs="Arial"/>
          <w:b/>
          <w:bCs/>
          <w:szCs w:val="21"/>
        </w:rPr>
        <w:t>,</w:t>
      </w:r>
      <w:r w:rsidRPr="00D03260">
        <w:rPr>
          <w:rFonts w:cs="Arial"/>
          <w:b/>
          <w:bCs/>
          <w:szCs w:val="21"/>
        </w:rPr>
        <w:t xml:space="preserve"> variation in expiratory airflow that is greater than that seen in healthy children (‘variable airflow limitation’).</w:t>
      </w:r>
    </w:p>
    <w:p w14:paraId="7D43D79C" w14:textId="4F19D157" w:rsidR="00563CB5" w:rsidRPr="00D03260" w:rsidRDefault="00563CB5" w:rsidP="00563CB5">
      <w:r w:rsidRPr="00D03260">
        <w:t>The diagnosis of asthma is based on:</w:t>
      </w:r>
    </w:p>
    <w:p w14:paraId="10DDD5C7" w14:textId="4CF03339" w:rsidR="00317523" w:rsidRPr="00D03260" w:rsidRDefault="007746C6" w:rsidP="0029268D">
      <w:pPr>
        <w:pStyle w:val="ListBullet"/>
      </w:pPr>
      <w:r w:rsidRPr="00D03260">
        <w:t>h</w:t>
      </w:r>
      <w:r w:rsidR="00317523" w:rsidRPr="00D03260">
        <w:t>istory</w:t>
      </w:r>
    </w:p>
    <w:p w14:paraId="295EEA24" w14:textId="280D4EC9" w:rsidR="00317523" w:rsidRPr="00D03260" w:rsidRDefault="007746C6" w:rsidP="0029268D">
      <w:pPr>
        <w:pStyle w:val="ListBullet"/>
      </w:pPr>
      <w:r w:rsidRPr="00D03260">
        <w:t>p</w:t>
      </w:r>
      <w:r w:rsidR="00317523" w:rsidRPr="00D03260">
        <w:t>hysical examination</w:t>
      </w:r>
    </w:p>
    <w:p w14:paraId="39493F6B" w14:textId="19F340CE" w:rsidR="00317523" w:rsidRPr="00D03260" w:rsidRDefault="007746C6" w:rsidP="0029268D">
      <w:pPr>
        <w:pStyle w:val="ListBullet"/>
      </w:pPr>
      <w:r w:rsidRPr="00D03260">
        <w:t>c</w:t>
      </w:r>
      <w:r w:rsidR="00317523" w:rsidRPr="00D03260">
        <w:t>onsidering other diagnoses</w:t>
      </w:r>
    </w:p>
    <w:p w14:paraId="4A12CBA1" w14:textId="556DBA2C" w:rsidR="00317523" w:rsidRPr="00D03260" w:rsidRDefault="007746C6" w:rsidP="0029268D">
      <w:pPr>
        <w:pStyle w:val="ListBullet"/>
      </w:pPr>
      <w:r w:rsidRPr="00D03260">
        <w:t>c</w:t>
      </w:r>
      <w:r w:rsidR="00317523" w:rsidRPr="00D03260">
        <w:t>linical response to a treatment trial with an inhaled short-acting beta2 agonist reliever or preventer</w:t>
      </w:r>
      <w:r w:rsidRPr="00D03260">
        <w:t>.</w:t>
      </w:r>
    </w:p>
    <w:p w14:paraId="67F71627" w14:textId="45A15E41" w:rsidR="00597B96" w:rsidRPr="00D03260" w:rsidRDefault="00597B96" w:rsidP="00597B96">
      <w:r w:rsidRPr="00D03260">
        <w:t xml:space="preserve">Refer to the Australian Asthma Handbook </w:t>
      </w:r>
      <w:r w:rsidR="00CD4E2B" w:rsidRPr="00D03260">
        <w:fldChar w:fldCharType="begin"/>
      </w:r>
      <w:r w:rsidR="00217980" w:rsidRPr="00D03260">
        <w:instrText xml:space="preserve"> ADDIN ZOTERO_ITEM CSL_CITATION {"citationID":"rzoDreUj","properties":{"formattedCitation":"(National Asthma Council Australia, 2022)","plainCitation":"(National Asthma Council Australia, 2022)","noteIndex":0},"citationItems":[{"id":4705,"uris":["http://zotero.org/groups/4371185/items/5Y5IQIDN"],"itemData":{"id":4705,"type":"document","publisher":"National Asthma Council Australia, Melbourne","title":"Australian Asthma Handbook- Version 2.2","URL":"http://www.asthmahandbook.org.au","author":[{"family":"National Asthma Council Australia","given":""}],"issued":{"date-parts":[["2022"]]}}}],"schema":"https://github.com/citation-style-language/schema/raw/master/csl-citation.json"} </w:instrText>
      </w:r>
      <w:r w:rsidR="00CD4E2B" w:rsidRPr="00D03260">
        <w:fldChar w:fldCharType="separate"/>
      </w:r>
      <w:r w:rsidR="00CD4E2B" w:rsidRPr="00D03260">
        <w:rPr>
          <w:rFonts w:cs="Arial"/>
        </w:rPr>
        <w:t>(National Asthma Council Australia, 2022)</w:t>
      </w:r>
      <w:r w:rsidR="00CD4E2B" w:rsidRPr="00D03260">
        <w:fldChar w:fldCharType="end"/>
      </w:r>
      <w:r w:rsidR="00FE55E6" w:rsidRPr="00D03260">
        <w:t xml:space="preserve"> </w:t>
      </w:r>
      <w:r w:rsidRPr="00D03260">
        <w:t xml:space="preserve">for guideline recommendations for the diagnosis of asthma in children aged </w:t>
      </w:r>
      <w:r w:rsidR="00AF494C" w:rsidRPr="00D03260">
        <w:t>one</w:t>
      </w:r>
      <w:r w:rsidRPr="00D03260">
        <w:t xml:space="preserve"> to </w:t>
      </w:r>
      <w:r w:rsidR="00AF494C" w:rsidRPr="00D03260">
        <w:t>five</w:t>
      </w:r>
      <w:r w:rsidRPr="00D03260">
        <w:t xml:space="preserve"> years, and in children aged six years and over. </w:t>
      </w:r>
    </w:p>
    <w:p w14:paraId="0D19C969" w14:textId="35906B73" w:rsidR="00597B96" w:rsidRPr="00D03260" w:rsidRDefault="00C204D6" w:rsidP="00597B96">
      <w:r w:rsidRPr="00D03260">
        <w:t xml:space="preserve">As referred to in diagnostic testing for asthma in </w:t>
      </w:r>
      <w:hyperlink w:anchor="Section414InfantsAged0To12Months" w:history="1">
        <w:r w:rsidR="00BC3B2C" w:rsidRPr="00D03260">
          <w:rPr>
            <w:rStyle w:val="Hyperlink"/>
          </w:rPr>
          <w:t>s</w:t>
        </w:r>
        <w:r w:rsidRPr="00D03260">
          <w:rPr>
            <w:rStyle w:val="Hyperlink"/>
          </w:rPr>
          <w:t>ection 4.1.4</w:t>
        </w:r>
      </w:hyperlink>
      <w:r w:rsidRPr="00D03260">
        <w:t xml:space="preserve"> (on ‘Infants aged </w:t>
      </w:r>
      <w:r w:rsidR="00AF494C" w:rsidRPr="00D03260">
        <w:t>zero</w:t>
      </w:r>
      <w:r w:rsidRPr="00D03260">
        <w:t xml:space="preserve"> to 12</w:t>
      </w:r>
      <w:r w:rsidR="00AF494C" w:rsidRPr="00D03260">
        <w:t> </w:t>
      </w:r>
      <w:r w:rsidRPr="00D03260">
        <w:t xml:space="preserve">months), infants aged </w:t>
      </w:r>
      <w:r w:rsidR="00AF494C" w:rsidRPr="00D03260">
        <w:t xml:space="preserve">zero to </w:t>
      </w:r>
      <w:r w:rsidRPr="00D03260">
        <w:t xml:space="preserve">12 months </w:t>
      </w:r>
      <w:r w:rsidR="00597B96" w:rsidRPr="00D03260">
        <w:t>should not be diagnosed with asthma as wheezing in this age group is most commonly due to acute viral bronchiolitis or to small and/or floppy airways</w:t>
      </w:r>
      <w:r w:rsidR="00FE55E6" w:rsidRPr="00D03260">
        <w:t xml:space="preserve"> </w:t>
      </w:r>
      <w:r w:rsidR="00FE55E6" w:rsidRPr="00D03260">
        <w:fldChar w:fldCharType="begin"/>
      </w:r>
      <w:r w:rsidR="00217980" w:rsidRPr="00D03260">
        <w:instrText xml:space="preserve"> ADDIN ZOTERO_ITEM CSL_CITATION {"citationID":"c7ZLjMQR","properties":{"formattedCitation":"(National Asthma Council Australia, 2022)","plainCitation":"(National Asthma Council Australia, 2022)","noteIndex":0},"citationItems":[{"id":4705,"uris":["http://zotero.org/groups/4371185/items/5Y5IQIDN"],"itemData":{"id":4705,"type":"document","publisher":"National Asthma Council Australia, Melbourne","title":"Australian Asthma Handbook- Version 2.2","URL":"http://www.asthmahandbook.org.au","author":[{"family":"National Asthma Council Australia","given":""}],"issued":{"date-parts":[["2022"]]}}}],"schema":"https://github.com/citation-style-language/schema/raw/master/csl-citation.json"} </w:instrText>
      </w:r>
      <w:r w:rsidR="00FE55E6" w:rsidRPr="00D03260">
        <w:fldChar w:fldCharType="separate"/>
      </w:r>
      <w:r w:rsidR="00FE55E6" w:rsidRPr="00D03260">
        <w:rPr>
          <w:rFonts w:cs="Arial"/>
        </w:rPr>
        <w:t>(National Asthma Council Australia, 2022)</w:t>
      </w:r>
      <w:r w:rsidR="00FE55E6" w:rsidRPr="00D03260">
        <w:fldChar w:fldCharType="end"/>
      </w:r>
      <w:r w:rsidR="00597B96" w:rsidRPr="00D03260">
        <w:t>.</w:t>
      </w:r>
    </w:p>
    <w:p w14:paraId="0CE65BBD" w14:textId="0DF169EB" w:rsidR="00982A94" w:rsidRPr="00D03260" w:rsidRDefault="007B72AC" w:rsidP="00AF1EFC">
      <w:pPr>
        <w:pStyle w:val="NumberedHeading3"/>
        <w:numPr>
          <w:ilvl w:val="0"/>
          <w:numId w:val="0"/>
        </w:numPr>
        <w:ind w:left="1440" w:hanging="1440"/>
      </w:pPr>
      <w:bookmarkStart w:id="237" w:name="_Toc121329169"/>
      <w:bookmarkStart w:id="238" w:name="_Toc141885906"/>
      <w:r w:rsidRPr="00D03260">
        <w:t>5.1.4.</w:t>
      </w:r>
      <w:r w:rsidRPr="00D03260">
        <w:tab/>
      </w:r>
      <w:r w:rsidR="00982A94" w:rsidRPr="00D03260">
        <w:t>No confirmed diagnosis of asthma and symptoms resolve</w:t>
      </w:r>
      <w:bookmarkEnd w:id="237"/>
      <w:bookmarkEnd w:id="238"/>
    </w:p>
    <w:p w14:paraId="11A0F6F5" w14:textId="155A3949" w:rsidR="00A704B5" w:rsidRPr="00D03260" w:rsidRDefault="00A704B5" w:rsidP="00A704B5">
      <w:r w:rsidRPr="00D03260">
        <w:t>Explain to the patient that no treatment is required. Reinforce enHealth</w:t>
      </w:r>
      <w:r w:rsidR="008A6BD6" w:rsidRPr="00D03260">
        <w:t xml:space="preserve"> </w:t>
      </w:r>
      <w:r w:rsidRPr="00D03260">
        <w:t>advice about avoiding/minimising exposure to mould, and preventing and remediating mould and damp</w:t>
      </w:r>
      <w:r w:rsidR="00600021" w:rsidRPr="00D03260">
        <w:t xml:space="preserve"> </w:t>
      </w:r>
      <w:r w:rsidR="00600021" w:rsidRPr="00D03260">
        <w:fldChar w:fldCharType="begin"/>
      </w:r>
      <w:r w:rsidR="00600021" w:rsidRPr="00D03260">
        <w:instrText xml:space="preserve"> ADDIN ZOTERO_ITEM CSL_CITATION {"citationID":"PIBia3UT","properties":{"formattedCitation":"(Environmental Health Standing Committee (enHealth) of the Australian Health Protection Principal Committee, 2021)","plainCitation":"(Environmental Health Standing Committee (enHealth) of the Australian Health Protection Principal Committee, 2021)","noteIndex":0},"citationItems":[{"id":2134,"uris":["http://zotero.org/groups/4371185/items/BHB8PKVA"],"itemData":{"id":2134,"type":"document","publisher":"Australian Government Department of Health and Aged Care","title":"Potential health effects of mould in the environment","URL":"https://www.health.gov.au/resources/publications/enhealth-guidance-potential-health-effects-of-mould-in-the-environment","author":[{"family":"Environmental Health Standing Committee (enHealth) of the Australian Health Protection Principal Committee","given":""}],"issued":{"date-parts":[["2021"]]}}}],"schema":"https://github.com/citation-style-language/schema/raw/master/csl-citation.json"} </w:instrText>
      </w:r>
      <w:r w:rsidR="00600021" w:rsidRPr="00D03260">
        <w:fldChar w:fldCharType="separate"/>
      </w:r>
      <w:r w:rsidR="00600021" w:rsidRPr="00D03260">
        <w:rPr>
          <w:rFonts w:cs="Arial"/>
        </w:rPr>
        <w:t>(Environmental Health Standing Committee (enHealth) of the Australian Health Protection Principal Committee, 2021)</w:t>
      </w:r>
      <w:r w:rsidR="00600021" w:rsidRPr="00D03260">
        <w:fldChar w:fldCharType="end"/>
      </w:r>
      <w:r w:rsidRPr="00D03260">
        <w:t>.</w:t>
      </w:r>
    </w:p>
    <w:p w14:paraId="79683E84" w14:textId="60FC691F" w:rsidR="0070165B" w:rsidRPr="00D03260" w:rsidRDefault="003A45D1" w:rsidP="00AF1EFC">
      <w:pPr>
        <w:pStyle w:val="NumberedHeading3"/>
        <w:numPr>
          <w:ilvl w:val="0"/>
          <w:numId w:val="0"/>
        </w:numPr>
        <w:ind w:left="1440" w:hanging="1440"/>
      </w:pPr>
      <w:bookmarkStart w:id="239" w:name="_Toc121329170"/>
      <w:bookmarkStart w:id="240" w:name="_Toc141885907"/>
      <w:r w:rsidRPr="00D03260">
        <w:t>5.1.5.</w:t>
      </w:r>
      <w:r w:rsidRPr="00D03260">
        <w:tab/>
      </w:r>
      <w:bookmarkStart w:id="241" w:name="Section515NoConfirmedDiagnosisOfAsthmaAn"/>
      <w:bookmarkEnd w:id="241"/>
      <w:r w:rsidR="0070165B" w:rsidRPr="00D03260">
        <w:t>No confirmed diagnosis of asthma and symptoms persist</w:t>
      </w:r>
      <w:bookmarkEnd w:id="239"/>
      <w:bookmarkEnd w:id="240"/>
    </w:p>
    <w:p w14:paraId="4B35CE47" w14:textId="741C5F0F" w:rsidR="00523805" w:rsidRPr="00D03260" w:rsidRDefault="0070165B" w:rsidP="00767A68">
      <w:r w:rsidRPr="00D03260">
        <w:t>Follow guidance in the Australian Asthma Handbook</w:t>
      </w:r>
      <w:r w:rsidR="008A6BD6" w:rsidRPr="00D03260">
        <w:t xml:space="preserve"> </w:t>
      </w:r>
      <w:r w:rsidR="008A6BD6" w:rsidRPr="00D03260">
        <w:fldChar w:fldCharType="begin"/>
      </w:r>
      <w:r w:rsidR="00217980" w:rsidRPr="00D03260">
        <w:instrText xml:space="preserve"> ADDIN ZOTERO_ITEM CSL_CITATION {"citationID":"Wsm3bbqT","properties":{"formattedCitation":"(National Asthma Council Australia, 2022)","plainCitation":"(National Asthma Council Australia, 2022)","noteIndex":0},"citationItems":[{"id":4705,"uris":["http://zotero.org/groups/4371185/items/5Y5IQIDN"],"itemData":{"id":4705,"type":"document","publisher":"National Asthma Council Australia, Melbourne","title":"Australian Asthma Handbook- Version 2.2","URL":"http://www.asthmahandbook.org.au","author":[{"family":"National Asthma Council Australia","given":""}],"issued":{"date-parts":[["2022"]]}}}],"schema":"https://github.com/citation-style-language/schema/raw/master/csl-citation.json"} </w:instrText>
      </w:r>
      <w:r w:rsidR="008A6BD6" w:rsidRPr="00D03260">
        <w:fldChar w:fldCharType="separate"/>
      </w:r>
      <w:r w:rsidR="008A6BD6" w:rsidRPr="00D03260">
        <w:rPr>
          <w:rFonts w:cs="Arial"/>
        </w:rPr>
        <w:t>(National Asthma Council Australia, 2022)</w:t>
      </w:r>
      <w:r w:rsidR="008A6BD6" w:rsidRPr="00D03260">
        <w:fldChar w:fldCharType="end"/>
      </w:r>
      <w:r w:rsidRPr="00D03260">
        <w:t>. Refer to relevant specialists in respiratory medicine if not already referred. Consider alternative diagnoses including both infectious and non-</w:t>
      </w:r>
      <w:r w:rsidR="001918A2" w:rsidRPr="00D03260">
        <w:t>IDs</w:t>
      </w:r>
      <w:r w:rsidRPr="00D03260">
        <w:t>.</w:t>
      </w:r>
      <w:r w:rsidR="00905853" w:rsidRPr="00D03260">
        <w:t xml:space="preserve"> </w:t>
      </w:r>
      <w:r w:rsidR="00591AF7" w:rsidRPr="00D03260">
        <w:t xml:space="preserve">See </w:t>
      </w:r>
      <w:hyperlink w:anchor="Sect32PatientsPresentingWithPersistentDe" w:history="1">
        <w:r w:rsidR="00271A1A" w:rsidRPr="00D03260">
          <w:rPr>
            <w:rStyle w:val="Hyperlink"/>
          </w:rPr>
          <w:t>s</w:t>
        </w:r>
        <w:r w:rsidR="00591AF7" w:rsidRPr="00D03260">
          <w:rPr>
            <w:rStyle w:val="Hyperlink"/>
          </w:rPr>
          <w:t>ection 3.</w:t>
        </w:r>
        <w:r w:rsidR="00605910" w:rsidRPr="00D03260">
          <w:rPr>
            <w:rStyle w:val="Hyperlink"/>
          </w:rPr>
          <w:t>2</w:t>
        </w:r>
      </w:hyperlink>
      <w:r w:rsidR="00591AF7" w:rsidRPr="00D03260">
        <w:t xml:space="preserve"> </w:t>
      </w:r>
      <w:r w:rsidR="00271A1A" w:rsidRPr="00D03260">
        <w:t xml:space="preserve">for further details </w:t>
      </w:r>
      <w:r w:rsidR="00591AF7" w:rsidRPr="00D03260">
        <w:t>on ‘Patients presenting with persistent debilitating symptoms and no diagnosis’.</w:t>
      </w:r>
    </w:p>
    <w:p w14:paraId="0EFE3007" w14:textId="10BA1691" w:rsidR="0000248C" w:rsidRPr="00D03260" w:rsidRDefault="003A45D1" w:rsidP="00AF1EFC">
      <w:pPr>
        <w:pStyle w:val="NumberedHeading2"/>
        <w:numPr>
          <w:ilvl w:val="0"/>
          <w:numId w:val="0"/>
        </w:numPr>
      </w:pPr>
      <w:bookmarkStart w:id="242" w:name="_Toc121329171"/>
      <w:bookmarkStart w:id="243" w:name="_Toc141885908"/>
      <w:r w:rsidRPr="00D03260">
        <w:t>5.2.</w:t>
      </w:r>
      <w:r w:rsidRPr="00D03260">
        <w:tab/>
      </w:r>
      <w:bookmarkStart w:id="244" w:name="Section52MouldAllergy"/>
      <w:bookmarkEnd w:id="244"/>
      <w:r w:rsidR="00927F03" w:rsidRPr="00D03260">
        <w:t>Mould allergy</w:t>
      </w:r>
      <w:bookmarkEnd w:id="242"/>
      <w:bookmarkEnd w:id="243"/>
    </w:p>
    <w:p w14:paraId="7F8DAAE7" w14:textId="4E61E6E1" w:rsidR="009364B5" w:rsidRPr="00D03260" w:rsidRDefault="003A45D1" w:rsidP="00AF1EFC">
      <w:pPr>
        <w:pStyle w:val="NumberedHeading3"/>
        <w:numPr>
          <w:ilvl w:val="0"/>
          <w:numId w:val="0"/>
        </w:numPr>
      </w:pPr>
      <w:bookmarkStart w:id="245" w:name="_Toc121329172"/>
      <w:bookmarkStart w:id="246" w:name="_Toc141885909"/>
      <w:r w:rsidRPr="00D03260">
        <w:t>5.2.1.</w:t>
      </w:r>
      <w:r w:rsidRPr="00D03260">
        <w:tab/>
      </w:r>
      <w:r w:rsidR="009364B5" w:rsidRPr="00D03260">
        <w:t>Confirmed diagnosis of mould allergy</w:t>
      </w:r>
      <w:bookmarkEnd w:id="245"/>
      <w:bookmarkEnd w:id="246"/>
    </w:p>
    <w:p w14:paraId="08B754A7" w14:textId="101B486C" w:rsidR="007B1693" w:rsidRPr="00D03260" w:rsidRDefault="007B1693" w:rsidP="00893DE1">
      <w:r w:rsidRPr="00D03260">
        <w:t xml:space="preserve">The action plan of the 2015 National Allergy Strategy advises accurate diagnosis </w:t>
      </w:r>
      <w:r w:rsidR="00893DE1" w:rsidRPr="00D03260">
        <w:t xml:space="preserve">of allergy </w:t>
      </w:r>
      <w:r w:rsidRPr="00D03260">
        <w:t xml:space="preserve">is essential, and requires appropriate specialist care </w:t>
      </w:r>
      <w:r w:rsidRPr="00D03260">
        <w:fldChar w:fldCharType="begin"/>
      </w:r>
      <w:r w:rsidR="00217980" w:rsidRPr="00D03260">
        <w:instrText xml:space="preserve"> ADDIN ZOTERO_ITEM CSL_CITATION {"citationID":"1FAMCkZW","properties":{"formattedCitation":"(Australian Society of Clinical Immunology and Allergy &amp; Allergy &amp; Anaphylaxis Australia, 2015)","plainCitation":"(Australian Society of Clinical Immunology and Allergy &amp; Allergy &amp; Anaphylaxis Australia, 2015)","noteIndex":0},"citationItems":[{"id":2173,"uris":["http://zotero.org/groups/4371185/items/UHE45RNU"],"itemData":{"id":2173,"type":"document","publisher":"Australian Society of Clinical Immunology and Allergy, and Allergy Anaphylaxis Australia","title":"National Allergy Strategy: Improving the health and quality of life of Australians with allergic disease","author":[{"family":"Australian Society of Clinical Immunology and Allergy","given":""},{"family":"Allergy &amp; Anaphylaxis Australia","given":""}],"accessed":{"date-parts":[["2021",8,27]]},"issued":{"date-parts":[["2015",8]]}}}],"schema":"https://github.com/citation-style-language/schema/raw/master/csl-citation.json"} </w:instrText>
      </w:r>
      <w:r w:rsidRPr="00D03260">
        <w:fldChar w:fldCharType="separate"/>
      </w:r>
      <w:r w:rsidRPr="00D03260">
        <w:t>(Australian Society of Clinical Immunology and Allergy &amp; Allergy &amp; Anaphylaxis Australia, 2015)</w:t>
      </w:r>
      <w:r w:rsidRPr="00D03260">
        <w:fldChar w:fldCharType="end"/>
      </w:r>
      <w:r w:rsidRPr="00D03260">
        <w:t xml:space="preserve">. </w:t>
      </w:r>
    </w:p>
    <w:p w14:paraId="7C37524C" w14:textId="2FE7AF40" w:rsidR="007B1693" w:rsidRPr="00D03260" w:rsidRDefault="007B1693" w:rsidP="007B1693">
      <w:r w:rsidRPr="00D03260">
        <w:t>The AWMF guideline state</w:t>
      </w:r>
      <w:r w:rsidR="00C316FA" w:rsidRPr="00D03260">
        <w:t>s</w:t>
      </w:r>
      <w:r w:rsidRPr="00D03260">
        <w:t xml:space="preserve"> that the following five conditions need to be met for a mould allergy diagnosis:</w:t>
      </w:r>
    </w:p>
    <w:p w14:paraId="166CDDCE" w14:textId="303A3FCD" w:rsidR="00BF4435" w:rsidRPr="00D03260" w:rsidRDefault="00BF4435" w:rsidP="00BF4435">
      <w:pPr>
        <w:pStyle w:val="ListBullet"/>
      </w:pPr>
      <w:r w:rsidRPr="00D03260">
        <w:t>A pathogenic mould antigen is present in the environment</w:t>
      </w:r>
    </w:p>
    <w:p w14:paraId="6985EDE4" w14:textId="4DAD8DA3" w:rsidR="00BF4435" w:rsidRPr="00D03260" w:rsidRDefault="00BF4435" w:rsidP="00BF4435">
      <w:pPr>
        <w:pStyle w:val="ListBullet"/>
      </w:pPr>
      <w:r w:rsidRPr="00D03260">
        <w:t>There is an unequivocal temporal relationship between allergic symptoms and exposure to the mould allergen</w:t>
      </w:r>
    </w:p>
    <w:p w14:paraId="52043DA9" w14:textId="679C4197" w:rsidR="00BF4435" w:rsidRPr="00D03260" w:rsidRDefault="00BF4435" w:rsidP="00BF4435">
      <w:pPr>
        <w:pStyle w:val="ListBullet"/>
      </w:pPr>
      <w:r w:rsidRPr="00D03260">
        <w:t>Atopic predisposition is present</w:t>
      </w:r>
    </w:p>
    <w:p w14:paraId="07BE6393" w14:textId="5AC1CF45" w:rsidR="00BF4435" w:rsidRPr="00D03260" w:rsidRDefault="00BF4435" w:rsidP="00BF4435">
      <w:pPr>
        <w:pStyle w:val="ListBullet"/>
      </w:pPr>
      <w:r w:rsidRPr="00D03260">
        <w:t>There is evidence of speciﬁc IgE formation to mould antigens</w:t>
      </w:r>
    </w:p>
    <w:p w14:paraId="2DFEB673" w14:textId="10C6E6A7" w:rsidR="00BF4435" w:rsidRPr="00D03260" w:rsidRDefault="00BF4435" w:rsidP="00BF4435">
      <w:pPr>
        <w:pStyle w:val="ListBullet"/>
      </w:pPr>
      <w:r w:rsidRPr="00D03260">
        <w:t xml:space="preserve">Measures to avoid mould allergens exhibit clear clinical effects </w:t>
      </w:r>
      <w:r w:rsidRPr="00D03260">
        <w:fldChar w:fldCharType="begin"/>
      </w:r>
      <w:r w:rsidR="00217980" w:rsidRPr="00D03260">
        <w:instrText xml:space="preserve"> ADDIN ZOTERO_ITEM CSL_CITATION {"citationID":"iusaG8xG","properties":{"formattedCitation":"(Wiesm\\uc0\\u252{}ller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rPr>
          <w:rFonts w:cs="Calibri"/>
        </w:rPr>
        <w:t>(Wiesmüller et al., 2017)</w:t>
      </w:r>
      <w:r w:rsidRPr="00D03260">
        <w:fldChar w:fldCharType="end"/>
      </w:r>
      <w:r w:rsidRPr="00D03260">
        <w:t>.</w:t>
      </w:r>
    </w:p>
    <w:p w14:paraId="703BAFA1" w14:textId="17E0949D" w:rsidR="004177FE" w:rsidRPr="00D03260" w:rsidRDefault="004177FE" w:rsidP="00231C8A">
      <w:r w:rsidRPr="00D03260">
        <w:t>Mould-allergic patients and patients with a weakened immune system should be provided with specialist patient information about the hazards of indoor mould exposure and preventative steps they can take to minimi</w:t>
      </w:r>
      <w:r w:rsidR="00CA264F" w:rsidRPr="00D03260">
        <w:t>s</w:t>
      </w:r>
      <w:r w:rsidRPr="00D03260">
        <w:t xml:space="preserve">e exposure </w:t>
      </w:r>
      <w:r w:rsidRPr="00D03260">
        <w:fldChar w:fldCharType="begin"/>
      </w:r>
      <w:r w:rsidR="00217980" w:rsidRPr="00D03260">
        <w:instrText xml:space="preserve"> ADDIN ZOTERO_ITEM CSL_CITATION {"citationID":"X5BEhJ3l","properties":{"formattedCitation":"(Wiesm\\uc0\\u252{}ller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4775CBD3" w14:textId="71AB18DD" w:rsidR="00A80DEB" w:rsidRPr="00D03260" w:rsidRDefault="003A45D1" w:rsidP="00AF1EFC">
      <w:pPr>
        <w:pStyle w:val="NumberedHeading3"/>
        <w:numPr>
          <w:ilvl w:val="0"/>
          <w:numId w:val="0"/>
        </w:numPr>
        <w:ind w:left="1440" w:hanging="1440"/>
      </w:pPr>
      <w:bookmarkStart w:id="247" w:name="_Toc121329173"/>
      <w:bookmarkStart w:id="248" w:name="_Toc141885910"/>
      <w:r w:rsidRPr="00D03260">
        <w:t>5.2.2.</w:t>
      </w:r>
      <w:r w:rsidRPr="00D03260">
        <w:tab/>
      </w:r>
      <w:r w:rsidR="00A80DEB" w:rsidRPr="00D03260">
        <w:t>No confirmed diagnosis of mould allergy and symptoms resolve</w:t>
      </w:r>
      <w:bookmarkEnd w:id="247"/>
      <w:bookmarkEnd w:id="248"/>
    </w:p>
    <w:p w14:paraId="275B04AB" w14:textId="6AF5EBBE" w:rsidR="00C723D4" w:rsidRPr="00D03260" w:rsidRDefault="00C723D4" w:rsidP="00C723D4">
      <w:r w:rsidRPr="00D03260">
        <w:t>Explain to the patient that no treatment is required. Reinforce enHealth advice about avoiding/minimising exposure to mould, and preventing and remediating mould and damp</w:t>
      </w:r>
      <w:r w:rsidR="00600021" w:rsidRPr="00D03260">
        <w:t xml:space="preserve"> </w:t>
      </w:r>
      <w:r w:rsidR="00600021" w:rsidRPr="00D03260">
        <w:fldChar w:fldCharType="begin"/>
      </w:r>
      <w:r w:rsidR="00600021" w:rsidRPr="00D03260">
        <w:instrText xml:space="preserve"> ADDIN ZOTERO_ITEM CSL_CITATION {"citationID":"PiRE8nyz","properties":{"formattedCitation":"(Environmental Health Standing Committee (enHealth) of the Australian Health Protection Principal Committee, 2021)","plainCitation":"(Environmental Health Standing Committee (enHealth) of the Australian Health Protection Principal Committee, 2021)","noteIndex":0},"citationItems":[{"id":2134,"uris":["http://zotero.org/groups/4371185/items/BHB8PKVA"],"itemData":{"id":2134,"type":"document","publisher":"Australian Government Department of Health and Aged Care","title":"Potential health effects of mould in the environment","URL":"https://www.health.gov.au/resources/publications/enhealth-guidance-potential-health-effects-of-mould-in-the-environment","author":[{"family":"Environmental Health Standing Committee (enHealth) of the Australian Health Protection Principal Committee","given":""}],"issued":{"date-parts":[["2021"]]}}}],"schema":"https://github.com/citation-style-language/schema/raw/master/csl-citation.json"} </w:instrText>
      </w:r>
      <w:r w:rsidR="00600021" w:rsidRPr="00D03260">
        <w:fldChar w:fldCharType="separate"/>
      </w:r>
      <w:r w:rsidR="00600021" w:rsidRPr="00D03260">
        <w:rPr>
          <w:rFonts w:cs="Arial"/>
        </w:rPr>
        <w:t>(Environmental Health Standing Committee (enHealth) of the Australian Health Protection Principal Committee, 2021)</w:t>
      </w:r>
      <w:r w:rsidR="00600021" w:rsidRPr="00D03260">
        <w:fldChar w:fldCharType="end"/>
      </w:r>
      <w:r w:rsidRPr="00D03260">
        <w:t>.</w:t>
      </w:r>
      <w:r w:rsidR="00540847" w:rsidRPr="00D03260">
        <w:t xml:space="preserve"> </w:t>
      </w:r>
      <w:r w:rsidR="00D27C16" w:rsidRPr="00D03260">
        <w:t xml:space="preserve">See </w:t>
      </w:r>
      <w:hyperlink w:anchor="Section214ProvideAdviceOnAvoidingOrMinim" w:history="1">
        <w:r w:rsidR="00271A1A" w:rsidRPr="00D03260">
          <w:rPr>
            <w:rStyle w:val="Hyperlink"/>
          </w:rPr>
          <w:t>s</w:t>
        </w:r>
        <w:r w:rsidR="005B461E" w:rsidRPr="00D03260">
          <w:rPr>
            <w:rStyle w:val="Hyperlink"/>
          </w:rPr>
          <w:t>ection 2.1.4</w:t>
        </w:r>
      </w:hyperlink>
      <w:r w:rsidR="005B461E" w:rsidRPr="00D03260">
        <w:t>,</w:t>
      </w:r>
      <w:r w:rsidR="00271A1A" w:rsidRPr="00D03260">
        <w:t xml:space="preserve"> for further details on</w:t>
      </w:r>
      <w:r w:rsidR="005B461E" w:rsidRPr="00D03260">
        <w:t xml:space="preserve"> </w:t>
      </w:r>
      <w:r w:rsidR="00271A1A" w:rsidRPr="00D03260">
        <w:t xml:space="preserve">providing advice </w:t>
      </w:r>
      <w:r w:rsidR="005B461E" w:rsidRPr="00D03260">
        <w:t>on avoiding or minimising exposure to indoor damp or mould, while investigating any differential diagnosis</w:t>
      </w:r>
      <w:r w:rsidR="00271A1A" w:rsidRPr="00D03260">
        <w:t>.</w:t>
      </w:r>
    </w:p>
    <w:p w14:paraId="70AECD30" w14:textId="4DE708F7" w:rsidR="00C95C96" w:rsidRPr="00D03260" w:rsidRDefault="003A45D1" w:rsidP="00AF1EFC">
      <w:pPr>
        <w:pStyle w:val="NumberedHeading3"/>
        <w:numPr>
          <w:ilvl w:val="0"/>
          <w:numId w:val="0"/>
        </w:numPr>
        <w:ind w:left="1440" w:hanging="1440"/>
      </w:pPr>
      <w:bookmarkStart w:id="249" w:name="_Toc121329174"/>
      <w:bookmarkStart w:id="250" w:name="_Toc141885911"/>
      <w:r w:rsidRPr="00D03260">
        <w:t>5.2.3.</w:t>
      </w:r>
      <w:r w:rsidRPr="00D03260">
        <w:tab/>
      </w:r>
      <w:r w:rsidR="00C95C96" w:rsidRPr="00D03260">
        <w:t>No confirmed diagnosis of mould allergy and symptoms persist</w:t>
      </w:r>
      <w:bookmarkEnd w:id="249"/>
      <w:bookmarkEnd w:id="250"/>
    </w:p>
    <w:p w14:paraId="785DABD7" w14:textId="47D0A27B" w:rsidR="00FC46B6" w:rsidRPr="00D03260" w:rsidRDefault="00FC46B6" w:rsidP="0029268D">
      <w:r w:rsidRPr="00D03260">
        <w:t>Consider alternative diagnoses including both infectious and non-</w:t>
      </w:r>
      <w:r w:rsidR="001918A2" w:rsidRPr="00D03260">
        <w:t>IDs</w:t>
      </w:r>
      <w:r w:rsidR="00207AF5" w:rsidRPr="00D03260">
        <w:t xml:space="preserve"> (s</w:t>
      </w:r>
      <w:r w:rsidR="00104378" w:rsidRPr="00D03260">
        <w:t>ee</w:t>
      </w:r>
      <w:r w:rsidR="00BC043C" w:rsidRPr="00D03260">
        <w:t xml:space="preserve"> </w:t>
      </w:r>
      <w:hyperlink w:anchor="Sect32PatientsPresentingWithPersistentDe" w:history="1">
        <w:r w:rsidR="00207AF5" w:rsidRPr="00D03260">
          <w:rPr>
            <w:rStyle w:val="Hyperlink"/>
          </w:rPr>
          <w:t>section 3.2</w:t>
        </w:r>
      </w:hyperlink>
      <w:r w:rsidR="00207AF5" w:rsidRPr="00D03260">
        <w:t xml:space="preserve"> for further details</w:t>
      </w:r>
      <w:r w:rsidR="00104378" w:rsidRPr="00D03260">
        <w:t xml:space="preserve"> on ‘Patients presenting with persistent debilitating symptoms and no diagnosis’</w:t>
      </w:r>
      <w:r w:rsidR="00387885" w:rsidRPr="00D03260">
        <w:t>)</w:t>
      </w:r>
      <w:r w:rsidR="00104378" w:rsidRPr="00D03260">
        <w:t>.</w:t>
      </w:r>
    </w:p>
    <w:p w14:paraId="28B357C9" w14:textId="1C1500DE" w:rsidR="00F05606" w:rsidRPr="00D03260" w:rsidRDefault="003A45D1" w:rsidP="00AF1EFC">
      <w:pPr>
        <w:pStyle w:val="NumberedHeading2"/>
        <w:numPr>
          <w:ilvl w:val="0"/>
          <w:numId w:val="0"/>
        </w:numPr>
      </w:pPr>
      <w:bookmarkStart w:id="251" w:name="_Toc121329175"/>
      <w:bookmarkStart w:id="252" w:name="_Toc141885912"/>
      <w:r w:rsidRPr="00D03260">
        <w:t>5.3.</w:t>
      </w:r>
      <w:r w:rsidRPr="00D03260">
        <w:tab/>
      </w:r>
      <w:bookmarkStart w:id="253" w:name="Section53MouldRelatedInfection"/>
      <w:bookmarkEnd w:id="253"/>
      <w:r w:rsidR="00890EC7" w:rsidRPr="00D03260">
        <w:t>Mould-related infection</w:t>
      </w:r>
      <w:bookmarkEnd w:id="251"/>
      <w:bookmarkEnd w:id="252"/>
    </w:p>
    <w:p w14:paraId="696992F8" w14:textId="58F54A71" w:rsidR="00D043ED" w:rsidRPr="00D03260" w:rsidRDefault="003A45D1" w:rsidP="00AF1EFC">
      <w:pPr>
        <w:pStyle w:val="NumberedHeading3"/>
        <w:numPr>
          <w:ilvl w:val="0"/>
          <w:numId w:val="0"/>
        </w:numPr>
      </w:pPr>
      <w:bookmarkStart w:id="254" w:name="_Toc121329176"/>
      <w:bookmarkStart w:id="255" w:name="_Toc141885913"/>
      <w:r w:rsidRPr="00D03260">
        <w:t>5.3.1.</w:t>
      </w:r>
      <w:r w:rsidRPr="00D03260">
        <w:tab/>
      </w:r>
      <w:r w:rsidR="00611A04" w:rsidRPr="00D03260">
        <w:t>Confirmed diagnosis of mould</w:t>
      </w:r>
      <w:r w:rsidR="00AE2E95" w:rsidRPr="00D03260">
        <w:t xml:space="preserve">-related </w:t>
      </w:r>
      <w:r w:rsidR="00611A04" w:rsidRPr="00D03260">
        <w:t>infection</w:t>
      </w:r>
      <w:bookmarkEnd w:id="254"/>
      <w:bookmarkEnd w:id="255"/>
      <w:r w:rsidR="00611A04" w:rsidRPr="00D03260">
        <w:t xml:space="preserve"> </w:t>
      </w:r>
    </w:p>
    <w:p w14:paraId="5EA31913" w14:textId="5C75980C" w:rsidR="00906368" w:rsidRPr="00D03260" w:rsidRDefault="00906368" w:rsidP="00DC3DF0">
      <w:r w:rsidRPr="00D03260">
        <w:t xml:space="preserve">Diagnosis </w:t>
      </w:r>
      <w:r w:rsidR="002D0C73" w:rsidRPr="00D03260">
        <w:t xml:space="preserve">of mould infection is based on positive diagnostic findings for </w:t>
      </w:r>
      <w:r w:rsidRPr="00D03260">
        <w:t xml:space="preserve">microbiological, immunological, molecular biological, and radiological </w:t>
      </w:r>
      <w:r w:rsidR="002D0C73" w:rsidRPr="00D03260">
        <w:t xml:space="preserve">tests </w:t>
      </w:r>
      <w:r w:rsidRPr="00D03260">
        <w:fldChar w:fldCharType="begin"/>
      </w:r>
      <w:r w:rsidR="00217980" w:rsidRPr="00D03260">
        <w:instrText xml:space="preserve"> ADDIN ZOTERO_ITEM CSL_CITATION {"citationID":"hi42lqLo","properties":{"formattedCitation":"(Wiesm\\uc0\\u252{}ller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rPr>
          <w:rFonts w:cs="Calibri"/>
        </w:rPr>
        <w:t>(Wiesmüller et al., 2017)</w:t>
      </w:r>
      <w:r w:rsidRPr="00D03260">
        <w:fldChar w:fldCharType="end"/>
      </w:r>
      <w:r w:rsidR="0029268D" w:rsidRPr="00D03260">
        <w:t>.</w:t>
      </w:r>
    </w:p>
    <w:p w14:paraId="635E84D9" w14:textId="5F554353" w:rsidR="00611A04" w:rsidRPr="00D03260" w:rsidRDefault="003A45D1" w:rsidP="00AF1EFC">
      <w:pPr>
        <w:pStyle w:val="NumberedHeading3"/>
        <w:numPr>
          <w:ilvl w:val="0"/>
          <w:numId w:val="0"/>
        </w:numPr>
        <w:ind w:left="1440" w:hanging="1440"/>
      </w:pPr>
      <w:bookmarkStart w:id="256" w:name="_Toc121329177"/>
      <w:bookmarkStart w:id="257" w:name="_Toc141885914"/>
      <w:r w:rsidRPr="00D03260">
        <w:t>5.3.2.</w:t>
      </w:r>
      <w:r w:rsidRPr="00D03260">
        <w:tab/>
      </w:r>
      <w:r w:rsidR="00611A04" w:rsidRPr="00D03260">
        <w:t>No confirmed diagnosis of mould-related infection and symptoms resolve</w:t>
      </w:r>
      <w:bookmarkEnd w:id="256"/>
      <w:bookmarkEnd w:id="257"/>
    </w:p>
    <w:p w14:paraId="212D4249" w14:textId="3141F09D" w:rsidR="00605C69" w:rsidRPr="00D03260" w:rsidRDefault="00605C69" w:rsidP="00605C69">
      <w:r w:rsidRPr="00D03260">
        <w:t>Explain to the patient that no treatment is required. Reinforce enHealth advice about avoiding/minimising exposure to mould, and preventing and remediating mould and damp</w:t>
      </w:r>
      <w:r w:rsidR="00600021" w:rsidRPr="00D03260">
        <w:t xml:space="preserve"> </w:t>
      </w:r>
      <w:r w:rsidR="00600021" w:rsidRPr="00D03260">
        <w:fldChar w:fldCharType="begin"/>
      </w:r>
      <w:r w:rsidR="00600021" w:rsidRPr="00D03260">
        <w:instrText xml:space="preserve"> ADDIN ZOTERO_ITEM CSL_CITATION {"citationID":"AwQIIW3c","properties":{"formattedCitation":"(Environmental Health Standing Committee (enHealth) of the Australian Health Protection Principal Committee, 2021)","plainCitation":"(Environmental Health Standing Committee (enHealth) of the Australian Health Protection Principal Committee, 2021)","noteIndex":0},"citationItems":[{"id":2134,"uris":["http://zotero.org/groups/4371185/items/BHB8PKVA"],"itemData":{"id":2134,"type":"document","publisher":"Australian Government Department of Health and Aged Care","title":"Potential health effects of mould in the environment","URL":"https://www.health.gov.au/resources/publications/enhealth-guidance-potential-health-effects-of-mould-in-the-environment","author":[{"family":"Environmental Health Standing Committee (enHealth) of the Australian Health Protection Principal Committee","given":""}],"issued":{"date-parts":[["2021"]]}}}],"schema":"https://github.com/citation-style-language/schema/raw/master/csl-citation.json"} </w:instrText>
      </w:r>
      <w:r w:rsidR="00600021" w:rsidRPr="00D03260">
        <w:fldChar w:fldCharType="separate"/>
      </w:r>
      <w:r w:rsidR="00600021" w:rsidRPr="00D03260">
        <w:rPr>
          <w:rFonts w:cs="Arial"/>
        </w:rPr>
        <w:t>(Environmental Health Standing Committee (enHealth) of the Australian Health Protection Principal Committee, 2021)</w:t>
      </w:r>
      <w:r w:rsidR="00600021" w:rsidRPr="00D03260">
        <w:fldChar w:fldCharType="end"/>
      </w:r>
      <w:r w:rsidRPr="00D03260">
        <w:t>.</w:t>
      </w:r>
      <w:r w:rsidR="00566168" w:rsidRPr="00D03260">
        <w:t xml:space="preserve"> </w:t>
      </w:r>
      <w:r w:rsidR="005B461E" w:rsidRPr="00D03260">
        <w:t xml:space="preserve">See </w:t>
      </w:r>
      <w:hyperlink w:anchor="Section214ProvideAdviceOnAvoidingOrMinim" w:history="1">
        <w:r w:rsidR="00271A1A" w:rsidRPr="00D03260">
          <w:rPr>
            <w:rStyle w:val="Hyperlink"/>
          </w:rPr>
          <w:t>s</w:t>
        </w:r>
        <w:r w:rsidR="005B461E" w:rsidRPr="00D03260">
          <w:rPr>
            <w:rStyle w:val="Hyperlink"/>
          </w:rPr>
          <w:t>ection 2.1.4</w:t>
        </w:r>
      </w:hyperlink>
      <w:r w:rsidR="005B461E" w:rsidRPr="00D03260">
        <w:t xml:space="preserve"> </w:t>
      </w:r>
      <w:r w:rsidR="00271A1A" w:rsidRPr="00D03260">
        <w:t xml:space="preserve">for further details </w:t>
      </w:r>
      <w:r w:rsidR="005B461E" w:rsidRPr="00D03260">
        <w:t xml:space="preserve">on </w:t>
      </w:r>
      <w:r w:rsidR="00271A1A" w:rsidRPr="00D03260">
        <w:t>providing</w:t>
      </w:r>
      <w:r w:rsidR="005B461E" w:rsidRPr="00D03260">
        <w:t xml:space="preserve"> advice on avoiding or minimising exposure to indoor damp or mould, while investigating any differential diagnosis</w:t>
      </w:r>
      <w:r w:rsidR="00271A1A" w:rsidRPr="00D03260">
        <w:t>.</w:t>
      </w:r>
    </w:p>
    <w:p w14:paraId="71B79390" w14:textId="64AE0C41" w:rsidR="00611A04" w:rsidRPr="00D03260" w:rsidRDefault="003A45D1" w:rsidP="00AF1EFC">
      <w:pPr>
        <w:pStyle w:val="NumberedHeading3"/>
        <w:numPr>
          <w:ilvl w:val="0"/>
          <w:numId w:val="0"/>
        </w:numPr>
        <w:ind w:left="1440" w:hanging="1440"/>
      </w:pPr>
      <w:bookmarkStart w:id="258" w:name="_Toc121329178"/>
      <w:bookmarkStart w:id="259" w:name="_Toc141885915"/>
      <w:r w:rsidRPr="00D03260">
        <w:t>5.3.3.</w:t>
      </w:r>
      <w:r w:rsidRPr="00D03260">
        <w:tab/>
      </w:r>
      <w:r w:rsidR="00611A04" w:rsidRPr="00D03260">
        <w:t xml:space="preserve">No confirmed diagnosis of mould-related </w:t>
      </w:r>
      <w:r w:rsidR="00EC201E" w:rsidRPr="00D03260">
        <w:t xml:space="preserve">infection </w:t>
      </w:r>
      <w:r w:rsidR="00611A04" w:rsidRPr="00D03260">
        <w:t>and symptoms persist</w:t>
      </w:r>
      <w:bookmarkEnd w:id="258"/>
      <w:bookmarkEnd w:id="259"/>
    </w:p>
    <w:p w14:paraId="11F431DA" w14:textId="20F22534" w:rsidR="00207AF5" w:rsidRPr="00D03260" w:rsidRDefault="00DC3DF0" w:rsidP="0029268D">
      <w:r w:rsidRPr="00D03260">
        <w:t>Consider alternative diagnoses including both infectious and non-</w:t>
      </w:r>
      <w:r w:rsidR="001918A2" w:rsidRPr="00D03260">
        <w:t>IDs</w:t>
      </w:r>
      <w:r w:rsidR="00207AF5" w:rsidRPr="00D03260">
        <w:t xml:space="preserve"> (s</w:t>
      </w:r>
      <w:r w:rsidR="00104378" w:rsidRPr="00D03260">
        <w:t>ee</w:t>
      </w:r>
      <w:r w:rsidR="00E95DB9" w:rsidRPr="00D03260">
        <w:t xml:space="preserve"> </w:t>
      </w:r>
      <w:hyperlink w:anchor="Sect32PatientsPresentingWithPersistentDe" w:history="1">
        <w:r w:rsidR="00573C9C" w:rsidRPr="00D03260">
          <w:rPr>
            <w:rStyle w:val="Hyperlink"/>
          </w:rPr>
          <w:t>s</w:t>
        </w:r>
        <w:r w:rsidR="00E95DB9" w:rsidRPr="00D03260">
          <w:rPr>
            <w:rStyle w:val="Hyperlink"/>
          </w:rPr>
          <w:t>ection 3.2</w:t>
        </w:r>
      </w:hyperlink>
      <w:r w:rsidR="00104378" w:rsidRPr="00D03260">
        <w:t xml:space="preserve"> </w:t>
      </w:r>
      <w:r w:rsidR="00573C9C" w:rsidRPr="00D03260">
        <w:t>for further details on ‘</w:t>
      </w:r>
      <w:r w:rsidR="00104378" w:rsidRPr="00D03260">
        <w:t>Patients presenting with persistent debilitating symptoms and no diagnosis’</w:t>
      </w:r>
      <w:r w:rsidR="00387885" w:rsidRPr="00D03260">
        <w:t>)</w:t>
      </w:r>
      <w:r w:rsidR="00402833" w:rsidRPr="00D03260">
        <w:t>.</w:t>
      </w:r>
      <w:r w:rsidR="00207AF5" w:rsidRPr="00D03260">
        <w:br w:type="page"/>
      </w:r>
    </w:p>
    <w:p w14:paraId="5A2FB415" w14:textId="63F5E91F" w:rsidR="00890EC7" w:rsidRPr="00D03260" w:rsidRDefault="003A45D1" w:rsidP="00AF1EFC">
      <w:pPr>
        <w:pStyle w:val="NumberedHeading2"/>
        <w:numPr>
          <w:ilvl w:val="0"/>
          <w:numId w:val="0"/>
        </w:numPr>
      </w:pPr>
      <w:bookmarkStart w:id="260" w:name="_Toc121329179"/>
      <w:bookmarkStart w:id="261" w:name="_Toc141885916"/>
      <w:r w:rsidRPr="00D03260">
        <w:t>5.4.</w:t>
      </w:r>
      <w:r w:rsidRPr="00D03260">
        <w:tab/>
      </w:r>
      <w:bookmarkStart w:id="262" w:name="Section54HP"/>
      <w:bookmarkEnd w:id="262"/>
      <w:r w:rsidR="00C316FA" w:rsidRPr="00D03260">
        <w:t>HP</w:t>
      </w:r>
      <w:bookmarkEnd w:id="260"/>
      <w:bookmarkEnd w:id="261"/>
    </w:p>
    <w:p w14:paraId="6B526001" w14:textId="503FDF0C" w:rsidR="00D72736" w:rsidRPr="00D03260" w:rsidRDefault="003A45D1" w:rsidP="00AF1EFC">
      <w:pPr>
        <w:pStyle w:val="NumberedHeading3"/>
        <w:numPr>
          <w:ilvl w:val="0"/>
          <w:numId w:val="0"/>
        </w:numPr>
      </w:pPr>
      <w:bookmarkStart w:id="263" w:name="_Toc121329180"/>
      <w:bookmarkStart w:id="264" w:name="_Toc141885917"/>
      <w:r w:rsidRPr="00D03260">
        <w:t>5.4.1.</w:t>
      </w:r>
      <w:r w:rsidRPr="00D03260">
        <w:tab/>
      </w:r>
      <w:r w:rsidR="00D72736" w:rsidRPr="00D03260">
        <w:t>Confirmed diagnosis</w:t>
      </w:r>
      <w:r w:rsidR="006B2421" w:rsidRPr="00D03260">
        <w:t xml:space="preserve"> of </w:t>
      </w:r>
      <w:r w:rsidR="00C316FA" w:rsidRPr="00D03260">
        <w:t>HP</w:t>
      </w:r>
      <w:bookmarkEnd w:id="263"/>
      <w:bookmarkEnd w:id="264"/>
    </w:p>
    <w:p w14:paraId="6447D9AF" w14:textId="7E21E720" w:rsidR="00B41F60" w:rsidRPr="00D03260" w:rsidRDefault="00992248" w:rsidP="00A85AE6">
      <w:r w:rsidRPr="00D03260">
        <w:t xml:space="preserve">Diagnosis of HP </w:t>
      </w:r>
      <w:r w:rsidR="00044840" w:rsidRPr="00D03260">
        <w:t xml:space="preserve">will be made by a specialist </w:t>
      </w:r>
      <w:r w:rsidR="00B17BF4" w:rsidRPr="00D03260">
        <w:t xml:space="preserve">based on relevant diagnostic tests. </w:t>
      </w:r>
    </w:p>
    <w:p w14:paraId="4849E58F" w14:textId="70BF0217" w:rsidR="00A120E2" w:rsidRPr="00D03260" w:rsidRDefault="003A45D1" w:rsidP="00AF1EFC">
      <w:pPr>
        <w:pStyle w:val="NumberedHeading3"/>
        <w:numPr>
          <w:ilvl w:val="0"/>
          <w:numId w:val="0"/>
        </w:numPr>
        <w:ind w:left="1440" w:hanging="1440"/>
      </w:pPr>
      <w:bookmarkStart w:id="265" w:name="_Toc121329181"/>
      <w:bookmarkStart w:id="266" w:name="_Toc141885918"/>
      <w:r w:rsidRPr="00D03260">
        <w:t>5.4.2.</w:t>
      </w:r>
      <w:r w:rsidRPr="00D03260">
        <w:tab/>
      </w:r>
      <w:r w:rsidR="00A120E2" w:rsidRPr="00D03260">
        <w:t xml:space="preserve">No confirmed diagnosis of </w:t>
      </w:r>
      <w:r w:rsidR="00C316FA" w:rsidRPr="00D03260">
        <w:t>HP</w:t>
      </w:r>
      <w:r w:rsidR="00A120E2" w:rsidRPr="00D03260">
        <w:t xml:space="preserve"> and symptoms resolve</w:t>
      </w:r>
      <w:bookmarkEnd w:id="265"/>
      <w:bookmarkEnd w:id="266"/>
    </w:p>
    <w:p w14:paraId="62B33DAB" w14:textId="304CB6FC" w:rsidR="00C316FA" w:rsidRPr="00D03260" w:rsidRDefault="003B76C9" w:rsidP="00633808">
      <w:r w:rsidRPr="00D03260">
        <w:t>Explain to the patient that no treatment is required. Reinforce enHealth advice about avoiding/minimising exposure to mould, and preventing and remediating mould and damp</w:t>
      </w:r>
      <w:r w:rsidR="00600021" w:rsidRPr="00D03260">
        <w:t xml:space="preserve"> </w:t>
      </w:r>
      <w:r w:rsidR="00600021" w:rsidRPr="00D03260">
        <w:fldChar w:fldCharType="begin"/>
      </w:r>
      <w:r w:rsidR="00600021" w:rsidRPr="00D03260">
        <w:instrText xml:space="preserve"> ADDIN ZOTERO_ITEM CSL_CITATION {"citationID":"JW4a1WxR","properties":{"formattedCitation":"(Environmental Health Standing Committee (enHealth) of the Australian Health Protection Principal Committee, 2021)","plainCitation":"(Environmental Health Standing Committee (enHealth) of the Australian Health Protection Principal Committee, 2021)","noteIndex":0},"citationItems":[{"id":2134,"uris":["http://zotero.org/groups/4371185/items/BHB8PKVA"],"itemData":{"id":2134,"type":"document","publisher":"Australian Government Department of Health and Aged Care","title":"Potential health effects of mould in the environment","URL":"https://www.health.gov.au/resources/publications/enhealth-guidance-potential-health-effects-of-mould-in-the-environment","author":[{"family":"Environmental Health Standing Committee (enHealth) of the Australian Health Protection Principal Committee","given":""}],"issued":{"date-parts":[["2021"]]}}}],"schema":"https://github.com/citation-style-language/schema/raw/master/csl-citation.json"} </w:instrText>
      </w:r>
      <w:r w:rsidR="00600021" w:rsidRPr="00D03260">
        <w:fldChar w:fldCharType="separate"/>
      </w:r>
      <w:r w:rsidR="00600021" w:rsidRPr="00D03260">
        <w:rPr>
          <w:rFonts w:cs="Arial"/>
        </w:rPr>
        <w:t>(Environmental Health Standing Committee (enHealth) of the Australian Health Protection Principal Committee, 2021)</w:t>
      </w:r>
      <w:r w:rsidR="00600021" w:rsidRPr="00D03260">
        <w:fldChar w:fldCharType="end"/>
      </w:r>
      <w:r w:rsidRPr="00D03260">
        <w:t>.</w:t>
      </w:r>
      <w:r w:rsidR="00B17BF4" w:rsidRPr="00D03260">
        <w:t xml:space="preserve"> </w:t>
      </w:r>
      <w:r w:rsidR="005B461E" w:rsidRPr="00D03260">
        <w:t xml:space="preserve">See </w:t>
      </w:r>
      <w:hyperlink w:anchor="Section214ProvideAdviceOnAvoidingOrMinim" w:history="1">
        <w:r w:rsidR="00573C9C" w:rsidRPr="00D03260">
          <w:rPr>
            <w:rStyle w:val="Hyperlink"/>
          </w:rPr>
          <w:t>s</w:t>
        </w:r>
        <w:r w:rsidR="005B461E" w:rsidRPr="00D03260">
          <w:rPr>
            <w:rStyle w:val="Hyperlink"/>
          </w:rPr>
          <w:t>ection 2.1.4</w:t>
        </w:r>
      </w:hyperlink>
      <w:r w:rsidR="00573C9C" w:rsidRPr="00D03260">
        <w:t xml:space="preserve"> for further details</w:t>
      </w:r>
      <w:r w:rsidR="005B461E" w:rsidRPr="00D03260">
        <w:t xml:space="preserve"> </w:t>
      </w:r>
      <w:r w:rsidR="00573C9C" w:rsidRPr="00D03260">
        <w:t>o</w:t>
      </w:r>
      <w:r w:rsidR="005B461E" w:rsidRPr="00D03260">
        <w:t xml:space="preserve">n </w:t>
      </w:r>
      <w:r w:rsidR="00573C9C" w:rsidRPr="00D03260">
        <w:t>providing</w:t>
      </w:r>
      <w:r w:rsidR="005B461E" w:rsidRPr="00D03260">
        <w:t xml:space="preserve"> advice on avoiding or minimising exposure to indoor damp or mould, while investigating any differential diagnosis</w:t>
      </w:r>
      <w:r w:rsidR="00573C9C" w:rsidRPr="00D03260">
        <w:t>.</w:t>
      </w:r>
    </w:p>
    <w:p w14:paraId="447F32D1" w14:textId="12165E95" w:rsidR="00633808" w:rsidRPr="00D03260" w:rsidRDefault="00633808" w:rsidP="00633808">
      <w:r w:rsidRPr="00D03260">
        <w:t>Mould-allergic patients and patients with a weakened immune system should be provided with specialist patient information about the hazards of indoor mould exposure and preventative steps they can take to minimi</w:t>
      </w:r>
      <w:r w:rsidR="00CA264F" w:rsidRPr="00D03260">
        <w:t>s</w:t>
      </w:r>
      <w:r w:rsidRPr="00D03260">
        <w:t xml:space="preserve">e exposure </w:t>
      </w:r>
      <w:r w:rsidRPr="00D03260">
        <w:fldChar w:fldCharType="begin"/>
      </w:r>
      <w:r w:rsidR="00217980" w:rsidRPr="00D03260">
        <w:instrText xml:space="preserve"> ADDIN ZOTERO_ITEM CSL_CITATION {"citationID":"vvGIKkIL","properties":{"formattedCitation":"(Wiesm\\uc0\\u252{}ller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18253887" w14:textId="1A428B37" w:rsidR="00A120E2" w:rsidRPr="00D03260" w:rsidRDefault="008B0548" w:rsidP="00AF1EFC">
      <w:pPr>
        <w:pStyle w:val="NumberedHeading3"/>
        <w:numPr>
          <w:ilvl w:val="0"/>
          <w:numId w:val="0"/>
        </w:numPr>
        <w:ind w:left="1440" w:hanging="1440"/>
      </w:pPr>
      <w:bookmarkStart w:id="267" w:name="_Toc121329182"/>
      <w:bookmarkStart w:id="268" w:name="_Toc141885919"/>
      <w:r w:rsidRPr="00D03260">
        <w:t>5.4.3.</w:t>
      </w:r>
      <w:r w:rsidRPr="00D03260">
        <w:tab/>
      </w:r>
      <w:r w:rsidR="00A120E2" w:rsidRPr="00D03260">
        <w:t xml:space="preserve">No confirmed diagnosis of </w:t>
      </w:r>
      <w:r w:rsidR="00D614C2" w:rsidRPr="00D03260">
        <w:t>HP</w:t>
      </w:r>
      <w:r w:rsidR="00A120E2" w:rsidRPr="00D03260">
        <w:t xml:space="preserve"> and </w:t>
      </w:r>
      <w:r w:rsidR="00B41F60" w:rsidRPr="00D03260">
        <w:t>symptoms persist</w:t>
      </w:r>
      <w:bookmarkEnd w:id="267"/>
      <w:bookmarkEnd w:id="268"/>
    </w:p>
    <w:p w14:paraId="0B76FCAB" w14:textId="7344DFB9" w:rsidR="00057B51" w:rsidRPr="00D03260" w:rsidRDefault="00057B51" w:rsidP="0029268D">
      <w:r w:rsidRPr="00D03260">
        <w:t>Consider alternative diagnoses including both infectious and non-</w:t>
      </w:r>
      <w:r w:rsidR="001918A2" w:rsidRPr="00D03260">
        <w:t>IDs</w:t>
      </w:r>
      <w:r w:rsidR="00207AF5" w:rsidRPr="00D03260">
        <w:t xml:space="preserve"> (s</w:t>
      </w:r>
      <w:r w:rsidR="00104378" w:rsidRPr="00D03260">
        <w:t>ee</w:t>
      </w:r>
      <w:r w:rsidR="00C2258E" w:rsidRPr="00D03260">
        <w:t xml:space="preserve"> </w:t>
      </w:r>
      <w:hyperlink w:anchor="Sect32PatientsPresentingWithPersistentDe" w:history="1">
        <w:r w:rsidR="00573C9C" w:rsidRPr="00D03260">
          <w:rPr>
            <w:rStyle w:val="Hyperlink"/>
          </w:rPr>
          <w:t>s</w:t>
        </w:r>
        <w:r w:rsidR="00C2258E" w:rsidRPr="00D03260">
          <w:rPr>
            <w:rStyle w:val="Hyperlink"/>
          </w:rPr>
          <w:t>ection 3.2</w:t>
        </w:r>
      </w:hyperlink>
      <w:r w:rsidR="00104378" w:rsidRPr="00D03260">
        <w:t xml:space="preserve"> </w:t>
      </w:r>
      <w:r w:rsidR="00573C9C" w:rsidRPr="00D03260">
        <w:t xml:space="preserve">for further details </w:t>
      </w:r>
      <w:r w:rsidR="00104378" w:rsidRPr="00D03260">
        <w:t>on ‘Patients presenting with persistent debilitating symptoms and no diagnosis’</w:t>
      </w:r>
      <w:r w:rsidR="00387885" w:rsidRPr="00D03260">
        <w:t>)</w:t>
      </w:r>
      <w:r w:rsidR="00104378" w:rsidRPr="00D03260">
        <w:t>.</w:t>
      </w:r>
    </w:p>
    <w:p w14:paraId="441AE5DB" w14:textId="1F577D2F" w:rsidR="00D614C2" w:rsidRPr="00D03260" w:rsidRDefault="00951D4F" w:rsidP="0029268D">
      <w:r w:rsidRPr="00D03260">
        <w:t>Reinforce enHealth advice about avoiding/minimising exposure to mould, and preventing and remediating mould and damp</w:t>
      </w:r>
      <w:r w:rsidR="00207AF5" w:rsidRPr="00D03260">
        <w:t xml:space="preserve"> </w:t>
      </w:r>
      <w:r w:rsidR="00600021" w:rsidRPr="00D03260">
        <w:fldChar w:fldCharType="begin"/>
      </w:r>
      <w:r w:rsidR="00600021" w:rsidRPr="00D03260">
        <w:instrText xml:space="preserve"> ADDIN ZOTERO_ITEM CSL_CITATION {"citationID":"eQ0sGCoN","properties":{"formattedCitation":"(Environmental Health Standing Committee (enHealth) of the Australian Health Protection Principal Committee, 2021)","plainCitation":"(Environmental Health Standing Committee (enHealth) of the Australian Health Protection Principal Committee, 2021)","noteIndex":0},"citationItems":[{"id":2134,"uris":["http://zotero.org/groups/4371185/items/BHB8PKVA"],"itemData":{"id":2134,"type":"document","publisher":"Australian Government Department of Health and Aged Care","title":"Potential health effects of mould in the environment","URL":"https://www.health.gov.au/resources/publications/enhealth-guidance-potential-health-effects-of-mould-in-the-environment","author":[{"family":"Environmental Health Standing Committee (enHealth) of the Australian Health Protection Principal Committee","given":""}],"issued":{"date-parts":[["2021"]]}}}],"schema":"https://github.com/citation-style-language/schema/raw/master/csl-citation.json"} </w:instrText>
      </w:r>
      <w:r w:rsidR="00600021" w:rsidRPr="00D03260">
        <w:fldChar w:fldCharType="separate"/>
      </w:r>
      <w:r w:rsidR="00600021" w:rsidRPr="00D03260">
        <w:rPr>
          <w:rFonts w:cs="Arial"/>
        </w:rPr>
        <w:t>(Environmental Health Standing Committee (enHealth) of the Australian Health Protection Principal Committee, 2021)</w:t>
      </w:r>
      <w:r w:rsidR="00600021" w:rsidRPr="00D03260">
        <w:fldChar w:fldCharType="end"/>
      </w:r>
      <w:r w:rsidR="00600021" w:rsidRPr="00D03260">
        <w:t xml:space="preserve"> </w:t>
      </w:r>
      <w:r w:rsidR="00207AF5" w:rsidRPr="00D03260">
        <w:t>(s</w:t>
      </w:r>
      <w:r w:rsidR="005B461E" w:rsidRPr="00D03260">
        <w:t xml:space="preserve">ee </w:t>
      </w:r>
      <w:hyperlink w:anchor="Section214ProvideAdviceOnAvoidingOrMinim" w:history="1">
        <w:r w:rsidR="00573C9C" w:rsidRPr="00D03260">
          <w:rPr>
            <w:rStyle w:val="Hyperlink"/>
          </w:rPr>
          <w:t>s</w:t>
        </w:r>
        <w:r w:rsidR="005B461E" w:rsidRPr="00D03260">
          <w:rPr>
            <w:rStyle w:val="Hyperlink"/>
          </w:rPr>
          <w:t>ection 2.1.4</w:t>
        </w:r>
      </w:hyperlink>
      <w:r w:rsidR="00573C9C" w:rsidRPr="00D03260">
        <w:t xml:space="preserve"> for further details </w:t>
      </w:r>
      <w:r w:rsidR="005B461E" w:rsidRPr="00D03260">
        <w:t xml:space="preserve">on </w:t>
      </w:r>
      <w:r w:rsidR="00573C9C" w:rsidRPr="00D03260">
        <w:t>providing</w:t>
      </w:r>
      <w:r w:rsidR="005B461E" w:rsidRPr="00D03260">
        <w:t xml:space="preserve"> advice on avoiding or minimising exposure to indoor damp or mould, while investigating any differential diagnosis’</w:t>
      </w:r>
      <w:r w:rsidR="00387885" w:rsidRPr="00D03260">
        <w:t>)</w:t>
      </w:r>
      <w:r w:rsidR="00573C9C" w:rsidRPr="00D03260">
        <w:t>.</w:t>
      </w:r>
    </w:p>
    <w:p w14:paraId="3D8DBEC6" w14:textId="2C39C7CE" w:rsidR="00951D4F" w:rsidRPr="00D03260" w:rsidRDefault="00951D4F" w:rsidP="0029268D">
      <w:r w:rsidRPr="00D03260">
        <w:t>Mould-allergic patients and patients with a weakened immune system should be provided with specialist patient information about the hazards of indoor mould exposure and preventative steps they can take to minimi</w:t>
      </w:r>
      <w:r w:rsidR="00CA264F" w:rsidRPr="00D03260">
        <w:t>s</w:t>
      </w:r>
      <w:r w:rsidRPr="00D03260">
        <w:t xml:space="preserve">e exposure </w:t>
      </w:r>
      <w:r w:rsidRPr="00D03260">
        <w:fldChar w:fldCharType="begin"/>
      </w:r>
      <w:r w:rsidR="00217980" w:rsidRPr="00D03260">
        <w:instrText xml:space="preserve"> ADDIN ZOTERO_ITEM CSL_CITATION {"citationID":"v3n3oh5Y","properties":{"formattedCitation":"(Wiesm\\uc0\\u252{}ller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6D981839" w14:textId="2A0113DD" w:rsidR="004E368B" w:rsidRPr="00D03260" w:rsidRDefault="008B0548" w:rsidP="00AF1EFC">
      <w:pPr>
        <w:pStyle w:val="NumberedHeading2"/>
        <w:numPr>
          <w:ilvl w:val="0"/>
          <w:numId w:val="0"/>
        </w:numPr>
        <w:ind w:left="720" w:hanging="720"/>
      </w:pPr>
      <w:bookmarkStart w:id="269" w:name="_Toc121329183"/>
      <w:bookmarkStart w:id="270" w:name="_Toc141885920"/>
      <w:bookmarkStart w:id="271" w:name="Section55PersistentSymptmsDiagnosisEstab"/>
      <w:r w:rsidRPr="00D03260">
        <w:t>5.5.</w:t>
      </w:r>
      <w:r w:rsidRPr="00D03260">
        <w:tab/>
      </w:r>
      <w:r w:rsidR="004E368B" w:rsidRPr="00D03260">
        <w:t xml:space="preserve">Patient presenting with persistent debilitating symptoms </w:t>
      </w:r>
      <w:r w:rsidR="000800FF" w:rsidRPr="00D03260">
        <w:t>–</w:t>
      </w:r>
      <w:r w:rsidR="004E368B" w:rsidRPr="00D03260">
        <w:t xml:space="preserve"> diagnosis of specific disease(s) is established</w:t>
      </w:r>
      <w:bookmarkEnd w:id="269"/>
      <w:bookmarkEnd w:id="270"/>
      <w:r w:rsidR="004E368B" w:rsidRPr="00D03260">
        <w:t xml:space="preserve"> </w:t>
      </w:r>
    </w:p>
    <w:bookmarkEnd w:id="271"/>
    <w:p w14:paraId="76BF42B5" w14:textId="69E4AB42" w:rsidR="00231C8A" w:rsidRPr="00D03260" w:rsidRDefault="000B17D0" w:rsidP="00D72736">
      <w:r w:rsidRPr="00D03260">
        <w:t xml:space="preserve">Where a specific disease or diseases are diagnosed, with or without specialist input, treat accordingly, as per usual clinical practice. When symptoms resolve, the patient exits this </w:t>
      </w:r>
      <w:r w:rsidR="003F1F61" w:rsidRPr="00D03260">
        <w:t>Biotoxins (</w:t>
      </w:r>
      <w:r w:rsidR="00CB03E2" w:rsidRPr="00D03260">
        <w:t>i</w:t>
      </w:r>
      <w:r w:rsidR="003F1F61" w:rsidRPr="00D03260">
        <w:t xml:space="preserve">ndoor damp and mould) </w:t>
      </w:r>
      <w:r w:rsidRPr="00D03260">
        <w:t>Clinical Pathway.</w:t>
      </w:r>
    </w:p>
    <w:p w14:paraId="2A58CCD9" w14:textId="05CBC21F" w:rsidR="00276DA4" w:rsidRPr="00D03260" w:rsidRDefault="008B0548" w:rsidP="00AF1EFC">
      <w:pPr>
        <w:pStyle w:val="NumberedHeading2"/>
        <w:numPr>
          <w:ilvl w:val="0"/>
          <w:numId w:val="0"/>
        </w:numPr>
        <w:ind w:left="720" w:hanging="720"/>
      </w:pPr>
      <w:bookmarkStart w:id="272" w:name="_Toc107998609"/>
      <w:bookmarkStart w:id="273" w:name="_Toc121329184"/>
      <w:bookmarkStart w:id="274" w:name="_Toc141885921"/>
      <w:r w:rsidRPr="00D03260">
        <w:t>5.6.</w:t>
      </w:r>
      <w:r w:rsidRPr="00D03260">
        <w:tab/>
      </w:r>
      <w:bookmarkStart w:id="275" w:name="Section56PersistentSymtomsNoDiagnosis"/>
      <w:r w:rsidR="00276DA4" w:rsidRPr="00D03260">
        <w:t xml:space="preserve">Patient presenting with persistent debilitating symptoms </w:t>
      </w:r>
      <w:r w:rsidR="001918A2" w:rsidRPr="00D03260">
        <w:t>–</w:t>
      </w:r>
      <w:r w:rsidR="00276DA4" w:rsidRPr="00D03260">
        <w:t xml:space="preserve"> no</w:t>
      </w:r>
      <w:r w:rsidR="001918A2" w:rsidRPr="00D03260">
        <w:t xml:space="preserve"> </w:t>
      </w:r>
      <w:r w:rsidR="00276DA4" w:rsidRPr="00D03260">
        <w:t>diagnosis is established</w:t>
      </w:r>
      <w:r w:rsidR="00A039F8" w:rsidRPr="00D03260">
        <w:t>,</w:t>
      </w:r>
      <w:r w:rsidR="00276DA4" w:rsidRPr="00D03260">
        <w:t xml:space="preserve"> and </w:t>
      </w:r>
      <w:r w:rsidR="001918A2" w:rsidRPr="00D03260">
        <w:t>MUS</w:t>
      </w:r>
      <w:r w:rsidR="00276DA4" w:rsidRPr="00D03260">
        <w:t xml:space="preserve"> persist</w:t>
      </w:r>
      <w:bookmarkEnd w:id="272"/>
      <w:bookmarkEnd w:id="273"/>
      <w:bookmarkEnd w:id="274"/>
      <w:bookmarkEnd w:id="275"/>
    </w:p>
    <w:p w14:paraId="3C9DD5CE" w14:textId="74E2C4CC" w:rsidR="00BB40EA" w:rsidRPr="00D03260" w:rsidRDefault="00BB40EA" w:rsidP="00BB40EA">
      <w:pPr>
        <w:pStyle w:val="Boxtext"/>
        <w:rPr>
          <w:b/>
          <w:bCs/>
          <w:lang w:val="en-AU"/>
        </w:rPr>
      </w:pPr>
      <w:r w:rsidRPr="00D03260">
        <w:rPr>
          <w:lang w:val="en-AU"/>
        </w:rPr>
        <w:t xml:space="preserve">This section is aligned to the Australian Government Department of Health DSCATT Clinical Pathway, published in October 2020. The guidance is relevant to patients with unresolved debilitating symptoms with a history of exposure to indoor damp and mould and that cannot be attributed to another diagnosable condition. </w:t>
      </w:r>
    </w:p>
    <w:p w14:paraId="2BB76698" w14:textId="17115D96" w:rsidR="00276DA4" w:rsidRPr="00D03260" w:rsidRDefault="00276DA4" w:rsidP="00276DA4">
      <w:r w:rsidRPr="00D03260">
        <w:t xml:space="preserve">If no diagnosis of a specific disease(s) is established through this phase of the pathway and symptoms persist, move to </w:t>
      </w:r>
      <w:r w:rsidR="005479AA" w:rsidRPr="00D03260">
        <w:t xml:space="preserve">the </w:t>
      </w:r>
      <w:r w:rsidRPr="00D03260">
        <w:t xml:space="preserve">next phase, the stepped care approach. </w:t>
      </w:r>
    </w:p>
    <w:p w14:paraId="1A76FD10" w14:textId="559ED4B3" w:rsidR="00276DA4" w:rsidRPr="00D03260" w:rsidRDefault="00276DA4" w:rsidP="007427E3">
      <w:r w:rsidRPr="00D03260">
        <w:t xml:space="preserve">People with </w:t>
      </w:r>
      <w:r w:rsidR="001918A2" w:rsidRPr="00D03260">
        <w:t>MUS</w:t>
      </w:r>
      <w:r w:rsidRPr="00D03260">
        <w:t xml:space="preserve"> may obtain a diagnosis over time as symptoms develop and guide to the origin of the illness. Others may find that symptoms resolve over time without ever identifying a cause</w:t>
      </w:r>
      <w:r w:rsidR="00207AF5" w:rsidRPr="00D03260">
        <w:t xml:space="preserve"> (s</w:t>
      </w:r>
      <w:r w:rsidR="00F2079F" w:rsidRPr="00D03260">
        <w:t xml:space="preserve">ee </w:t>
      </w:r>
      <w:hyperlink w:anchor="Section64ManagementOfPatientsWithPersist" w:history="1">
        <w:r w:rsidR="00031388" w:rsidRPr="00D03260">
          <w:rPr>
            <w:rStyle w:val="Hyperlink"/>
          </w:rPr>
          <w:t>s</w:t>
        </w:r>
        <w:r w:rsidR="00F2079F" w:rsidRPr="00D03260">
          <w:rPr>
            <w:rStyle w:val="Hyperlink"/>
          </w:rPr>
          <w:t>ection 6.4</w:t>
        </w:r>
      </w:hyperlink>
      <w:r w:rsidR="003C7844" w:rsidRPr="00D03260">
        <w:t xml:space="preserve"> </w:t>
      </w:r>
      <w:r w:rsidR="00031388" w:rsidRPr="00D03260">
        <w:t xml:space="preserve">for further details </w:t>
      </w:r>
      <w:r w:rsidR="003C7844" w:rsidRPr="00D03260">
        <w:t>on</w:t>
      </w:r>
      <w:r w:rsidR="00F2079F" w:rsidRPr="00D03260">
        <w:t xml:space="preserve"> </w:t>
      </w:r>
      <w:r w:rsidR="003C7844" w:rsidRPr="00D03260">
        <w:t>‘</w:t>
      </w:r>
      <w:r w:rsidR="00697ED5" w:rsidRPr="00D03260">
        <w:t>Management of patients with persistent symptoms and who remain undiagnosed</w:t>
      </w:r>
      <w:r w:rsidR="003C7844" w:rsidRPr="00D03260">
        <w:t>’</w:t>
      </w:r>
      <w:r w:rsidR="00B61921" w:rsidRPr="00D03260">
        <w:t>, including the stepped care approach</w:t>
      </w:r>
      <w:r w:rsidR="00387885" w:rsidRPr="00D03260">
        <w:t>)</w:t>
      </w:r>
      <w:r w:rsidR="00697ED5" w:rsidRPr="00D03260">
        <w:t>.</w:t>
      </w:r>
      <w:r w:rsidRPr="00D03260">
        <w:br w:type="page"/>
      </w:r>
    </w:p>
    <w:p w14:paraId="3CAB77C0" w14:textId="2DD27A52" w:rsidR="00D327D6" w:rsidRPr="00D03260" w:rsidRDefault="00276DA4" w:rsidP="00AF1EFC">
      <w:pPr>
        <w:pStyle w:val="NumberedHeading1"/>
        <w:ind w:left="360"/>
      </w:pPr>
      <w:bookmarkStart w:id="276" w:name="_Toc121329185"/>
      <w:bookmarkStart w:id="277" w:name="_Toc141885922"/>
      <w:r w:rsidRPr="00D03260">
        <w:t>Initial management</w:t>
      </w:r>
      <w:bookmarkEnd w:id="276"/>
      <w:bookmarkEnd w:id="277"/>
    </w:p>
    <w:p w14:paraId="112042C1" w14:textId="585BEB3C" w:rsidR="002474BC" w:rsidRPr="00D03260" w:rsidRDefault="008B0548" w:rsidP="00AF1EFC">
      <w:pPr>
        <w:pStyle w:val="NumberedHeading2"/>
        <w:numPr>
          <w:ilvl w:val="0"/>
          <w:numId w:val="0"/>
        </w:numPr>
        <w:ind w:left="720" w:hanging="720"/>
      </w:pPr>
      <w:bookmarkStart w:id="278" w:name="Sect61ReinforceMinimisingOrAvoidingExpos"/>
      <w:bookmarkStart w:id="279" w:name="_Toc121329186"/>
      <w:bookmarkStart w:id="280" w:name="_Toc141885923"/>
      <w:bookmarkEnd w:id="278"/>
      <w:r w:rsidRPr="00D03260">
        <w:t>6.1.</w:t>
      </w:r>
      <w:r w:rsidRPr="00D03260">
        <w:tab/>
      </w:r>
      <w:r w:rsidR="002474BC" w:rsidRPr="00D03260">
        <w:t>Reinforce minimising/avoiding exposure to indoor damp and mould, preventing and remediation</w:t>
      </w:r>
      <w:bookmarkEnd w:id="279"/>
      <w:bookmarkEnd w:id="280"/>
      <w:r w:rsidR="002474BC" w:rsidRPr="00D03260">
        <w:t xml:space="preserve"> </w:t>
      </w:r>
    </w:p>
    <w:p w14:paraId="5B21DEB1" w14:textId="77777777" w:rsidR="00AF3BBF" w:rsidRPr="00D03260" w:rsidRDefault="00162FEF" w:rsidP="00162FEF">
      <w:r w:rsidRPr="00D03260">
        <w:t xml:space="preserve">Reinforce advice </w:t>
      </w:r>
      <w:r w:rsidR="00B24234" w:rsidRPr="00D03260">
        <w:t xml:space="preserve">to patients </w:t>
      </w:r>
      <w:r w:rsidR="00DF4989" w:rsidRPr="00D03260">
        <w:t xml:space="preserve">regarding </w:t>
      </w:r>
      <w:r w:rsidR="00284F6F" w:rsidRPr="00D03260">
        <w:t xml:space="preserve">minimising/avoiding, </w:t>
      </w:r>
      <w:proofErr w:type="gramStart"/>
      <w:r w:rsidR="00284F6F" w:rsidRPr="00D03260">
        <w:t>preventing</w:t>
      </w:r>
      <w:proofErr w:type="gramEnd"/>
      <w:r w:rsidR="00284F6F" w:rsidRPr="00D03260">
        <w:t xml:space="preserve"> and remediating exposure to </w:t>
      </w:r>
      <w:r w:rsidR="00D93E21" w:rsidRPr="00D03260">
        <w:t xml:space="preserve">indoor damp and </w:t>
      </w:r>
      <w:r w:rsidR="00284F6F" w:rsidRPr="00D03260">
        <w:t>mould</w:t>
      </w:r>
      <w:r w:rsidR="00D93E21" w:rsidRPr="00D03260">
        <w:t xml:space="preserve">. </w:t>
      </w:r>
      <w:r w:rsidR="005B461E" w:rsidRPr="00D03260">
        <w:t xml:space="preserve">See </w:t>
      </w:r>
      <w:hyperlink w:anchor="Section214ProvideAdviceOnAvoidingOrMinim" w:history="1">
        <w:r w:rsidR="00BC3B2C" w:rsidRPr="00D03260">
          <w:rPr>
            <w:rStyle w:val="Hyperlink"/>
          </w:rPr>
          <w:t>s</w:t>
        </w:r>
        <w:r w:rsidR="005B461E" w:rsidRPr="00D03260">
          <w:rPr>
            <w:rStyle w:val="Hyperlink"/>
          </w:rPr>
          <w:t>ection 2.1.4</w:t>
        </w:r>
      </w:hyperlink>
      <w:r w:rsidR="00387885" w:rsidRPr="00D03260">
        <w:t xml:space="preserve"> for further details</w:t>
      </w:r>
      <w:r w:rsidR="005B461E" w:rsidRPr="00D03260">
        <w:t xml:space="preserve"> on ‘Provide advice on avoiding or minimising exposure to indoor damp or mould, while investigating any differential diagnosis’.</w:t>
      </w:r>
      <w:r w:rsidR="00A9075A" w:rsidRPr="00D03260">
        <w:t xml:space="preserve"> </w:t>
      </w:r>
    </w:p>
    <w:p w14:paraId="1EA5EEA5" w14:textId="709FE43C" w:rsidR="00162FEF" w:rsidRPr="00D03260" w:rsidRDefault="00A9075A" w:rsidP="00162FEF">
      <w:r w:rsidRPr="00D03260">
        <w:t xml:space="preserve">Provide patients with a hard copy handout of the enHealth factsheet on </w:t>
      </w:r>
      <w:r w:rsidR="005106B3" w:rsidRPr="00D03260">
        <w:t xml:space="preserve">potential health </w:t>
      </w:r>
      <w:r w:rsidR="009077F4" w:rsidRPr="00D03260">
        <w:t xml:space="preserve">effects of </w:t>
      </w:r>
      <w:r w:rsidRPr="00D03260">
        <w:t>mould</w:t>
      </w:r>
      <w:r w:rsidR="009077F4" w:rsidRPr="00D03260">
        <w:t xml:space="preserve"> in the environment</w:t>
      </w:r>
      <w:r w:rsidR="00173943" w:rsidRPr="00D03260">
        <w:t xml:space="preserve">. </w:t>
      </w:r>
      <w:r w:rsidR="006F528F" w:rsidRPr="00D03260">
        <w:t xml:space="preserve">See </w:t>
      </w:r>
      <w:hyperlink w:anchor="AppendixDenHealthFactsheetOnPotentialHea" w:history="1">
        <w:r w:rsidR="006F528F" w:rsidRPr="00D03260">
          <w:rPr>
            <w:rStyle w:val="Hyperlink"/>
          </w:rPr>
          <w:t xml:space="preserve">Appendix </w:t>
        </w:r>
        <w:r w:rsidR="005106B3" w:rsidRPr="00D03260">
          <w:rPr>
            <w:rStyle w:val="Hyperlink"/>
          </w:rPr>
          <w:t>D</w:t>
        </w:r>
      </w:hyperlink>
      <w:r w:rsidR="005106B3" w:rsidRPr="00D03260">
        <w:t xml:space="preserve"> for the </w:t>
      </w:r>
      <w:r w:rsidR="009077F4" w:rsidRPr="00D03260">
        <w:t xml:space="preserve">enHealth factsheet on mould. </w:t>
      </w:r>
      <w:r w:rsidR="00173943" w:rsidRPr="00D03260">
        <w:t xml:space="preserve">It is </w:t>
      </w:r>
      <w:r w:rsidR="009077F4" w:rsidRPr="00D03260">
        <w:t xml:space="preserve">also </w:t>
      </w:r>
      <w:r w:rsidR="00173943" w:rsidRPr="00D03260">
        <w:t xml:space="preserve">available </w:t>
      </w:r>
      <w:r w:rsidR="00DB02A7" w:rsidRPr="00D03260">
        <w:t>at</w:t>
      </w:r>
      <w:r w:rsidR="00DB5E84" w:rsidRPr="00D03260">
        <w:t xml:space="preserve"> </w:t>
      </w:r>
      <w:hyperlink r:id="rId65" w:history="1">
        <w:r w:rsidR="00DB5E84" w:rsidRPr="00D03260">
          <w:rPr>
            <w:rStyle w:val="Hyperlink"/>
            <w:szCs w:val="21"/>
          </w:rPr>
          <w:t>https://www.health.gov.au/resources/publications/enhealth-guidance-potential-health-effects-of-mould-in-the-environment</w:t>
        </w:r>
      </w:hyperlink>
      <w:r w:rsidR="00173943" w:rsidRPr="00D03260">
        <w:t xml:space="preserve">. </w:t>
      </w:r>
    </w:p>
    <w:p w14:paraId="5EC0EE0E" w14:textId="04470479" w:rsidR="00162FEF" w:rsidRPr="00D03260" w:rsidRDefault="00162FEF" w:rsidP="00162FEF">
      <w:r w:rsidRPr="00D03260">
        <w:t>Australian and international advice is consistent in that exposure to indoor mould should be minimised or avoided</w:t>
      </w:r>
      <w:r w:rsidR="00AF3BBF" w:rsidRPr="00D03260">
        <w:t xml:space="preserve">. </w:t>
      </w:r>
      <w:r w:rsidR="004F0408" w:rsidRPr="00D03260">
        <w:t>D</w:t>
      </w:r>
      <w:r w:rsidRPr="00D03260">
        <w:t xml:space="preserve">ampness and mould-related problems should be prevented, </w:t>
      </w:r>
      <w:r w:rsidR="00F547FF" w:rsidRPr="00D03260">
        <w:t xml:space="preserve">and </w:t>
      </w:r>
      <w:r w:rsidR="004F0408" w:rsidRPr="00D03260">
        <w:t xml:space="preserve">remediated </w:t>
      </w:r>
      <w:r w:rsidR="00F547FF" w:rsidRPr="00D03260">
        <w:t xml:space="preserve">when present, </w:t>
      </w:r>
      <w:r w:rsidRPr="00D03260">
        <w:t xml:space="preserve">even in the absence of health effects/symptoms </w:t>
      </w:r>
      <w:r w:rsidRPr="00D03260">
        <w:fldChar w:fldCharType="begin"/>
      </w:r>
      <w:r w:rsidR="0097233B" w:rsidRPr="00D03260">
        <w:instrText xml:space="preserve"> ADDIN ZOTERO_ITEM CSL_CITATION {"citationID":"oop7InpV","properties":{"formattedCitation":"(Denning &amp; Chakrabarti, 2017; Environmental Health Standing Committee (enHealth) of the Australian Health Protection Principal Committee, 2021; Hurra\\uc0\\u223{} et al., 2017; Larenas-Linnemann et al., 2016; Wiesm\\uc0\\u252{}ller et al., 2017)","plainCitation":"(Denning &amp; Chakrabarti, 2017; Environmental Health Standing Committee (enHealth) of the Australian Health Protection Principal Committee, 2021; Hurraß et al., 2017; Larenas-Linnemann et al., 2016; Wiesmüller et al., 2017)","noteIndex":0},"citationItems":[{"id":2226,"uris":["http://zotero.org/groups/4371185/items/7XNKPSYV"],"itemData":{"id":2226,"type":"article-journal","abstract":"The human respiratory tract is exposed daily to airborne fungi, fungal enzymes, and secondary metabolites. The endemic fungi Histoplasma capsulatum, Coccidioides spp,  Blastomyces dermatitidis, and Paracoccidioides brasiliensis, and occasionally  Aspergillus fumigatus, are primary pulmonary pathogens of otherwise healthy people.  Such infections resolve in most people, and only a few infections lead to disease.  However, many fungi are directly allergenic by colonising the respiratory tract or  indirectly through contact with cell wall constituents and proteases, causing or  exacerbating allergic disease. Increasing evidence implicates high indoor fungal  exposures as a precipitant of asthma in children and in worsening asthma symptoms.  Lung or airways infection by endemic fungi or aspergillus can be diagnosed with  respiratory sample culture or serum IgG testing. Sputum, induced sputum, or  bronchial specimens are all suitable specimens for detecting fungi; microscopy,  fungal culture, galactomannan antigen, and aspergillus PCR are useful tests.  Antifungal treatment is indicated in almost all patients with chronic cavitary  pulmonary infections, chronic invasive and granulomatous rhinosinusitis, and  aspergillus bronchitis. Most patients with fungal asthma benefit from antifungal  therapy. Adverse reactions to oral azoles, drug interactions, and azole resistance  in Aspergillus spp limit therapy. Environmental exposures, genetic factors, and  structural pulmonary risk factors probably underlie disease but are poorly  understood.","container-title":"The Lancet. Infectious diseases","DOI":"10.1016/S1473-3099(17)30309-2","ISSN":"1474-4457 1473-3099","issue":"11","journalAbbreviation":"Lancet Infect Dis","language":"eng","license":"Copyright © 2017 Elsevier Ltd. All rights reserved.","note":"publisher-place: United States\nPMID: 28774699","page":"e357-e366","title":"Pulmonary and sinus fungal diseases in non-immunocompromised patients.","volume":"17","author":[{"family":"Denning","given":"David W."},{"family":"Chakrabarti","given":"Arunaloke"}],"issued":{"date-parts":[["2017",11]]}}},{"id":2134,"uris":["http://zotero.org/groups/4371185/items/BHB8PKVA"],"itemData":{"id":2134,"type":"document","publisher":"Australian Government Department of Health and Aged Care","title":"Potential health effects of mould in the environment","URL":"https://www.health.gov.au/resources/publications/enhealth-guidance-potential-health-effects-of-mould-in-the-environment","author":[{"family":"Environmental Health Standing Committee (enHealth) of the Australian Health Protection Principal Committee","given":""}],"issued":{"date-parts":[["2021"]]}}},{"id":2217,"uris":["http://zotero.org/groups/4371185/items/542KM3BH"],"itemData":{"id":2217,"type":"article-journal","abstract":"In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00BD397F" w:rsidRPr="00D03260">
        <w:rPr>
          <w:rFonts w:cs="Arial"/>
        </w:rPr>
        <w:t>(Denning &amp; Chakrabarti, 2017; Environmental Health Standing Committee (enHealth) of the Australian Health Protection Principal Committee, 2021; Hurraß et al., 2017; Larenas-Linnemann et al., 2016; Wiesmüller et al., 2017)</w:t>
      </w:r>
      <w:r w:rsidRPr="00D03260">
        <w:fldChar w:fldCharType="end"/>
      </w:r>
      <w:r w:rsidRPr="00D03260">
        <w:t>.</w:t>
      </w:r>
      <w:r w:rsidR="0087384F" w:rsidRPr="00D03260">
        <w:t xml:space="preserve"> </w:t>
      </w:r>
    </w:p>
    <w:p w14:paraId="38F8DD58" w14:textId="1B6FC15C" w:rsidR="00EA7D03" w:rsidRPr="00D03260" w:rsidRDefault="008B0548" w:rsidP="00AF1EFC">
      <w:pPr>
        <w:pStyle w:val="NumberedHeading2"/>
        <w:numPr>
          <w:ilvl w:val="0"/>
          <w:numId w:val="0"/>
        </w:numPr>
      </w:pPr>
      <w:bookmarkStart w:id="281" w:name="Sect62GeneralMedicationTreatment"/>
      <w:bookmarkStart w:id="282" w:name="_Toc121329187"/>
      <w:bookmarkStart w:id="283" w:name="_Toc141885924"/>
      <w:bookmarkEnd w:id="281"/>
      <w:r w:rsidRPr="00D03260">
        <w:t>6.2.</w:t>
      </w:r>
      <w:r w:rsidRPr="00D03260">
        <w:tab/>
      </w:r>
      <w:r w:rsidR="00EA7D03" w:rsidRPr="00D03260">
        <w:t>General medication treatment</w:t>
      </w:r>
      <w:bookmarkEnd w:id="282"/>
      <w:bookmarkEnd w:id="283"/>
    </w:p>
    <w:p w14:paraId="1CB360A4" w14:textId="1E7975B2" w:rsidR="0044745D" w:rsidRPr="00D03260" w:rsidRDefault="00506564" w:rsidP="00372428">
      <w:r w:rsidRPr="00D03260">
        <w:t xml:space="preserve">Follow usual clinical practice for patients diagnosed with mould allergy or mould-related infection. </w:t>
      </w:r>
      <w:r w:rsidR="00E779A0" w:rsidRPr="00D03260">
        <w:t xml:space="preserve">For </w:t>
      </w:r>
      <w:r w:rsidR="0044745D" w:rsidRPr="00D03260">
        <w:t>information r</w:t>
      </w:r>
      <w:r w:rsidRPr="00D03260">
        <w:t>efer</w:t>
      </w:r>
      <w:r w:rsidR="004E66F9" w:rsidRPr="00D03260">
        <w:t xml:space="preserve"> to </w:t>
      </w:r>
      <w:r w:rsidRPr="00D03260">
        <w:t>Therapeutic Guidelines</w:t>
      </w:r>
      <w:r w:rsidR="00372428" w:rsidRPr="00D03260">
        <w:t xml:space="preserve"> </w:t>
      </w:r>
      <w:hyperlink r:id="rId66" w:history="1">
        <w:r w:rsidR="008436CA" w:rsidRPr="00D03260">
          <w:rPr>
            <w:rStyle w:val="Hyperlink"/>
          </w:rPr>
          <w:t>https://www.tg.org.au/</w:t>
        </w:r>
      </w:hyperlink>
      <w:r w:rsidR="0097561D" w:rsidRPr="00D03260">
        <w:t xml:space="preserve">, </w:t>
      </w:r>
      <w:r w:rsidR="0044745D" w:rsidRPr="00D03260">
        <w:t xml:space="preserve">Australian </w:t>
      </w:r>
      <w:r w:rsidR="00E94EBF" w:rsidRPr="00D03260">
        <w:t>Medicines Handbook</w:t>
      </w:r>
      <w:r w:rsidR="0097561D" w:rsidRPr="00D03260">
        <w:t xml:space="preserve">, </w:t>
      </w:r>
      <w:r w:rsidR="00EE0542" w:rsidRPr="00D03260">
        <w:t>NPS MedicineWise, Australian Prescriber or the TGA</w:t>
      </w:r>
      <w:r w:rsidR="004E66F9" w:rsidRPr="00D03260">
        <w:t>.</w:t>
      </w:r>
    </w:p>
    <w:p w14:paraId="46FA1DFA" w14:textId="42DC22CE" w:rsidR="00372428" w:rsidRPr="00D03260" w:rsidRDefault="00372428" w:rsidP="00372428">
      <w:r w:rsidRPr="00D03260">
        <w:t xml:space="preserve">Note that to minimise antibiotic resistance, Australian guidelines </w:t>
      </w:r>
      <w:r w:rsidR="009F7935" w:rsidRPr="00D03260">
        <w:fldChar w:fldCharType="begin"/>
      </w:r>
      <w:r w:rsidR="00217980" w:rsidRPr="00D03260">
        <w:instrText xml:space="preserve"> ADDIN ZOTERO_ITEM CSL_CITATION {"citationID":"55TkUdcX","properties":{"formattedCitation":"(Choosing Wisely Australia, n.d.)","plainCitation":"(Choosing Wisely Australia, n.d.)","noteIndex":0},"citationItems":[{"id":647,"uris":["http://zotero.org/groups/2576105/items/U6U36999"],"itemData":{"id":647,"type":"webpage","abstract":"Resources about antibiotics for clinicians, including guidelines, continuing professional development (CPD) and tools, calculators and apps.","container-title":"Choosing Wisely Australia","title":"Antibiotic resources for clinicians","URL":"https://www.choosingwisely.org.au/resources/health-professionals/antibiotic-resources-for-clinicians","author":[{"family":"Choosing Wisely Australia","given":""}]}}],"schema":"https://github.com/citation-style-language/schema/raw/master/csl-citation.json"} </w:instrText>
      </w:r>
      <w:r w:rsidR="009F7935" w:rsidRPr="00D03260">
        <w:fldChar w:fldCharType="separate"/>
      </w:r>
      <w:r w:rsidR="009F7935" w:rsidRPr="00D03260">
        <w:rPr>
          <w:rFonts w:cs="Arial"/>
        </w:rPr>
        <w:t>(Choosing Wisely Australia, n.d.)</w:t>
      </w:r>
      <w:r w:rsidR="009F7935" w:rsidRPr="00D03260">
        <w:fldChar w:fldCharType="end"/>
      </w:r>
      <w:r w:rsidR="008C7ABA" w:rsidRPr="00D03260">
        <w:t xml:space="preserve"> </w:t>
      </w:r>
      <w:r w:rsidRPr="00D03260">
        <w:t>recommend that an antibiotic should only be prescribed:</w:t>
      </w:r>
    </w:p>
    <w:p w14:paraId="045CDA43" w14:textId="6A4A2090" w:rsidR="00372428" w:rsidRPr="00D03260" w:rsidRDefault="00372428" w:rsidP="00372428">
      <w:pPr>
        <w:pStyle w:val="ListBullet"/>
      </w:pPr>
      <w:r w:rsidRPr="00D03260">
        <w:t>when benefits to the patient are likely to be substantial</w:t>
      </w:r>
    </w:p>
    <w:p w14:paraId="792DF907" w14:textId="5CE38886" w:rsidR="00372428" w:rsidRPr="00D03260" w:rsidRDefault="00372428" w:rsidP="00372428">
      <w:pPr>
        <w:pStyle w:val="ListBullet"/>
      </w:pPr>
      <w:r w:rsidRPr="00D03260">
        <w:t>with the narrowest spectrum to treat the likely pathogen</w:t>
      </w:r>
    </w:p>
    <w:p w14:paraId="2BD289B8" w14:textId="26BDB8CD" w:rsidR="00372428" w:rsidRPr="00D03260" w:rsidRDefault="00372428" w:rsidP="00506564">
      <w:pPr>
        <w:pStyle w:val="ListBullet"/>
      </w:pPr>
      <w:r w:rsidRPr="00D03260">
        <w:t>at the appropriate dose and for the appropriate duration.</w:t>
      </w:r>
    </w:p>
    <w:p w14:paraId="16CDAE6A" w14:textId="02C6A0AC" w:rsidR="00506564" w:rsidRPr="00D03260" w:rsidRDefault="00C87712" w:rsidP="00AF1EFC">
      <w:pPr>
        <w:pStyle w:val="NumberedHeading3"/>
        <w:numPr>
          <w:ilvl w:val="0"/>
          <w:numId w:val="0"/>
        </w:numPr>
      </w:pPr>
      <w:bookmarkStart w:id="284" w:name="Sect621Asthma"/>
      <w:bookmarkStart w:id="285" w:name="_Toc121329188"/>
      <w:bookmarkStart w:id="286" w:name="_Toc141885925"/>
      <w:bookmarkEnd w:id="284"/>
      <w:r w:rsidRPr="00D03260">
        <w:t>6.2.1.</w:t>
      </w:r>
      <w:r w:rsidRPr="00D03260">
        <w:tab/>
      </w:r>
      <w:bookmarkStart w:id="287" w:name="Section621Asthma"/>
      <w:bookmarkEnd w:id="287"/>
      <w:r w:rsidR="00506564" w:rsidRPr="00D03260">
        <w:t>Asthma</w:t>
      </w:r>
      <w:bookmarkEnd w:id="285"/>
      <w:bookmarkEnd w:id="286"/>
    </w:p>
    <w:p w14:paraId="6BA8C95C" w14:textId="372C1AF7" w:rsidR="00506564" w:rsidRPr="00D03260" w:rsidRDefault="00506564" w:rsidP="00506564">
      <w:r w:rsidRPr="00D03260">
        <w:t xml:space="preserve">Follow the Australian Asthma Handbook </w:t>
      </w:r>
      <w:r w:rsidR="00126729" w:rsidRPr="00D03260">
        <w:fldChar w:fldCharType="begin"/>
      </w:r>
      <w:r w:rsidR="00217980" w:rsidRPr="00D03260">
        <w:instrText xml:space="preserve"> ADDIN ZOTERO_ITEM CSL_CITATION {"citationID":"kpzQmRzF","properties":{"formattedCitation":"(National Asthma Council Australia, 2022)","plainCitation":"(National Asthma Council Australia, 2022)","noteIndex":0},"citationItems":[{"id":4705,"uris":["http://zotero.org/groups/4371185/items/5Y5IQIDN"],"itemData":{"id":4705,"type":"document","publisher":"National Asthma Council Australia, Melbourne","title":"Australian Asthma Handbook- Version 2.2","URL":"http://www.asthmahandbook.org.au","author":[{"family":"National Asthma Council Australia","given":""}],"issued":{"date-parts":[["2022"]]}}}],"schema":"https://github.com/citation-style-language/schema/raw/master/csl-citation.json"} </w:instrText>
      </w:r>
      <w:r w:rsidR="00126729" w:rsidRPr="00D03260">
        <w:fldChar w:fldCharType="separate"/>
      </w:r>
      <w:r w:rsidR="00126729" w:rsidRPr="00D03260">
        <w:rPr>
          <w:rFonts w:cs="Arial"/>
        </w:rPr>
        <w:t>(National Asthma Council Australia, 2022)</w:t>
      </w:r>
      <w:r w:rsidR="00126729" w:rsidRPr="00D03260">
        <w:fldChar w:fldCharType="end"/>
      </w:r>
      <w:r w:rsidR="009B45A7" w:rsidRPr="00D03260">
        <w:t xml:space="preserve"> </w:t>
      </w:r>
      <w:r w:rsidRPr="00D03260">
        <w:t>for management of asthma in:</w:t>
      </w:r>
    </w:p>
    <w:p w14:paraId="4541B8BF" w14:textId="5085382D" w:rsidR="00506564" w:rsidRPr="00D03260" w:rsidRDefault="00506564" w:rsidP="00506564">
      <w:pPr>
        <w:pStyle w:val="ListBullet"/>
      </w:pPr>
      <w:r w:rsidRPr="00D03260">
        <w:t>a</w:t>
      </w:r>
      <w:r w:rsidRPr="00D03260">
        <w:rPr>
          <w:color w:val="auto"/>
        </w:rPr>
        <w:t>dults</w:t>
      </w:r>
      <w:r w:rsidR="00402833" w:rsidRPr="00D03260">
        <w:rPr>
          <w:color w:val="auto"/>
        </w:rPr>
        <w:t>;</w:t>
      </w:r>
      <w:r w:rsidRPr="00D03260">
        <w:t xml:space="preserve"> </w:t>
      </w:r>
      <w:hyperlink r:id="rId67" w:history="1">
        <w:r w:rsidRPr="00D03260">
          <w:rPr>
            <w:rStyle w:val="Hyperlink"/>
          </w:rPr>
          <w:t>https://www.asthmahandbook.org.au/management/adults</w:t>
        </w:r>
      </w:hyperlink>
    </w:p>
    <w:p w14:paraId="055947A4" w14:textId="21C8F07D" w:rsidR="00506564" w:rsidRPr="00D03260" w:rsidRDefault="00506564" w:rsidP="00506564">
      <w:pPr>
        <w:pStyle w:val="ListBullet"/>
      </w:pPr>
      <w:r w:rsidRPr="00D03260">
        <w:rPr>
          <w:color w:val="auto"/>
        </w:rPr>
        <w:t>adolescents and young adults</w:t>
      </w:r>
      <w:r w:rsidR="00402833" w:rsidRPr="00D03260">
        <w:rPr>
          <w:color w:val="auto"/>
        </w:rPr>
        <w:t>;</w:t>
      </w:r>
      <w:r w:rsidRPr="00D03260">
        <w:rPr>
          <w:color w:val="auto"/>
        </w:rPr>
        <w:t xml:space="preserve"> </w:t>
      </w:r>
      <w:hyperlink r:id="rId68" w:history="1">
        <w:r w:rsidRPr="00D03260">
          <w:rPr>
            <w:rStyle w:val="Hyperlink"/>
          </w:rPr>
          <w:t>https://www.asthmahandbook.org.au/management/adolescents</w:t>
        </w:r>
      </w:hyperlink>
    </w:p>
    <w:p w14:paraId="4D1E004C" w14:textId="34BEB298" w:rsidR="00506564" w:rsidRPr="00D03260" w:rsidRDefault="00395D6D" w:rsidP="00506564">
      <w:pPr>
        <w:pStyle w:val="ListBullet"/>
      </w:pPr>
      <w:r w:rsidRPr="00D03260">
        <w:rPr>
          <w:color w:val="auto"/>
        </w:rPr>
        <w:t>c</w:t>
      </w:r>
      <w:r w:rsidR="00506564" w:rsidRPr="00D03260">
        <w:rPr>
          <w:color w:val="auto"/>
        </w:rPr>
        <w:t>hildren</w:t>
      </w:r>
      <w:r w:rsidR="00402833" w:rsidRPr="00D03260">
        <w:rPr>
          <w:color w:val="auto"/>
        </w:rPr>
        <w:t>;</w:t>
      </w:r>
      <w:r w:rsidR="00506564" w:rsidRPr="00D03260">
        <w:t xml:space="preserve"> </w:t>
      </w:r>
      <w:hyperlink r:id="rId69" w:history="1">
        <w:r w:rsidR="00506564" w:rsidRPr="00D03260">
          <w:rPr>
            <w:rStyle w:val="Hyperlink"/>
          </w:rPr>
          <w:t>https://www.asthmahandbook.org.au/management/children</w:t>
        </w:r>
      </w:hyperlink>
      <w:r w:rsidR="0029268D" w:rsidRPr="00D03260">
        <w:t>.</w:t>
      </w:r>
    </w:p>
    <w:p w14:paraId="3D0707C8" w14:textId="483B54EC" w:rsidR="00506564" w:rsidRPr="00D03260" w:rsidRDefault="00506564" w:rsidP="00506564">
      <w:r w:rsidRPr="00D03260">
        <w:t xml:space="preserve">Most patients with fungal asthma benefit from antifungal therapy </w:t>
      </w:r>
      <w:r w:rsidRPr="00D03260">
        <w:fldChar w:fldCharType="begin"/>
      </w:r>
      <w:r w:rsidR="00217980" w:rsidRPr="00D03260">
        <w:instrText xml:space="preserve"> ADDIN ZOTERO_ITEM CSL_CITATION {"citationID":"4FDTpP1l","properties":{"formattedCitation":"(Denning &amp; Chakrabarti, 2017)","plainCitation":"(Denning &amp; Chakrabarti, 2017)","noteIndex":0},"citationItems":[{"id":2226,"uris":["http://zotero.org/groups/4371185/items/7XNKPSYV"],"itemData":{"id":2226,"type":"article-journal","abstract":"The human respiratory tract is exposed daily to airborne fungi, fungal enzymes, and secondary metabolites. The endemic fungi Histoplasma capsulatum, Coccidioides spp,  Blastomyces dermatitidis, and Paracoccidioides brasiliensis, and occasionally  Aspergillus fumigatus, are primary pulmonary pathogens of otherwise healthy people.  Such infections resolve in most people, and only a few infections lead to disease.  However, many fungi are directly allergenic by colonising the respiratory tract or  indirectly through contact with cell wall constituents and proteases, causing or  exacerbating allergic disease. Increasing evidence implicates high indoor fungal  exposures as a precipitant of asthma in children and in worsening asthma symptoms.  Lung or airways infection by endemic fungi or aspergillus can be diagnosed with  respiratory sample culture or serum IgG testing. Sputum, induced sputum, or  bronchial specimens are all suitable specimens for detecting fungi; microscopy,  fungal culture, galactomannan antigen, and aspergillus PCR are useful tests.  Antifungal treatment is indicated in almost all patients with chronic cavitary  pulmonary infections, chronic invasive and granulomatous rhinosinusitis, and  aspergillus bronchitis. Most patients with fungal asthma benefit from antifungal  therapy. Adverse reactions to oral azoles, drug interactions, and azole resistance  in Aspergillus spp limit therapy. Environmental exposures, genetic factors, and  structural pulmonary risk factors probably underlie disease but are poorly  understood.","container-title":"The Lancet. Infectious diseases","DOI":"10.1016/S1473-3099(17)30309-2","ISSN":"1474-4457 1473-3099","issue":"11","journalAbbreviation":"Lancet Infect Dis","language":"eng","license":"Copyright © 2017 Elsevier Ltd. All rights reserved.","note":"publisher-place: United States\nPMID: 28774699","page":"e357-e366","title":"Pulmonary and sinus fungal diseases in non-immunocompromised patients.","volume":"17","author":[{"family":"Denning","given":"David W."},{"family":"Chakrabarti","given":"Arunaloke"}],"issued":{"date-parts":[["2017",11]]}}}],"schema":"https://github.com/citation-style-language/schema/raw/master/csl-citation.json"} </w:instrText>
      </w:r>
      <w:r w:rsidRPr="00D03260">
        <w:fldChar w:fldCharType="separate"/>
      </w:r>
      <w:r w:rsidRPr="00D03260">
        <w:t>(Denning &amp; Chakrabarti, 2017)</w:t>
      </w:r>
      <w:r w:rsidRPr="00D03260">
        <w:fldChar w:fldCharType="end"/>
      </w:r>
      <w:r w:rsidRPr="00D03260">
        <w:t>.</w:t>
      </w:r>
    </w:p>
    <w:p w14:paraId="51C245D1" w14:textId="0EB4ADF8" w:rsidR="00506564" w:rsidRPr="00D03260" w:rsidRDefault="00C87712" w:rsidP="00AF1EFC">
      <w:pPr>
        <w:pStyle w:val="NumberedHeading3"/>
        <w:numPr>
          <w:ilvl w:val="0"/>
          <w:numId w:val="0"/>
        </w:numPr>
      </w:pPr>
      <w:bookmarkStart w:id="288" w:name="_Toc121329189"/>
      <w:bookmarkStart w:id="289" w:name="_Toc141885926"/>
      <w:r w:rsidRPr="00D03260">
        <w:t>6.2.2.</w:t>
      </w:r>
      <w:r w:rsidRPr="00D03260">
        <w:tab/>
      </w:r>
      <w:bookmarkStart w:id="290" w:name="Section622MouldAllergy"/>
      <w:bookmarkEnd w:id="290"/>
      <w:r w:rsidR="00506564" w:rsidRPr="00D03260">
        <w:t>Mould allergy</w:t>
      </w:r>
      <w:bookmarkEnd w:id="288"/>
      <w:bookmarkEnd w:id="289"/>
    </w:p>
    <w:p w14:paraId="4FC61837" w14:textId="6E0DD57D" w:rsidR="00A354F2" w:rsidRPr="00D03260" w:rsidRDefault="00A354F2" w:rsidP="00A354F2">
      <w:r w:rsidRPr="00D03260">
        <w:t xml:space="preserve">The AWMF guideline advises </w:t>
      </w:r>
      <w:r w:rsidR="008A18EF" w:rsidRPr="00D03260">
        <w:t xml:space="preserve">while </w:t>
      </w:r>
      <w:r w:rsidR="003D7185" w:rsidRPr="00D03260">
        <w:t xml:space="preserve">exposure avoidance (allergen avoidance) </w:t>
      </w:r>
      <w:r w:rsidR="00B07F31" w:rsidRPr="00D03260">
        <w:t xml:space="preserve">takes priority, </w:t>
      </w:r>
      <w:r w:rsidR="006029E3" w:rsidRPr="00D03260">
        <w:t>as with all allergic diseases</w:t>
      </w:r>
      <w:r w:rsidR="008A18EF" w:rsidRPr="00D03260">
        <w:t xml:space="preserve">, prompt medication is required in order that a symptom-free period is not followed by full-blown allergic disease. </w:t>
      </w:r>
      <w:r w:rsidR="00073030" w:rsidRPr="00D03260">
        <w:t xml:space="preserve">It is of paramount importance to eliminate the causes </w:t>
      </w:r>
      <w:r w:rsidR="00094A72" w:rsidRPr="00D03260">
        <w:t xml:space="preserve">of the dampness creating a basis for indoor mould growth </w:t>
      </w:r>
      <w:r w:rsidR="00094A72" w:rsidRPr="00D03260">
        <w:fldChar w:fldCharType="begin"/>
      </w:r>
      <w:r w:rsidR="00217980" w:rsidRPr="00D03260">
        <w:instrText xml:space="preserve"> ADDIN ZOTERO_ITEM CSL_CITATION {"citationID":"SljY3j4Y","properties":{"formattedCitation":"(Wiesm\\uc0\\u252{}ller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00094A72" w:rsidRPr="00D03260">
        <w:fldChar w:fldCharType="separate"/>
      </w:r>
      <w:r w:rsidR="00094A72" w:rsidRPr="00D03260">
        <w:rPr>
          <w:rFonts w:cs="Arial"/>
        </w:rPr>
        <w:t>(Wiesmüller et al., 2017)</w:t>
      </w:r>
      <w:r w:rsidR="00094A72" w:rsidRPr="00D03260">
        <w:fldChar w:fldCharType="end"/>
      </w:r>
      <w:r w:rsidR="0029268D" w:rsidRPr="00D03260">
        <w:t>.</w:t>
      </w:r>
    </w:p>
    <w:p w14:paraId="24FD4BAD" w14:textId="4E19A954" w:rsidR="00506564" w:rsidRPr="00D03260" w:rsidRDefault="00506564" w:rsidP="00506564">
      <w:r w:rsidRPr="00D03260">
        <w:t xml:space="preserve">In principle, topical and/or systemic treatment is indicated in mould allergy depending on the organ-specific manifestation of the allergic disorder </w:t>
      </w:r>
      <w:r w:rsidRPr="00D03260">
        <w:fldChar w:fldCharType="begin"/>
      </w:r>
      <w:r w:rsidR="00217980" w:rsidRPr="00D03260">
        <w:instrText xml:space="preserve"> ADDIN ZOTERO_ITEM CSL_CITATION {"citationID":"tNWgXHUG","properties":{"formattedCitation":"(Wiesm\\uc0\\u252{}ller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3918FA82" w14:textId="18414E40" w:rsidR="004B4384" w:rsidRPr="00D03260" w:rsidRDefault="00C87712" w:rsidP="00C6799E">
      <w:pPr>
        <w:pStyle w:val="NumberedHeading4"/>
        <w:rPr>
          <w:lang w:eastAsia="en-AU"/>
        </w:rPr>
      </w:pPr>
      <w:bookmarkStart w:id="291" w:name="_Toc121329190"/>
      <w:bookmarkStart w:id="292" w:name="_Toc141885927"/>
      <w:r w:rsidRPr="00D03260">
        <w:rPr>
          <w:lang w:eastAsia="en-AU"/>
        </w:rPr>
        <w:t>6.2.2.1.</w:t>
      </w:r>
      <w:r w:rsidRPr="00D03260">
        <w:rPr>
          <w:lang w:eastAsia="en-AU"/>
        </w:rPr>
        <w:tab/>
      </w:r>
      <w:r w:rsidR="004B4384" w:rsidRPr="00D03260">
        <w:rPr>
          <w:lang w:eastAsia="en-AU"/>
        </w:rPr>
        <w:t>Specific immunotherapy (SIT) using mould extracts</w:t>
      </w:r>
      <w:bookmarkEnd w:id="291"/>
      <w:bookmarkEnd w:id="292"/>
    </w:p>
    <w:p w14:paraId="5FA8B12B" w14:textId="444F8103" w:rsidR="002E5329" w:rsidRPr="00D03260" w:rsidRDefault="002E5329" w:rsidP="0034071F">
      <w:pPr>
        <w:rPr>
          <w:lang w:eastAsia="en-AU"/>
        </w:rPr>
      </w:pPr>
      <w:r w:rsidRPr="00D03260">
        <w:rPr>
          <w:lang w:eastAsia="en-AU"/>
        </w:rPr>
        <w:t xml:space="preserve">Advice from the </w:t>
      </w:r>
      <w:r w:rsidR="0034071F" w:rsidRPr="00D03260">
        <w:rPr>
          <w:lang w:eastAsia="en-AU"/>
        </w:rPr>
        <w:t xml:space="preserve">AWMF guideline </w:t>
      </w:r>
      <w:r w:rsidRPr="00D03260">
        <w:rPr>
          <w:lang w:eastAsia="en-AU"/>
        </w:rPr>
        <w:t>on SIT using mould extracts includes:</w:t>
      </w:r>
    </w:p>
    <w:p w14:paraId="089A2F4F" w14:textId="27B488C9" w:rsidR="002E5329" w:rsidRPr="00D03260" w:rsidRDefault="0029268D" w:rsidP="0029268D">
      <w:pPr>
        <w:pStyle w:val="ListBullet"/>
        <w:rPr>
          <w:lang w:eastAsia="en-AU"/>
        </w:rPr>
      </w:pPr>
      <w:r w:rsidRPr="00D03260">
        <w:rPr>
          <w:lang w:eastAsia="en-AU"/>
        </w:rPr>
        <w:t>r</w:t>
      </w:r>
      <w:r w:rsidR="0034071F" w:rsidRPr="00D03260">
        <w:rPr>
          <w:lang w:eastAsia="en-AU"/>
        </w:rPr>
        <w:t>elevant mould allergens need to be unequivocally</w:t>
      </w:r>
      <w:r w:rsidR="002E5329" w:rsidRPr="00D03260">
        <w:rPr>
          <w:lang w:eastAsia="en-AU"/>
        </w:rPr>
        <w:t xml:space="preserve"> </w:t>
      </w:r>
      <w:r w:rsidR="0034071F" w:rsidRPr="00D03260">
        <w:rPr>
          <w:lang w:eastAsia="en-AU"/>
        </w:rPr>
        <w:t>confirmed at diagnosis as the trigger of allergic symptoms</w:t>
      </w:r>
    </w:p>
    <w:p w14:paraId="68FF6927" w14:textId="2943A4B0" w:rsidR="004B4384" w:rsidRPr="00D03260" w:rsidRDefault="0034071F" w:rsidP="0029268D">
      <w:pPr>
        <w:pStyle w:val="ListBullet"/>
        <w:rPr>
          <w:lang w:eastAsia="en-AU"/>
        </w:rPr>
      </w:pPr>
      <w:r w:rsidRPr="00D03260">
        <w:rPr>
          <w:lang w:eastAsia="en-AU"/>
        </w:rPr>
        <w:t xml:space="preserve">SIT using mould extracts </w:t>
      </w:r>
      <w:r w:rsidR="004B4384" w:rsidRPr="00D03260">
        <w:rPr>
          <w:lang w:eastAsia="en-AU"/>
        </w:rPr>
        <w:t>should be applied as early in the disease course as</w:t>
      </w:r>
      <w:r w:rsidR="00A27840" w:rsidRPr="00D03260">
        <w:rPr>
          <w:lang w:eastAsia="en-AU"/>
        </w:rPr>
        <w:t xml:space="preserve"> </w:t>
      </w:r>
      <w:r w:rsidRPr="00D03260">
        <w:rPr>
          <w:lang w:eastAsia="en-AU"/>
        </w:rPr>
        <w:t>p</w:t>
      </w:r>
      <w:r w:rsidR="004B4384" w:rsidRPr="00D03260">
        <w:rPr>
          <w:lang w:eastAsia="en-AU"/>
        </w:rPr>
        <w:t>ossible, particularly if drug treatment and avoidance</w:t>
      </w:r>
      <w:r w:rsidR="00A27840" w:rsidRPr="00D03260">
        <w:rPr>
          <w:lang w:eastAsia="en-AU"/>
        </w:rPr>
        <w:t xml:space="preserve"> </w:t>
      </w:r>
      <w:r w:rsidR="004B4384" w:rsidRPr="00D03260">
        <w:rPr>
          <w:lang w:eastAsia="en-AU"/>
        </w:rPr>
        <w:t>have previously failed to stabili</w:t>
      </w:r>
      <w:r w:rsidR="00CA264F" w:rsidRPr="00D03260">
        <w:rPr>
          <w:lang w:eastAsia="en-AU"/>
        </w:rPr>
        <w:t>s</w:t>
      </w:r>
      <w:r w:rsidR="004B4384" w:rsidRPr="00D03260">
        <w:rPr>
          <w:lang w:eastAsia="en-AU"/>
        </w:rPr>
        <w:t>e symptoms</w:t>
      </w:r>
    </w:p>
    <w:p w14:paraId="79211167" w14:textId="4A5CF32D" w:rsidR="0082240B" w:rsidRPr="00D03260" w:rsidRDefault="0029268D" w:rsidP="0029268D">
      <w:pPr>
        <w:pStyle w:val="ListBullet"/>
        <w:rPr>
          <w:lang w:eastAsia="en-AU"/>
        </w:rPr>
      </w:pPr>
      <w:r w:rsidRPr="00D03260">
        <w:rPr>
          <w:lang w:eastAsia="en-AU"/>
        </w:rPr>
        <w:t>e</w:t>
      </w:r>
      <w:r w:rsidR="004B4384" w:rsidRPr="00D03260">
        <w:rPr>
          <w:lang w:eastAsia="en-AU"/>
        </w:rPr>
        <w:t>vidence of clinically</w:t>
      </w:r>
      <w:r w:rsidR="0034071F" w:rsidRPr="00D03260">
        <w:rPr>
          <w:lang w:eastAsia="en-AU"/>
        </w:rPr>
        <w:t xml:space="preserve"> </w:t>
      </w:r>
      <w:r w:rsidR="004B4384" w:rsidRPr="00D03260">
        <w:rPr>
          <w:lang w:eastAsia="en-AU"/>
        </w:rPr>
        <w:t>relevant allergen-specific IgE sensiti</w:t>
      </w:r>
      <w:r w:rsidR="00CA264F" w:rsidRPr="00D03260">
        <w:rPr>
          <w:lang w:eastAsia="en-AU"/>
        </w:rPr>
        <w:t>s</w:t>
      </w:r>
      <w:r w:rsidR="004B4384" w:rsidRPr="00D03260">
        <w:rPr>
          <w:lang w:eastAsia="en-AU"/>
        </w:rPr>
        <w:t>ation</w:t>
      </w:r>
      <w:r w:rsidR="00EC4BBE" w:rsidRPr="00D03260">
        <w:rPr>
          <w:lang w:eastAsia="en-AU"/>
        </w:rPr>
        <w:t xml:space="preserve"> is the prerequisite for SIT. </w:t>
      </w:r>
      <w:r w:rsidR="004B4384" w:rsidRPr="00D03260">
        <w:rPr>
          <w:lang w:eastAsia="en-AU"/>
        </w:rPr>
        <w:t>The</w:t>
      </w:r>
      <w:r w:rsidR="0034071F" w:rsidRPr="00D03260">
        <w:rPr>
          <w:lang w:eastAsia="en-AU"/>
        </w:rPr>
        <w:t xml:space="preserve"> </w:t>
      </w:r>
      <w:r w:rsidR="004B4384" w:rsidRPr="00D03260">
        <w:rPr>
          <w:lang w:eastAsia="en-AU"/>
        </w:rPr>
        <w:t>combination of different test methods, together with</w:t>
      </w:r>
      <w:r w:rsidR="0034071F" w:rsidRPr="00D03260">
        <w:rPr>
          <w:lang w:eastAsia="en-AU"/>
        </w:rPr>
        <w:t xml:space="preserve"> </w:t>
      </w:r>
      <w:r w:rsidR="004B4384" w:rsidRPr="00D03260">
        <w:rPr>
          <w:lang w:eastAsia="en-AU"/>
        </w:rPr>
        <w:t>medical history, provides an</w:t>
      </w:r>
      <w:r w:rsidR="0034071F" w:rsidRPr="00D03260">
        <w:rPr>
          <w:lang w:eastAsia="en-AU"/>
        </w:rPr>
        <w:t xml:space="preserve"> a</w:t>
      </w:r>
      <w:r w:rsidR="004B4384" w:rsidRPr="00D03260">
        <w:rPr>
          <w:lang w:eastAsia="en-AU"/>
        </w:rPr>
        <w:t>dequate basis for SIT</w:t>
      </w:r>
    </w:p>
    <w:p w14:paraId="6B95A06F" w14:textId="62271110" w:rsidR="004B4384" w:rsidRPr="00D03260" w:rsidRDefault="0029268D" w:rsidP="0029268D">
      <w:pPr>
        <w:pStyle w:val="ListBullet"/>
        <w:rPr>
          <w:lang w:eastAsia="en-AU"/>
        </w:rPr>
      </w:pPr>
      <w:r w:rsidRPr="00D03260">
        <w:rPr>
          <w:lang w:eastAsia="en-AU"/>
        </w:rPr>
        <w:t>h</w:t>
      </w:r>
      <w:r w:rsidR="004B4384" w:rsidRPr="00D03260">
        <w:rPr>
          <w:lang w:eastAsia="en-AU"/>
        </w:rPr>
        <w:t>yposensiti</w:t>
      </w:r>
      <w:r w:rsidR="00CA264F" w:rsidRPr="00D03260">
        <w:rPr>
          <w:lang w:eastAsia="en-AU"/>
        </w:rPr>
        <w:t>s</w:t>
      </w:r>
      <w:r w:rsidR="004B4384" w:rsidRPr="00D03260">
        <w:rPr>
          <w:lang w:eastAsia="en-AU"/>
        </w:rPr>
        <w:t>ation presupposes a confirmed diagnosis</w:t>
      </w:r>
    </w:p>
    <w:p w14:paraId="3E5A9923" w14:textId="09BC7AE5" w:rsidR="004B4384" w:rsidRPr="00D03260" w:rsidRDefault="0029268D" w:rsidP="0029268D">
      <w:pPr>
        <w:pStyle w:val="ListBullet"/>
        <w:rPr>
          <w:lang w:eastAsia="en-AU"/>
        </w:rPr>
      </w:pPr>
      <w:r w:rsidRPr="00D03260">
        <w:rPr>
          <w:lang w:eastAsia="en-AU"/>
        </w:rPr>
        <w:t>t</w:t>
      </w:r>
      <w:r w:rsidR="004B4384" w:rsidRPr="00D03260">
        <w:rPr>
          <w:lang w:eastAsia="en-AU"/>
        </w:rPr>
        <w:t xml:space="preserve">here is </w:t>
      </w:r>
      <w:r w:rsidR="00F26B57" w:rsidRPr="00D03260">
        <w:rPr>
          <w:lang w:eastAsia="en-AU"/>
        </w:rPr>
        <w:t xml:space="preserve">currently </w:t>
      </w:r>
      <w:r w:rsidR="004B4384" w:rsidRPr="00D03260">
        <w:rPr>
          <w:lang w:eastAsia="en-AU"/>
        </w:rPr>
        <w:t>insufficient scientific evidence to support the efficacy of sublingual immunotherapy</w:t>
      </w:r>
      <w:r w:rsidR="0034071F" w:rsidRPr="00D03260">
        <w:rPr>
          <w:lang w:eastAsia="en-AU"/>
        </w:rPr>
        <w:t xml:space="preserve"> </w:t>
      </w:r>
      <w:r w:rsidR="004B4384" w:rsidRPr="00D03260">
        <w:rPr>
          <w:lang w:eastAsia="en-AU"/>
        </w:rPr>
        <w:t>(SLIT) in terms of hyposensiti</w:t>
      </w:r>
      <w:r w:rsidR="00CA264F" w:rsidRPr="00D03260">
        <w:rPr>
          <w:lang w:eastAsia="en-AU"/>
        </w:rPr>
        <w:t>s</w:t>
      </w:r>
      <w:r w:rsidR="004B4384" w:rsidRPr="00D03260">
        <w:rPr>
          <w:lang w:eastAsia="en-AU"/>
        </w:rPr>
        <w:t>ation to indoor</w:t>
      </w:r>
      <w:r w:rsidR="0034071F" w:rsidRPr="00D03260">
        <w:rPr>
          <w:lang w:eastAsia="en-AU"/>
        </w:rPr>
        <w:t xml:space="preserve"> </w:t>
      </w:r>
      <w:r w:rsidR="004B4384" w:rsidRPr="00D03260">
        <w:rPr>
          <w:lang w:eastAsia="en-AU"/>
        </w:rPr>
        <w:t>relevant</w:t>
      </w:r>
      <w:r w:rsidR="00F26B57" w:rsidRPr="00D03260">
        <w:rPr>
          <w:lang w:eastAsia="en-AU"/>
        </w:rPr>
        <w:t xml:space="preserve"> </w:t>
      </w:r>
      <w:r w:rsidR="004B4384" w:rsidRPr="00D03260">
        <w:rPr>
          <w:lang w:eastAsia="en-AU"/>
        </w:rPr>
        <w:t>moulds</w:t>
      </w:r>
      <w:r w:rsidR="00A63D4C" w:rsidRPr="00D03260">
        <w:rPr>
          <w:lang w:eastAsia="en-AU"/>
        </w:rPr>
        <w:t xml:space="preserve"> </w:t>
      </w:r>
      <w:r w:rsidR="00A63D4C" w:rsidRPr="00D03260">
        <w:rPr>
          <w:lang w:eastAsia="en-AU"/>
        </w:rPr>
        <w:fldChar w:fldCharType="begin"/>
      </w:r>
      <w:r w:rsidR="00217980" w:rsidRPr="00D03260">
        <w:rPr>
          <w:lang w:eastAsia="en-AU"/>
        </w:rPr>
        <w:instrText xml:space="preserve"> ADDIN ZOTERO_ITEM CSL_CITATION {"citationID":"jw3Hs6rK","properties":{"formattedCitation":"(Wiesm\\uc0\\u252{}ller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00A63D4C" w:rsidRPr="00D03260">
        <w:rPr>
          <w:lang w:eastAsia="en-AU"/>
        </w:rPr>
        <w:fldChar w:fldCharType="separate"/>
      </w:r>
      <w:r w:rsidR="00A63D4C" w:rsidRPr="00D03260">
        <w:t>(Wiesmüller et al., 2017)</w:t>
      </w:r>
      <w:r w:rsidR="00A63D4C" w:rsidRPr="00D03260">
        <w:rPr>
          <w:lang w:eastAsia="en-AU"/>
        </w:rPr>
        <w:fldChar w:fldCharType="end"/>
      </w:r>
      <w:r w:rsidR="004B4384" w:rsidRPr="00D03260">
        <w:rPr>
          <w:lang w:eastAsia="en-AU"/>
        </w:rPr>
        <w:t>.</w:t>
      </w:r>
    </w:p>
    <w:p w14:paraId="244D0324" w14:textId="2A8EA060" w:rsidR="00506564" w:rsidRPr="00D03260" w:rsidRDefault="00C87712" w:rsidP="00AF1EFC">
      <w:pPr>
        <w:pStyle w:val="NumberedHeading3"/>
        <w:numPr>
          <w:ilvl w:val="0"/>
          <w:numId w:val="0"/>
        </w:numPr>
      </w:pPr>
      <w:bookmarkStart w:id="293" w:name="_Toc121329191"/>
      <w:bookmarkStart w:id="294" w:name="_Toc141885928"/>
      <w:r w:rsidRPr="00D03260">
        <w:t>6.2.3.</w:t>
      </w:r>
      <w:r w:rsidRPr="00D03260">
        <w:tab/>
      </w:r>
      <w:bookmarkStart w:id="295" w:name="Section623MouldRelatedInfection"/>
      <w:bookmarkEnd w:id="295"/>
      <w:r w:rsidR="00506564" w:rsidRPr="00D03260">
        <w:t>Mould-related infection</w:t>
      </w:r>
      <w:bookmarkEnd w:id="293"/>
      <w:bookmarkEnd w:id="294"/>
    </w:p>
    <w:p w14:paraId="21420517" w14:textId="0B0C38EC" w:rsidR="002474BC" w:rsidRPr="00D03260" w:rsidRDefault="00506564" w:rsidP="00EA7D03">
      <w:r w:rsidRPr="00D03260">
        <w:t xml:space="preserve">Antifungal treatment is indicated in almost all patients with chronic </w:t>
      </w:r>
      <w:r w:rsidR="00A04D21" w:rsidRPr="00D03260">
        <w:t>cavitary</w:t>
      </w:r>
      <w:r w:rsidRPr="00D03260">
        <w:t xml:space="preserve"> pulmonary infections, chronic invasive and granulomatous rhinosinusitis, and aspergillosis bronchitis </w:t>
      </w:r>
      <w:r w:rsidRPr="00D03260">
        <w:fldChar w:fldCharType="begin"/>
      </w:r>
      <w:r w:rsidR="00217980" w:rsidRPr="00D03260">
        <w:instrText xml:space="preserve"> ADDIN ZOTERO_ITEM CSL_CITATION {"citationID":"Ovn2PIQF","properties":{"formattedCitation":"(Denning &amp; Chakrabarti, 2017)","plainCitation":"(Denning &amp; Chakrabarti, 2017)","noteIndex":0},"citationItems":[{"id":2226,"uris":["http://zotero.org/groups/4371185/items/7XNKPSYV"],"itemData":{"id":2226,"type":"article-journal","abstract":"The human respiratory tract is exposed daily to airborne fungi, fungal enzymes, and secondary metabolites. The endemic fungi Histoplasma capsulatum, Coccidioides spp,  Blastomyces dermatitidis, and Paracoccidioides brasiliensis, and occasionally  Aspergillus fumigatus, are primary pulmonary pathogens of otherwise healthy people.  Such infections resolve in most people, and only a few infections lead to disease.  However, many fungi are directly allergenic by colonising the respiratory tract or  indirectly through contact with cell wall constituents and proteases, causing or  exacerbating allergic disease. Increasing evidence implicates high indoor fungal  exposures as a precipitant of asthma in children and in worsening asthma symptoms.  Lung or airways infection by endemic fungi or aspergillus can be diagnosed with  respiratory sample culture or serum IgG testing. Sputum, induced sputum, or  bronchial specimens are all suitable specimens for detecting fungi; microscopy,  fungal culture, galactomannan antigen, and aspergillus PCR are useful tests.  Antifungal treatment is indicated in almost all patients with chronic cavitary  pulmonary infections, chronic invasive and granulomatous rhinosinusitis, and  aspergillus bronchitis. Most patients with fungal asthma benefit from antifungal  therapy. Adverse reactions to oral azoles, drug interactions, and azole resistance  in Aspergillus spp limit therapy. Environmental exposures, genetic factors, and  structural pulmonary risk factors probably underlie disease but are poorly  understood.","container-title":"The Lancet. Infectious diseases","DOI":"10.1016/S1473-3099(17)30309-2","ISSN":"1474-4457 1473-3099","issue":"11","journalAbbreviation":"Lancet Infect Dis","language":"eng","license":"Copyright © 2017 Elsevier Ltd. All rights reserved.","note":"publisher-place: United States\nPMID: 28774699","page":"e357-e366","title":"Pulmonary and sinus fungal diseases in non-immunocompromised patients.","volume":"17","author":[{"family":"Denning","given":"David W."},{"family":"Chakrabarti","given":"Arunaloke"}],"issued":{"date-parts":[["2017",11]]}}}],"schema":"https://github.com/citation-style-language/schema/raw/master/csl-citation.json"} </w:instrText>
      </w:r>
      <w:r w:rsidRPr="00D03260">
        <w:fldChar w:fldCharType="separate"/>
      </w:r>
      <w:r w:rsidRPr="00D03260">
        <w:t>(Denning &amp; Chakrabarti, 2017)</w:t>
      </w:r>
      <w:r w:rsidRPr="00D03260">
        <w:fldChar w:fldCharType="end"/>
      </w:r>
      <w:r w:rsidRPr="00D03260">
        <w:t>.</w:t>
      </w:r>
      <w:r w:rsidR="006B436C" w:rsidRPr="00D03260">
        <w:t xml:space="preserve"> </w:t>
      </w:r>
    </w:p>
    <w:p w14:paraId="43E147D1" w14:textId="6C763BF3" w:rsidR="00910A8C" w:rsidRPr="00D03260" w:rsidRDefault="009A5B30" w:rsidP="00C6799E">
      <w:pPr>
        <w:pStyle w:val="NumberedHeading4"/>
      </w:pPr>
      <w:bookmarkStart w:id="296" w:name="Sect6231AustralianConsensusGuidelinesFor"/>
      <w:bookmarkStart w:id="297" w:name="_Toc121329192"/>
      <w:bookmarkStart w:id="298" w:name="_Toc141885929"/>
      <w:bookmarkEnd w:id="296"/>
      <w:r w:rsidRPr="00D03260">
        <w:t>6.2.3.1.</w:t>
      </w:r>
      <w:r w:rsidRPr="00D03260">
        <w:tab/>
      </w:r>
      <w:r w:rsidR="00F67B4C" w:rsidRPr="00D03260">
        <w:t xml:space="preserve">Australian </w:t>
      </w:r>
      <w:r w:rsidR="00142CAC" w:rsidRPr="00D03260">
        <w:t xml:space="preserve">consensus </w:t>
      </w:r>
      <w:r w:rsidR="00F67B4C" w:rsidRPr="00D03260">
        <w:t>guidelines for t</w:t>
      </w:r>
      <w:r w:rsidR="00541E13" w:rsidRPr="00D03260">
        <w:t xml:space="preserve">reatment of invasive mould infections </w:t>
      </w:r>
      <w:r w:rsidR="003952C0" w:rsidRPr="00D03260">
        <w:t xml:space="preserve">in </w:t>
      </w:r>
      <w:r w:rsidR="00477FA0" w:rsidRPr="00D03260">
        <w:t xml:space="preserve">patients with </w:t>
      </w:r>
      <w:r w:rsidR="00AF37EB" w:rsidRPr="00D03260">
        <w:t>haematological malignancy and haemopoietic stem cell transplantation</w:t>
      </w:r>
      <w:bookmarkEnd w:id="297"/>
      <w:bookmarkEnd w:id="298"/>
    </w:p>
    <w:p w14:paraId="5DBCAB67" w14:textId="63AF3896" w:rsidR="00142CAC" w:rsidRPr="00D03260" w:rsidRDefault="003A107D" w:rsidP="00AF37EB">
      <w:r w:rsidRPr="00D03260">
        <w:t xml:space="preserve">The </w:t>
      </w:r>
      <w:r w:rsidR="003C400C" w:rsidRPr="00D03260">
        <w:t xml:space="preserve">2014 </w:t>
      </w:r>
      <w:r w:rsidRPr="00D03260">
        <w:t xml:space="preserve">consensus </w:t>
      </w:r>
      <w:r w:rsidR="004F312D" w:rsidRPr="00D03260">
        <w:t xml:space="preserve">treatment </w:t>
      </w:r>
      <w:r w:rsidR="000D2F49" w:rsidRPr="00D03260">
        <w:t xml:space="preserve">guidelines </w:t>
      </w:r>
      <w:r w:rsidR="004F312D" w:rsidRPr="00D03260">
        <w:t>for the trea</w:t>
      </w:r>
      <w:r w:rsidR="00DF3B8B" w:rsidRPr="00D03260">
        <w:t>t</w:t>
      </w:r>
      <w:r w:rsidR="004F312D" w:rsidRPr="00D03260">
        <w:t xml:space="preserve">ment of invasive mould infections in </w:t>
      </w:r>
      <w:r w:rsidR="00DF3B8B" w:rsidRPr="00D03260">
        <w:t xml:space="preserve">patients with </w:t>
      </w:r>
      <w:r w:rsidR="004F312D" w:rsidRPr="00D03260">
        <w:t>haem</w:t>
      </w:r>
      <w:r w:rsidR="00DF3B8B" w:rsidRPr="00D03260">
        <w:t>atological mal</w:t>
      </w:r>
      <w:r w:rsidR="003C400C" w:rsidRPr="00D03260">
        <w:t>ignancy and haemopoietic stem cell transplant note</w:t>
      </w:r>
      <w:r w:rsidR="00DB02A7" w:rsidRPr="00D03260">
        <w:t xml:space="preserve"> that</w:t>
      </w:r>
      <w:r w:rsidR="003C400C" w:rsidRPr="00D03260">
        <w:t xml:space="preserve"> the increasing prevalence of cancer and advances in cancer </w:t>
      </w:r>
      <w:r w:rsidR="00AB49EB" w:rsidRPr="00D03260">
        <w:t>have led to a growing population at risk of invasive mould disease</w:t>
      </w:r>
      <w:r w:rsidR="00A069F6" w:rsidRPr="00D03260">
        <w:t xml:space="preserve"> </w:t>
      </w:r>
      <w:r w:rsidR="00A069F6" w:rsidRPr="00D03260">
        <w:fldChar w:fldCharType="begin"/>
      </w:r>
      <w:r w:rsidR="00217980" w:rsidRPr="00D03260">
        <w:instrText xml:space="preserve"> ADDIN ZOTERO_ITEM CSL_CITATION {"citationID":"I8w7Tggd","properties":{"formattedCitation":"(Blyth et al., 2014)","plainCitation":"(Blyth et al., 2014)","noteIndex":0},"citationItems":[{"id":1350,"uris":["http://zotero.org/groups/4371185/items/PYXK83J4"],"itemData":{"id":1350,"type":"article-journal","abstract":"Mould species represent the pathogens most commonly associated with invasive fungal disease in patients with haematological malignancies and patients of haemopoietic stem cell transplants. Invasive mould infections in these patient populations, particularly in the setting of neutropenia, are associated with high morbidity and mortality, and significantly increase the complexity of management. While Aspergillus species remain the most prevalent cause of invasive mould infections, Scedosporium and Fusarium species and the Mucormycetes continue to place a significant burden on the immunocompromised host. Evidence also suggests that infections caused by rare and emerging pathogens are increasing within the setting of broad-spectrum antifungal prophylaxis and improved survival times placing immunosuppressed patients at risk for longer. These guidelines present evidence-based recommendations for the antifungal management of common, rare and emerging mould infections in both adult and paediatric populations. Where relevant, the role of surgery, adjunctive therapy and immunotherapy is also discussed.","archive":"Embase","container-title":"Internal Medicine Journal","DOI":"10.1111/imj.12598","ISSN":"1445-5994","issue":"12","journalAbbreviation":"Intern. Med. J.","language":"English","page":"1333-1349","title":"Consensus guidelines for the treatment of invasive mould infections in haematological malignancy and haemopoietic stem cell transplantation, 2014","volume":"44","author":[{"family":"Blyth","given":"C.C."},{"family":"Gilroy","given":"N.M."},{"family":"Guy","given":"S.D."},{"family":"Chambers","given":"S.T."},{"family":"Cheong","given":"E.Y."},{"family":"Gottlieb","given":"T."},{"family":"Mcguinness","given":"S.L."},{"family":"Thursky","given":"K.A."}],"issued":{"date-parts":[["2014"]]}}}],"schema":"https://github.com/citation-style-language/schema/raw/master/csl-citation.json"} </w:instrText>
      </w:r>
      <w:r w:rsidR="00A069F6" w:rsidRPr="00D03260">
        <w:fldChar w:fldCharType="separate"/>
      </w:r>
      <w:r w:rsidR="00A069F6" w:rsidRPr="00D03260">
        <w:rPr>
          <w:rFonts w:cs="Arial"/>
        </w:rPr>
        <w:t>(Blyth et al., 2014)</w:t>
      </w:r>
      <w:r w:rsidR="00A069F6" w:rsidRPr="00D03260">
        <w:fldChar w:fldCharType="end"/>
      </w:r>
      <w:r w:rsidR="00AB49EB" w:rsidRPr="00D03260">
        <w:t xml:space="preserve">. </w:t>
      </w:r>
      <w:r w:rsidR="00D46276" w:rsidRPr="00D03260">
        <w:t xml:space="preserve">The guidelines present evidence-based recommendations for the antifungal management of common, </w:t>
      </w:r>
      <w:proofErr w:type="gramStart"/>
      <w:r w:rsidR="00D46276" w:rsidRPr="00D03260">
        <w:t>rare</w:t>
      </w:r>
      <w:proofErr w:type="gramEnd"/>
      <w:r w:rsidR="00D46276" w:rsidRPr="00D03260">
        <w:t xml:space="preserve"> and emerging mould infections </w:t>
      </w:r>
      <w:r w:rsidR="003B6845" w:rsidRPr="00D03260">
        <w:t>in adults and paediatric patients.</w:t>
      </w:r>
    </w:p>
    <w:p w14:paraId="31D0AFA7" w14:textId="48431415" w:rsidR="00342347" w:rsidRPr="00D03260" w:rsidRDefault="00281D82" w:rsidP="00AF37EB">
      <w:r w:rsidRPr="00D03260">
        <w:t xml:space="preserve">The guidelines are available </w:t>
      </w:r>
      <w:r w:rsidR="00A8569D" w:rsidRPr="00D03260">
        <w:t>at</w:t>
      </w:r>
      <w:r w:rsidRPr="00D03260">
        <w:t xml:space="preserve"> </w:t>
      </w:r>
      <w:hyperlink r:id="rId70" w:history="1">
        <w:r w:rsidR="00342347" w:rsidRPr="00D03260">
          <w:rPr>
            <w:rStyle w:val="Hyperlink"/>
          </w:rPr>
          <w:t>https://www.wslhd.health.nsw.gov.au/ArticleDocuments/2739/Australia%20and%20New%20Zealand%20Mycoses%20Interest%20Group%20Guidlines%20for%20Treatment%20of%20Mould%20Infections%202014.pdf.aspx</w:t>
        </w:r>
      </w:hyperlink>
      <w:r w:rsidR="00207AF5" w:rsidRPr="00D03260">
        <w:t>.</w:t>
      </w:r>
    </w:p>
    <w:p w14:paraId="62DAF791" w14:textId="14D23585" w:rsidR="00E246BC" w:rsidRPr="00D03260" w:rsidRDefault="007E445B" w:rsidP="00AF1EFC">
      <w:pPr>
        <w:pStyle w:val="NumberedHeading2"/>
        <w:numPr>
          <w:ilvl w:val="0"/>
          <w:numId w:val="0"/>
        </w:numPr>
        <w:ind w:left="720" w:hanging="720"/>
      </w:pPr>
      <w:bookmarkStart w:id="299" w:name="_Toc121329193"/>
      <w:bookmarkStart w:id="300" w:name="_Toc141885930"/>
      <w:r w:rsidRPr="00D03260">
        <w:t>6.3</w:t>
      </w:r>
      <w:r w:rsidR="00D5605F" w:rsidRPr="00D03260">
        <w:t>.</w:t>
      </w:r>
      <w:r w:rsidR="00D5605F" w:rsidRPr="00D03260">
        <w:tab/>
      </w:r>
      <w:r w:rsidR="00E246BC" w:rsidRPr="00D03260">
        <w:t>Awareness that symptoms may persist</w:t>
      </w:r>
      <w:r w:rsidR="00062322" w:rsidRPr="00D03260">
        <w:t xml:space="preserve"> even after building remediation</w:t>
      </w:r>
      <w:bookmarkEnd w:id="299"/>
      <w:bookmarkEnd w:id="300"/>
    </w:p>
    <w:p w14:paraId="403A9080" w14:textId="541A8BB9" w:rsidR="0042693C" w:rsidRPr="00D03260" w:rsidRDefault="0034349F" w:rsidP="00062322">
      <w:r w:rsidRPr="00D03260">
        <w:t xml:space="preserve">A </w:t>
      </w:r>
      <w:r w:rsidR="00336D0B" w:rsidRPr="00D03260">
        <w:t xml:space="preserve">randomised controlled trial </w:t>
      </w:r>
      <w:r w:rsidR="00932660" w:rsidRPr="00D03260">
        <w:t>(</w:t>
      </w:r>
      <w:r w:rsidRPr="00D03260">
        <w:t>RCT</w:t>
      </w:r>
      <w:r w:rsidR="00932660" w:rsidRPr="00D03260">
        <w:t>)</w:t>
      </w:r>
      <w:r w:rsidRPr="00D03260">
        <w:t xml:space="preserve"> </w:t>
      </w:r>
      <w:r w:rsidRPr="00D03260">
        <w:fldChar w:fldCharType="begin"/>
      </w:r>
      <w:r w:rsidR="00217980" w:rsidRPr="00D03260">
        <w:instrText xml:space="preserve"> ADDIN ZOTERO_ITEM CSL_CITATION {"citationID":"sg8QBRSb","properties":{"formattedCitation":"(Vuokko et al., 2015)","plainCitation":"(Vuokko et al., 2015)","noteIndex":0},"citationItems":[{"id":2196,"uris":["http://zotero.org/groups/4371185/items/S7BUXVWR"],"itemData":{"id":2196,"type":"article-journal","abstract":"Introduction: Indoor air problems may induce respiratory irritation and inflammation. In occupational settings, long-lasting non-specific building-related symptomatology, not fully medically explained, is encountered. The symptomatology may lead to illness, avoidance behavior and decreased work ability. In Finland, investigations of workers suspected of occupational asthma have revealed excess disability. There are no well-established clinical practices for the condition. Objective: The aim was to develop a clinical intervention for patients with non-specific indoor air-related symptoms and decreased work ability. Methods: A randomized controlled trial including psychoeducation and promotion of health behavior was carried out in 55 patients investigated for causal relationship between work-related respiratory symptoms and moisture damaged workplaces. Inclusion criteria for disability was the work ability score (WAS). ≤. 7 (scale 0-10) and indoor air-related sick leave ≥14 days the preceding year. After medical evaluation and the 3-session counseling intervention, follow-up at 6-months was assessed using self-evaluated work-ability, sick leave days, quality of life, and illness worries as outcome measures. Results: The mean symptom history was 55.5 months. 82% (45 out of 55) had asthma with normal lung function tests in most cases, although reporting abundant asthma symptoms. 81% of patients (39/48) had symptomatology from multiple organ systems without biomedical explanation, despite environmental improvements at work place. At the psychological counseling sessions, 15 (60%) patients of the intervention (INT, n=. 25) group showed concerns of a serious disease and in 5 (20%), concerns and fears had led to avoidance and restricted personal life. In the 6-month follow-up, the outcomes in the INT group did not differ from the treatment as usual group. Conclusion: No intervention effects were found. Patients shared features with medically unexplained symptoms and sick building syndrome or idiopathic environmental intolerance. Long environment-attributed non-specific symptom history and disability may require more intensive interventions. There is a need for improved recognition and early measures to prevent indoor-associated disability.Trial registration number: Single-center randomized controlled trial (ISRCTN33165676).","container-title":"NeuroToxicology","DOI":"10.1016/j.neuro.2015.04.010","ISSN":"1872-9711","journalAbbreviation":"NeuroToxicology","language":"English","page":"59-67","title":"Decreased work ability associated to indoor air problems - An intervention (RCT) to promote health behavior","volume":"49","author":[{"family":"Vuokko","given":"A."},{"family":"Selinheimo","given":"S."},{"family":"Sainio","given":"M."},{"family":"Suojalehto","given":"H."},{"family":"Järnefelt","given":"H."},{"family":"Virtanen","given":"M."},{"family":"Kallio","given":"E."},{"family":"Hublin","given":"C."},{"family":"Karvala","given":"K."}],"issued":{"date-parts":[["2015"]]}}}],"schema":"https://github.com/citation-style-language/schema/raw/master/csl-citation.json"} </w:instrText>
      </w:r>
      <w:r w:rsidRPr="00D03260">
        <w:fldChar w:fldCharType="separate"/>
      </w:r>
      <w:r w:rsidRPr="00D03260">
        <w:t>(Vuokko et al., 2015)</w:t>
      </w:r>
      <w:r w:rsidRPr="00D03260">
        <w:fldChar w:fldCharType="end"/>
      </w:r>
      <w:r w:rsidRPr="00D03260">
        <w:t xml:space="preserve"> included in the </w:t>
      </w:r>
      <w:r w:rsidR="00AC209D" w:rsidRPr="00D03260">
        <w:t>e</w:t>
      </w:r>
      <w:r w:rsidRPr="00D03260">
        <w:t xml:space="preserve">vidence </w:t>
      </w:r>
      <w:r w:rsidR="00AC209D" w:rsidRPr="00D03260">
        <w:t>e</w:t>
      </w:r>
      <w:r w:rsidRPr="00D03260">
        <w:t>valuation</w:t>
      </w:r>
      <w:r w:rsidR="00EB2263" w:rsidRPr="00D03260">
        <w:t xml:space="preserve"> that underpins this Clinical Pathway </w:t>
      </w:r>
      <w:r w:rsidR="00453F02" w:rsidRPr="00D03260">
        <w:t xml:space="preserve">highlighted </w:t>
      </w:r>
      <w:r w:rsidRPr="00D03260">
        <w:t>the challenges in managing patient’s reactions to specific building-related diseases and non-specific symptoms related to indoor air environment</w:t>
      </w:r>
      <w:r w:rsidR="00DF2E9A" w:rsidRPr="00D03260">
        <w:t>s</w:t>
      </w:r>
      <w:r w:rsidR="00453F02" w:rsidRPr="00D03260">
        <w:t xml:space="preserve">. </w:t>
      </w:r>
      <w:r w:rsidR="0042693C" w:rsidRPr="00D03260">
        <w:t>Symptoms attributed to the indoor environment may persist over time and even after remediation</w:t>
      </w:r>
      <w:r w:rsidR="0029268D" w:rsidRPr="00D03260">
        <w:t>.</w:t>
      </w:r>
    </w:p>
    <w:p w14:paraId="10849DA1" w14:textId="4C4B9589" w:rsidR="005266CA" w:rsidRPr="00D03260" w:rsidRDefault="005266CA" w:rsidP="005266CA">
      <w:r w:rsidRPr="00D03260">
        <w:t xml:space="preserve">Vuokko et al. noted the symptomology among the participants in their study had been present for </w:t>
      </w:r>
      <w:r w:rsidRPr="00D03260">
        <w:rPr>
          <w:color w:val="auto"/>
        </w:rPr>
        <w:t>years</w:t>
      </w:r>
      <w:r w:rsidR="00E91D2E" w:rsidRPr="00D03260">
        <w:rPr>
          <w:color w:val="auto"/>
        </w:rPr>
        <w:t>.</w:t>
      </w:r>
      <w:r w:rsidRPr="00D03260">
        <w:rPr>
          <w:color w:val="auto"/>
        </w:rPr>
        <w:t xml:space="preserve"> The authors claimed that their </w:t>
      </w:r>
      <w:r w:rsidRPr="00D03260">
        <w:t xml:space="preserve">present findings of long-lasting and persistent multiple symptoms in participants with reduced work ability were in accordance with previous observations of environmental sensitivity features in building-associated symptoms with asthma </w:t>
      </w:r>
      <w:r w:rsidRPr="00D03260">
        <w:fldChar w:fldCharType="begin"/>
      </w:r>
      <w:r w:rsidR="00217980" w:rsidRPr="00D03260">
        <w:instrText xml:space="preserve"> ADDIN ZOTERO_ITEM CSL_CITATION {"citationID":"7Q43r2pS","properties":{"formattedCitation":"(Vuokko et al., 2015, p. 66)","plainCitation":"(Vuokko et al., 2015, p. 66)","noteIndex":0},"citationItems":[{"id":2196,"uris":["http://zotero.org/groups/4371185/items/S7BUXVWR"],"itemData":{"id":2196,"type":"article-journal","abstract":"Introduction: Indoor air problems may induce respiratory irritation and inflammation. In occupational settings, long-lasting non-specific building-related symptomatology, not fully medically explained, is encountered. The symptomatology may lead to illness, avoidance behavior and decreased work ability. In Finland, investigations of workers suspected of occupational asthma have revealed excess disability. There are no well-established clinical practices for the condition. Objective: The aim was to develop a clinical intervention for patients with non-specific indoor air-related symptoms and decreased work ability. Methods: A randomized controlled trial including psychoeducation and promotion of health behavior was carried out in 55 patients investigated for causal relationship between work-related respiratory symptoms and moisture damaged workplaces. Inclusion criteria for disability was the work ability score (WAS). ≤. 7 (scale 0-10) and indoor air-related sick leave ≥14 days the preceding year. After medical evaluation and the 3-session counseling intervention, follow-up at 6-months was assessed using self-evaluated work-ability, sick leave days, quality of life, and illness worries as outcome measures. Results: The mean symptom history was 55.5 months. 82% (45 out of 55) had asthma with normal lung function tests in most cases, although reporting abundant asthma symptoms. 81% of patients (39/48) had symptomatology from multiple organ systems without biomedical explanation, despite environmental improvements at work place. At the psychological counseling sessions, 15 (60%) patients of the intervention (INT, n=. 25) group showed concerns of a serious disease and in 5 (20%), concerns and fears had led to avoidance and restricted personal life. In the 6-month follow-up, the outcomes in the INT group did not differ from the treatment as usual group. Conclusion: No intervention effects were found. Patients shared features with medically unexplained symptoms and sick building syndrome or idiopathic environmental intolerance. Long environment-attributed non-specific symptom history and disability may require more intensive interventions. There is a need for improved recognition and early measures to prevent indoor-associated disability.Trial registration number: Single-center randomized controlled trial (ISRCTN33165676).","container-title":"NeuroToxicology","DOI":"10.1016/j.neuro.2015.04.010","ISSN":"1872-9711","journalAbbreviation":"NeuroToxicology","language":"English","page":"59-67","title":"Decreased work ability associated to indoor air problems - An intervention (RCT) to promote health behavior","volume":"49","author":[{"family":"Vuokko","given":"A."},{"family":"Selinheimo","given":"S."},{"family":"Sainio","given":"M."},{"family":"Suojalehto","given":"H."},{"family":"Järnefelt","given":"H."},{"family":"Virtanen","given":"M."},{"family":"Kallio","given":"E."},{"family":"Hublin","given":"C."},{"family":"Karvala","given":"K."}],"issued":{"date-parts":[["2015"]]}},"locator":"66"}],"schema":"https://github.com/citation-style-language/schema/raw/master/csl-citation.json"} </w:instrText>
      </w:r>
      <w:r w:rsidRPr="00D03260">
        <w:fldChar w:fldCharType="separate"/>
      </w:r>
      <w:r w:rsidRPr="00D03260">
        <w:t>(Vuokko et al., 2015, p. 66)</w:t>
      </w:r>
      <w:r w:rsidRPr="00D03260">
        <w:fldChar w:fldCharType="end"/>
      </w:r>
      <w:r w:rsidRPr="00D03260">
        <w:t>.</w:t>
      </w:r>
    </w:p>
    <w:p w14:paraId="42BD7A17" w14:textId="698DAB73" w:rsidR="00162FEF" w:rsidRPr="00D03260" w:rsidRDefault="005266CA" w:rsidP="00596320">
      <w:r w:rsidRPr="00D03260">
        <w:t xml:space="preserve">In their RCT, in nearly all of the patients, previous arrangements to solve environment-related problems </w:t>
      </w:r>
      <w:r w:rsidR="0033645D" w:rsidRPr="00D03260">
        <w:t>in</w:t>
      </w:r>
      <w:r w:rsidRPr="00D03260">
        <w:t xml:space="preserve"> the workplace had been done without recovery of the symptomology, suggesting the nature of the symptoms is non-specific </w:t>
      </w:r>
      <w:r w:rsidRPr="00D03260">
        <w:fldChar w:fldCharType="begin"/>
      </w:r>
      <w:r w:rsidR="00217980" w:rsidRPr="00D03260">
        <w:instrText xml:space="preserve"> ADDIN ZOTERO_ITEM CSL_CITATION {"citationID":"mt6nDo47","properties":{"formattedCitation":"(Vuokko et al., 2015)","plainCitation":"(Vuokko et al., 2015)","noteIndex":0},"citationItems":[{"id":2196,"uris":["http://zotero.org/groups/4371185/items/S7BUXVWR"],"itemData":{"id":2196,"type":"article-journal","abstract":"Introduction: Indoor air problems may induce respiratory irritation and inflammation. In occupational settings, long-lasting non-specific building-related symptomatology, not fully medically explained, is encountered. The symptomatology may lead to illness, avoidance behavior and decreased work ability. In Finland, investigations of workers suspected of occupational asthma have revealed excess disability. There are no well-established clinical practices for the condition. Objective: The aim was to develop a clinical intervention for patients with non-specific indoor air-related symptoms and decreased work ability. Methods: A randomized controlled trial including psychoeducation and promotion of health behavior was carried out in 55 patients investigated for causal relationship between work-related respiratory symptoms and moisture damaged workplaces. Inclusion criteria for disability was the work ability score (WAS). ≤. 7 (scale 0-10) and indoor air-related sick leave ≥14 days the preceding year. After medical evaluation and the 3-session counseling intervention, follow-up at 6-months was assessed using self-evaluated work-ability, sick leave days, quality of life, and illness worries as outcome measures. Results: The mean symptom history was 55.5 months. 82% (45 out of 55) had asthma with normal lung function tests in most cases, although reporting abundant asthma symptoms. 81% of patients (39/48) had symptomatology from multiple organ systems without biomedical explanation, despite environmental improvements at work place. At the psychological counseling sessions, 15 (60%) patients of the intervention (INT, n=. 25) group showed concerns of a serious disease and in 5 (20%), concerns and fears had led to avoidance and restricted personal life. In the 6-month follow-up, the outcomes in the INT group did not differ from the treatment as usual group. Conclusion: No intervention effects were found. Patients shared features with medically unexplained symptoms and sick building syndrome or idiopathic environmental intolerance. Long environment-attributed non-specific symptom history and disability may require more intensive interventions. There is a need for improved recognition and early measures to prevent indoor-associated disability.Trial registration number: Single-center randomized controlled trial (ISRCTN33165676).","container-title":"NeuroToxicology","DOI":"10.1016/j.neuro.2015.04.010","ISSN":"1872-9711","journalAbbreviation":"NeuroToxicology","language":"English","page":"59-67","title":"Decreased work ability associated to indoor air problems - An intervention (RCT) to promote health behavior","volume":"49","author":[{"family":"Vuokko","given":"A."},{"family":"Selinheimo","given":"S."},{"family":"Sainio","given":"M."},{"family":"Suojalehto","given":"H."},{"family":"Järnefelt","given":"H."},{"family":"Virtanen","given":"M."},{"family":"Kallio","given":"E."},{"family":"Hublin","given":"C."},{"family":"Karvala","given":"K."}],"issued":{"date-parts":[["2015"]]}}}],"schema":"https://github.com/citation-style-language/schema/raw/master/csl-citation.json"} </w:instrText>
      </w:r>
      <w:r w:rsidRPr="00D03260">
        <w:fldChar w:fldCharType="separate"/>
      </w:r>
      <w:r w:rsidRPr="00D03260">
        <w:t>(Vuokko et al., 2015)</w:t>
      </w:r>
      <w:r w:rsidRPr="00D03260">
        <w:fldChar w:fldCharType="end"/>
      </w:r>
      <w:r w:rsidRPr="00D03260">
        <w:t xml:space="preserve">. The authors claimed their findings were corroborated by several earlier studies that reported symptoms may persist despite building remediation </w:t>
      </w:r>
      <w:r w:rsidRPr="00D03260">
        <w:fldChar w:fldCharType="begin"/>
      </w:r>
      <w:r w:rsidR="00217980" w:rsidRPr="00D03260">
        <w:instrText xml:space="preserve"> ADDIN ZOTERO_ITEM CSL_CITATION {"citationID":"fe5PEV6e","properties":{"formattedCitation":"(Al-Ahmad et al. 2010, Edvardsson et al. 2008, and Sauni et al. 2015 in Vuokko et al., 2015)","plainCitation":"(Al-Ahmad et al. 2010, Edvardsson et al. 2008, and Sauni et al. 2015 in Vuokko et al., 2015)","noteIndex":0},"citationItems":[{"id":2196,"uris":["http://zotero.org/groups/4371185/items/S7BUXVWR"],"itemData":{"id":2196,"type":"article-journal","abstract":"Introduction: Indoor air problems may induce respiratory irritation and inflammation. In occupational settings, long-lasting non-specific building-related symptomatology, not fully medically explained, is encountered. The symptomatology may lead to illness, avoidance behavior and decreased work ability. In Finland, investigations of workers suspected of occupational asthma have revealed excess disability. There are no well-established clinical practices for the condition. Objective: The aim was to develop a clinical intervention for patients with non-specific indoor air-related symptoms and decreased work ability. Methods: A randomized controlled trial including psychoeducation and promotion of health behavior was carried out in 55 patients investigated for causal relationship between work-related respiratory symptoms and moisture damaged workplaces. Inclusion criteria for disability was the work ability score (WAS). ≤. 7 (scale 0-10) and indoor air-related sick leave ≥14 days the preceding year. After medical evaluation and the 3-session counseling intervention, follow-up at 6-months was assessed using self-evaluated work-ability, sick leave days, quality of life, and illness worries as outcome measures. Results: The mean symptom history was 55.5 months. 82% (45 out of 55) had asthma with normal lung function tests in most cases, although reporting abundant asthma symptoms. 81% of patients (39/48) had symptomatology from multiple organ systems without biomedical explanation, despite environmental improvements at work place. At the psychological counseling sessions, 15 (60%) patients of the intervention (INT, n=. 25) group showed concerns of a serious disease and in 5 (20%), concerns and fears had led to avoidance and restricted personal life. In the 6-month follow-up, the outcomes in the INT group did not differ from the treatment as usual group. Conclusion: No intervention effects were found. Patients shared features with medically unexplained symptoms and sick building syndrome or idiopathic environmental intolerance. Long environment-attributed non-specific symptom history and disability may require more intensive interventions. There is a need for improved recognition and early measures to prevent indoor-associated disability.Trial registration number: Single-center randomized controlled trial (ISRCTN33165676).","container-title":"NeuroToxicology","DOI":"10.1016/j.neuro.2015.04.010","ISSN":"1872-9711","journalAbbreviation":"NeuroToxicology","language":"English","page":"59-67","title":"Decreased work ability associated to indoor air problems - An intervention (RCT) to promote health behavior","volume":"49","author":[{"family":"Vuokko","given":"A."},{"family":"Selinheimo","given":"S."},{"family":"Sainio","given":"M."},{"family":"Suojalehto","given":"H."},{"family":"Järnefelt","given":"H."},{"family":"Virtanen","given":"M."},{"family":"Kallio","given":"E."},{"family":"Hublin","given":"C."},{"family":"Karvala","given":"K."}],"issued":{"date-parts":[["2015"]]}},"prefix":"Al-Ahmad et al. 2010, Edvardsson et al. 2008, and Sauni et al. 2015 in "}],"schema":"https://github.com/citation-style-language/schema/raw/master/csl-citation.json"} </w:instrText>
      </w:r>
      <w:r w:rsidRPr="00D03260">
        <w:fldChar w:fldCharType="separate"/>
      </w:r>
      <w:r w:rsidRPr="00D03260">
        <w:t>(Al-Ahmad et al. 2010, Edvardsson et al. 2008, and Sauni et al. 2015 in Vuokko et al., 2015)</w:t>
      </w:r>
      <w:r w:rsidRPr="00D03260">
        <w:fldChar w:fldCharType="end"/>
      </w:r>
      <w:r w:rsidRPr="00D03260">
        <w:t xml:space="preserve">, and even in cases where the remediation was considered substantial or technically successful </w:t>
      </w:r>
      <w:r w:rsidRPr="00D03260">
        <w:fldChar w:fldCharType="begin"/>
      </w:r>
      <w:r w:rsidR="00217980" w:rsidRPr="00D03260">
        <w:instrText xml:space="preserve"> ADDIN ZOTERO_ITEM CSL_CITATION {"citationID":"XKCZ0aKH","properties":{"formattedCitation":"(Haverinen-Shaughnessy et al. 2008, and Iossifova et al. 2011 in Vuokko et al., 2015)","plainCitation":"(Haverinen-Shaughnessy et al. 2008, and Iossifova et al. 2011 in Vuokko et al., 2015)","noteIndex":0},"citationItems":[{"id":2196,"uris":["http://zotero.org/groups/4371185/items/S7BUXVWR"],"itemData":{"id":2196,"type":"article-journal","abstract":"Introduction: Indoor air problems may induce respiratory irritation and inflammation. In occupational settings, long-lasting non-specific building-related symptomatology, not fully medically explained, is encountered. The symptomatology may lead to illness, avoidance behavior and decreased work ability. In Finland, investigations of workers suspected of occupational asthma have revealed excess disability. There are no well-established clinical practices for the condition. Objective: The aim was to develop a clinical intervention for patients with non-specific indoor air-related symptoms and decreased work ability. Methods: A randomized controlled trial including psychoeducation and promotion of health behavior was carried out in 55 patients investigated for causal relationship between work-related respiratory symptoms and moisture damaged workplaces. Inclusion criteria for disability was the work ability score (WAS). ≤. 7 (scale 0-10) and indoor air-related sick leave ≥14 days the preceding year. After medical evaluation and the 3-session counseling intervention, follow-up at 6-months was assessed using self-evaluated work-ability, sick leave days, quality of life, and illness worries as outcome measures. Results: The mean symptom history was 55.5 months. 82% (45 out of 55) had asthma with normal lung function tests in most cases, although reporting abundant asthma symptoms. 81% of patients (39/48) had symptomatology from multiple organ systems without biomedical explanation, despite environmental improvements at work place. At the psychological counseling sessions, 15 (60%) patients of the intervention (INT, n=. 25) group showed concerns of a serious disease and in 5 (20%), concerns and fears had led to avoidance and restricted personal life. In the 6-month follow-up, the outcomes in the INT group did not differ from the treatment as usual group. Conclusion: No intervention effects were found. Patients shared features with medically unexplained symptoms and sick building syndrome or idiopathic environmental intolerance. Long environment-attributed non-specific symptom history and disability may require more intensive interventions. There is a need for improved recognition and early measures to prevent indoor-associated disability.Trial registration number: Single-center randomized controlled trial (ISRCTN33165676).","container-title":"NeuroToxicology","DOI":"10.1016/j.neuro.2015.04.010","ISSN":"1872-9711","journalAbbreviation":"NeuroToxicology","language":"English","page":"59-67","title":"Decreased work ability associated to indoor air problems - An intervention (RCT) to promote health behavior","volume":"49","author":[{"family":"Vuokko","given":"A."},{"family":"Selinheimo","given":"S."},{"family":"Sainio","given":"M."},{"family":"Suojalehto","given":"H."},{"family":"Järnefelt","given":"H."},{"family":"Virtanen","given":"M."},{"family":"Kallio","given":"E."},{"family":"Hublin","given":"C."},{"family":"Karvala","given":"K."}],"issued":{"date-parts":[["2015"]]}},"prefix":"Haverinen-Shaughnessy et al. 2008, and Iossifova et al. 2011 in "}],"schema":"https://github.com/citation-style-language/schema/raw/master/csl-citation.json"} </w:instrText>
      </w:r>
      <w:r w:rsidRPr="00D03260">
        <w:fldChar w:fldCharType="separate"/>
      </w:r>
      <w:r w:rsidRPr="00D03260">
        <w:t>(Haverinen-Shaughnessy et al. 2008, and Iossifova et al. 2011 in Vuokko et al., 2015)</w:t>
      </w:r>
      <w:r w:rsidRPr="00D03260">
        <w:fldChar w:fldCharType="end"/>
      </w:r>
      <w:r w:rsidRPr="00D03260">
        <w:t xml:space="preserve">. As such, clinicians and patients face problems when symptoms persist despite improvements in indoor air quality </w:t>
      </w:r>
      <w:r w:rsidRPr="00D03260">
        <w:fldChar w:fldCharType="begin"/>
      </w:r>
      <w:r w:rsidR="00217980" w:rsidRPr="00D03260">
        <w:instrText xml:space="preserve"> ADDIN ZOTERO_ITEM CSL_CITATION {"citationID":"yRp8BB8c","properties":{"formattedCitation":"(Vuokko et al., 2015)","plainCitation":"(Vuokko et al., 2015)","noteIndex":0},"citationItems":[{"id":2196,"uris":["http://zotero.org/groups/4371185/items/S7BUXVWR"],"itemData":{"id":2196,"type":"article-journal","abstract":"Introduction: Indoor air problems may induce respiratory irritation and inflammation. In occupational settings, long-lasting non-specific building-related symptomatology, not fully medically explained, is encountered. The symptomatology may lead to illness, avoidance behavior and decreased work ability. In Finland, investigations of workers suspected of occupational asthma have revealed excess disability. There are no well-established clinical practices for the condition. Objective: The aim was to develop a clinical intervention for patients with non-specific indoor air-related symptoms and decreased work ability. Methods: A randomized controlled trial including psychoeducation and promotion of health behavior was carried out in 55 patients investigated for causal relationship between work-related respiratory symptoms and moisture damaged workplaces. Inclusion criteria for disability was the work ability score (WAS). ≤. 7 (scale 0-10) and indoor air-related sick leave ≥14 days the preceding year. After medical evaluation and the 3-session counseling intervention, follow-up at 6-months was assessed using self-evaluated work-ability, sick leave days, quality of life, and illness worries as outcome measures. Results: The mean symptom history was 55.5 months. 82% (45 out of 55) had asthma with normal lung function tests in most cases, although reporting abundant asthma symptoms. 81% of patients (39/48) had symptomatology from multiple organ systems without biomedical explanation, despite environmental improvements at work place. At the psychological counseling sessions, 15 (60%) patients of the intervention (INT, n=. 25) group showed concerns of a serious disease and in 5 (20%), concerns and fears had led to avoidance and restricted personal life. In the 6-month follow-up, the outcomes in the INT group did not differ from the treatment as usual group. Conclusion: No intervention effects were found. Patients shared features with medically unexplained symptoms and sick building syndrome or idiopathic environmental intolerance. Long environment-attributed non-specific symptom history and disability may require more intensive interventions. There is a need for improved recognition and early measures to prevent indoor-associated disability.Trial registration number: Single-center randomized controlled trial (ISRCTN33165676).","container-title":"NeuroToxicology","DOI":"10.1016/j.neuro.2015.04.010","ISSN":"1872-9711","journalAbbreviation":"NeuroToxicology","language":"English","page":"59-67","title":"Decreased work ability associated to indoor air problems - An intervention (RCT) to promote health behavior","volume":"49","author":[{"family":"Vuokko","given":"A."},{"family":"Selinheimo","given":"S."},{"family":"Sainio","given":"M."},{"family":"Suojalehto","given":"H."},{"family":"Järnefelt","given":"H."},{"family":"Virtanen","given":"M."},{"family":"Kallio","given":"E."},{"family":"Hublin","given":"C."},{"family":"Karvala","given":"K."}],"issued":{"date-parts":[["2015"]]}}}],"schema":"https://github.com/citation-style-language/schema/raw/master/csl-citation.json"} </w:instrText>
      </w:r>
      <w:r w:rsidRPr="00D03260">
        <w:fldChar w:fldCharType="separate"/>
      </w:r>
      <w:r w:rsidRPr="00D03260">
        <w:t>(Vuokko et al., 2015)</w:t>
      </w:r>
      <w:r w:rsidRPr="00D03260">
        <w:fldChar w:fldCharType="end"/>
      </w:r>
      <w:r w:rsidR="00A9045F" w:rsidRPr="00D03260">
        <w:rPr>
          <w:rStyle w:val="FootnoteReference"/>
        </w:rPr>
        <w:footnoteReference w:id="11"/>
      </w:r>
      <w:r w:rsidRPr="00D03260">
        <w:t>.</w:t>
      </w:r>
    </w:p>
    <w:p w14:paraId="0D5FE2EE" w14:textId="47AE498C" w:rsidR="002B0561" w:rsidRPr="00D03260" w:rsidRDefault="00B001D5" w:rsidP="00AF1EFC">
      <w:pPr>
        <w:pStyle w:val="NumberedHeading3"/>
        <w:numPr>
          <w:ilvl w:val="0"/>
          <w:numId w:val="0"/>
        </w:numPr>
        <w:ind w:left="1440" w:hanging="1440"/>
      </w:pPr>
      <w:bookmarkStart w:id="301" w:name="_Toc121329194"/>
      <w:bookmarkStart w:id="302" w:name="_Toc141885931"/>
      <w:r w:rsidRPr="00D03260">
        <w:t>6.</w:t>
      </w:r>
      <w:r w:rsidR="00754B3D" w:rsidRPr="00D03260">
        <w:t>3</w:t>
      </w:r>
      <w:r w:rsidRPr="00D03260">
        <w:t>.1.</w:t>
      </w:r>
      <w:r w:rsidRPr="00D03260">
        <w:tab/>
      </w:r>
      <w:r w:rsidR="002B0561" w:rsidRPr="00D03260">
        <w:t>Building-related respiratory illness and asthma attributed to the indoor environment shared features with MUS</w:t>
      </w:r>
      <w:bookmarkEnd w:id="301"/>
      <w:bookmarkEnd w:id="302"/>
    </w:p>
    <w:p w14:paraId="410B8E21" w14:textId="3EC0A6A5" w:rsidR="00592E6B" w:rsidRPr="00D03260" w:rsidRDefault="00D84173" w:rsidP="0029268D">
      <w:r w:rsidRPr="00D03260">
        <w:t>Vuokko et al. hypothesised that respiratory symptoms and asthma attributed to the indoor environment share features with SBS.</w:t>
      </w:r>
      <w:r w:rsidR="00666409" w:rsidRPr="00D03260">
        <w:t xml:space="preserve"> </w:t>
      </w:r>
      <w:r w:rsidR="00EF6373" w:rsidRPr="00D03260">
        <w:t xml:space="preserve">In their study, </w:t>
      </w:r>
      <w:r w:rsidR="00A55941" w:rsidRPr="00D03260">
        <w:t>Vuokko et al. discussed that the patients suspected of workplace indoor air-related respiratory occupational disease with reduced self-rated work ability and sick leave showed prevalent asthma as well as abundant environmental attributed non-specific symptoms</w:t>
      </w:r>
      <w:r w:rsidR="00AE0238" w:rsidRPr="00D03260">
        <w:t>.</w:t>
      </w:r>
      <w:r w:rsidR="00A55941" w:rsidRPr="00D03260">
        <w:t xml:space="preserve"> </w:t>
      </w:r>
      <w:r w:rsidR="00AE0238" w:rsidRPr="00D03260">
        <w:t>T</w:t>
      </w:r>
      <w:r w:rsidR="00A55941" w:rsidRPr="00D03260">
        <w:t xml:space="preserve">he majority of those with asthma </w:t>
      </w:r>
      <w:r w:rsidR="00AE0238" w:rsidRPr="00D03260">
        <w:t xml:space="preserve">were reported </w:t>
      </w:r>
      <w:r w:rsidR="00A55941" w:rsidRPr="00D03260">
        <w:t xml:space="preserve">having normal lung function </w:t>
      </w:r>
      <w:r w:rsidR="00D03260" w:rsidRPr="00D03260">
        <w:t>tests but</w:t>
      </w:r>
      <w:r w:rsidR="00A55941" w:rsidRPr="00D03260">
        <w:t xml:space="preserve"> reporting several respiratory symptoms. In only four patients, asthma fulfilled the criteria of occupational asthma induced by indoor moulds, with Vuokko et al. noting this suggested that indoor environment attributed asthma and symptomology is multifactorial </w:t>
      </w:r>
      <w:r w:rsidR="00A55941" w:rsidRPr="00D03260">
        <w:fldChar w:fldCharType="begin"/>
      </w:r>
      <w:r w:rsidR="00217980" w:rsidRPr="00D03260">
        <w:instrText xml:space="preserve"> ADDIN ZOTERO_ITEM CSL_CITATION {"citationID":"ykB9iGl0","properties":{"formattedCitation":"(Vuokko et al., 2015)","plainCitation":"(Vuokko et al., 2015)","noteIndex":0},"citationItems":[{"id":2196,"uris":["http://zotero.org/groups/4371185/items/S7BUXVWR"],"itemData":{"id":2196,"type":"article-journal","abstract":"Introduction: Indoor air problems may induce respiratory irritation and inflammation. In occupational settings, long-lasting non-specific building-related symptomatology, not fully medically explained, is encountered. The symptomatology may lead to illness, avoidance behavior and decreased work ability. In Finland, investigations of workers suspected of occupational asthma have revealed excess disability. There are no well-established clinical practices for the condition. Objective: The aim was to develop a clinical intervention for patients with non-specific indoor air-related symptoms and decreased work ability. Methods: A randomized controlled trial including psychoeducation and promotion of health behavior was carried out in 55 patients investigated for causal relationship between work-related respiratory symptoms and moisture damaged workplaces. Inclusion criteria for disability was the work ability score (WAS). ≤. 7 (scale 0-10) and indoor air-related sick leave ≥14 days the preceding year. After medical evaluation and the 3-session counseling intervention, follow-up at 6-months was assessed using self-evaluated work-ability, sick leave days, quality of life, and illness worries as outcome measures. Results: The mean symptom history was 55.5 months. 82% (45 out of 55) had asthma with normal lung function tests in most cases, although reporting abundant asthma symptoms. 81% of patients (39/48) had symptomatology from multiple organ systems without biomedical explanation, despite environmental improvements at work place. At the psychological counseling sessions, 15 (60%) patients of the intervention (INT, n=. 25) group showed concerns of a serious disease and in 5 (20%), concerns and fears had led to avoidance and restricted personal life. In the 6-month follow-up, the outcomes in the INT group did not differ from the treatment as usual group. Conclusion: No intervention effects were found. Patients shared features with medically unexplained symptoms and sick building syndrome or idiopathic environmental intolerance. Long environment-attributed non-specific symptom history and disability may require more intensive interventions. There is a need for improved recognition and early measures to prevent indoor-associated disability.Trial registration number: Single-center randomized controlled trial (ISRCTN33165676).","container-title":"NeuroToxicology","DOI":"10.1016/j.neuro.2015.04.010","ISSN":"1872-9711","journalAbbreviation":"NeuroToxicology","language":"English","page":"59-67","title":"Decreased work ability associated to indoor air problems - An intervention (RCT) to promote health behavior","volume":"49","author":[{"family":"Vuokko","given":"A."},{"family":"Selinheimo","given":"S."},{"family":"Sainio","given":"M."},{"family":"Suojalehto","given":"H."},{"family":"Järnefelt","given":"H."},{"family":"Virtanen","given":"M."},{"family":"Kallio","given":"E."},{"family":"Hublin","given":"C."},{"family":"Karvala","given":"K."}],"issued":{"date-parts":[["2015"]]}}}],"schema":"https://github.com/citation-style-language/schema/raw/master/csl-citation.json"} </w:instrText>
      </w:r>
      <w:r w:rsidR="00A55941" w:rsidRPr="00D03260">
        <w:fldChar w:fldCharType="separate"/>
      </w:r>
      <w:r w:rsidR="00A55941" w:rsidRPr="00D03260">
        <w:t>(Vuokko et al., 2015)</w:t>
      </w:r>
      <w:r w:rsidR="00A55941" w:rsidRPr="00D03260">
        <w:fldChar w:fldCharType="end"/>
      </w:r>
      <w:r w:rsidR="00A55941" w:rsidRPr="00D03260">
        <w:t>.</w:t>
      </w:r>
      <w:r w:rsidR="007F1D21" w:rsidRPr="00D03260">
        <w:t xml:space="preserve"> In their cohort of patients, Vuokko et al. noted that it seemed likely that the respiratory symptoms of the asthma patients were not fully explained by their asthma, as lung function tests were normal in most of the cases </w:t>
      </w:r>
      <w:r w:rsidR="007F1D21" w:rsidRPr="00D03260">
        <w:fldChar w:fldCharType="begin"/>
      </w:r>
      <w:r w:rsidR="007F1D21" w:rsidRPr="00D03260">
        <w:instrText xml:space="preserve"> ADDIN ZOTERO_ITEM CSL_CITATION {"citationID":"ykB9iGl0","properties":{"formattedCitation":"(Vuokko et al., 2015)","plainCitation":"(Vuokko et al., 2015)","noteIndex":0},"citationItems":[{"id":2196,"uris":["http://zotero.org/groups/4371185/items/S7BUXVWR"],"itemData":{"id":2196,"type":"article-journal","abstract":"Introduction: Indoor air problems may induce respiratory irritation and inflammation. In occupational settings, long-lasting non-specific building-related symptomatology, not fully medically explained, is encountered. The symptomatology may lead to illness, avoidance behavior and decreased work ability. In Finland, investigations of workers suspected of occupational asthma have revealed excess disability. There are no well-established clinical practices for the condition. Objective: The aim was to develop a clinical intervention for patients with non-specific indoor air-related symptoms and decreased work ability. Methods: A randomized controlled trial including psychoeducation and promotion of health behavior was carried out in 55 patients investigated for causal relationship between work-related respiratory symptoms and moisture damaged workplaces. Inclusion criteria for disability was the work ability score (WAS). ≤. 7 (scale 0-10) and indoor air-related sick leave ≥14 days the preceding year. After medical evaluation and the 3-session counseling intervention, follow-up at 6-months was assessed using self-evaluated work-ability, sick leave days, quality of life, and illness worries as outcome measures. Results: The mean symptom history was 55.5 months. 82% (45 out of 55) had asthma with normal lung function tests in most cases, although reporting abundant asthma symptoms. 81% of patients (39/48) had symptomatology from multiple organ systems without biomedical explanation, despite environmental improvements at work place. At the psychological counseling sessions, 15 (60%) patients of the intervention (INT, n=. 25) group showed concerns of a serious disease and in 5 (20%), concerns and fears had led to avoidance and restricted personal life. In the 6-month follow-up, the outcomes in the INT group did not differ from the treatment as usual group. Conclusion: No intervention effects were found. Patients shared features with medically unexplained symptoms and sick building syndrome or idiopathic environmental intolerance. Long environment-attributed non-specific symptom history and disability may require more intensive interventions. There is a need for improved recognition and early measures to prevent indoor-associated disability.Trial registration number: Single-center randomized controlled trial (ISRCTN33165676).","container-title":"NeuroToxicology","DOI":"10.1016/j.neuro.2015.04.010","ISSN":"1872-9711","journalAbbreviation":"NeuroToxicology","language":"English","page":"59-67","title":"Decreased work ability associated to indoor air problems - An intervention (RCT) to promote health behavior","volume":"49","author":[{"family":"Vuokko","given":"A."},{"family":"Selinheimo","given":"S."},{"family":"Sainio","given":"M."},{"family":"Suojalehto","given":"H."},{"family":"Järnefelt","given":"H."},{"family":"Virtanen","given":"M."},{"family":"Kallio","given":"E."},{"family":"Hublin","given":"C."},{"family":"Karvala","given":"K."}],"issued":{"date-parts":[["2015"]]}}}],"schema":"https://github.com/citation-style-language/schema/raw/master/csl-citation.json"} </w:instrText>
      </w:r>
      <w:r w:rsidR="007F1D21" w:rsidRPr="00D03260">
        <w:fldChar w:fldCharType="separate"/>
      </w:r>
      <w:r w:rsidR="007F1D21" w:rsidRPr="00D03260">
        <w:t>(Vuokko et al., 2015)</w:t>
      </w:r>
      <w:r w:rsidR="007F1D21" w:rsidRPr="00D03260">
        <w:fldChar w:fldCharType="end"/>
      </w:r>
      <w:r w:rsidR="007F1D21" w:rsidRPr="00D03260">
        <w:t>.</w:t>
      </w:r>
      <w:r w:rsidR="00A75CD6" w:rsidRPr="00D03260">
        <w:t xml:space="preserve"> Environmental sensitivities can enhance illness behaviour </w:t>
      </w:r>
      <w:r w:rsidR="00A75CD6" w:rsidRPr="00D03260">
        <w:fldChar w:fldCharType="begin"/>
      </w:r>
      <w:r w:rsidR="00A75CD6" w:rsidRPr="00D03260">
        <w:instrText xml:space="preserve"> ADDIN ZOTERO_ITEM CSL_CITATION {"citationID":"0HLJlU7q","properties":{"formattedCitation":"(Baliatsas et al. 2014 in Vuokko et al., 2015)","plainCitation":"(Baliatsas et al. 2014 in Vuokko et al., 2015)","noteIndex":0},"citationItems":[{"id":2196,"uris":["http://zotero.org/groups/4371185/items/S7BUXVWR"],"itemData":{"id":2196,"type":"article-journal","abstract":"Introduction: Indoor air problems may induce respiratory irritation and inflammation. In occupational settings, long-lasting non-specific building-related symptomatology, not fully medically explained, is encountered. The symptomatology may lead to illness, avoidance behavior and decreased work ability. In Finland, investigations of workers suspected of occupational asthma have revealed excess disability. There are no well-established clinical practices for the condition. Objective: The aim was to develop a clinical intervention for patients with non-specific indoor air-related symptoms and decreased work ability. Methods: A randomized controlled trial including psychoeducation and promotion of health behavior was carried out in 55 patients investigated for causal relationship between work-related respiratory symptoms and moisture damaged workplaces. Inclusion criteria for disability was the work ability score (WAS). ≤. 7 (scale 0-10) and indoor air-related sick leave ≥14 days the preceding year. After medical evaluation and the 3-session counseling intervention, follow-up at 6-months was assessed using self-evaluated work-ability, sick leave days, quality of life, and illness worries as outcome measures. Results: The mean symptom history was 55.5 months. 82% (45 out of 55) had asthma with normal lung function tests in most cases, although reporting abundant asthma symptoms. 81% of patients (39/48) had symptomatology from multiple organ systems without biomedical explanation, despite environmental improvements at work place. At the psychological counseling sessions, 15 (60%) patients of the intervention (INT, n=. 25) group showed concerns of a serious disease and in 5 (20%), concerns and fears had led to avoidance and restricted personal life. In the 6-month follow-up, the outcomes in the INT group did not differ from the treatment as usual group. Conclusion: No intervention effects were found. Patients shared features with medically unexplained symptoms and sick building syndrome or idiopathic environmental intolerance. Long environment-attributed non-specific symptom history and disability may require more intensive interventions. There is a need for improved recognition and early measures to prevent indoor-associated disability.Trial registration number: Single-center randomized controlled trial (ISRCTN33165676).","container-title":"NeuroToxicology","DOI":"10.1016/j.neuro.2015.04.010","ISSN":"1872-9711","journalAbbreviation":"NeuroToxicology","language":"English","page":"59-67","title":"Decreased work ability associated to indoor air problems - An intervention (RCT) to promote health behavior","volume":"49","author":[{"family":"Vuokko","given":"A."},{"family":"Selinheimo","given":"S."},{"family":"Sainio","given":"M."},{"family":"Suojalehto","given":"H."},{"family":"Järnefelt","given":"H."},{"family":"Virtanen","given":"M."},{"family":"Kallio","given":"E."},{"family":"Hublin","given":"C."},{"family":"Karvala","given":"K."}],"issued":{"date-parts":[["2015"]]}},"prefix":"Baliatsas et al. 2014 in "}],"schema":"https://github.com/citation-style-language/schema/raw/master/csl-citation.json"} </w:instrText>
      </w:r>
      <w:r w:rsidR="00A75CD6" w:rsidRPr="00D03260">
        <w:fldChar w:fldCharType="separate"/>
      </w:r>
      <w:r w:rsidR="00A75CD6" w:rsidRPr="00D03260">
        <w:t>(Baliatsas et al. 2014 in Vuokko et al., 2015)</w:t>
      </w:r>
      <w:r w:rsidR="00A75CD6" w:rsidRPr="00D03260">
        <w:fldChar w:fldCharType="end"/>
      </w:r>
      <w:r w:rsidR="00A75CD6" w:rsidRPr="00D03260">
        <w:t xml:space="preserve">, which Vuokko et al. noted was a plausible explanation for disproportional asthma symptoms </w:t>
      </w:r>
      <w:r w:rsidR="00A75CD6" w:rsidRPr="00D03260">
        <w:fldChar w:fldCharType="begin"/>
      </w:r>
      <w:r w:rsidR="00A75CD6" w:rsidRPr="00D03260">
        <w:instrText xml:space="preserve"> ADDIN ZOTERO_ITEM CSL_CITATION {"citationID":"h0AVbR1R","properties":{"formattedCitation":"(Vuokko et al., 2015)","plainCitation":"(Vuokko et al., 2015)","noteIndex":0},"citationItems":[{"id":2196,"uris":["http://zotero.org/groups/4371185/items/S7BUXVWR"],"itemData":{"id":2196,"type":"article-journal","abstract":"Introduction: Indoor air problems may induce respiratory irritation and inflammation. In occupational settings, long-lasting non-specific building-related symptomatology, not fully medically explained, is encountered. The symptomatology may lead to illness, avoidance behavior and decreased work ability. In Finland, investigations of workers suspected of occupational asthma have revealed excess disability. There are no well-established clinical practices for the condition. Objective: The aim was to develop a clinical intervention for patients with non-specific indoor air-related symptoms and decreased work ability. Methods: A randomized controlled trial including psychoeducation and promotion of health behavior was carried out in 55 patients investigated for causal relationship between work-related respiratory symptoms and moisture damaged workplaces. Inclusion criteria for disability was the work ability score (WAS). ≤. 7 (scale 0-10) and indoor air-related sick leave ≥14 days the preceding year. After medical evaluation and the 3-session counseling intervention, follow-up at 6-months was assessed using self-evaluated work-ability, sick leave days, quality of life, and illness worries as outcome measures. Results: The mean symptom history was 55.5 months. 82% (45 out of 55) had asthma with normal lung function tests in most cases, although reporting abundant asthma symptoms. 81% of patients (39/48) had symptomatology from multiple organ systems without biomedical explanation, despite environmental improvements at work place. At the psychological counseling sessions, 15 (60%) patients of the intervention (INT, n=. 25) group showed concerns of a serious disease and in 5 (20%), concerns and fears had led to avoidance and restricted personal life. In the 6-month follow-up, the outcomes in the INT group did not differ from the treatment as usual group. Conclusion: No intervention effects were found. Patients shared features with medically unexplained symptoms and sick building syndrome or idiopathic environmental intolerance. Long environment-attributed non-specific symptom history and disability may require more intensive interventions. There is a need for improved recognition and early measures to prevent indoor-associated disability.Trial registration number: Single-center randomized controlled trial (ISRCTN33165676).","container-title":"NeuroToxicology","DOI":"10.1016/j.neuro.2015.04.010","ISSN":"1872-9711","journalAbbreviation":"NeuroToxicology","language":"English","page":"59-67","title":"Decreased work ability associated to indoor air problems - An intervention (RCT) to promote health behavior","volume":"49","author":[{"family":"Vuokko","given":"A."},{"family":"Selinheimo","given":"S."},{"family":"Sainio","given":"M."},{"family":"Suojalehto","given":"H."},{"family":"Järnefelt","given":"H."},{"family":"Virtanen","given":"M."},{"family":"Kallio","given":"E."},{"family":"Hublin","given":"C."},{"family":"Karvala","given":"K."}],"issued":{"date-parts":[["2015"]]}}}],"schema":"https://github.com/citation-style-language/schema/raw/master/csl-citation.json"} </w:instrText>
      </w:r>
      <w:r w:rsidR="00A75CD6" w:rsidRPr="00D03260">
        <w:fldChar w:fldCharType="separate"/>
      </w:r>
      <w:r w:rsidR="00A75CD6" w:rsidRPr="00D03260">
        <w:t>(Vuokko et al., 2015)</w:t>
      </w:r>
      <w:r w:rsidR="00A75CD6" w:rsidRPr="00D03260">
        <w:fldChar w:fldCharType="end"/>
      </w:r>
      <w:r w:rsidR="00A75CD6" w:rsidRPr="00D03260">
        <w:t>.</w:t>
      </w:r>
      <w:r w:rsidR="00EF4C9E" w:rsidRPr="00D03260">
        <w:t xml:space="preserve"> Regarding asthma, Vuokko et al. noted that stress-related exacerbation and other cognitive affective states affect the severity of asthma </w:t>
      </w:r>
      <w:r w:rsidR="00EF4C9E" w:rsidRPr="00D03260">
        <w:fldChar w:fldCharType="begin"/>
      </w:r>
      <w:r w:rsidR="00EF4C9E" w:rsidRPr="00D03260">
        <w:instrText xml:space="preserve"> ADDIN ZOTERO_ITEM CSL_CITATION {"citationID":"l3ycNBeS","properties":{"formattedCitation":"(Eisner et al. 2005, and Lehrer et al. 2002 in Vuokko et al., 2015)","plainCitation":"(Eisner et al. 2005, and Lehrer et al. 2002 in Vuokko et al., 2015)","noteIndex":0},"citationItems":[{"id":2196,"uris":["http://zotero.org/groups/4371185/items/S7BUXVWR"],"itemData":{"id":2196,"type":"article-journal","abstract":"Introduction: Indoor air problems may induce respiratory irritation and inflammation. In occupational settings, long-lasting non-specific building-related symptomatology, not fully medically explained, is encountered. The symptomatology may lead to illness, avoidance behavior and decreased work ability. In Finland, investigations of workers suspected of occupational asthma have revealed excess disability. There are no well-established clinical practices for the condition. Objective: The aim was to develop a clinical intervention for patients with non-specific indoor air-related symptoms and decreased work ability. Methods: A randomized controlled trial including psychoeducation and promotion of health behavior was carried out in 55 patients investigated for causal relationship between work-related respiratory symptoms and moisture damaged workplaces. Inclusion criteria for disability was the work ability score (WAS). ≤. 7 (scale 0-10) and indoor air-related sick leave ≥14 days the preceding year. After medical evaluation and the 3-session counseling intervention, follow-up at 6-months was assessed using self-evaluated work-ability, sick leave days, quality of life, and illness worries as outcome measures. Results: The mean symptom history was 55.5 months. 82% (45 out of 55) had asthma with normal lung function tests in most cases, although reporting abundant asthma symptoms. 81% of patients (39/48) had symptomatology from multiple organ systems without biomedical explanation, despite environmental improvements at work place. At the psychological counseling sessions, 15 (60%) patients of the intervention (INT, n=. 25) group showed concerns of a serious disease and in 5 (20%), concerns and fears had led to avoidance and restricted personal life. In the 6-month follow-up, the outcomes in the INT group did not differ from the treatment as usual group. Conclusion: No intervention effects were found. Patients shared features with medically unexplained symptoms and sick building syndrome or idiopathic environmental intolerance. Long environment-attributed non-specific symptom history and disability may require more intensive interventions. There is a need for improved recognition and early measures to prevent indoor-associated disability.Trial registration number: Single-center randomized controlled trial (ISRCTN33165676).","container-title":"NeuroToxicology","DOI":"10.1016/j.neuro.2015.04.010","ISSN":"1872-9711","journalAbbreviation":"NeuroToxicology","language":"English","page":"59-67","title":"Decreased work ability associated to indoor air problems - An intervention (RCT) to promote health behavior","volume":"49","author":[{"family":"Vuokko","given":"A."},{"family":"Selinheimo","given":"S."},{"family":"Sainio","given":"M."},{"family":"Suojalehto","given":"H."},{"family":"Järnefelt","given":"H."},{"family":"Virtanen","given":"M."},{"family":"Kallio","given":"E."},{"family":"Hublin","given":"C."},{"family":"Karvala","given":"K."}],"issued":{"date-parts":[["2015"]]}},"prefix":"Eisner et al. 2005, and Lehrer et al. 2002 in "}],"schema":"https://github.com/citation-style-language/schema/raw/master/csl-citation.json"} </w:instrText>
      </w:r>
      <w:r w:rsidR="00EF4C9E" w:rsidRPr="00D03260">
        <w:fldChar w:fldCharType="separate"/>
      </w:r>
      <w:r w:rsidR="00EF4C9E" w:rsidRPr="00D03260">
        <w:t>(Eisner et al. 2005, and Lehrer et al. 2002 in Vuokko et al., 2015)</w:t>
      </w:r>
      <w:r w:rsidR="00EF4C9E" w:rsidRPr="00D03260">
        <w:fldChar w:fldCharType="end"/>
      </w:r>
      <w:r w:rsidR="00EF4C9E" w:rsidRPr="00D03260">
        <w:t xml:space="preserve"> and perception of respiratory symptoms </w:t>
      </w:r>
      <w:r w:rsidR="00EF4C9E" w:rsidRPr="00D03260">
        <w:fldChar w:fldCharType="begin"/>
      </w:r>
      <w:r w:rsidR="00EF4C9E" w:rsidRPr="00D03260">
        <w:instrText xml:space="preserve"> ADDIN ZOTERO_ITEM CSL_CITATION {"citationID":"Tc4MSG07","properties":{"formattedCitation":"(Bogaerts et al. 2005 in Vuokko et al., 2015)","plainCitation":"(Bogaerts et al. 2005 in Vuokko et al., 2015)","noteIndex":0},"citationItems":[{"id":2196,"uris":["http://zotero.org/groups/4371185/items/S7BUXVWR"],"itemData":{"id":2196,"type":"article-journal","abstract":"Introduction: Indoor air problems may induce respiratory irritation and inflammation. In occupational settings, long-lasting non-specific building-related symptomatology, not fully medically explained, is encountered. The symptomatology may lead to illness, avoidance behavior and decreased work ability. In Finland, investigations of workers suspected of occupational asthma have revealed excess disability. There are no well-established clinical practices for the condition. Objective: The aim was to develop a clinical intervention for patients with non-specific indoor air-related symptoms and decreased work ability. Methods: A randomized controlled trial including psychoeducation and promotion of health behavior was carried out in 55 patients investigated for causal relationship between work-related respiratory symptoms and moisture damaged workplaces. Inclusion criteria for disability was the work ability score (WAS). ≤. 7 (scale 0-10) and indoor air-related sick leave ≥14 days the preceding year. After medical evaluation and the 3-session counseling intervention, follow-up at 6-months was assessed using self-evaluated work-ability, sick leave days, quality of life, and illness worries as outcome measures. Results: The mean symptom history was 55.5 months. 82% (45 out of 55) had asthma with normal lung function tests in most cases, although reporting abundant asthma symptoms. 81% of patients (39/48) had symptomatology from multiple organ systems without biomedical explanation, despite environmental improvements at work place. At the psychological counseling sessions, 15 (60%) patients of the intervention (INT, n=. 25) group showed concerns of a serious disease and in 5 (20%), concerns and fears had led to avoidance and restricted personal life. In the 6-month follow-up, the outcomes in the INT group did not differ from the treatment as usual group. Conclusion: No intervention effects were found. Patients shared features with medically unexplained symptoms and sick building syndrome or idiopathic environmental intolerance. Long environment-attributed non-specific symptom history and disability may require more intensive interventions. There is a need for improved recognition and early measures to prevent indoor-associated disability.Trial registration number: Single-center randomized controlled trial (ISRCTN33165676).","container-title":"NeuroToxicology","DOI":"10.1016/j.neuro.2015.04.010","ISSN":"1872-9711","journalAbbreviation":"NeuroToxicology","language":"English","page":"59-67","title":"Decreased work ability associated to indoor air problems - An intervention (RCT) to promote health behavior","volume":"49","author":[{"family":"Vuokko","given":"A."},{"family":"Selinheimo","given":"S."},{"family":"Sainio","given":"M."},{"family":"Suojalehto","given":"H."},{"family":"Järnefelt","given":"H."},{"family":"Virtanen","given":"M."},{"family":"Kallio","given":"E."},{"family":"Hublin","given":"C."},{"family":"Karvala","given":"K."}],"issued":{"date-parts":[["2015"]]}},"prefix":"Bogaerts et al. 2005 in "}],"schema":"https://github.com/citation-style-language/schema/raw/master/csl-citation.json"} </w:instrText>
      </w:r>
      <w:r w:rsidR="00EF4C9E" w:rsidRPr="00D03260">
        <w:fldChar w:fldCharType="separate"/>
      </w:r>
      <w:r w:rsidR="00EF4C9E" w:rsidRPr="00D03260">
        <w:t>(Bogaerts et al. 2005 in Vuokko et al., 2015)</w:t>
      </w:r>
      <w:r w:rsidR="00EF4C9E" w:rsidRPr="00D03260">
        <w:fldChar w:fldCharType="end"/>
      </w:r>
      <w:r w:rsidR="00EF4C9E" w:rsidRPr="00D03260">
        <w:t>.</w:t>
      </w:r>
    </w:p>
    <w:p w14:paraId="245EC5A8" w14:textId="05DE6D16" w:rsidR="00E17C58" w:rsidRPr="00D03260" w:rsidRDefault="00A55941" w:rsidP="0029268D">
      <w:r w:rsidRPr="00D03260">
        <w:t xml:space="preserve">Vuokko et al. note the care of these conditions requires a multifactorial approach. In management of asthma, psychosocial interventions have been shown to be effective, including cognitive and educational techniques (illness beliefs reattribution, skills involved in the symptom perception, stress reduction techniques, psychoeducation on the nature of asthma </w:t>
      </w:r>
      <w:r w:rsidRPr="00D03260">
        <w:fldChar w:fldCharType="begin"/>
      </w:r>
      <w:r w:rsidR="00217980" w:rsidRPr="00D03260">
        <w:instrText xml:space="preserve"> ADDIN ZOTERO_ITEM CSL_CITATION {"citationID":"5FkacBzv","properties":{"formattedCitation":"(Smith et al. 2005, and Yorke et al. 2007 in Vuokko et al., 2015)","plainCitation":"(Smith et al. 2005, and Yorke et al. 2007 in Vuokko et al., 2015)","noteIndex":0},"citationItems":[{"id":2196,"uris":["http://zotero.org/groups/4371185/items/S7BUXVWR"],"itemData":{"id":2196,"type":"article-journal","abstract":"Introduction: Indoor air problems may induce respiratory irritation and inflammation. In occupational settings, long-lasting non-specific building-related symptomatology, not fully medically explained, is encountered. The symptomatology may lead to illness, avoidance behavior and decreased work ability. In Finland, investigations of workers suspected of occupational asthma have revealed excess disability. There are no well-established clinical practices for the condition. Objective: The aim was to develop a clinical intervention for patients with non-specific indoor air-related symptoms and decreased work ability. Methods: A randomized controlled trial including psychoeducation and promotion of health behavior was carried out in 55 patients investigated for causal relationship between work-related respiratory symptoms and moisture damaged workplaces. Inclusion criteria for disability was the work ability score (WAS). ≤. 7 (scale 0-10) and indoor air-related sick leave ≥14 days the preceding year. After medical evaluation and the 3-session counseling intervention, follow-up at 6-months was assessed using self-evaluated work-ability, sick leave days, quality of life, and illness worries as outcome measures. Results: The mean symptom history was 55.5 months. 82% (45 out of 55) had asthma with normal lung function tests in most cases, although reporting abundant asthma symptoms. 81% of patients (39/48) had symptomatology from multiple organ systems without biomedical explanation, despite environmental improvements at work place. At the psychological counseling sessions, 15 (60%) patients of the intervention (INT, n=. 25) group showed concerns of a serious disease and in 5 (20%), concerns and fears had led to avoidance and restricted personal life. In the 6-month follow-up, the outcomes in the INT group did not differ from the treatment as usual group. Conclusion: No intervention effects were found. Patients shared features with medically unexplained symptoms and sick building syndrome or idiopathic environmental intolerance. Long environment-attributed non-specific symptom history and disability may require more intensive interventions. There is a need for improved recognition and early measures to prevent indoor-associated disability.Trial registration number: Single-center randomized controlled trial (ISRCTN33165676).","container-title":"NeuroToxicology","DOI":"10.1016/j.neuro.2015.04.010","ISSN":"1872-9711","journalAbbreviation":"NeuroToxicology","language":"English","page":"59-67","title":"Decreased work ability associated to indoor air problems - An intervention (RCT) to promote health behavior","volume":"49","author":[{"family":"Vuokko","given":"A."},{"family":"Selinheimo","given":"S."},{"family":"Sainio","given":"M."},{"family":"Suojalehto","given":"H."},{"family":"Järnefelt","given":"H."},{"family":"Virtanen","given":"M."},{"family":"Kallio","given":"E."},{"family":"Hublin","given":"C."},{"family":"Karvala","given":"K."}],"issued":{"date-parts":[["2015"]]}},"prefix":"Smith et al. 2005, and Yorke et al. 2007 in "}],"schema":"https://github.com/citation-style-language/schema/raw/master/csl-citation.json"} </w:instrText>
      </w:r>
      <w:r w:rsidRPr="00D03260">
        <w:fldChar w:fldCharType="separate"/>
      </w:r>
      <w:r w:rsidRPr="00D03260">
        <w:t>(Smith et al. 2005, and Yorke et al. 2007 in Vuokko et al., 2015)</w:t>
      </w:r>
      <w:r w:rsidRPr="00D03260">
        <w:fldChar w:fldCharType="end"/>
      </w:r>
      <w:r w:rsidRPr="00D03260">
        <w:t>. Vuokko et al. noted “these treatments aim to increase patients’ awareness of symptom perception and attribution accuracy, support self-management and modify interpretations about illness (i.e</w:t>
      </w:r>
      <w:r w:rsidR="007041B3" w:rsidRPr="00D03260">
        <w:t>.</w:t>
      </w:r>
      <w:r w:rsidR="00D3444D" w:rsidRPr="00D03260">
        <w:t>,</w:t>
      </w:r>
      <w:r w:rsidRPr="00D03260">
        <w:t xml:space="preserve"> all or nothing attributions and catastrophising) to more objective interpretations” </w:t>
      </w:r>
      <w:r w:rsidRPr="00D03260">
        <w:fldChar w:fldCharType="begin"/>
      </w:r>
      <w:r w:rsidR="00217980" w:rsidRPr="00D03260">
        <w:instrText xml:space="preserve"> ADDIN ZOTERO_ITEM CSL_CITATION {"citationID":"7Lb6eCZ7","properties":{"formattedCitation":"(Vuokko et al., 2015, p. 60)","plainCitation":"(Vuokko et al., 2015, p. 60)","noteIndex":0},"citationItems":[{"id":2196,"uris":["http://zotero.org/groups/4371185/items/S7BUXVWR"],"itemData":{"id":2196,"type":"article-journal","abstract":"Introduction: Indoor air problems may induce respiratory irritation and inflammation. In occupational settings, long-lasting non-specific building-related symptomatology, not fully medically explained, is encountered. The symptomatology may lead to illness, avoidance behavior and decreased work ability. In Finland, investigations of workers suspected of occupational asthma have revealed excess disability. There are no well-established clinical practices for the condition. Objective: The aim was to develop a clinical intervention for patients with non-specific indoor air-related symptoms and decreased work ability. Methods: A randomized controlled trial including psychoeducation and promotion of health behavior was carried out in 55 patients investigated for causal relationship between work-related respiratory symptoms and moisture damaged workplaces. Inclusion criteria for disability was the work ability score (WAS). ≤. 7 (scale 0-10) and indoor air-related sick leave ≥14 days the preceding year. After medical evaluation and the 3-session counseling intervention, follow-up at 6-months was assessed using self-evaluated work-ability, sick leave days, quality of life, and illness worries as outcome measures. Results: The mean symptom history was 55.5 months. 82% (45 out of 55) had asthma with normal lung function tests in most cases, although reporting abundant asthma symptoms. 81% of patients (39/48) had symptomatology from multiple organ systems without biomedical explanation, despite environmental improvements at work place. At the psychological counseling sessions, 15 (60%) patients of the intervention (INT, n=. 25) group showed concerns of a serious disease and in 5 (20%), concerns and fears had led to avoidance and restricted personal life. In the 6-month follow-up, the outcomes in the INT group did not differ from the treatment as usual group. Conclusion: No intervention effects were found. Patients shared features with medically unexplained symptoms and sick building syndrome or idiopathic environmental intolerance. Long environment-attributed non-specific symptom history and disability may require more intensive interventions. There is a need for improved recognition and early measures to prevent indoor-associated disability.Trial registration number: Single-center randomized controlled trial (ISRCTN33165676).","container-title":"NeuroToxicology","DOI":"10.1016/j.neuro.2015.04.010","ISSN":"1872-9711","journalAbbreviation":"NeuroToxicology","language":"English","page":"59-67","title":"Decreased work ability associated to indoor air problems - An intervention (RCT) to promote health behavior","volume":"49","author":[{"family":"Vuokko","given":"A."},{"family":"Selinheimo","given":"S."},{"family":"Sainio","given":"M."},{"family":"Suojalehto","given":"H."},{"family":"Järnefelt","given":"H."},{"family":"Virtanen","given":"M."},{"family":"Kallio","given":"E."},{"family":"Hublin","given":"C."},{"family":"Karvala","given":"K."}],"issued":{"date-parts":[["2015"]]}},"locator":"60"}],"schema":"https://github.com/citation-style-language/schema/raw/master/csl-citation.json"} </w:instrText>
      </w:r>
      <w:r w:rsidRPr="00D03260">
        <w:fldChar w:fldCharType="separate"/>
      </w:r>
      <w:r w:rsidRPr="00D03260">
        <w:t>(Vuokko et al., 2015, p. 60)</w:t>
      </w:r>
      <w:r w:rsidRPr="00D03260">
        <w:fldChar w:fldCharType="end"/>
      </w:r>
      <w:r w:rsidRPr="00D03260">
        <w:t>.</w:t>
      </w:r>
    </w:p>
    <w:p w14:paraId="37C67370" w14:textId="1084AB5C" w:rsidR="0040150D" w:rsidRPr="00D03260" w:rsidRDefault="0035045A" w:rsidP="00AF1EFC">
      <w:pPr>
        <w:pStyle w:val="NumberedHeading2"/>
        <w:numPr>
          <w:ilvl w:val="0"/>
          <w:numId w:val="0"/>
        </w:numPr>
        <w:ind w:left="720" w:hanging="720"/>
      </w:pPr>
      <w:bookmarkStart w:id="303" w:name="_Toc107998616"/>
      <w:bookmarkStart w:id="304" w:name="_Toc121329195"/>
      <w:bookmarkStart w:id="305" w:name="_Toc141885932"/>
      <w:r w:rsidRPr="00D03260">
        <w:t>6.</w:t>
      </w:r>
      <w:r w:rsidR="00754B3D" w:rsidRPr="00D03260">
        <w:t>4</w:t>
      </w:r>
      <w:r w:rsidRPr="00D03260">
        <w:t>.</w:t>
      </w:r>
      <w:r w:rsidRPr="00D03260">
        <w:tab/>
      </w:r>
      <w:bookmarkStart w:id="306" w:name="Section64ManagementOfPatientsWithPersist"/>
      <w:bookmarkEnd w:id="306"/>
      <w:r w:rsidR="006E060C" w:rsidRPr="00D03260">
        <w:t>Management of patients with persistent symptoms and who remain undiagnosed</w:t>
      </w:r>
      <w:bookmarkEnd w:id="303"/>
      <w:bookmarkEnd w:id="304"/>
      <w:bookmarkEnd w:id="305"/>
    </w:p>
    <w:p w14:paraId="40743AF0" w14:textId="77777777" w:rsidR="00175B42" w:rsidRPr="00D03260" w:rsidRDefault="00175B42" w:rsidP="00175B42">
      <w:pPr>
        <w:pStyle w:val="Boxtext"/>
        <w:rPr>
          <w:lang w:val="en-AU"/>
        </w:rPr>
      </w:pPr>
      <w:r w:rsidRPr="00D03260">
        <w:rPr>
          <w:lang w:val="en-AU"/>
        </w:rPr>
        <w:t xml:space="preserve">This part of the Biotoxins (indoor damp and mould) Clinical Pathway is aligned with the Australian Government Department of Health DSCATT Clinical Pathway and pertains to management of patients who have unresolved debilitating symptoms that cannot be attributed to tick-borne disease, exposure to indoor mould and damp or another diagnosable condition. </w:t>
      </w:r>
    </w:p>
    <w:p w14:paraId="0ABE4546" w14:textId="2C258842" w:rsidR="00175B42" w:rsidRPr="00D03260" w:rsidRDefault="00175B42" w:rsidP="00175B42">
      <w:pPr>
        <w:pStyle w:val="Boxtext"/>
        <w:rPr>
          <w:b/>
          <w:bCs/>
          <w:lang w:val="en-AU"/>
        </w:rPr>
      </w:pPr>
      <w:r w:rsidRPr="00D03260">
        <w:rPr>
          <w:lang w:val="en-AU"/>
        </w:rPr>
        <w:t xml:space="preserve">The guidance in this section ‘Management of patients with persistent symptoms and who remain undiagnosed’ and its subsections is the same as the DSCATT Clinical Pathway. The DSCATT Clinical Pathway recommends a Stepped Care Model which has an individualised care plan at its core. The </w:t>
      </w:r>
      <w:r w:rsidR="008C319B" w:rsidRPr="00D03260">
        <w:rPr>
          <w:lang w:val="en-AU"/>
        </w:rPr>
        <w:t>e</w:t>
      </w:r>
      <w:r w:rsidRPr="00D03260">
        <w:rPr>
          <w:lang w:val="en-AU"/>
        </w:rPr>
        <w:t xml:space="preserve">vidence </w:t>
      </w:r>
      <w:r w:rsidR="008C319B" w:rsidRPr="00D03260">
        <w:rPr>
          <w:lang w:val="en-AU"/>
        </w:rPr>
        <w:t>e</w:t>
      </w:r>
      <w:r w:rsidRPr="00D03260">
        <w:rPr>
          <w:lang w:val="en-AU"/>
        </w:rPr>
        <w:t xml:space="preserve">valuation that underpins this Clinical Pathway identified that internationally there are effective clinical practice guidelines and other guidance for some syndromes </w:t>
      </w:r>
      <w:proofErr w:type="gramStart"/>
      <w:r w:rsidRPr="00D03260">
        <w:rPr>
          <w:lang w:val="en-AU"/>
        </w:rPr>
        <w:t>similar to</w:t>
      </w:r>
      <w:proofErr w:type="gramEnd"/>
      <w:r w:rsidRPr="00D03260">
        <w:rPr>
          <w:lang w:val="en-AU"/>
        </w:rPr>
        <w:t xml:space="preserve"> “so-called” CIRS. From the US, the Veterans Association in conjunction with the Department of Defence developed a clinical practice guideline for chronic multi-symptom illness </w:t>
      </w:r>
      <w:r w:rsidRPr="00D03260">
        <w:rPr>
          <w:lang w:val="en-AU" w:eastAsia="en-GB"/>
        </w:rPr>
        <w:t xml:space="preserve">(CMI) </w:t>
      </w:r>
      <w:r w:rsidRPr="00D03260">
        <w:rPr>
          <w:lang w:val="en-AU" w:eastAsia="en-GB"/>
        </w:rPr>
        <w:fldChar w:fldCharType="begin"/>
      </w:r>
      <w:r w:rsidRPr="00D03260">
        <w:rPr>
          <w:lang w:val="en-AU" w:eastAsia="en-GB"/>
        </w:rPr>
        <w:instrText xml:space="preserve"> ADDIN ZOTERO_ITEM CSL_CITATION {"citationID":"eFr3oKkH","properties":{"formattedCitation":"(The Management of Chronic Multisymptom Illness Work Group, 2021)","plainCitation":"(The Management of Chronic Multisymptom Illness Work Group, 2021)","noteIndex":0},"citationItems":[{"id":8509,"uris":["http://zotero.org/groups/4371185/items/S6XGYAPM"],"itemData":{"id":8509,"type":"document","language":"English","publisher":"Department of Veteran Affairs and Department of Defense","title":"VA/DoD Clinical Practice Guideline: Chronic Multisymptom Illness","author":[{"family":"The Management of Chronic Multisymptom Illness Work Group","given":""}],"issued":{"date-parts":[["2021"]]}}}],"schema":"https://github.com/citation-style-language/schema/raw/master/csl-citation.json"} </w:instrText>
      </w:r>
      <w:r w:rsidRPr="00D03260">
        <w:rPr>
          <w:lang w:val="en-AU" w:eastAsia="en-GB"/>
        </w:rPr>
        <w:fldChar w:fldCharType="separate"/>
      </w:r>
      <w:r w:rsidRPr="00D03260">
        <w:rPr>
          <w:rFonts w:cs="Arial"/>
          <w:lang w:val="en-AU"/>
        </w:rPr>
        <w:t>(The Management of Chronic Multisymptom Illness Work Group, 2021)</w:t>
      </w:r>
      <w:r w:rsidRPr="00D03260">
        <w:rPr>
          <w:lang w:val="en-AU" w:eastAsia="en-GB"/>
        </w:rPr>
        <w:fldChar w:fldCharType="end"/>
      </w:r>
      <w:r w:rsidRPr="00D03260">
        <w:rPr>
          <w:lang w:val="en-AU" w:eastAsia="en-GB"/>
        </w:rPr>
        <w:t xml:space="preserve">. </w:t>
      </w:r>
      <w:r w:rsidRPr="00D03260">
        <w:rPr>
          <w:lang w:val="en-AU"/>
        </w:rPr>
        <w:t>CMI symptoms overlap considerably with the symptoms attributed to “so-called” CIRS, including the point that symptoms are distributed across more than one bodily system. Like the DSCATT Clinical Pathway, the CMI guideline advocates for individualised, patient-centred care with shared decision making, and the use of a multi-disciplinary team which can also address any comorbidities.</w:t>
      </w:r>
    </w:p>
    <w:p w14:paraId="3F7E9228" w14:textId="14BCF1A6" w:rsidR="00231C8A" w:rsidRPr="00D03260" w:rsidRDefault="006E060C" w:rsidP="006E060C">
      <w:pPr>
        <w:rPr>
          <w:lang w:eastAsia="en-GB"/>
        </w:rPr>
      </w:pPr>
      <w:r w:rsidRPr="00D03260">
        <w:rPr>
          <w:lang w:eastAsia="en-GB"/>
        </w:rPr>
        <w:t xml:space="preserve">Where there is no diagnosis and the patient is experiencing symptoms that are medically unexplained, it is especially important to ensure that person-centred care is provided that validates, </w:t>
      </w:r>
      <w:proofErr w:type="gramStart"/>
      <w:r w:rsidRPr="00D03260">
        <w:rPr>
          <w:lang w:eastAsia="en-GB"/>
        </w:rPr>
        <w:t>addresses</w:t>
      </w:r>
      <w:proofErr w:type="gramEnd"/>
      <w:r w:rsidRPr="00D03260">
        <w:rPr>
          <w:lang w:eastAsia="en-GB"/>
        </w:rPr>
        <w:t xml:space="preserve"> and manages their symptoms as well as possible.</w:t>
      </w:r>
    </w:p>
    <w:p w14:paraId="75B9EC55" w14:textId="273CA82C" w:rsidR="006E060C" w:rsidRPr="00D03260" w:rsidRDefault="006E060C" w:rsidP="006E060C">
      <w:r w:rsidRPr="00D03260">
        <w:t>The Australian Commission on Safety and Quality in Health Care advises that “Person centred-care” involves:</w:t>
      </w:r>
    </w:p>
    <w:p w14:paraId="352FFDAC" w14:textId="77777777" w:rsidR="000A57C4" w:rsidRPr="00D03260" w:rsidRDefault="000A57C4" w:rsidP="000A57C4">
      <w:pPr>
        <w:pStyle w:val="ListBullet"/>
      </w:pPr>
      <w:r w:rsidRPr="00D03260">
        <w:t>seeking out and understanding what is important to the patient</w:t>
      </w:r>
    </w:p>
    <w:p w14:paraId="0D2374F2" w14:textId="77777777" w:rsidR="000A57C4" w:rsidRPr="00D03260" w:rsidRDefault="000A57C4" w:rsidP="000A57C4">
      <w:pPr>
        <w:pStyle w:val="ListBullet"/>
      </w:pPr>
      <w:r w:rsidRPr="00D03260">
        <w:t>fostering trust</w:t>
      </w:r>
    </w:p>
    <w:p w14:paraId="244A2A01" w14:textId="595E8D61" w:rsidR="000A57C4" w:rsidRPr="00D03260" w:rsidRDefault="000A57C4" w:rsidP="000A57C4">
      <w:pPr>
        <w:pStyle w:val="ListBullet"/>
      </w:pPr>
      <w:r w:rsidRPr="00D03260">
        <w:t>establishing mutual respect</w:t>
      </w:r>
    </w:p>
    <w:p w14:paraId="466E0279" w14:textId="5051999B" w:rsidR="003B31D6" w:rsidRPr="00D03260" w:rsidRDefault="000A57C4">
      <w:pPr>
        <w:pStyle w:val="ListBullet"/>
        <w:rPr>
          <w:rFonts w:cstheme="minorHAnsi"/>
        </w:rPr>
      </w:pPr>
      <w:r w:rsidRPr="00D03260">
        <w:t>working together to share decisions and plan care</w:t>
      </w:r>
      <w:r w:rsidR="004E0F6D" w:rsidRPr="00D03260">
        <w:t xml:space="preserve"> </w:t>
      </w:r>
      <w:r w:rsidR="008C28E6" w:rsidRPr="00D03260">
        <w:fldChar w:fldCharType="begin"/>
      </w:r>
      <w:r w:rsidR="00217980" w:rsidRPr="00D03260">
        <w:instrText xml:space="preserve"> ADDIN ZOTERO_ITEM CSL_CITATION {"citationID":"JqitGrGP","properties":{"formattedCitation":"(Australian Commission on Safety and Quality in Health Care, 2018)","plainCitation":"(Australian Commission on Safety and Quality in Health Care, 2018)","noteIndex":0},"citationItems":[{"id":555,"uris":["http://zotero.org/groups/2576105/items/HFPEB4D8"],"itemData":{"id":555,"type":"webpage","container-title":"Australian Commission on Safety and Quality in Health Care","title":"Fact sheet 1: Person-centred organisations: Achieving great person-centred care","URL":"https://www.safetyandquality.gov.au/sites/default/files/2019-06/fact-sheet-1-achieving-great-person-centred-care.pdf","author":[{"literal":"Australian Commission on Safety and Quality in Health Care"}],"issued":{"date-parts":[["2018"]]}}}],"schema":"https://github.com/citation-style-language/schema/raw/master/csl-citation.json"} </w:instrText>
      </w:r>
      <w:r w:rsidR="008C28E6" w:rsidRPr="00D03260">
        <w:fldChar w:fldCharType="separate"/>
      </w:r>
      <w:r w:rsidR="008C28E6" w:rsidRPr="00D03260">
        <w:rPr>
          <w:rFonts w:cs="Arial"/>
        </w:rPr>
        <w:t>(Australian Commission on Safety and Quality in Health Care, 2018)</w:t>
      </w:r>
      <w:r w:rsidR="008C28E6" w:rsidRPr="00D03260">
        <w:fldChar w:fldCharType="end"/>
      </w:r>
      <w:r w:rsidR="0029268D" w:rsidRPr="00D03260">
        <w:t>.</w:t>
      </w:r>
    </w:p>
    <w:p w14:paraId="3E5289FB" w14:textId="3D61780B" w:rsidR="006E7C8A" w:rsidRPr="00D03260" w:rsidRDefault="006E7C8A" w:rsidP="00595B2B">
      <w:r w:rsidRPr="00D03260">
        <w:t>Key dimensions include respect, emotional support, physical comfort, information and communication, continuity and transition, care coordination, access to care, and partnerships with patients, carers and family in the design and delivery of care</w:t>
      </w:r>
      <w:r w:rsidR="003B31D6" w:rsidRPr="00D03260">
        <w:t xml:space="preserve"> </w:t>
      </w:r>
      <w:r w:rsidR="0052145D" w:rsidRPr="00D03260">
        <w:fldChar w:fldCharType="begin"/>
      </w:r>
      <w:r w:rsidR="00217980" w:rsidRPr="00D03260">
        <w:instrText xml:space="preserve"> ADDIN ZOTERO_ITEM CSL_CITATION {"citationID":"gmEvfMfU","properties":{"formattedCitation":"(Australian Commission on Safety and Quality in Health Care, n.d.)","plainCitation":"(Australian Commission on Safety and Quality in Health Care, n.d.)","noteIndex":0},"citationItems":[{"id":892,"uris":["http://zotero.org/groups/2576105/items/SQT8MG7N"],"itemData":{"id":892,"type":"webpage","abstract":"Frequently asked questions help explain the Partnering with Consumers Standard and the related changes accompanying the second edition of the NSQHS Standards.","container-title":"Australian Commission on Safety and Quality in Health Care","title":"FAQs about partnering with consumers in the NSQHS Standards (second edition)","URL":"https://www.safetyandquality.gov.au/faqs-about-partnering-consumers-nsqhs-standards-second-edition#what-is-person-centred-care","author":[{"literal":"Australian Commission on Safety and Quality in Health Care"}]}}],"schema":"https://github.com/citation-style-language/schema/raw/master/csl-citation.json"} </w:instrText>
      </w:r>
      <w:r w:rsidR="0052145D" w:rsidRPr="00D03260">
        <w:fldChar w:fldCharType="separate"/>
      </w:r>
      <w:r w:rsidR="0052145D" w:rsidRPr="00D03260">
        <w:rPr>
          <w:rFonts w:cs="Arial"/>
        </w:rPr>
        <w:t>(Australian Commission on Safety and Quality in Health Care, n.d.)</w:t>
      </w:r>
      <w:r w:rsidR="0052145D" w:rsidRPr="00D03260">
        <w:fldChar w:fldCharType="end"/>
      </w:r>
      <w:r w:rsidR="00614405" w:rsidRPr="00D03260">
        <w:t>.</w:t>
      </w:r>
    </w:p>
    <w:p w14:paraId="7F844768" w14:textId="31DF9194" w:rsidR="006E7C8A" w:rsidRPr="00D03260" w:rsidRDefault="006E7C8A" w:rsidP="006E7C8A">
      <w:r w:rsidRPr="00D03260">
        <w:rPr>
          <w:lang w:eastAsia="en-GB"/>
        </w:rPr>
        <w:t xml:space="preserve">Patients should be treated symptomatically and are also encouraged to consider the potential for harm with complementary medicines for which there is no evidence in those with comorbidities. </w:t>
      </w:r>
      <w:r w:rsidRPr="00D03260">
        <w:t>All people with MUS, (including those identifying as experiencing the symptoms associated with DSCATT</w:t>
      </w:r>
      <w:r w:rsidR="00EF44ED" w:rsidRPr="00D03260">
        <w:t xml:space="preserve"> </w:t>
      </w:r>
      <w:r w:rsidR="00EF44ED" w:rsidRPr="00D03260">
        <w:rPr>
          <w:color w:val="auto"/>
          <w:szCs w:val="22"/>
        </w:rPr>
        <w:t>and unresolved debilitating symptoms with a history of exposure to indoor damp or mould and that cannot be attributed to another diagnosable condition</w:t>
      </w:r>
      <w:r w:rsidRPr="00D03260">
        <w:t>) can be assisted to have an improved quality of life with good care in a partnership between patient and the health care team.</w:t>
      </w:r>
    </w:p>
    <w:p w14:paraId="10B47032" w14:textId="34A4DD3F" w:rsidR="006E7C8A" w:rsidRPr="00D03260" w:rsidRDefault="006E7C8A" w:rsidP="006E7C8A">
      <w:pPr>
        <w:rPr>
          <w:rFonts w:cstheme="minorHAnsi"/>
        </w:rPr>
      </w:pPr>
      <w:r w:rsidRPr="00D03260">
        <w:rPr>
          <w:rFonts w:cstheme="minorHAnsi"/>
        </w:rPr>
        <w:t xml:space="preserve">International and Australian guidelines provide evidence-based, </w:t>
      </w:r>
      <w:proofErr w:type="gramStart"/>
      <w:r w:rsidRPr="00D03260">
        <w:rPr>
          <w:rFonts w:cstheme="minorHAnsi"/>
        </w:rPr>
        <w:t>practical</w:t>
      </w:r>
      <w:proofErr w:type="gramEnd"/>
      <w:r w:rsidRPr="00D03260">
        <w:rPr>
          <w:rFonts w:cstheme="minorHAnsi"/>
        </w:rPr>
        <w:t xml:space="preserve"> and consistent recommendations</w:t>
      </w:r>
      <w:r w:rsidR="00967F88" w:rsidRPr="00D03260">
        <w:rPr>
          <w:rFonts w:cstheme="minorHAnsi"/>
        </w:rPr>
        <w:t xml:space="preserve">. These guidelines </w:t>
      </w:r>
      <w:r w:rsidRPr="00D03260">
        <w:rPr>
          <w:rFonts w:cstheme="minorHAnsi"/>
        </w:rPr>
        <w:t>can be applied to patients with the symptom complex described as DSCATT</w:t>
      </w:r>
      <w:r w:rsidR="00614405" w:rsidRPr="00D03260">
        <w:rPr>
          <w:rFonts w:cstheme="minorHAnsi"/>
        </w:rPr>
        <w:t xml:space="preserve"> </w:t>
      </w:r>
      <w:r w:rsidR="00487686" w:rsidRPr="00D03260">
        <w:rPr>
          <w:color w:val="auto"/>
          <w:szCs w:val="22"/>
        </w:rPr>
        <w:t>and to patients with unresolved debilitating symptoms with a history of exposure to indoor damp or mould and that cannot be attributed to another diagnosable condition</w:t>
      </w:r>
      <w:r w:rsidRPr="00D03260">
        <w:rPr>
          <w:rFonts w:cstheme="minorHAnsi"/>
        </w:rPr>
        <w:t>. Good communication and empathy are important. Patients’ concerns need to be taken seriously and their symptoms acknowledged and alleviated.</w:t>
      </w:r>
    </w:p>
    <w:p w14:paraId="7540FB1D" w14:textId="183688F2" w:rsidR="006E7C8A" w:rsidRPr="00D03260" w:rsidRDefault="006E7C8A" w:rsidP="006E7C8A">
      <w:r w:rsidRPr="00D03260">
        <w:t xml:space="preserve">The most common unexplained symptoms reported by patients experiencing DSCATT include fatigue, disordered thinking, sensory disturbance, arthralgia, and headache </w:t>
      </w:r>
      <w:r w:rsidR="00B57EB9" w:rsidRPr="00D03260">
        <w:fldChar w:fldCharType="begin"/>
      </w:r>
      <w:r w:rsidR="00217980" w:rsidRPr="00D03260">
        <w:instrText xml:space="preserve"> ADDIN ZOTERO_ITEM CSL_CITATION {"citationID":"so6Y4Qbf","properties":{"formattedCitation":"(Brown, 2018)","plainCitation":"(Brown, 2018)","noteIndex":0},"citationItems":[{"id":617,"uris":["http://zotero.org/groups/2576105/items/TM3NNEYQ"],"itemData":{"id":617,"type":"article-journal","container-title":"Internal Medicine Journal","DOI":"10.1111/imj.13746","issue":"4","page":"422-426","title":"A description of ‘Australian Lyme disease’ epidemiology and impact: An analysis of submissions to an Australian Senate Inquiry: Australian Lyme from Senate Inquiry","volume":"48","author":[{"family":"Brown","given":"Jeremy D."}],"issued":{"date-parts":[["2018"]]}}}],"schema":"https://github.com/citation-style-language/schema/raw/master/csl-citation.json"} </w:instrText>
      </w:r>
      <w:r w:rsidR="00B57EB9" w:rsidRPr="00D03260">
        <w:fldChar w:fldCharType="separate"/>
      </w:r>
      <w:r w:rsidR="00B57EB9" w:rsidRPr="00D03260">
        <w:rPr>
          <w:rFonts w:cs="Arial"/>
        </w:rPr>
        <w:t>(Brown, 2018)</w:t>
      </w:r>
      <w:r w:rsidR="00B57EB9" w:rsidRPr="00D03260">
        <w:fldChar w:fldCharType="end"/>
      </w:r>
      <w:r w:rsidR="00E940A7" w:rsidRPr="00D03260">
        <w:t xml:space="preserve">. </w:t>
      </w:r>
      <w:r w:rsidRPr="00D03260">
        <w:t xml:space="preserve">These symptoms can have multiple different causes, depending on the </w:t>
      </w:r>
      <w:proofErr w:type="gramStart"/>
      <w:r w:rsidRPr="00D03260">
        <w:t>particular symptoms</w:t>
      </w:r>
      <w:proofErr w:type="gramEnd"/>
      <w:r w:rsidRPr="00D03260">
        <w:t xml:space="preserve">, cluster, and timeframe of symptom(s). For patients with MUS, and equally for patients identifying as experiencing symptoms associated with </w:t>
      </w:r>
      <w:r w:rsidRPr="00D03260">
        <w:rPr>
          <w:color w:val="auto"/>
        </w:rPr>
        <w:t xml:space="preserve">DSCATT, it is also important </w:t>
      </w:r>
      <w:r w:rsidRPr="00D03260">
        <w:t>to provide support to assist them to manage distressing symptoms and any disability that accompanies them</w:t>
      </w:r>
      <w:r w:rsidR="00CD70F6" w:rsidRPr="00D03260">
        <w:t xml:space="preserve"> </w:t>
      </w:r>
      <w:r w:rsidR="00CD70F6" w:rsidRPr="00D03260">
        <w:fldChar w:fldCharType="begin"/>
      </w:r>
      <w:r w:rsidR="00217980" w:rsidRPr="00D03260">
        <w:instrText xml:space="preserve"> ADDIN ZOTERO_ITEM CSL_CITATION {"citationID":"OgTnYpwW","properties":{"formattedCitation":"(Stone, 2015)","plainCitation":"(Stone, 2015)","noteIndex":0},"citationItems":[{"id":2057,"uris":["http://zotero.org/groups/4371185/items/TWQLJGAR"],"itemData":{"id":2057,"type":"article-journal","abstract":"BACKGROUND: Patients with medically unexplained symptoms commonly present to general practice and experience significant disability. Many have a history of trauma, which  complicates the therapeutic relationship between doctor and patient. Because  diagnosis is an expected outcome of a medical interaction, doctors and patients can  feel frustrated and lost without one. OBJECTIVE: This article provides practical  management strategies that general practitioners (GPs) can use when patients present  with medically unexplained symptoms. DISCUSSION: Three types of common presentations  are discussed. Enigmatic illnesses occur when the doctor and patient believe that a  bio-medical disease is likely, but a diagnosis is not forthcoming. Contested  illnesses occur when a patient is committed to a diagnosis the doctor does not  accept. Chaotic illnesses occur when symptoms are over-determined; there are many  possible diagnoses, but none fully explain the complex web of distress the patient  experiences. Common strategies for managing medically unexplained symptoms are  discussed, and specific approaches to each presentation are outlined.","container-title":"Australian family physician","ISSN":"0300-8495","issue":"9","journalAbbreviation":"Aust Fam Physician","language":"eng","note":"publisher-place: Australia\nPMID: 26488038","page":"624-629","title":"Managing medically unexplained illness in general practice.","volume":"44","author":[{"family":"Stone","given":"Louise"}],"issued":{"date-parts":[["2015",9]]}}}],"schema":"https://github.com/citation-style-language/schema/raw/master/csl-citation.json"} </w:instrText>
      </w:r>
      <w:r w:rsidR="00CD70F6" w:rsidRPr="00D03260">
        <w:fldChar w:fldCharType="separate"/>
      </w:r>
      <w:r w:rsidR="00CD70F6" w:rsidRPr="00D03260">
        <w:rPr>
          <w:rFonts w:cs="Arial"/>
        </w:rPr>
        <w:t>(Stone, 2015)</w:t>
      </w:r>
      <w:r w:rsidR="00CD70F6" w:rsidRPr="00D03260">
        <w:fldChar w:fldCharType="end"/>
      </w:r>
      <w:r w:rsidRPr="00D03260">
        <w:t>.</w:t>
      </w:r>
      <w:r w:rsidR="00967F88" w:rsidRPr="00D03260">
        <w:rPr>
          <w:color w:val="auto"/>
        </w:rPr>
        <w:t xml:space="preserve"> </w:t>
      </w:r>
      <w:r w:rsidR="00322F54" w:rsidRPr="00D03260">
        <w:rPr>
          <w:color w:val="auto"/>
        </w:rPr>
        <w:t>A s</w:t>
      </w:r>
      <w:r w:rsidR="00967F88" w:rsidRPr="00D03260">
        <w:rPr>
          <w:color w:val="auto"/>
        </w:rPr>
        <w:t xml:space="preserve">imilar approach can be applied to </w:t>
      </w:r>
      <w:r w:rsidR="00967F88" w:rsidRPr="00D03260">
        <w:rPr>
          <w:color w:val="auto"/>
          <w:szCs w:val="22"/>
        </w:rPr>
        <w:t>patients with unresolved debilitating symptoms with a history of exposure to indoor damp or mould and that cannot be attributed to another diagnosable condition</w:t>
      </w:r>
      <w:r w:rsidR="00967F88" w:rsidRPr="00D03260">
        <w:rPr>
          <w:color w:val="auto"/>
        </w:rPr>
        <w:t>.</w:t>
      </w:r>
    </w:p>
    <w:p w14:paraId="58EE7647" w14:textId="47EBF54F" w:rsidR="006E7C8A" w:rsidRPr="00D03260" w:rsidRDefault="006E7C8A" w:rsidP="006E7C8A">
      <w:r w:rsidRPr="00D03260">
        <w:t>It is important to help patients understand that the mind and body are interconnected in complex ways, and that holistic care is often essential to improve health. It may be useful for the patient to encourage psychological care to address the impact of the illness and underlying issues that may exacerbate symptoms</w:t>
      </w:r>
      <w:r w:rsidR="002F49BD" w:rsidRPr="00D03260">
        <w:t xml:space="preserve"> </w:t>
      </w:r>
      <w:r w:rsidR="002F49BD" w:rsidRPr="00D03260">
        <w:fldChar w:fldCharType="begin"/>
      </w:r>
      <w:r w:rsidR="00217980" w:rsidRPr="00D03260">
        <w:instrText xml:space="preserve"> ADDIN ZOTERO_ITEM CSL_CITATION {"citationID":"QMraveMJ","properties":{"formattedCitation":"(Stone, 2015)","plainCitation":"(Stone, 2015)","noteIndex":0},"citationItems":[{"id":2057,"uris":["http://zotero.org/groups/4371185/items/TWQLJGAR"],"itemData":{"id":2057,"type":"article-journal","abstract":"BACKGROUND: Patients with medically unexplained symptoms commonly present to general practice and experience significant disability. Many have a history of trauma, which  complicates the therapeutic relationship between doctor and patient. Because  diagnosis is an expected outcome of a medical interaction, doctors and patients can  feel frustrated and lost without one. OBJECTIVE: This article provides practical  management strategies that general practitioners (GPs) can use when patients present  with medically unexplained symptoms. DISCUSSION: Three types of common presentations  are discussed. Enigmatic illnesses occur when the doctor and patient believe that a  bio-medical disease is likely, but a diagnosis is not forthcoming. Contested  illnesses occur when a patient is committed to a diagnosis the doctor does not  accept. Chaotic illnesses occur when symptoms are over-determined; there are many  possible diagnoses, but none fully explain the complex web of distress the patient  experiences. Common strategies for managing medically unexplained symptoms are  discussed, and specific approaches to each presentation are outlined.","container-title":"Australian family physician","ISSN":"0300-8495","issue":"9","journalAbbreviation":"Aust Fam Physician","language":"eng","note":"publisher-place: Australia\nPMID: 26488038","page":"624-629","title":"Managing medically unexplained illness in general practice.","volume":"44","author":[{"family":"Stone","given":"Louise"}],"issued":{"date-parts":[["2015",9]]}}}],"schema":"https://github.com/citation-style-language/schema/raw/master/csl-citation.json"} </w:instrText>
      </w:r>
      <w:r w:rsidR="002F49BD" w:rsidRPr="00D03260">
        <w:fldChar w:fldCharType="separate"/>
      </w:r>
      <w:r w:rsidR="002F49BD" w:rsidRPr="00D03260">
        <w:rPr>
          <w:rFonts w:cs="Arial"/>
        </w:rPr>
        <w:t>(Stone, 2015)</w:t>
      </w:r>
      <w:r w:rsidR="002F49BD" w:rsidRPr="00D03260">
        <w:fldChar w:fldCharType="end"/>
      </w:r>
      <w:r w:rsidRPr="00D03260">
        <w:t>.</w:t>
      </w:r>
    </w:p>
    <w:p w14:paraId="5C46087C" w14:textId="77777777" w:rsidR="006E7C8A" w:rsidRPr="00D03260" w:rsidRDefault="006E7C8A" w:rsidP="006E7C8A">
      <w:pPr>
        <w:rPr>
          <w:rFonts w:cstheme="minorHAnsi"/>
          <w:color w:val="221E20"/>
        </w:rPr>
      </w:pPr>
      <w:r w:rsidRPr="00D03260">
        <w:rPr>
          <w:rFonts w:cstheme="minorHAnsi"/>
          <w:color w:val="221E20"/>
        </w:rPr>
        <w:t>For children for whom no diagnosis can be established and who have unresolved symptoms, referral to a paediatrician should be considered.</w:t>
      </w:r>
    </w:p>
    <w:p w14:paraId="5EECBD9C" w14:textId="22CD356C" w:rsidR="00A15B49" w:rsidRPr="00D03260" w:rsidRDefault="0035045A" w:rsidP="00AF1EFC">
      <w:pPr>
        <w:pStyle w:val="NumberedHeading3"/>
        <w:numPr>
          <w:ilvl w:val="0"/>
          <w:numId w:val="0"/>
        </w:numPr>
      </w:pPr>
      <w:bookmarkStart w:id="307" w:name="_Toc121329196"/>
      <w:bookmarkStart w:id="308" w:name="_Toc141885933"/>
      <w:r w:rsidRPr="00D03260">
        <w:t>6.</w:t>
      </w:r>
      <w:r w:rsidR="00754B3D" w:rsidRPr="00D03260">
        <w:t>4</w:t>
      </w:r>
      <w:r w:rsidRPr="00D03260">
        <w:t>.1.</w:t>
      </w:r>
      <w:r w:rsidRPr="00D03260">
        <w:tab/>
      </w:r>
      <w:bookmarkStart w:id="309" w:name="Section641MUS"/>
      <w:bookmarkEnd w:id="309"/>
      <w:r w:rsidR="001918A2" w:rsidRPr="00D03260">
        <w:t>MUS</w:t>
      </w:r>
      <w:bookmarkEnd w:id="307"/>
      <w:bookmarkEnd w:id="308"/>
    </w:p>
    <w:p w14:paraId="2A29489A" w14:textId="2D0F63D4" w:rsidR="00CB165C" w:rsidRPr="00D03260" w:rsidRDefault="00CB165C" w:rsidP="00CB165C">
      <w:r w:rsidRPr="00D03260">
        <w:t>MUS are defined as physical symptoms persisting for more than several weeks and for which adequate medical examination has not revealed a condition that adequately explains the symptoms</w:t>
      </w:r>
      <w:r w:rsidR="00D15420" w:rsidRPr="00D03260">
        <w:t xml:space="preserve"> </w:t>
      </w:r>
      <w:r w:rsidR="00D15420" w:rsidRPr="00D03260">
        <w:fldChar w:fldCharType="begin"/>
      </w:r>
      <w:r w:rsidR="00217980" w:rsidRPr="00D03260">
        <w:instrText xml:space="preserve"> ADDIN ZOTERO_ITEM CSL_CITATION {"citationID":"TBEEA1f7","properties":{"formattedCitation":"(Olde Hartman et al., 2017)","plainCitation":"(Olde Hartman et al., 2017)","noteIndex":0},"citationItems":[{"id":1365,"uris":["http://zotero.org/groups/4371185/items/EMBCCMZR"],"itemData":{"id":1365,"type":"article-journal","archive":"Embase","container-title":"BJGP Open","DOI":"10.3399/bjgpopen17X101061","ISSN":"2398-3795","issue":"3","journalAbbreviation":"BJGP Open","language":"English","title":"What do guidelines and systematic reviews tell us about the management of medically unexplained symptoms in primary care?","URL":"https://www.embase.com/search/results?subaction=viewrecord&amp;id=L624876774&amp;from=export","volume":"1","author":[{"family":"Olde Hartman","given":"T.C."},{"family":"Rosendal","given":"M."},{"family":"Aamland","given":"A."},{"family":"Horst","given":"H.E.","non-dropping-particle":"van der"},{"family":"Rosmalen","given":"J.G.M."},{"family":"Burton","given":"C.D."},{"family":"Lucassen","given":"P.L.B.J."}],"issued":{"date-parts":[["2017"]]}}}],"schema":"https://github.com/citation-style-language/schema/raw/master/csl-citation.json"} </w:instrText>
      </w:r>
      <w:r w:rsidR="00D15420" w:rsidRPr="00D03260">
        <w:fldChar w:fldCharType="separate"/>
      </w:r>
      <w:r w:rsidR="00B44A51" w:rsidRPr="00D03260">
        <w:rPr>
          <w:rFonts w:cs="Arial"/>
        </w:rPr>
        <w:t>(Olde Hartman et al., 2017)</w:t>
      </w:r>
      <w:r w:rsidR="00D15420" w:rsidRPr="00D03260">
        <w:fldChar w:fldCharType="end"/>
      </w:r>
      <w:r w:rsidR="00F54C7F" w:rsidRPr="00D03260">
        <w:t>.</w:t>
      </w:r>
      <w:r w:rsidR="00D15420" w:rsidRPr="00D03260">
        <w:t xml:space="preserve"> </w:t>
      </w:r>
      <w:r w:rsidRPr="00D03260">
        <w:t>Patients with MUS may be very unwell and require complex care. People experiencing debilitating symptoms attributed to ticks</w:t>
      </w:r>
      <w:r w:rsidR="00ED1082" w:rsidRPr="00D03260">
        <w:t xml:space="preserve"> </w:t>
      </w:r>
      <w:r w:rsidR="00C33BDD" w:rsidRPr="00D03260">
        <w:t>(</w:t>
      </w:r>
      <w:r w:rsidR="007A4899" w:rsidRPr="00D03260">
        <w:t xml:space="preserve">or </w:t>
      </w:r>
      <w:r w:rsidR="00E01040" w:rsidRPr="00D03260">
        <w:rPr>
          <w:color w:val="auto"/>
          <w:szCs w:val="22"/>
        </w:rPr>
        <w:t>people experiencing unresolved debilitating symptoms with a history of exposure to indoor damp or mould</w:t>
      </w:r>
      <w:r w:rsidR="00C33BDD" w:rsidRPr="00D03260">
        <w:rPr>
          <w:color w:val="auto"/>
        </w:rPr>
        <w:t>)</w:t>
      </w:r>
      <w:r w:rsidRPr="00D03260">
        <w:t>, without any definitive diagnosis could be considered to fall within the definition of MUS. A recent review of MUS guidelines in Europe</w:t>
      </w:r>
      <w:r w:rsidR="000E66DC" w:rsidRPr="00D03260">
        <w:t xml:space="preserve"> </w:t>
      </w:r>
      <w:r w:rsidR="000E66DC" w:rsidRPr="00D03260">
        <w:fldChar w:fldCharType="begin"/>
      </w:r>
      <w:r w:rsidR="00217980" w:rsidRPr="00D03260">
        <w:instrText xml:space="preserve"> ADDIN ZOTERO_ITEM CSL_CITATION {"citationID":"5tIPZBFz","properties":{"formattedCitation":"(Olde Hartman et al., 2017)","plainCitation":"(Olde Hartman et al., 2017)","noteIndex":0},"citationItems":[{"id":1365,"uris":["http://zotero.org/groups/4371185/items/EMBCCMZR"],"itemData":{"id":1365,"type":"article-journal","archive":"Embase","container-title":"BJGP Open","DOI":"10.3399/bjgpopen17X101061","ISSN":"2398-3795","issue":"3","journalAbbreviation":"BJGP Open","language":"English","title":"What do guidelines and systematic reviews tell us about the management of medically unexplained symptoms in primary care?","URL":"https://www.embase.com/search/results?subaction=viewrecord&amp;id=L624876774&amp;from=export","volume":"1","author":[{"family":"Olde Hartman","given":"T.C."},{"family":"Rosendal","given":"M."},{"family":"Aamland","given":"A."},{"family":"Horst","given":"H.E.","non-dropping-particle":"van der"},{"family":"Rosmalen","given":"J.G.M."},{"family":"Burton","given":"C.D."},{"family":"Lucassen","given":"P.L.B.J."}],"issued":{"date-parts":[["2017"]]}}}],"schema":"https://github.com/citation-style-language/schema/raw/master/csl-citation.json"} </w:instrText>
      </w:r>
      <w:r w:rsidR="000E66DC" w:rsidRPr="00D03260">
        <w:fldChar w:fldCharType="separate"/>
      </w:r>
      <w:r w:rsidR="00B44A51" w:rsidRPr="00D03260">
        <w:rPr>
          <w:rFonts w:cs="Arial"/>
        </w:rPr>
        <w:t>(Olde Hartman et al., 2017)</w:t>
      </w:r>
      <w:r w:rsidR="000E66DC" w:rsidRPr="00D03260">
        <w:fldChar w:fldCharType="end"/>
      </w:r>
      <w:r w:rsidRPr="00D03260">
        <w:t xml:space="preserve"> estimates that between 3</w:t>
      </w:r>
      <w:r w:rsidR="00A32549" w:rsidRPr="00D03260">
        <w:t>–</w:t>
      </w:r>
      <w:r w:rsidRPr="00D03260">
        <w:t>11</w:t>
      </w:r>
      <w:r w:rsidR="00AF494C" w:rsidRPr="00D03260">
        <w:t>%</w:t>
      </w:r>
      <w:r w:rsidRPr="00D03260">
        <w:t xml:space="preserve"> of patients visiting general practice repeatedly consult their GP for MUS. However, this finding might not be entirely applicable to Australia. MUS exist along a continuum ranging from self-limiting symptoms to recurrent and persistent symptoms through to symptom disorders.</w:t>
      </w:r>
    </w:p>
    <w:p w14:paraId="18C44170" w14:textId="1288B64B" w:rsidR="00154C53" w:rsidRPr="00D03260" w:rsidRDefault="00154C53" w:rsidP="00154C53">
      <w:r w:rsidRPr="00D03260">
        <w:t xml:space="preserve">Advice from the </w:t>
      </w:r>
      <w:r w:rsidR="0062790E" w:rsidRPr="00D03260">
        <w:t>Royal Australian College of General Practitioners (</w:t>
      </w:r>
      <w:r w:rsidRPr="00D03260">
        <w:t>RACGP</w:t>
      </w:r>
      <w:r w:rsidR="0062790E" w:rsidRPr="00D03260">
        <w:t>)</w:t>
      </w:r>
      <w:r w:rsidR="006A1FA9" w:rsidRPr="00D03260">
        <w:t xml:space="preserve"> </w:t>
      </w:r>
      <w:r w:rsidR="006A1FA9" w:rsidRPr="00D03260">
        <w:fldChar w:fldCharType="begin"/>
      </w:r>
      <w:r w:rsidR="00217980" w:rsidRPr="00D03260">
        <w:instrText xml:space="preserve"> ADDIN ZOTERO_ITEM CSL_CITATION {"citationID":"FnTzMIZa","properties":{"formattedCitation":"(Stone, 2015)","plainCitation":"(Stone, 2015)","noteIndex":0},"citationItems":[{"id":2057,"uris":["http://zotero.org/groups/4371185/items/TWQLJGAR"],"itemData":{"id":2057,"type":"article-journal","abstract":"BACKGROUND: Patients with medically unexplained symptoms commonly present to general practice and experience significant disability. Many have a history of trauma, which  complicates the therapeutic relationship between doctor and patient. Because  diagnosis is an expected outcome of a medical interaction, doctors and patients can  feel frustrated and lost without one. OBJECTIVE: This article provides practical  management strategies that general practitioners (GPs) can use when patients present  with medically unexplained symptoms. DISCUSSION: Three types of common presentations  are discussed. Enigmatic illnesses occur when the doctor and patient believe that a  bio-medical disease is likely, but a diagnosis is not forthcoming. Contested  illnesses occur when a patient is committed to a diagnosis the doctor does not  accept. Chaotic illnesses occur when symptoms are over-determined; there are many  possible diagnoses, but none fully explain the complex web of distress the patient  experiences. Common strategies for managing medically unexplained symptoms are  discussed, and specific approaches to each presentation are outlined.","container-title":"Australian family physician","ISSN":"0300-8495","issue":"9","journalAbbreviation":"Aust Fam Physician","language":"eng","note":"publisher-place: Australia\nPMID: 26488038","page":"624-629","title":"Managing medically unexplained illness in general practice.","volume":"44","author":[{"family":"Stone","given":"Louise"}],"issued":{"date-parts":[["2015",9]]}}}],"schema":"https://github.com/citation-style-language/schema/raw/master/csl-citation.json"} </w:instrText>
      </w:r>
      <w:r w:rsidR="006A1FA9" w:rsidRPr="00D03260">
        <w:fldChar w:fldCharType="separate"/>
      </w:r>
      <w:r w:rsidR="006A1FA9" w:rsidRPr="00D03260">
        <w:rPr>
          <w:rFonts w:cs="Arial"/>
        </w:rPr>
        <w:t>(Stone, 2015)</w:t>
      </w:r>
      <w:r w:rsidR="006A1FA9" w:rsidRPr="00D03260">
        <w:fldChar w:fldCharType="end"/>
      </w:r>
      <w:r w:rsidRPr="00D03260">
        <w:t xml:space="preserve"> and the review of the international MUS guidelines </w:t>
      </w:r>
      <w:r w:rsidR="006A1FA9" w:rsidRPr="00D03260">
        <w:fldChar w:fldCharType="begin"/>
      </w:r>
      <w:r w:rsidR="00217980" w:rsidRPr="00D03260">
        <w:instrText xml:space="preserve"> ADDIN ZOTERO_ITEM CSL_CITATION {"citationID":"5XDuUrJA","properties":{"formattedCitation":"(Olde Hartman et al., 2017)","plainCitation":"(Olde Hartman et al., 2017)","noteIndex":0},"citationItems":[{"id":1365,"uris":["http://zotero.org/groups/4371185/items/EMBCCMZR"],"itemData":{"id":1365,"type":"article-journal","archive":"Embase","container-title":"BJGP Open","DOI":"10.3399/bjgpopen17X101061","ISSN":"2398-3795","issue":"3","journalAbbreviation":"BJGP Open","language":"English","title":"What do guidelines and systematic reviews tell us about the management of medically unexplained symptoms in primary care?","URL":"https://www.embase.com/search/results?subaction=viewrecord&amp;id=L624876774&amp;from=export","volume":"1","author":[{"family":"Olde Hartman","given":"T.C."},{"family":"Rosendal","given":"M."},{"family":"Aamland","given":"A."},{"family":"Horst","given":"H.E.","non-dropping-particle":"van der"},{"family":"Rosmalen","given":"J.G.M."},{"family":"Burton","given":"C.D."},{"family":"Lucassen","given":"P.L.B.J."}],"issued":{"date-parts":[["2017"]]}}}],"schema":"https://github.com/citation-style-language/schema/raw/master/csl-citation.json"} </w:instrText>
      </w:r>
      <w:r w:rsidR="006A1FA9" w:rsidRPr="00D03260">
        <w:fldChar w:fldCharType="separate"/>
      </w:r>
      <w:r w:rsidR="00B44A51" w:rsidRPr="00D03260">
        <w:rPr>
          <w:rFonts w:cs="Arial"/>
        </w:rPr>
        <w:t>(Olde Hartman et al., 2017)</w:t>
      </w:r>
      <w:r w:rsidR="006A1FA9" w:rsidRPr="00D03260">
        <w:fldChar w:fldCharType="end"/>
      </w:r>
      <w:r w:rsidR="00535FFB" w:rsidRPr="00D03260">
        <w:t xml:space="preserve"> </w:t>
      </w:r>
      <w:r w:rsidRPr="00D03260">
        <w:t>summarising guidelines from the Netherlands, Denmark, UK and Germany (two of which provide evidence graded recommendations) is consistent. Patients with MUS often feel stigmatised and not taken seriously. To manage these concerns, all guidelines recommend:</w:t>
      </w:r>
    </w:p>
    <w:p w14:paraId="3C0F20F5" w14:textId="1E8E6D48" w:rsidR="00154C53" w:rsidRPr="00D03260" w:rsidRDefault="00C33BDD" w:rsidP="00154C53">
      <w:pPr>
        <w:pStyle w:val="ListBullet"/>
      </w:pPr>
      <w:r w:rsidRPr="00D03260">
        <w:t>T</w:t>
      </w:r>
      <w:r w:rsidR="00154C53" w:rsidRPr="00D03260">
        <w:t>he importance of paying attention to the doctor-patient relationship</w:t>
      </w:r>
      <w:r w:rsidRPr="00D03260">
        <w:t>.</w:t>
      </w:r>
    </w:p>
    <w:p w14:paraId="2B70247B" w14:textId="590323BE" w:rsidR="00154C53" w:rsidRPr="00D03260" w:rsidRDefault="00C33BDD" w:rsidP="00154C53">
      <w:pPr>
        <w:pStyle w:val="ListBullet"/>
      </w:pPr>
      <w:r w:rsidRPr="00D03260">
        <w:t>A</w:t>
      </w:r>
      <w:r w:rsidR="00154C53" w:rsidRPr="00D03260">
        <w:t>n individualised approach that recognises the patient’s illness and taking the patient’s symptoms seriously</w:t>
      </w:r>
      <w:r w:rsidRPr="00D03260">
        <w:t>.</w:t>
      </w:r>
    </w:p>
    <w:p w14:paraId="0834557C" w14:textId="687F1FE4" w:rsidR="00154C53" w:rsidRPr="00D03260" w:rsidRDefault="00C33BDD" w:rsidP="00154C53">
      <w:pPr>
        <w:pStyle w:val="ListBullet"/>
      </w:pPr>
      <w:r w:rsidRPr="00D03260">
        <w:t>E</w:t>
      </w:r>
      <w:r w:rsidR="00154C53" w:rsidRPr="00D03260">
        <w:t>mpathy with consultations aiming to validate the patient’s distress</w:t>
      </w:r>
      <w:r w:rsidRPr="00D03260">
        <w:t>.</w:t>
      </w:r>
    </w:p>
    <w:p w14:paraId="5AC01E82" w14:textId="7D9C103F" w:rsidR="00154C53" w:rsidRPr="00D03260" w:rsidRDefault="00C33BDD" w:rsidP="00154C53">
      <w:pPr>
        <w:pStyle w:val="ListBullet"/>
      </w:pPr>
      <w:r w:rsidRPr="00D03260">
        <w:t>P</w:t>
      </w:r>
      <w:r w:rsidR="00154C53" w:rsidRPr="00D03260">
        <w:t>roviding an explanation in the patient’s language about the possible causes of their symptoms (Patients benefit from an explanation that makes sense, removes blame from the patient, generates ideas on how to manage the symptoms. The 2011 UK guidance published by the Royal College of General Practitioners in the UK</w:t>
      </w:r>
      <w:r w:rsidR="007C5722" w:rsidRPr="00D03260">
        <w:t xml:space="preserve"> </w:t>
      </w:r>
      <w:r w:rsidR="007C5722" w:rsidRPr="00D03260">
        <w:fldChar w:fldCharType="begin"/>
      </w:r>
      <w:r w:rsidR="00217980" w:rsidRPr="00D03260">
        <w:instrText xml:space="preserve"> ADDIN ZOTERO_ITEM CSL_CITATION {"citationID":"PwskHg6e","properties":{"formattedCitation":"(Chitnis et al., 2011)","plainCitation":"(Chitnis et al., 2011)","noteIndex":0},"citationItems":[{"id":568,"uris":["http://zotero.org/groups/2576105/items/5FIE5BZU"],"itemData":{"id":568,"type":"document","publisher":"Forum for Mental Health in Primary Care","title":"Guidance for health professionals on medically unexplained symptoms (MUS)","URL":"https://dxrevisionwatch.files.wordpress.com/2013/06/guidance-for-health-professionals-on-mus-jan-2011.pdf","author":[{"family":"Chitnis","given":"Anand"},{"family":"Dowrick","given":"Chris"},{"family":"Byng","given":"Richard"},{"family":"Turner","given":"Paul"},{"family":"Shiers","given":"David"}],"issued":{"date-parts":[["2011"]]}}}],"schema":"https://github.com/citation-style-language/schema/raw/master/csl-citation.json"} </w:instrText>
      </w:r>
      <w:r w:rsidR="007C5722" w:rsidRPr="00D03260">
        <w:fldChar w:fldCharType="separate"/>
      </w:r>
      <w:r w:rsidR="007C5722" w:rsidRPr="00D03260">
        <w:rPr>
          <w:rFonts w:cs="Arial"/>
        </w:rPr>
        <w:t>(Chitnis et al., 2011)</w:t>
      </w:r>
      <w:r w:rsidR="007C5722" w:rsidRPr="00D03260">
        <w:fldChar w:fldCharType="end"/>
      </w:r>
      <w:r w:rsidR="00154C53" w:rsidRPr="00D03260">
        <w:t>, advises that GPs should be explicit about their thoughts, uncertainties and expectations of referrals to</w:t>
      </w:r>
      <w:r w:rsidR="000800FF" w:rsidRPr="00D03260">
        <w:t xml:space="preserve"> </w:t>
      </w:r>
      <w:r w:rsidR="00154C53" w:rsidRPr="00D03260">
        <w:t>specialist care)</w:t>
      </w:r>
      <w:r w:rsidRPr="00D03260">
        <w:t>.</w:t>
      </w:r>
    </w:p>
    <w:p w14:paraId="175F3E5E" w14:textId="0BDD7D8F" w:rsidR="00154C53" w:rsidRPr="00D03260" w:rsidRDefault="00C33BDD" w:rsidP="00154C53">
      <w:pPr>
        <w:pStyle w:val="ListBullet"/>
      </w:pPr>
      <w:r w:rsidRPr="00D03260">
        <w:t xml:space="preserve">Caution </w:t>
      </w:r>
      <w:r w:rsidR="00154C53" w:rsidRPr="00D03260">
        <w:t>that “patients with persistent [</w:t>
      </w:r>
      <w:r w:rsidR="001918A2" w:rsidRPr="00D03260">
        <w:t>MUS</w:t>
      </w:r>
      <w:r w:rsidR="00154C53" w:rsidRPr="00D03260">
        <w:t>] suffer from their symptoms, are functionally impaired, and are at risk of potentially harmful additional testing and treatment”</w:t>
      </w:r>
      <w:r w:rsidR="00062E86" w:rsidRPr="00D03260">
        <w:t xml:space="preserve"> </w:t>
      </w:r>
      <w:r w:rsidR="00062E86" w:rsidRPr="00D03260">
        <w:fldChar w:fldCharType="begin"/>
      </w:r>
      <w:r w:rsidR="00217980" w:rsidRPr="00D03260">
        <w:instrText xml:space="preserve"> ADDIN ZOTERO_ITEM CSL_CITATION {"citationID":"DsotrK8h","properties":{"formattedCitation":"(Olde Hartman et al., 2017)","plainCitation":"(Olde Hartman et al., 2017)","noteIndex":0},"citationItems":[{"id":1365,"uris":["http://zotero.org/groups/4371185/items/EMBCCMZR"],"itemData":{"id":1365,"type":"article-journal","archive":"Embase","container-title":"BJGP Open","DOI":"10.3399/bjgpopen17X101061","ISSN":"2398-3795","issue":"3","journalAbbreviation":"BJGP Open","language":"English","title":"What do guidelines and systematic reviews tell us about the management of medically unexplained symptoms in primary care?","URL":"https://www.embase.com/search/results?subaction=viewrecord&amp;id=L624876774&amp;from=export","volume":"1","author":[{"family":"Olde Hartman","given":"T.C."},{"family":"Rosendal","given":"M."},{"family":"Aamland","given":"A."},{"family":"Horst","given":"H.E.","non-dropping-particle":"van der"},{"family":"Rosmalen","given":"J.G.M."},{"family":"Burton","given":"C.D."},{"family":"Lucassen","given":"P.L.B.J."}],"issued":{"date-parts":[["2017"]]}}}],"schema":"https://github.com/citation-style-language/schema/raw/master/csl-citation.json"} </w:instrText>
      </w:r>
      <w:r w:rsidR="00062E86" w:rsidRPr="00D03260">
        <w:fldChar w:fldCharType="separate"/>
      </w:r>
      <w:r w:rsidR="00B44A51" w:rsidRPr="00D03260">
        <w:rPr>
          <w:rFonts w:cs="Arial"/>
        </w:rPr>
        <w:t>(Olde Hartman et al., 2017)</w:t>
      </w:r>
      <w:r w:rsidR="00062E86" w:rsidRPr="00D03260">
        <w:fldChar w:fldCharType="end"/>
      </w:r>
      <w:r w:rsidR="00154C53" w:rsidRPr="00D03260">
        <w:t>.</w:t>
      </w:r>
    </w:p>
    <w:p w14:paraId="3BE84728" w14:textId="6A088352" w:rsidR="00154C53" w:rsidRPr="00D03260" w:rsidRDefault="00154C53" w:rsidP="0029268D">
      <w:r w:rsidRPr="00D03260">
        <w:t>A qualitative study into the experiences of patients identifying with ‘chronic Lyme disease’ reported on the importance of actively engaged and sympathetic clinical encounters. They showed that where patient concerns are fully acknowledged and addressed, they experience greater satisfaction with their healthcare</w:t>
      </w:r>
      <w:r w:rsidR="00D222A9" w:rsidRPr="00D03260">
        <w:t xml:space="preserve"> </w:t>
      </w:r>
      <w:r w:rsidR="00D222A9" w:rsidRPr="00D03260">
        <w:fldChar w:fldCharType="begin"/>
      </w:r>
      <w:r w:rsidR="00217980" w:rsidRPr="00D03260">
        <w:instrText xml:space="preserve"> ADDIN ZOTERO_ITEM CSL_CITATION {"citationID":"UpceEV0l","properties":{"formattedCitation":"(Ali et al., 2014)","plainCitation":"(Ali et al., 2014)","noteIndex":0},"citationItems":[{"id":610,"uris":["http://zotero.org/groups/2576105/items/LI69F2PM"],"itemData":{"id":610,"type":"article-journal","container-title":"BMC Family Practice","DOI":"10.1186/1471-2296-15-79","issue":"1","page":"1-17","title":"Experiences of patients identifying with chronic Lyme disease in the healthcare system: A qualitative study","volume":"15","author":[{"family":"Ali","given":"Ather"},{"family":"Vitulano","given":"Lawrence"},{"family":"Lee","given":"Robert"},{"family":"Weiss","given":"Theresa R."},{"family":"Colson","given":"Eve R."}],"issued":{"date-parts":[["2014"]]}}}],"schema":"https://github.com/citation-style-language/schema/raw/master/csl-citation.json"} </w:instrText>
      </w:r>
      <w:r w:rsidR="00D222A9" w:rsidRPr="00D03260">
        <w:fldChar w:fldCharType="separate"/>
      </w:r>
      <w:r w:rsidR="00D222A9" w:rsidRPr="00D03260">
        <w:rPr>
          <w:rFonts w:cs="Arial"/>
        </w:rPr>
        <w:t>(Ali et al., 2014)</w:t>
      </w:r>
      <w:r w:rsidR="00D222A9" w:rsidRPr="00D03260">
        <w:fldChar w:fldCharType="end"/>
      </w:r>
      <w:r w:rsidRPr="00D03260">
        <w:t>.</w:t>
      </w:r>
    </w:p>
    <w:p w14:paraId="3FA2D4C5" w14:textId="52C46AC8" w:rsidR="00A40055" w:rsidRPr="00D03260" w:rsidRDefault="00154C53" w:rsidP="00D659DC">
      <w:r w:rsidRPr="00D03260">
        <w:t>Having any chronic medical condition of any cause increases the likelihood of mental health conditions, which in turn can lead to poorer outcomes. An article on managing medically unexplained illness in general practice published by RACGP, notes that acknowledging the difficulty of chronic symptoms and supporting the important mental health strategies is vital to person centred care in chronic disease</w:t>
      </w:r>
      <w:r w:rsidR="005E4754" w:rsidRPr="00D03260">
        <w:t xml:space="preserve"> </w:t>
      </w:r>
      <w:r w:rsidR="005E4754" w:rsidRPr="00D03260">
        <w:fldChar w:fldCharType="begin"/>
      </w:r>
      <w:r w:rsidR="00217980" w:rsidRPr="00D03260">
        <w:instrText xml:space="preserve"> ADDIN ZOTERO_ITEM CSL_CITATION {"citationID":"qZ4hx1UQ","properties":{"formattedCitation":"(Stone, 2015)","plainCitation":"(Stone, 2015)","noteIndex":0},"citationItems":[{"id":2057,"uris":["http://zotero.org/groups/4371185/items/TWQLJGAR"],"itemData":{"id":2057,"type":"article-journal","abstract":"BACKGROUND: Patients with medically unexplained symptoms commonly present to general practice and experience significant disability. Many have a history of trauma, which  complicates the therapeutic relationship between doctor and patient. Because  diagnosis is an expected outcome of a medical interaction, doctors and patients can  feel frustrated and lost without one. OBJECTIVE: This article provides practical  management strategies that general practitioners (GPs) can use when patients present  with medically unexplained symptoms. DISCUSSION: Three types of common presentations  are discussed. Enigmatic illnesses occur when the doctor and patient believe that a  bio-medical disease is likely, but a diagnosis is not forthcoming. Contested  illnesses occur when a patient is committed to a diagnosis the doctor does not  accept. Chaotic illnesses occur when symptoms are over-determined; there are many  possible diagnoses, but none fully explain the complex web of distress the patient  experiences. Common strategies for managing medically unexplained symptoms are  discussed, and specific approaches to each presentation are outlined.","container-title":"Australian family physician","ISSN":"0300-8495","issue":"9","journalAbbreviation":"Aust Fam Physician","language":"eng","note":"publisher-place: Australia\nPMID: 26488038","page":"624-629","title":"Managing medically unexplained illness in general practice.","volume":"44","author":[{"family":"Stone","given":"Louise"}],"issued":{"date-parts":[["2015",9]]}}}],"schema":"https://github.com/citation-style-language/schema/raw/master/csl-citation.json"} </w:instrText>
      </w:r>
      <w:r w:rsidR="005E4754" w:rsidRPr="00D03260">
        <w:fldChar w:fldCharType="separate"/>
      </w:r>
      <w:r w:rsidR="005E4754" w:rsidRPr="00D03260">
        <w:rPr>
          <w:rFonts w:cs="Arial"/>
        </w:rPr>
        <w:t>(Stone, 2015)</w:t>
      </w:r>
      <w:r w:rsidR="005E4754" w:rsidRPr="00D03260">
        <w:fldChar w:fldCharType="end"/>
      </w:r>
      <w:r w:rsidRPr="00D03260">
        <w:t>. Additionally, all patients with MUS need support to manage distressing symptoms and the disability that accompanies them</w:t>
      </w:r>
      <w:r w:rsidR="00174F53" w:rsidRPr="00D03260">
        <w:t xml:space="preserve"> </w:t>
      </w:r>
      <w:r w:rsidR="00174F53" w:rsidRPr="00D03260">
        <w:fldChar w:fldCharType="begin"/>
      </w:r>
      <w:r w:rsidR="00217980" w:rsidRPr="00D03260">
        <w:instrText xml:space="preserve"> ADDIN ZOTERO_ITEM CSL_CITATION {"citationID":"MlKaeaKH","properties":{"formattedCitation":"(Stone, 2015)","plainCitation":"(Stone, 2015)","noteIndex":0},"citationItems":[{"id":2057,"uris":["http://zotero.org/groups/4371185/items/TWQLJGAR"],"itemData":{"id":2057,"type":"article-journal","abstract":"BACKGROUND: Patients with medically unexplained symptoms commonly present to general practice and experience significant disability. Many have a history of trauma, which  complicates the therapeutic relationship between doctor and patient. Because  diagnosis is an expected outcome of a medical interaction, doctors and patients can  feel frustrated and lost without one. OBJECTIVE: This article provides practical  management strategies that general practitioners (GPs) can use when patients present  with medically unexplained symptoms. DISCUSSION: Three types of common presentations  are discussed. Enigmatic illnesses occur when the doctor and patient believe that a  bio-medical disease is likely, but a diagnosis is not forthcoming. Contested  illnesses occur when a patient is committed to a diagnosis the doctor does not  accept. Chaotic illnesses occur when symptoms are over-determined; there are many  possible diagnoses, but none fully explain the complex web of distress the patient  experiences. Common strategies for managing medically unexplained symptoms are  discussed, and specific approaches to each presentation are outlined.","container-title":"Australian family physician","ISSN":"0300-8495","issue":"9","journalAbbreviation":"Aust Fam Physician","language":"eng","note":"publisher-place: Australia\nPMID: 26488038","page":"624-629","title":"Managing medically unexplained illness in general practice.","volume":"44","author":[{"family":"Stone","given":"Louise"}],"issued":{"date-parts":[["2015",9]]}}}],"schema":"https://github.com/citation-style-language/schema/raw/master/csl-citation.json"} </w:instrText>
      </w:r>
      <w:r w:rsidR="00174F53" w:rsidRPr="00D03260">
        <w:fldChar w:fldCharType="separate"/>
      </w:r>
      <w:r w:rsidR="00174F53" w:rsidRPr="00D03260">
        <w:rPr>
          <w:rFonts w:cs="Arial"/>
        </w:rPr>
        <w:t>(Stone, 2015)</w:t>
      </w:r>
      <w:r w:rsidR="00174F53" w:rsidRPr="00D03260">
        <w:fldChar w:fldCharType="end"/>
      </w:r>
      <w:r w:rsidRPr="00D03260">
        <w:t>. Helping patients understand that the mind and body are interconnected in complex ways and that holistic care is often essential to improve health is important. Reattribution, the technique of shifting the focus away from only physical symptoms and biomedical diagnoses to a more holistic understanding of illness, was noted as a useful technique in primary care</w:t>
      </w:r>
      <w:r w:rsidR="00D53272" w:rsidRPr="00D03260">
        <w:t xml:space="preserve"> </w:t>
      </w:r>
      <w:r w:rsidR="00174F53" w:rsidRPr="00D03260">
        <w:fldChar w:fldCharType="begin"/>
      </w:r>
      <w:r w:rsidR="00217980" w:rsidRPr="00D03260">
        <w:instrText xml:space="preserve"> ADDIN ZOTERO_ITEM CSL_CITATION {"citationID":"QonosAZj","properties":{"formattedCitation":"(Stone, 2015)","plainCitation":"(Stone, 2015)","noteIndex":0},"citationItems":[{"id":2057,"uris":["http://zotero.org/groups/4371185/items/TWQLJGAR"],"itemData":{"id":2057,"type":"article-journal","abstract":"BACKGROUND: Patients with medically unexplained symptoms commonly present to general practice and experience significant disability. Many have a history of trauma, which  complicates the therapeutic relationship between doctor and patient. Because  diagnosis is an expected outcome of a medical interaction, doctors and patients can  feel frustrated and lost without one. OBJECTIVE: This article provides practical  management strategies that general practitioners (GPs) can use when patients present  with medically unexplained symptoms. DISCUSSION: Three types of common presentations  are discussed. Enigmatic illnesses occur when the doctor and patient believe that a  bio-medical disease is likely, but a diagnosis is not forthcoming. Contested  illnesses occur when a patient is committed to a diagnosis the doctor does not  accept. Chaotic illnesses occur when symptoms are over-determined; there are many  possible diagnoses, but none fully explain the complex web of distress the patient  experiences. Common strategies for managing medically unexplained symptoms are  discussed, and specific approaches to each presentation are outlined.","container-title":"Australian family physician","ISSN":"0300-8495","issue":"9","journalAbbreviation":"Aust Fam Physician","language":"eng","note":"publisher-place: Australia\nPMID: 26488038","page":"624-629","title":"Managing medically unexplained illness in general practice.","volume":"44","author":[{"family":"Stone","given":"Louise"}],"issued":{"date-parts":[["2015",9]]}}}],"schema":"https://github.com/citation-style-language/schema/raw/master/csl-citation.json"} </w:instrText>
      </w:r>
      <w:r w:rsidR="00174F53" w:rsidRPr="00D03260">
        <w:fldChar w:fldCharType="separate"/>
      </w:r>
      <w:r w:rsidR="00174F53" w:rsidRPr="00D03260">
        <w:rPr>
          <w:rFonts w:cs="Arial"/>
        </w:rPr>
        <w:t>(Stone, 2015)</w:t>
      </w:r>
      <w:r w:rsidR="00174F53" w:rsidRPr="00D03260">
        <w:fldChar w:fldCharType="end"/>
      </w:r>
      <w:r w:rsidRPr="00D03260">
        <w:t>.</w:t>
      </w:r>
      <w:bookmarkStart w:id="310" w:name="_Toc20047398"/>
      <w:bookmarkStart w:id="311" w:name="_Toc16863035"/>
      <w:bookmarkStart w:id="312" w:name="_Toc16869541"/>
      <w:bookmarkStart w:id="313" w:name="_Toc20221098"/>
      <w:bookmarkStart w:id="314" w:name="_Toc107998618"/>
      <w:bookmarkStart w:id="315" w:name="_Toc121329197"/>
    </w:p>
    <w:p w14:paraId="6E8CABAC" w14:textId="72F86E0D" w:rsidR="005506B6" w:rsidRPr="00D03260" w:rsidRDefault="000B6ED4" w:rsidP="00AF1EFC">
      <w:pPr>
        <w:pStyle w:val="NumberedHeading3"/>
        <w:numPr>
          <w:ilvl w:val="0"/>
          <w:numId w:val="0"/>
        </w:numPr>
        <w:rPr>
          <w:lang w:eastAsia="en-GB"/>
        </w:rPr>
      </w:pPr>
      <w:bookmarkStart w:id="316" w:name="_Toc141885934"/>
      <w:r w:rsidRPr="00D03260">
        <w:rPr>
          <w:lang w:eastAsia="en-GB"/>
        </w:rPr>
        <w:t>6.</w:t>
      </w:r>
      <w:r w:rsidR="00754B3D" w:rsidRPr="00D03260">
        <w:rPr>
          <w:lang w:eastAsia="en-GB"/>
        </w:rPr>
        <w:t>4</w:t>
      </w:r>
      <w:r w:rsidRPr="00D03260">
        <w:rPr>
          <w:lang w:eastAsia="en-GB"/>
        </w:rPr>
        <w:t>.2.</w:t>
      </w:r>
      <w:r w:rsidRPr="00D03260">
        <w:rPr>
          <w:lang w:eastAsia="en-GB"/>
        </w:rPr>
        <w:tab/>
      </w:r>
      <w:bookmarkStart w:id="317" w:name="Section642PracticeHarmMinimisation"/>
      <w:bookmarkEnd w:id="317"/>
      <w:r w:rsidR="005506B6" w:rsidRPr="00D03260">
        <w:rPr>
          <w:lang w:eastAsia="en-GB"/>
        </w:rPr>
        <w:t>Practice Harm Minimisation</w:t>
      </w:r>
      <w:bookmarkEnd w:id="310"/>
      <w:bookmarkEnd w:id="311"/>
      <w:bookmarkEnd w:id="312"/>
      <w:bookmarkEnd w:id="313"/>
      <w:bookmarkEnd w:id="314"/>
      <w:bookmarkEnd w:id="315"/>
      <w:bookmarkEnd w:id="316"/>
    </w:p>
    <w:p w14:paraId="25A2DA4D" w14:textId="00F95294" w:rsidR="005506B6" w:rsidRPr="00D03260" w:rsidRDefault="005506B6" w:rsidP="005506B6">
      <w:r w:rsidRPr="00D03260">
        <w:rPr>
          <w:lang w:eastAsia="en-GB"/>
        </w:rPr>
        <w:t>International evidence indicates patients with MUS are at risk of potentially harmful additional testing</w:t>
      </w:r>
      <w:r w:rsidR="00ED5D74" w:rsidRPr="00D03260">
        <w:rPr>
          <w:lang w:eastAsia="en-GB"/>
        </w:rPr>
        <w:t xml:space="preserve"> </w:t>
      </w:r>
      <w:r w:rsidR="00ED5D74" w:rsidRPr="00D03260">
        <w:rPr>
          <w:lang w:eastAsia="en-GB"/>
        </w:rPr>
        <w:fldChar w:fldCharType="begin"/>
      </w:r>
      <w:r w:rsidR="00217980" w:rsidRPr="00D03260">
        <w:rPr>
          <w:lang w:eastAsia="en-GB"/>
        </w:rPr>
        <w:instrText xml:space="preserve"> ADDIN ZOTERO_ITEM CSL_CITATION {"citationID":"XaA800Wi","properties":{"formattedCitation":"(Olde Hartman et al., 2017)","plainCitation":"(Olde Hartman et al., 2017)","noteIndex":0},"citationItems":[{"id":1365,"uris":["http://zotero.org/groups/4371185/items/EMBCCMZR"],"itemData":{"id":1365,"type":"article-journal","archive":"Embase","container-title":"BJGP Open","DOI":"10.3399/bjgpopen17X101061","ISSN":"2398-3795","issue":"3","journalAbbreviation":"BJGP Open","language":"English","title":"What do guidelines and systematic reviews tell us about the management of medically unexplained symptoms in primary care?","URL":"https://www.embase.com/search/results?subaction=viewrecord&amp;id=L624876774&amp;from=export","volume":"1","author":[{"family":"Olde Hartman","given":"T.C."},{"family":"Rosendal","given":"M."},{"family":"Aamland","given":"A."},{"family":"Horst","given":"H.E.","non-dropping-particle":"van der"},{"family":"Rosmalen","given":"J.G.M."},{"family":"Burton","given":"C.D."},{"family":"Lucassen","given":"P.L.B.J."}],"issued":{"date-parts":[["2017"]]}}}],"schema":"https://github.com/citation-style-language/schema/raw/master/csl-citation.json"} </w:instrText>
      </w:r>
      <w:r w:rsidR="00ED5D74" w:rsidRPr="00D03260">
        <w:rPr>
          <w:lang w:eastAsia="en-GB"/>
        </w:rPr>
        <w:fldChar w:fldCharType="separate"/>
      </w:r>
      <w:r w:rsidR="00B44A51" w:rsidRPr="00D03260">
        <w:rPr>
          <w:rFonts w:cs="Arial"/>
        </w:rPr>
        <w:t>(Olde Hartman et al., 2017)</w:t>
      </w:r>
      <w:r w:rsidR="00ED5D74" w:rsidRPr="00D03260">
        <w:rPr>
          <w:lang w:eastAsia="en-GB"/>
        </w:rPr>
        <w:fldChar w:fldCharType="end"/>
      </w:r>
      <w:r w:rsidR="00475620" w:rsidRPr="00D03260">
        <w:rPr>
          <w:lang w:eastAsia="en-GB"/>
        </w:rPr>
        <w:t>. In addition</w:t>
      </w:r>
      <w:r w:rsidRPr="00D03260">
        <w:rPr>
          <w:lang w:eastAsia="en-GB"/>
        </w:rPr>
        <w:t xml:space="preserve">, </w:t>
      </w:r>
      <w:r w:rsidR="00475620" w:rsidRPr="00D03260">
        <w:rPr>
          <w:lang w:eastAsia="en-GB"/>
        </w:rPr>
        <w:t xml:space="preserve">these patients </w:t>
      </w:r>
      <w:r w:rsidRPr="00D03260">
        <w:rPr>
          <w:lang w:eastAsia="en-GB"/>
        </w:rPr>
        <w:t>are often subjected to repeated diagnostic investigations, and unnecessary and costly referrals and interventions</w:t>
      </w:r>
      <w:r w:rsidR="00E17457" w:rsidRPr="00D03260">
        <w:rPr>
          <w:lang w:eastAsia="en-GB"/>
        </w:rPr>
        <w:t xml:space="preserve"> </w:t>
      </w:r>
      <w:r w:rsidR="00E17457" w:rsidRPr="00D03260">
        <w:rPr>
          <w:lang w:eastAsia="en-GB"/>
        </w:rPr>
        <w:fldChar w:fldCharType="begin"/>
      </w:r>
      <w:r w:rsidR="00217980" w:rsidRPr="00D03260">
        <w:rPr>
          <w:lang w:eastAsia="en-GB"/>
        </w:rPr>
        <w:instrText xml:space="preserve"> ADDIN ZOTERO_ITEM CSL_CITATION {"citationID":"PMP0BYmM","properties":{"formattedCitation":"(Royal College of Psychiatrists, 2017)","plainCitation":"(Royal College of Psychiatrists, 2017)","noteIndex":0},"citationItems":[{"id":631,"uris":["http://zotero.org/groups/2576105/items/CEUY5RHK"],"itemData":{"id":631,"type":"webpage","abstract":"Have physical symptoms without an obvious physical cause? This page also explains what you can do to help yourself and what treatments are available.","container-title":"Royal College of Psychiatrists","title":"Medically unexplained symptoms","URL":"https://www.rcpsych.ac.uk/mental-health/problems-disorders/medically-unexplained-symptoms","author":[{"literal":"Royal College of Psychiatrists"}],"issued":{"date-parts":[["2017"]]}}}],"schema":"https://github.com/citation-style-language/schema/raw/master/csl-citation.json"} </w:instrText>
      </w:r>
      <w:r w:rsidR="00E17457" w:rsidRPr="00D03260">
        <w:rPr>
          <w:lang w:eastAsia="en-GB"/>
        </w:rPr>
        <w:fldChar w:fldCharType="separate"/>
      </w:r>
      <w:r w:rsidR="00E17457" w:rsidRPr="00D03260">
        <w:rPr>
          <w:rFonts w:cs="Arial"/>
        </w:rPr>
        <w:t>(Royal College of Psychiatrists, 2017)</w:t>
      </w:r>
      <w:r w:rsidR="00E17457" w:rsidRPr="00D03260">
        <w:rPr>
          <w:lang w:eastAsia="en-GB"/>
        </w:rPr>
        <w:fldChar w:fldCharType="end"/>
      </w:r>
      <w:r w:rsidRPr="00D03260">
        <w:rPr>
          <w:lang w:eastAsia="en-GB"/>
        </w:rPr>
        <w:t xml:space="preserve">. </w:t>
      </w:r>
      <w:r w:rsidRPr="00D03260">
        <w:t xml:space="preserve">An analysis of the Senate submissions </w:t>
      </w:r>
      <w:r w:rsidR="00475620" w:rsidRPr="00D03260">
        <w:t xml:space="preserve">(in relation to DSCATT) </w:t>
      </w:r>
      <w:r w:rsidRPr="00D03260">
        <w:t xml:space="preserve">noted </w:t>
      </w:r>
      <w:r w:rsidR="00475620" w:rsidRPr="00D03260">
        <w:t xml:space="preserve">that </w:t>
      </w:r>
      <w:r w:rsidRPr="00D03260">
        <w:t xml:space="preserve">patients </w:t>
      </w:r>
      <w:r w:rsidR="00475620" w:rsidRPr="00D03260">
        <w:t xml:space="preserve">identifying </w:t>
      </w:r>
      <w:r w:rsidRPr="00D03260">
        <w:t>as having DSCATT</w:t>
      </w:r>
      <w:r w:rsidR="00475620" w:rsidRPr="00D03260">
        <w:t>,</w:t>
      </w:r>
      <w:r w:rsidRPr="00D03260">
        <w:t xml:space="preserve"> experience social and financial harms and are at risk of nosocomial harms and may also have sought alternative and potentially non-evidence-based diagnoses and treatments</w:t>
      </w:r>
      <w:r w:rsidR="001C43B3" w:rsidRPr="00D03260">
        <w:t xml:space="preserve"> </w:t>
      </w:r>
      <w:r w:rsidR="001C43B3" w:rsidRPr="00D03260">
        <w:fldChar w:fldCharType="begin"/>
      </w:r>
      <w:r w:rsidR="00217980" w:rsidRPr="00D03260">
        <w:instrText xml:space="preserve"> ADDIN ZOTERO_ITEM CSL_CITATION {"citationID":"92OGXS6X","properties":{"formattedCitation":"(Brown, 2018)","plainCitation":"(Brown, 2018)","noteIndex":0},"citationItems":[{"id":617,"uris":["http://zotero.org/groups/2576105/items/TM3NNEYQ"],"itemData":{"id":617,"type":"article-journal","container-title":"Internal Medicine Journal","DOI":"10.1111/imj.13746","issue":"4","page":"422-426","title":"A description of ‘Australian Lyme disease’ epidemiology and impact: An analysis of submissions to an Australian Senate Inquiry: Australian Lyme from Senate Inquiry","volume":"48","author":[{"family":"Brown","given":"Jeremy D."}],"issued":{"date-parts":[["2018"]]}}}],"schema":"https://github.com/citation-style-language/schema/raw/master/csl-citation.json"} </w:instrText>
      </w:r>
      <w:r w:rsidR="001C43B3" w:rsidRPr="00D03260">
        <w:fldChar w:fldCharType="separate"/>
      </w:r>
      <w:r w:rsidR="001C43B3" w:rsidRPr="00D03260">
        <w:rPr>
          <w:rFonts w:cs="Arial"/>
        </w:rPr>
        <w:t>(Brown, 2018)</w:t>
      </w:r>
      <w:r w:rsidR="001C43B3" w:rsidRPr="00D03260">
        <w:fldChar w:fldCharType="end"/>
      </w:r>
      <w:r w:rsidRPr="00D03260">
        <w:t>.</w:t>
      </w:r>
    </w:p>
    <w:p w14:paraId="739D7657" w14:textId="288C4936" w:rsidR="005506B6" w:rsidRPr="00D03260" w:rsidRDefault="00475620" w:rsidP="005506B6">
      <w:r w:rsidRPr="00D03260">
        <w:t xml:space="preserve">A key challenge for GPs </w:t>
      </w:r>
      <w:r w:rsidR="00E22D3A" w:rsidRPr="00D03260">
        <w:t>to</w:t>
      </w:r>
      <w:r w:rsidR="005506B6" w:rsidRPr="00D03260">
        <w:t xml:space="preserve"> </w:t>
      </w:r>
      <w:r w:rsidR="00E22D3A" w:rsidRPr="00D03260">
        <w:t xml:space="preserve">manage </w:t>
      </w:r>
      <w:r w:rsidR="005506B6" w:rsidRPr="00D03260">
        <w:t xml:space="preserve">MUS in general practice </w:t>
      </w:r>
      <w:r w:rsidRPr="00D03260">
        <w:t xml:space="preserve">is </w:t>
      </w:r>
      <w:r w:rsidR="00E22D3A" w:rsidRPr="00D03260">
        <w:t xml:space="preserve">to </w:t>
      </w:r>
      <w:r w:rsidR="005506B6" w:rsidRPr="00D03260">
        <w:t>balanc</w:t>
      </w:r>
      <w:r w:rsidR="00E22D3A" w:rsidRPr="00D03260">
        <w:t>e</w:t>
      </w:r>
      <w:r w:rsidR="005506B6" w:rsidRPr="00D03260">
        <w:t xml:space="preserve"> the iatrogenic risk of investigation with the therapeutic risk of missing something important</w:t>
      </w:r>
      <w:r w:rsidR="00EC5ACC" w:rsidRPr="00D03260">
        <w:fldChar w:fldCharType="begin"/>
      </w:r>
      <w:r w:rsidR="00217980" w:rsidRPr="00D03260">
        <w:instrText xml:space="preserve"> ADDIN ZOTERO_ITEM CSL_CITATION {"citationID":"VsXd4ek8","properties":{"formattedCitation":"(Stone, 2015)","plainCitation":"(Stone, 2015)","noteIndex":0},"citationItems":[{"id":2057,"uris":["http://zotero.org/groups/4371185/items/TWQLJGAR"],"itemData":{"id":2057,"type":"article-journal","abstract":"BACKGROUND: Patients with medically unexplained symptoms commonly present to general practice and experience significant disability. Many have a history of trauma, which  complicates the therapeutic relationship between doctor and patient. Because  diagnosis is an expected outcome of a medical interaction, doctors and patients can  feel frustrated and lost without one. OBJECTIVE: This article provides practical  management strategies that general practitioners (GPs) can use when patients present  with medically unexplained symptoms. DISCUSSION: Three types of common presentations  are discussed. Enigmatic illnesses occur when the doctor and patient believe that a  bio-medical disease is likely, but a diagnosis is not forthcoming. Contested  illnesses occur when a patient is committed to a diagnosis the doctor does not  accept. Chaotic illnesses occur when symptoms are over-determined; there are many  possible diagnoses, but none fully explain the complex web of distress the patient  experiences. Common strategies for managing medically unexplained symptoms are  discussed, and specific approaches to each presentation are outlined.","container-title":"Australian family physician","ISSN":"0300-8495","issue":"9","journalAbbreviation":"Aust Fam Physician","language":"eng","note":"publisher-place: Australia\nPMID: 26488038","page":"624-629","title":"Managing medically unexplained illness in general practice.","volume":"44","author":[{"family":"Stone","given":"Louise"}],"issued":{"date-parts":[["2015",9]]}}}],"schema":"https://github.com/citation-style-language/schema/raw/master/csl-citation.json"} </w:instrText>
      </w:r>
      <w:r w:rsidR="00EC5ACC" w:rsidRPr="00D03260">
        <w:fldChar w:fldCharType="separate"/>
      </w:r>
      <w:r w:rsidR="00EC5ACC" w:rsidRPr="00D03260">
        <w:rPr>
          <w:rFonts w:cs="Arial"/>
        </w:rPr>
        <w:t>(Stone, 2015)</w:t>
      </w:r>
      <w:r w:rsidR="00EC5ACC" w:rsidRPr="00D03260">
        <w:fldChar w:fldCharType="end"/>
      </w:r>
      <w:r w:rsidR="005506B6" w:rsidRPr="00D03260">
        <w:t>.</w:t>
      </w:r>
    </w:p>
    <w:p w14:paraId="5D8EC97E" w14:textId="53C91B05" w:rsidR="00D63CF2" w:rsidRPr="00D03260" w:rsidRDefault="00000000" w:rsidP="0029268D">
      <w:hyperlink w:anchor="Table1" w:history="1">
        <w:r w:rsidR="0090572B" w:rsidRPr="00D03260">
          <w:rPr>
            <w:rStyle w:val="Hyperlink"/>
          </w:rPr>
          <w:t xml:space="preserve">Table </w:t>
        </w:r>
      </w:hyperlink>
      <w:r w:rsidR="003E73E2" w:rsidRPr="00D03260">
        <w:rPr>
          <w:rStyle w:val="Hyperlink"/>
        </w:rPr>
        <w:t>2</w:t>
      </w:r>
      <w:r w:rsidR="0029268D" w:rsidRPr="00D03260">
        <w:t xml:space="preserve"> overleaf</w:t>
      </w:r>
      <w:r w:rsidR="0090572B" w:rsidRPr="00D03260">
        <w:t xml:space="preserve"> provides recommendations for managing MUS. </w:t>
      </w:r>
      <w:r w:rsidR="00D63CF2" w:rsidRPr="00D03260">
        <w:br w:type="page"/>
      </w:r>
    </w:p>
    <w:p w14:paraId="5496CDA8" w14:textId="701D4DA4" w:rsidR="00553810" w:rsidRPr="00D03260" w:rsidRDefault="0029268D" w:rsidP="001048FB">
      <w:pPr>
        <w:pStyle w:val="Caption"/>
      </w:pPr>
      <w:bookmarkStart w:id="318" w:name="_Toc125034709"/>
      <w:r w:rsidRPr="00D03260">
        <w:t xml:space="preserve">Table </w:t>
      </w:r>
      <w:fldSimple w:instr=" SEQ Table \* ARABIC ">
        <w:r w:rsidR="0015383F" w:rsidRPr="00D03260">
          <w:rPr>
            <w:noProof/>
          </w:rPr>
          <w:t>2</w:t>
        </w:r>
      </w:fldSimple>
      <w:r w:rsidRPr="00D03260">
        <w:t xml:space="preserve">: </w:t>
      </w:r>
      <w:r w:rsidR="001727E8" w:rsidRPr="00D03260">
        <w:t>Recommendations for managing MUS</w:t>
      </w:r>
      <w:bookmarkEnd w:id="318"/>
    </w:p>
    <w:tbl>
      <w:tblPr>
        <w:tblStyle w:val="DepartmentofHealthtable"/>
        <w:tblW w:w="0" w:type="auto"/>
        <w:tblLook w:val="04A0" w:firstRow="1" w:lastRow="0" w:firstColumn="1" w:lastColumn="0" w:noHBand="0" w:noVBand="1"/>
        <w:tblDescription w:val="Add Alt Text describing the content of the table"/>
      </w:tblPr>
      <w:tblGrid>
        <w:gridCol w:w="9070"/>
      </w:tblGrid>
      <w:tr w:rsidR="001727E8" w:rsidRPr="00D03260" w14:paraId="4B62C33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70" w:type="dxa"/>
          </w:tcPr>
          <w:p w14:paraId="56530E91" w14:textId="198A46D3" w:rsidR="001727E8" w:rsidRPr="00D03260" w:rsidRDefault="00A071F6">
            <w:pPr>
              <w:pStyle w:val="TableHeader"/>
              <w:rPr>
                <w:lang w:val="en-AU"/>
              </w:rPr>
            </w:pPr>
            <w:r w:rsidRPr="00D03260">
              <w:rPr>
                <w:lang w:val="en-AU"/>
              </w:rPr>
              <w:t>Avoid</w:t>
            </w:r>
          </w:p>
        </w:tc>
      </w:tr>
      <w:tr w:rsidR="00A071F6" w:rsidRPr="00D03260" w14:paraId="5A7700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4716898B" w14:textId="77777777" w:rsidR="00A071F6" w:rsidRPr="00D03260" w:rsidRDefault="00C91ED1" w:rsidP="0032596A">
            <w:pPr>
              <w:pStyle w:val="Tabletextleft"/>
            </w:pPr>
            <w:r w:rsidRPr="00D03260">
              <w:t>Avoid:</w:t>
            </w:r>
          </w:p>
          <w:p w14:paraId="2FD10EB1" w14:textId="4C543B5C" w:rsidR="0073694F" w:rsidRPr="00D03260" w:rsidRDefault="00FD1AB6" w:rsidP="004C5975">
            <w:pPr>
              <w:pStyle w:val="Tablelistbullet"/>
              <w:ind w:left="284" w:hanging="284"/>
              <w:rPr>
                <w:lang w:val="en-AU"/>
              </w:rPr>
            </w:pPr>
            <w:r w:rsidRPr="00D03260">
              <w:rPr>
                <w:lang w:val="en-AU"/>
              </w:rPr>
              <w:t>R</w:t>
            </w:r>
            <w:r w:rsidR="0073694F" w:rsidRPr="00D03260">
              <w:rPr>
                <w:lang w:val="en-AU"/>
              </w:rPr>
              <w:t>epeated diagnostic testing</w:t>
            </w:r>
            <w:r w:rsidRPr="00D03260">
              <w:rPr>
                <w:lang w:val="en-AU"/>
              </w:rPr>
              <w:t>.</w:t>
            </w:r>
          </w:p>
          <w:p w14:paraId="2E91B53A" w14:textId="56761735" w:rsidR="00C91ED1" w:rsidRPr="00D03260" w:rsidRDefault="00FD1AB6" w:rsidP="00893310">
            <w:pPr>
              <w:pStyle w:val="Tablelistbullet2"/>
            </w:pPr>
            <w:r w:rsidRPr="00D03260">
              <w:t>H</w:t>
            </w:r>
            <w:r w:rsidR="002C4881" w:rsidRPr="00D03260">
              <w:t>arms include worry that there is still something to be found that hasn’t been tested for yet, repeated investigations and treatment, multiple primary care practitioners increased likelihood of false positives, and the finding of minor, non-significant abnormalities in test results that increase anxiety</w:t>
            </w:r>
          </w:p>
          <w:p w14:paraId="533E183B" w14:textId="0B651D7B" w:rsidR="00BA4014" w:rsidRPr="00D03260" w:rsidRDefault="00FD1AB6" w:rsidP="004C5975">
            <w:pPr>
              <w:pStyle w:val="Tablelistbullet"/>
              <w:ind w:left="284" w:hanging="284"/>
              <w:rPr>
                <w:lang w:val="en-AU"/>
              </w:rPr>
            </w:pPr>
            <w:r w:rsidRPr="00D03260">
              <w:rPr>
                <w:lang w:val="en-AU"/>
              </w:rPr>
              <w:t>U</w:t>
            </w:r>
            <w:r w:rsidR="00BA4014" w:rsidRPr="00D03260">
              <w:rPr>
                <w:lang w:val="en-AU"/>
              </w:rPr>
              <w:t>se of non-accredited laboratories for diagnostic testing and use of unconventional diagnostic techniques (e.g.</w:t>
            </w:r>
            <w:r w:rsidR="000800FF" w:rsidRPr="00D03260">
              <w:rPr>
                <w:lang w:val="en-AU"/>
              </w:rPr>
              <w:t>,</w:t>
            </w:r>
            <w:r w:rsidR="00BA4014" w:rsidRPr="00D03260">
              <w:rPr>
                <w:lang w:val="en-AU"/>
              </w:rPr>
              <w:t xml:space="preserve"> kinesiology)</w:t>
            </w:r>
            <w:r w:rsidRPr="00D03260">
              <w:rPr>
                <w:lang w:val="en-AU"/>
              </w:rPr>
              <w:t>.</w:t>
            </w:r>
          </w:p>
          <w:p w14:paraId="6E31B45B" w14:textId="4128A743" w:rsidR="004A0D77" w:rsidRPr="00D03260" w:rsidRDefault="00FD1AB6" w:rsidP="00893310">
            <w:pPr>
              <w:pStyle w:val="Tablelistbullet2"/>
              <w:rPr>
                <w:b/>
                <w:bCs/>
              </w:rPr>
            </w:pPr>
            <w:r w:rsidRPr="00D03260">
              <w:t>H</w:t>
            </w:r>
            <w:r w:rsidR="004A0D77" w:rsidRPr="00D03260">
              <w:t>arms include false positives and wrong diagnosis</w:t>
            </w:r>
          </w:p>
          <w:p w14:paraId="0B49F0C0" w14:textId="4FA59C4A" w:rsidR="00FB7A68" w:rsidRPr="00D03260" w:rsidRDefault="00FD1AB6" w:rsidP="004C5975">
            <w:pPr>
              <w:pStyle w:val="Tablelistbullet"/>
              <w:ind w:left="284" w:hanging="284"/>
              <w:rPr>
                <w:lang w:val="en-AU"/>
              </w:rPr>
            </w:pPr>
            <w:r w:rsidRPr="00D03260">
              <w:rPr>
                <w:lang w:val="en-AU"/>
              </w:rPr>
              <w:t>U</w:t>
            </w:r>
            <w:r w:rsidR="00FB7A68" w:rsidRPr="00D03260">
              <w:rPr>
                <w:lang w:val="en-AU"/>
              </w:rPr>
              <w:t>nnecessary referrals and interventions</w:t>
            </w:r>
            <w:r w:rsidRPr="00D03260">
              <w:rPr>
                <w:lang w:val="en-AU"/>
              </w:rPr>
              <w:t>.</w:t>
            </w:r>
          </w:p>
          <w:p w14:paraId="1EE0646D" w14:textId="1F69B2C1" w:rsidR="00FB7A68" w:rsidRPr="00D03260" w:rsidRDefault="00FD1AB6" w:rsidP="00893310">
            <w:pPr>
              <w:pStyle w:val="Tablelistbullet2"/>
            </w:pPr>
            <w:r w:rsidRPr="00D03260">
              <w:t>H</w:t>
            </w:r>
            <w:r w:rsidR="00017B53" w:rsidRPr="00D03260">
              <w:t>arms include repeating and extending unnecessary testing and iatrogenic harm as well as financial costs</w:t>
            </w:r>
          </w:p>
          <w:p w14:paraId="619EF55E" w14:textId="34FB50DC" w:rsidR="003E5193" w:rsidRPr="00D03260" w:rsidRDefault="00FD1AB6" w:rsidP="004C5975">
            <w:pPr>
              <w:pStyle w:val="Tablelistbullet"/>
              <w:ind w:left="284" w:hanging="284"/>
              <w:rPr>
                <w:lang w:val="en-AU"/>
              </w:rPr>
            </w:pPr>
            <w:r w:rsidRPr="00D03260">
              <w:rPr>
                <w:lang w:val="en-AU"/>
              </w:rPr>
              <w:t>T</w:t>
            </w:r>
            <w:r w:rsidR="003E5193" w:rsidRPr="00D03260">
              <w:rPr>
                <w:lang w:val="en-AU"/>
              </w:rPr>
              <w:t>reatments with known harm and no benefit (e.g.</w:t>
            </w:r>
            <w:r w:rsidR="000800FF" w:rsidRPr="00D03260">
              <w:rPr>
                <w:lang w:val="en-AU"/>
              </w:rPr>
              <w:t>,</w:t>
            </w:r>
            <w:r w:rsidR="003E5193" w:rsidRPr="00D03260">
              <w:rPr>
                <w:lang w:val="en-AU"/>
              </w:rPr>
              <w:t xml:space="preserve"> long-term antibiotics, extreme diets, miracle mineral solution, hyperbaric oxygen treatments)</w:t>
            </w:r>
            <w:r w:rsidRPr="00D03260">
              <w:rPr>
                <w:lang w:val="en-AU"/>
              </w:rPr>
              <w:t>.</w:t>
            </w:r>
          </w:p>
          <w:p w14:paraId="5C52403B" w14:textId="2859CAFC" w:rsidR="002C4881" w:rsidRPr="00D03260" w:rsidRDefault="00FD1AB6" w:rsidP="00893310">
            <w:pPr>
              <w:pStyle w:val="Tablelistbullet2"/>
            </w:pPr>
            <w:r w:rsidRPr="00D03260">
              <w:t>H</w:t>
            </w:r>
            <w:r w:rsidR="00FD27EF" w:rsidRPr="00D03260">
              <w:t xml:space="preserve">arms include toxicity, hypersensitivity reactions, predisposition to </w:t>
            </w:r>
            <w:r w:rsidR="00FD27EF" w:rsidRPr="00D03260">
              <w:rPr>
                <w:i/>
                <w:iCs/>
              </w:rPr>
              <w:t>Clostridium difficile</w:t>
            </w:r>
            <w:r w:rsidR="00FD27EF" w:rsidRPr="00D03260">
              <w:t xml:space="preserve"> infection, development of antibiotic resistance, line sepsis, severe and persistent vomiting and diarrhoea, and large financial cost without benefit.</w:t>
            </w:r>
          </w:p>
        </w:tc>
      </w:tr>
      <w:tr w:rsidR="00A071F6" w:rsidRPr="00D03260" w14:paraId="12874302" w14:textId="77777777" w:rsidTr="00FD27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shd w:val="clear" w:color="auto" w:fill="3F4A75"/>
          </w:tcPr>
          <w:p w14:paraId="668B8C03" w14:textId="4C5C7F3F" w:rsidR="00A071F6" w:rsidRPr="00D03260" w:rsidRDefault="006033DA" w:rsidP="00FD27EF">
            <w:pPr>
              <w:pStyle w:val="TableHeaderWhite"/>
              <w:rPr>
                <w:lang w:val="en-AU"/>
              </w:rPr>
            </w:pPr>
            <w:r w:rsidRPr="00D03260">
              <w:rPr>
                <w:lang w:val="en-AU"/>
              </w:rPr>
              <w:t>Encourage</w:t>
            </w:r>
          </w:p>
        </w:tc>
      </w:tr>
      <w:tr w:rsidR="00A071F6" w:rsidRPr="00D03260" w14:paraId="367893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64ED8E34" w14:textId="3FD5F0C5" w:rsidR="006033DA" w:rsidRPr="00D03260" w:rsidRDefault="006033DA" w:rsidP="0032596A">
            <w:pPr>
              <w:pStyle w:val="Tabletextleft"/>
              <w:rPr>
                <w:b/>
                <w:bCs/>
              </w:rPr>
            </w:pPr>
            <w:r w:rsidRPr="00D03260">
              <w:t>Encourage:</w:t>
            </w:r>
          </w:p>
          <w:p w14:paraId="6D335846" w14:textId="312A192F" w:rsidR="00E74EF8" w:rsidRPr="00D03260" w:rsidRDefault="00E74EF8" w:rsidP="004C5975">
            <w:pPr>
              <w:pStyle w:val="Tablelistbullet"/>
              <w:ind w:left="284" w:hanging="284"/>
              <w:rPr>
                <w:lang w:val="en-AU"/>
              </w:rPr>
            </w:pPr>
            <w:r w:rsidRPr="00D03260">
              <w:rPr>
                <w:lang w:val="en-AU"/>
              </w:rPr>
              <w:t xml:space="preserve">Discussion of intended “natural” or alternative therapies for evaluation of </w:t>
            </w:r>
            <w:r w:rsidR="00F06302" w:rsidRPr="00D03260">
              <w:rPr>
                <w:lang w:val="en-AU"/>
              </w:rPr>
              <w:t>i</w:t>
            </w:r>
            <w:r w:rsidR="00402833" w:rsidRPr="00D03260">
              <w:rPr>
                <w:lang w:val="en-AU"/>
              </w:rPr>
              <w:t>ndividualized</w:t>
            </w:r>
            <w:r w:rsidRPr="00D03260">
              <w:rPr>
                <w:lang w:val="en-AU"/>
              </w:rPr>
              <w:t xml:space="preserve"> harms versus benefits.</w:t>
            </w:r>
          </w:p>
          <w:p w14:paraId="54F278CD" w14:textId="0380134D" w:rsidR="00817D50" w:rsidRPr="00D03260" w:rsidRDefault="00AE1671" w:rsidP="00893310">
            <w:pPr>
              <w:pStyle w:val="Tablelistbullet2"/>
            </w:pPr>
            <w:r w:rsidRPr="00D03260">
              <w:t>An awareness of the evidence base and side effects to be aware of can assist patients in choosing alternative therapies wisely and avoiding unnecessary out of pocket costs and unintended harms.</w:t>
            </w:r>
          </w:p>
          <w:p w14:paraId="2F5A95CC" w14:textId="77777777" w:rsidR="00096AD2" w:rsidRPr="00D03260" w:rsidRDefault="00096AD2" w:rsidP="004C5975">
            <w:pPr>
              <w:pStyle w:val="Tablelistbullet"/>
              <w:ind w:left="284" w:hanging="284"/>
              <w:rPr>
                <w:lang w:val="en-AU"/>
              </w:rPr>
            </w:pPr>
            <w:r w:rsidRPr="00D03260">
              <w:rPr>
                <w:lang w:val="en-AU"/>
              </w:rPr>
              <w:t>Periodic re-evaluation of symptoms and new symptoms to determine an identifiable cause and efficacy of treatment.</w:t>
            </w:r>
          </w:p>
          <w:p w14:paraId="21100F81" w14:textId="549B74D2" w:rsidR="00821275" w:rsidRPr="00D03260" w:rsidRDefault="00BE36B0" w:rsidP="00893310">
            <w:pPr>
              <w:pStyle w:val="Tablelistbullet2"/>
            </w:pPr>
            <w:r w:rsidRPr="00D03260">
              <w:t>Small changes over time may not be noticed by patients. Review allows encouragement regarding improvements, detection of deterioration, and evaluation of new symptoms arising.</w:t>
            </w:r>
          </w:p>
          <w:p w14:paraId="5246C2A2" w14:textId="77777777" w:rsidR="000B079D" w:rsidRPr="00D03260" w:rsidRDefault="000B079D" w:rsidP="004C5975">
            <w:pPr>
              <w:pStyle w:val="Tablelistbullet"/>
              <w:ind w:left="284" w:hanging="284"/>
              <w:rPr>
                <w:lang w:val="en-AU"/>
              </w:rPr>
            </w:pPr>
            <w:r w:rsidRPr="00D03260">
              <w:rPr>
                <w:lang w:val="en-AU"/>
              </w:rPr>
              <w:t>Discussion of possible causes of and treatments for symptoms that have been found on the internet or recommended by friends.</w:t>
            </w:r>
          </w:p>
          <w:p w14:paraId="43D25880" w14:textId="00E7C4F3" w:rsidR="008E63FA" w:rsidRPr="00D03260" w:rsidRDefault="0086338B" w:rsidP="00893310">
            <w:pPr>
              <w:pStyle w:val="Tablelistbullet2"/>
            </w:pPr>
            <w:r w:rsidRPr="00D03260">
              <w:t>Not having a diagnosis is difficult for patients in many ways and leads to a vulnerability to looking for a cause of their symptoms. The internet, social media and social contacts can be spreaders of both good and poor information. Remaining open to a patient discussing what they have found allows for education, exploration of misinformation, identification of reliable sources and identification of potential treatments to trial.</w:t>
            </w:r>
          </w:p>
          <w:p w14:paraId="08754FDD" w14:textId="37630116" w:rsidR="006033DA" w:rsidRPr="00D03260" w:rsidRDefault="003D3B9C" w:rsidP="004C5975">
            <w:pPr>
              <w:pStyle w:val="Tablelistbullet"/>
              <w:ind w:left="284" w:hanging="284"/>
              <w:rPr>
                <w:lang w:val="en-AU"/>
              </w:rPr>
            </w:pPr>
            <w:r w:rsidRPr="00D03260">
              <w:rPr>
                <w:lang w:val="en-AU"/>
              </w:rPr>
              <w:t>Enlistment of other members of a multidisciplinary team.</w:t>
            </w:r>
          </w:p>
          <w:p w14:paraId="3B39E0F9" w14:textId="0DF01DF9" w:rsidR="00A071F6" w:rsidRPr="00D03260" w:rsidRDefault="00AF5076">
            <w:pPr>
              <w:pStyle w:val="Tablelistbullet"/>
              <w:ind w:left="284" w:hanging="284"/>
              <w:rPr>
                <w:lang w:val="en-AU"/>
              </w:rPr>
            </w:pPr>
            <w:r w:rsidRPr="00D03260">
              <w:rPr>
                <w:lang w:val="en-AU"/>
              </w:rPr>
              <w:t>Consideration of mental health strategies.</w:t>
            </w:r>
          </w:p>
        </w:tc>
      </w:tr>
    </w:tbl>
    <w:p w14:paraId="6A225720" w14:textId="77777777" w:rsidR="00553810" w:rsidRPr="00D03260" w:rsidRDefault="00553810" w:rsidP="00553810"/>
    <w:p w14:paraId="1A2DDF94" w14:textId="622A24DC" w:rsidR="0090572B" w:rsidRPr="00D03260" w:rsidRDefault="0090572B" w:rsidP="00F210B6">
      <w:pPr>
        <w:pStyle w:val="NumberedHeading4"/>
      </w:pPr>
      <w:bookmarkStart w:id="319" w:name="_Toc121329198"/>
      <w:bookmarkStart w:id="320" w:name="_Toc141885935"/>
      <w:r w:rsidRPr="00D03260">
        <w:t>6.</w:t>
      </w:r>
      <w:r w:rsidR="00754B3D" w:rsidRPr="00D03260">
        <w:t>4</w:t>
      </w:r>
      <w:r w:rsidRPr="00D03260">
        <w:t>.2.1</w:t>
      </w:r>
      <w:r w:rsidR="000B6ED4" w:rsidRPr="00D03260">
        <w:t>.</w:t>
      </w:r>
      <w:r w:rsidR="000B6ED4" w:rsidRPr="00D03260">
        <w:tab/>
      </w:r>
      <w:r w:rsidRPr="00D03260">
        <w:t>MUS and complementary therapies</w:t>
      </w:r>
      <w:bookmarkEnd w:id="319"/>
      <w:bookmarkEnd w:id="320"/>
    </w:p>
    <w:p w14:paraId="193E1769" w14:textId="660248AC" w:rsidR="00EC7FE8" w:rsidRPr="00D03260" w:rsidRDefault="00A32DED" w:rsidP="00EC7FE8">
      <w:r w:rsidRPr="00D03260">
        <w:t>National Prescribing Service (</w:t>
      </w:r>
      <w:r w:rsidR="00EC7FE8" w:rsidRPr="00D03260">
        <w:t>NPS</w:t>
      </w:r>
      <w:r w:rsidRPr="00D03260">
        <w:t>)</w:t>
      </w:r>
      <w:r w:rsidR="00EC7FE8" w:rsidRPr="00D03260">
        <w:t xml:space="preserve"> MedicineWise reports that a poll conducted in 2018 shows almost </w:t>
      </w:r>
      <w:r w:rsidR="00154D45" w:rsidRPr="00D03260">
        <w:t>seven</w:t>
      </w:r>
      <w:r w:rsidR="00EC7FE8" w:rsidRPr="00D03260">
        <w:t xml:space="preserve"> million Australians take some form of complementary medicine every day</w:t>
      </w:r>
      <w:r w:rsidR="00854FC2" w:rsidRPr="00D03260">
        <w:t xml:space="preserve"> </w:t>
      </w:r>
      <w:r w:rsidR="00854FC2" w:rsidRPr="00D03260">
        <w:fldChar w:fldCharType="begin"/>
      </w:r>
      <w:r w:rsidR="00217980" w:rsidRPr="00D03260">
        <w:instrText xml:space="preserve"> ADDIN ZOTERO_ITEM CSL_CITATION {"citationID":"mVlSu5Xb","properties":{"formattedCitation":"(National Prescribing Service MedicineWise, 2019)","plainCitation":"(National Prescribing Service MedicineWise, 2019)","noteIndex":0},"citationItems":[{"id":789,"uris":["http://zotero.org/groups/2576105/items/4WAADA7P"],"itemData":{"id":789,"type":"webpage","container-title":"National Prescribing Service MedicineWise","title":"Complementary medicines","URL":"https://www.nps.org.au/media/complementary-medicines","author":[{"literal":"National Prescribing Service MedicineWise"}],"issued":{"date-parts":[["2019",3,13]]}}}],"schema":"https://github.com/citation-style-language/schema/raw/master/csl-citation.json"} </w:instrText>
      </w:r>
      <w:r w:rsidR="00854FC2" w:rsidRPr="00D03260">
        <w:fldChar w:fldCharType="separate"/>
      </w:r>
      <w:r w:rsidR="00854FC2" w:rsidRPr="00D03260">
        <w:rPr>
          <w:rFonts w:cs="Arial"/>
        </w:rPr>
        <w:t>(National Prescribing Service MedicineWise, 2019)</w:t>
      </w:r>
      <w:r w:rsidR="00854FC2" w:rsidRPr="00D03260">
        <w:fldChar w:fldCharType="end"/>
      </w:r>
      <w:r w:rsidR="00EC7FE8" w:rsidRPr="00D03260">
        <w:t>. Without a full understanding of patients’ health practices, including their use of complementary therapies, it is difficult for clinicians to provide safe and patient-centred health care.</w:t>
      </w:r>
    </w:p>
    <w:p w14:paraId="7E14C778" w14:textId="5A01DEF3" w:rsidR="00EC7FE8" w:rsidRPr="00D03260" w:rsidRDefault="00EC1187" w:rsidP="00EC7FE8">
      <w:pPr>
        <w:rPr>
          <w:lang w:eastAsia="en-GB"/>
        </w:rPr>
      </w:pPr>
      <w:r w:rsidRPr="00D03260">
        <w:rPr>
          <w:lang w:eastAsia="en-GB"/>
        </w:rPr>
        <w:t>R</w:t>
      </w:r>
      <w:r w:rsidR="00EC7FE8" w:rsidRPr="00D03260">
        <w:rPr>
          <w:lang w:eastAsia="en-GB"/>
        </w:rPr>
        <w:t xml:space="preserve">efer to the National Health and Medical Research Council (NHMRC) and Therapeutic Goods Administration (TGA) for information on complementary and alternative medicines in Australia. </w:t>
      </w:r>
    </w:p>
    <w:p w14:paraId="7E354CDD" w14:textId="260E1149" w:rsidR="00EC7FE8" w:rsidRPr="00D03260" w:rsidRDefault="00EC7FE8" w:rsidP="00EC7FE8">
      <w:r w:rsidRPr="00D03260">
        <w:t xml:space="preserve">A useful resource, </w:t>
      </w:r>
      <w:r w:rsidRPr="00D03260">
        <w:rPr>
          <w:i/>
          <w:iCs/>
        </w:rPr>
        <w:t>Talking with your patients about Complementary Medicines</w:t>
      </w:r>
      <w:r w:rsidR="00ED29E5" w:rsidRPr="00D03260">
        <w:rPr>
          <w:i/>
          <w:iCs/>
        </w:rPr>
        <w:t xml:space="preserve"> </w:t>
      </w:r>
      <w:r w:rsidR="00ED29E5" w:rsidRPr="00D03260">
        <w:rPr>
          <w:i/>
          <w:iCs/>
        </w:rPr>
        <w:fldChar w:fldCharType="begin"/>
      </w:r>
      <w:r w:rsidR="00217980" w:rsidRPr="00D03260">
        <w:rPr>
          <w:i/>
          <w:iCs/>
        </w:rPr>
        <w:instrText xml:space="preserve"> ADDIN ZOTERO_ITEM CSL_CITATION {"citationID":"GLbC1KbA","properties":{"formattedCitation":"(National Health and Medical Research Council, 2014)","plainCitation":"(National Health and Medical Research Council, 2014)","noteIndex":0},"citationItems":[{"id":628,"uris":["http://zotero.org/groups/2576105/items/L8H5RTMS"],"itemData":{"id":628,"type":"document","publisher":"National Health and Medical Research Council","title":"Talking with your patients about Complementary Medicine - a Resource for Clinicians","URL":"https://www.nhmrc.gov.au/about-us/publications/talking-your-patients-about-complementary-medicine-resource-clinicians","author":[{"literal":"National Health and Medical Research Council"}],"issued":{"date-parts":[["2014"]]}}}],"schema":"https://github.com/citation-style-language/schema/raw/master/csl-citation.json"} </w:instrText>
      </w:r>
      <w:r w:rsidR="00ED29E5" w:rsidRPr="00D03260">
        <w:rPr>
          <w:i/>
          <w:iCs/>
        </w:rPr>
        <w:fldChar w:fldCharType="separate"/>
      </w:r>
      <w:r w:rsidR="00ED29E5" w:rsidRPr="00D03260">
        <w:rPr>
          <w:rFonts w:cs="Arial"/>
        </w:rPr>
        <w:t>(National Health and Medical Research Council, 2014)</w:t>
      </w:r>
      <w:r w:rsidR="00ED29E5" w:rsidRPr="00D03260">
        <w:rPr>
          <w:i/>
          <w:iCs/>
        </w:rPr>
        <w:fldChar w:fldCharType="end"/>
      </w:r>
      <w:r w:rsidRPr="00D03260">
        <w:t>, published by the NHMRC has found that many Australians report that they use complementary medicine but do not disclose this information to their clinicians</w:t>
      </w:r>
      <w:r w:rsidR="004C2328" w:rsidRPr="00D03260">
        <w:t xml:space="preserve"> </w:t>
      </w:r>
      <w:r w:rsidR="004C2328" w:rsidRPr="00D03260">
        <w:fldChar w:fldCharType="begin"/>
      </w:r>
      <w:r w:rsidR="00217980" w:rsidRPr="00D03260">
        <w:instrText xml:space="preserve"> ADDIN ZOTERO_ITEM CSL_CITATION {"citationID":"QG1zXDYd","properties":{"formattedCitation":"(Williamson, M. et al., 2008)","plainCitation":"(Williamson, M. et al., 2008)","dontUpdate":true,"noteIndex":0},"citationItems":[{"id":649,"uris":["http://zotero.org/groups/2576105/items/MIKVPH62"],"itemData":{"id":649,"type":"document","publisher":"National Prescribing Service","title":"Information use and needs of complementary medicines users","URL":"https://www.westernsydney.edu.au/__data/assets/pdf_file/0007/537406/Information_Use_and_Needs_of_Complementary_Medicines_Users.pdf","author":[{"literal":"Williamson, M."},{"literal":"Tudball, J."},{"literal":"Toms, M."},{"literal":"Garden, F."},{"literal":"Grunseit, A."}],"issued":{"date-parts":[["2008"]]}}}],"schema":"https://github.com/citation-style-language/schema/raw/master/csl-citation.json"} </w:instrText>
      </w:r>
      <w:r w:rsidR="004C2328" w:rsidRPr="00D03260">
        <w:fldChar w:fldCharType="separate"/>
      </w:r>
      <w:r w:rsidR="004C2328" w:rsidRPr="00D03260">
        <w:rPr>
          <w:rFonts w:cs="Arial"/>
        </w:rPr>
        <w:t>(Williamson et al., 2008)</w:t>
      </w:r>
      <w:r w:rsidR="004C2328" w:rsidRPr="00D03260">
        <w:fldChar w:fldCharType="end"/>
      </w:r>
      <w:r w:rsidRPr="00D03260">
        <w:t>. One of the most common reasons patients have not discussed their use of complementary medicines is that their clinician has not asked them about it</w:t>
      </w:r>
      <w:r w:rsidR="002C4B3D" w:rsidRPr="00D03260">
        <w:t xml:space="preserve"> </w:t>
      </w:r>
      <w:r w:rsidR="002C4B3D" w:rsidRPr="00D03260">
        <w:fldChar w:fldCharType="begin"/>
      </w:r>
      <w:r w:rsidR="00217980" w:rsidRPr="00D03260">
        <w:instrText xml:space="preserve"> ADDIN ZOTERO_ITEM CSL_CITATION {"citationID":"g1uNOVfM","properties":{"formattedCitation":"(Xue et al., 2007)","plainCitation":"(Xue et al., 2007)","noteIndex":0},"citationItems":[{"id":790,"uris":["http://zotero.org/groups/2576105/items/QQ4KV56V"],"itemData":{"id":790,"type":"article-journal","container-title":"Journal of Alternative and Complementary Medicine","DOI":"10.1089/acm.2006.6355","issue":"6","page":"643-650","title":"Complementary and alternative medicine use in Australia: A national population-based survey","volume":"13","author":[{"family":"Xue","given":"C. C. L."},{"family":"Zhang","given":"A. L."},{"family":"Lin","given":"V."},{"family":"Da Costa","given":"C."},{"family":"Story","given":"D. F."}],"issued":{"date-parts":[["2007"]]}}}],"schema":"https://github.com/citation-style-language/schema/raw/master/csl-citation.json"} </w:instrText>
      </w:r>
      <w:r w:rsidR="002C4B3D" w:rsidRPr="00D03260">
        <w:fldChar w:fldCharType="separate"/>
      </w:r>
      <w:r w:rsidR="002C4B3D" w:rsidRPr="00D03260">
        <w:rPr>
          <w:rFonts w:cs="Arial"/>
        </w:rPr>
        <w:t>(Xue et al., 2007)</w:t>
      </w:r>
      <w:r w:rsidR="002C4B3D" w:rsidRPr="00D03260">
        <w:fldChar w:fldCharType="end"/>
      </w:r>
      <w:r w:rsidRPr="00D03260">
        <w:t>.The RACGP advises that it is important for GPs to ask patients about their use of complementary therapies and to be aware of the evidence basis, or lack thereof. GPs should also have the knowledge to provide patients with balanced information about potential benefits and risks in order to enable informed decision making</w:t>
      </w:r>
      <w:r w:rsidR="00DA4F89" w:rsidRPr="00D03260">
        <w:t xml:space="preserve"> </w:t>
      </w:r>
      <w:r w:rsidR="00DA4F89" w:rsidRPr="00D03260">
        <w:fldChar w:fldCharType="begin"/>
      </w:r>
      <w:r w:rsidR="00217980" w:rsidRPr="00D03260">
        <w:instrText xml:space="preserve"> ADDIN ZOTERO_ITEM CSL_CITATION {"citationID":"E6kT4kyG","properties":{"formattedCitation":"(Royal Australian College of General Practitioners, 2016)","plainCitation":"(Royal Australian College of General Practitioners, 2016)","noteIndex":0},"citationItems":[{"id":644,"uris":["http://zotero.org/groups/2576105/items/RMJ4ITVR"],"itemData":{"id":644,"type":"document","title":"IM16 Integrative medicine contextual unit","URL":"https://www.racgp.org.au/download/Documents/Curriculum/2016/IM16-Integrative-medicine.pdf","author":[{"literal":"Royal Australian College of General Practitioners"}],"issued":{"date-parts":[["2016"]]}}}],"schema":"https://github.com/citation-style-language/schema/raw/master/csl-citation.json"} </w:instrText>
      </w:r>
      <w:r w:rsidR="00DA4F89" w:rsidRPr="00D03260">
        <w:fldChar w:fldCharType="separate"/>
      </w:r>
      <w:r w:rsidR="00DA4F89" w:rsidRPr="00D03260">
        <w:rPr>
          <w:rFonts w:cs="Arial"/>
        </w:rPr>
        <w:t>(Royal Australian College of General Practitioners, 2016)</w:t>
      </w:r>
      <w:r w:rsidR="00DA4F89" w:rsidRPr="00D03260">
        <w:fldChar w:fldCharType="end"/>
      </w:r>
      <w:r w:rsidRPr="00D03260">
        <w:t>.</w:t>
      </w:r>
    </w:p>
    <w:p w14:paraId="5DD2A74E" w14:textId="3F958B59" w:rsidR="00EC7FE8" w:rsidRPr="00D03260" w:rsidRDefault="00EC7FE8" w:rsidP="00EC7FE8">
      <w:r w:rsidRPr="00D03260">
        <w:t>The NHMRC resource recommends that</w:t>
      </w:r>
      <w:r w:rsidR="006C1C8D" w:rsidRPr="00D03260">
        <w:t xml:space="preserve"> </w:t>
      </w:r>
      <w:r w:rsidR="006C1C8D" w:rsidRPr="00D03260">
        <w:fldChar w:fldCharType="begin"/>
      </w:r>
      <w:r w:rsidR="00217980" w:rsidRPr="00D03260">
        <w:instrText xml:space="preserve"> ADDIN ZOTERO_ITEM CSL_CITATION {"citationID":"ts5957Rt","properties":{"formattedCitation":"(National Health and Medical Research Council, 2014)","plainCitation":"(National Health and Medical Research Council, 2014)","noteIndex":0},"citationItems":[{"id":628,"uris":["http://zotero.org/groups/2576105/items/L8H5RTMS"],"itemData":{"id":628,"type":"document","publisher":"National Health and Medical Research Council","title":"Talking with your patients about Complementary Medicine - a Resource for Clinicians","URL":"https://www.nhmrc.gov.au/about-us/publications/talking-your-patients-about-complementary-medicine-resource-clinicians","author":[{"literal":"National Health and Medical Research Council"}],"issued":{"date-parts":[["2014"]]}}}],"schema":"https://github.com/citation-style-language/schema/raw/master/csl-citation.json"} </w:instrText>
      </w:r>
      <w:r w:rsidR="006C1C8D" w:rsidRPr="00D03260">
        <w:fldChar w:fldCharType="separate"/>
      </w:r>
      <w:r w:rsidR="006C1C8D" w:rsidRPr="00D03260">
        <w:rPr>
          <w:rFonts w:cs="Arial"/>
        </w:rPr>
        <w:t>(National Health and Medical Research Council, 2014)</w:t>
      </w:r>
      <w:r w:rsidR="006C1C8D" w:rsidRPr="00D03260">
        <w:fldChar w:fldCharType="end"/>
      </w:r>
      <w:r w:rsidRPr="00D03260">
        <w:t>:</w:t>
      </w:r>
    </w:p>
    <w:p w14:paraId="75694043" w14:textId="670FAE58" w:rsidR="00EC7FE8" w:rsidRPr="00D03260" w:rsidRDefault="0029268D" w:rsidP="00EC7FE8">
      <w:pPr>
        <w:pStyle w:val="ListBullet"/>
      </w:pPr>
      <w:r w:rsidRPr="00D03260">
        <w:t>c</w:t>
      </w:r>
      <w:r w:rsidR="00EC7FE8" w:rsidRPr="00D03260">
        <w:t>linicians should be sensitive to the variety of other reasons for patients not disclosing complementary medicines use. These reasons include:</w:t>
      </w:r>
    </w:p>
    <w:p w14:paraId="61D33DE1" w14:textId="4E6A56A8" w:rsidR="00EC7FE8" w:rsidRPr="00D03260" w:rsidRDefault="00EC7FE8" w:rsidP="00893310">
      <w:pPr>
        <w:pStyle w:val="Tablelistbullet2"/>
      </w:pPr>
      <w:r w:rsidRPr="00D03260">
        <w:t>a belief that complementary medicines products and therapies are ‘natural’ and ‘safer’ than conventional medicine</w:t>
      </w:r>
    </w:p>
    <w:p w14:paraId="7FF9BE2C" w14:textId="77777777" w:rsidR="00EC7FE8" w:rsidRPr="00D03260" w:rsidRDefault="00EC7FE8" w:rsidP="00893310">
      <w:pPr>
        <w:pStyle w:val="Tablelistbullet2"/>
      </w:pPr>
      <w:r w:rsidRPr="00D03260">
        <w:t xml:space="preserve">a feeling of dissatisfaction with conventional medicine </w:t>
      </w:r>
    </w:p>
    <w:p w14:paraId="2B018B3B" w14:textId="77777777" w:rsidR="00EC7FE8" w:rsidRPr="00D03260" w:rsidRDefault="00EC7FE8" w:rsidP="00893310">
      <w:pPr>
        <w:pStyle w:val="Tablelistbullet2"/>
      </w:pPr>
      <w:r w:rsidRPr="00D03260">
        <w:t xml:space="preserve">a lack of awareness of the risk of unintended drug interactions </w:t>
      </w:r>
    </w:p>
    <w:p w14:paraId="754729FA" w14:textId="77777777" w:rsidR="00EC7FE8" w:rsidRPr="00D03260" w:rsidRDefault="00EC7FE8" w:rsidP="00893310">
      <w:pPr>
        <w:pStyle w:val="Tablelistbullet2"/>
      </w:pPr>
      <w:r w:rsidRPr="00D03260">
        <w:t>awareness of the clinician’s attitude to or knowledge of complementary medicines</w:t>
      </w:r>
    </w:p>
    <w:p w14:paraId="462249F7" w14:textId="11C91AFC" w:rsidR="00EC7FE8" w:rsidRPr="00D03260" w:rsidRDefault="00EC7FE8" w:rsidP="00893310">
      <w:pPr>
        <w:pStyle w:val="Tablelistbullet2"/>
      </w:pPr>
      <w:r w:rsidRPr="00D03260">
        <w:t>discomfort in raising the topic</w:t>
      </w:r>
    </w:p>
    <w:p w14:paraId="2C7C632C" w14:textId="5C31596A" w:rsidR="00EC7FE8" w:rsidRPr="00D03260" w:rsidRDefault="00EC7FE8" w:rsidP="00893310">
      <w:pPr>
        <w:pStyle w:val="Tablelistbullet2"/>
      </w:pPr>
      <w:r w:rsidRPr="00D03260">
        <w:t>fear of the practitioner’s response</w:t>
      </w:r>
      <w:r w:rsidR="00B20764" w:rsidRPr="00D03260">
        <w:t>.</w:t>
      </w:r>
    </w:p>
    <w:p w14:paraId="3AF54BAD" w14:textId="5FA05E14" w:rsidR="00EC7FE8" w:rsidRPr="00D03260" w:rsidRDefault="0029268D" w:rsidP="00EC7FE8">
      <w:pPr>
        <w:pStyle w:val="ListBullet"/>
      </w:pPr>
      <w:r w:rsidRPr="00D03260">
        <w:t>w</w:t>
      </w:r>
      <w:r w:rsidR="00EC7FE8" w:rsidRPr="00D03260">
        <w:t>hen clinicians initiate discussions about complementary medicines with their patients, it is important to use an approach that increases collaboration and trust</w:t>
      </w:r>
      <w:r w:rsidR="00B20764" w:rsidRPr="00D03260">
        <w:t>.</w:t>
      </w:r>
    </w:p>
    <w:p w14:paraId="6F650AA1" w14:textId="79FEB747" w:rsidR="00EC7FE8" w:rsidRPr="00D03260" w:rsidRDefault="0029268D" w:rsidP="00EC7FE8">
      <w:pPr>
        <w:pStyle w:val="ListBullet"/>
      </w:pPr>
      <w:r w:rsidRPr="00D03260">
        <w:t>c</w:t>
      </w:r>
      <w:r w:rsidR="00EC7FE8" w:rsidRPr="00D03260">
        <w:t>linicians should encourage patients to make treatment decisions based on evidence and can ask their patients if they would like help identifying and interpreting evidence of effectiveness for the complementary therapies they use</w:t>
      </w:r>
      <w:r w:rsidR="004657C7" w:rsidRPr="00D03260">
        <w:t>.</w:t>
      </w:r>
    </w:p>
    <w:p w14:paraId="1255BA14" w14:textId="6633C48F" w:rsidR="00EC7FE8" w:rsidRPr="00D03260" w:rsidRDefault="0029268D" w:rsidP="00E81044">
      <w:pPr>
        <w:pStyle w:val="ListBullet"/>
      </w:pPr>
      <w:r w:rsidRPr="00D03260">
        <w:t>c</w:t>
      </w:r>
      <w:r w:rsidR="00EC7FE8" w:rsidRPr="00D03260">
        <w:t>linicians should explain to their patients that all health and treatment decisions involve weighing up potential benefits and potential risks and that this process can help patients to decide whether a treatment is appropriate for them.</w:t>
      </w:r>
    </w:p>
    <w:p w14:paraId="12641532" w14:textId="414FB9DC" w:rsidR="00725B5F" w:rsidRPr="00D03260" w:rsidRDefault="00725B5F" w:rsidP="00725B5F">
      <w:r w:rsidRPr="00D03260">
        <w:t>Many consumers are not aware of the side effects of some complementary medicine products and their potential interactions with conventional medicines, which may put some users at unnecessary risk of harm.</w:t>
      </w:r>
      <w:r w:rsidRPr="00D03260">
        <w:rPr>
          <w:b/>
          <w:bCs/>
          <w:position w:val="8"/>
          <w:sz w:val="14"/>
          <w:szCs w:val="14"/>
        </w:rPr>
        <w:t xml:space="preserve"> </w:t>
      </w:r>
      <w:r w:rsidRPr="00D03260">
        <w:t>Clinicians may need to consider and explain to their patients the risk of adverse reactions (including unintended medicine interactions). Encourage patients to ask questions about the efficacy, risks, contraindications and costs of the complementary therapies and the qualifications of the practitioner</w:t>
      </w:r>
      <w:r w:rsidR="00655BCF" w:rsidRPr="00D03260">
        <w:t xml:space="preserve"> </w:t>
      </w:r>
      <w:r w:rsidR="00655BCF" w:rsidRPr="00D03260">
        <w:fldChar w:fldCharType="begin"/>
      </w:r>
      <w:r w:rsidR="00217980" w:rsidRPr="00D03260">
        <w:instrText xml:space="preserve"> ADDIN ZOTERO_ITEM CSL_CITATION {"citationID":"2kvtAyGB","properties":{"formattedCitation":"(Cancer Council Australia, 2015)","plainCitation":"(Cancer Council Australia, 2015)","noteIndex":0},"citationItems":[{"id":559,"uris":["http://zotero.org/groups/2576105/items/QBCSJHXL"],"itemData":{"id":559,"type":"webpage","title":"National Cancer Council Control Policy: Position statement - Complementary and alternative therapies","URL":"https://wiki.cancer.org.au/policy/Position_statement_-_Complementary_and_alternative_therapies","author":[{"literal":"Cancer Council Australia"}],"issued":{"date-parts":[["2015"]]}}}],"schema":"https://github.com/citation-style-language/schema/raw/master/csl-citation.json"} </w:instrText>
      </w:r>
      <w:r w:rsidR="00655BCF" w:rsidRPr="00D03260">
        <w:fldChar w:fldCharType="separate"/>
      </w:r>
      <w:r w:rsidR="00655BCF" w:rsidRPr="00D03260">
        <w:rPr>
          <w:rFonts w:cs="Arial"/>
        </w:rPr>
        <w:t>(Cancer Council Australia, 2015)</w:t>
      </w:r>
      <w:r w:rsidR="00655BCF" w:rsidRPr="00D03260">
        <w:fldChar w:fldCharType="end"/>
      </w:r>
      <w:r w:rsidRPr="00D03260">
        <w:t>.</w:t>
      </w:r>
    </w:p>
    <w:p w14:paraId="248DCF58" w14:textId="08298052" w:rsidR="00725B5F" w:rsidRPr="00D03260" w:rsidRDefault="00725B5F" w:rsidP="00725B5F">
      <w:r w:rsidRPr="00D03260">
        <w:t>If considered clinically necessary, GPs may refer their patient to a pharmacist for a Medicare-supported Home Medicines Review to prevent medication-related problems.</w:t>
      </w:r>
    </w:p>
    <w:p w14:paraId="6F5834F0" w14:textId="5E264A52" w:rsidR="00725B5F" w:rsidRPr="00D03260" w:rsidRDefault="00725B5F" w:rsidP="0029268D">
      <w:pPr>
        <w:pStyle w:val="Heading5"/>
      </w:pPr>
      <w:r w:rsidRPr="00D03260">
        <w:t xml:space="preserve">Further information about </w:t>
      </w:r>
      <w:r w:rsidR="0029268D" w:rsidRPr="00D03260">
        <w:t>c</w:t>
      </w:r>
      <w:r w:rsidRPr="00D03260">
        <w:t xml:space="preserve">omplementary </w:t>
      </w:r>
      <w:r w:rsidR="0029268D" w:rsidRPr="00D03260">
        <w:t>t</w:t>
      </w:r>
      <w:r w:rsidRPr="00D03260">
        <w:t>herapies</w:t>
      </w:r>
    </w:p>
    <w:p w14:paraId="75324C02" w14:textId="3882E7C1" w:rsidR="006E060C" w:rsidRPr="00D03260" w:rsidRDefault="00725B5F" w:rsidP="00725B5F">
      <w:pPr>
        <w:rPr>
          <w:lang w:eastAsia="en-GB"/>
        </w:rPr>
      </w:pPr>
      <w:r w:rsidRPr="00D03260">
        <w:rPr>
          <w:lang w:eastAsia="en-GB"/>
        </w:rPr>
        <w:t>For further information on complementary and alternative medicines in Australia and around the world, refer to:</w:t>
      </w:r>
    </w:p>
    <w:p w14:paraId="19E2CC48" w14:textId="1101AA5D" w:rsidR="00206D80" w:rsidRPr="00D03260" w:rsidRDefault="00A32DED">
      <w:pPr>
        <w:pStyle w:val="ListBullet"/>
      </w:pPr>
      <w:r w:rsidRPr="00D03260">
        <w:t xml:space="preserve">the </w:t>
      </w:r>
      <w:r w:rsidR="00206D80" w:rsidRPr="00D03260">
        <w:t>NPS MedicineWise</w:t>
      </w:r>
      <w:r w:rsidRPr="00D03260">
        <w:t xml:space="preserve">; </w:t>
      </w:r>
      <w:hyperlink r:id="rId71" w:history="1">
        <w:r w:rsidR="00206D80" w:rsidRPr="00D03260">
          <w:rPr>
            <w:rStyle w:val="Hyperlink"/>
          </w:rPr>
          <w:t>https://www.nps.org.au/consumers/complementary-medicines-explained</w:t>
        </w:r>
      </w:hyperlink>
    </w:p>
    <w:p w14:paraId="2CC3A566" w14:textId="07F15DB2" w:rsidR="00206D80" w:rsidRPr="00D03260" w:rsidRDefault="00A32DED" w:rsidP="00206D80">
      <w:pPr>
        <w:pStyle w:val="ListBullet"/>
      </w:pPr>
      <w:r w:rsidRPr="00D03260">
        <w:t>t</w:t>
      </w:r>
      <w:r w:rsidR="00206D80" w:rsidRPr="00D03260">
        <w:t>he Therapeutic Research Center – a US website that has an interaction checker, effectiveness checker and a database of natural therapies</w:t>
      </w:r>
      <w:r w:rsidRPr="00D03260">
        <w:t xml:space="preserve">; </w:t>
      </w:r>
      <w:hyperlink r:id="rId72" w:history="1">
        <w:r w:rsidRPr="00D03260">
          <w:rPr>
            <w:rStyle w:val="Hyperlink"/>
          </w:rPr>
          <w:t>https://naturalmedicines.therapeuticresearch.com</w:t>
        </w:r>
      </w:hyperlink>
    </w:p>
    <w:p w14:paraId="52543033" w14:textId="51A43A13" w:rsidR="00206D80" w:rsidRPr="00D03260" w:rsidRDefault="00A32DED">
      <w:pPr>
        <w:pStyle w:val="ListBullet"/>
      </w:pPr>
      <w:r w:rsidRPr="00D03260">
        <w:t xml:space="preserve">the </w:t>
      </w:r>
      <w:r w:rsidR="00206D80" w:rsidRPr="00D03260">
        <w:t>Memorial Sloan Kettering Cancer Centre has information about herbs, botanicals and a number of complementary therapies</w:t>
      </w:r>
      <w:r w:rsidRPr="00D03260">
        <w:t xml:space="preserve">; </w:t>
      </w:r>
      <w:hyperlink r:id="rId73" w:history="1">
        <w:r w:rsidR="00206D80" w:rsidRPr="00D03260">
          <w:rPr>
            <w:rStyle w:val="Hyperlink"/>
          </w:rPr>
          <w:t>https://www.mskcc.org/cancer-care/diagnosis-treatment/symptom-management/integrative-medicine/herbs</w:t>
        </w:r>
      </w:hyperlink>
    </w:p>
    <w:p w14:paraId="193D2D24" w14:textId="2454BE86" w:rsidR="00206D80" w:rsidRPr="00D03260" w:rsidRDefault="00A32DED">
      <w:pPr>
        <w:pStyle w:val="ListBullet"/>
      </w:pPr>
      <w:r w:rsidRPr="00D03260">
        <w:t xml:space="preserve">the </w:t>
      </w:r>
      <w:r w:rsidR="00206D80" w:rsidRPr="00D03260">
        <w:t>Cochrane Complementary Medicine</w:t>
      </w:r>
      <w:r w:rsidRPr="00D03260">
        <w:t xml:space="preserve">; </w:t>
      </w:r>
      <w:hyperlink r:id="rId74" w:history="1">
        <w:r w:rsidRPr="00D03260">
          <w:rPr>
            <w:rStyle w:val="Hyperlink"/>
          </w:rPr>
          <w:t>https://cam.cochrane.org/cochrane-reviews-related-complementary-medicine accessed 9 August 2020</w:t>
        </w:r>
      </w:hyperlink>
    </w:p>
    <w:p w14:paraId="5AF97693" w14:textId="621DE96D" w:rsidR="00206D80" w:rsidRPr="00D03260" w:rsidRDefault="0029268D" w:rsidP="00206D80">
      <w:pPr>
        <w:pStyle w:val="ListBullet"/>
        <w:rPr>
          <w:lang w:eastAsia="en-GB"/>
        </w:rPr>
      </w:pPr>
      <w:r w:rsidRPr="00D03260">
        <w:t xml:space="preserve">the </w:t>
      </w:r>
      <w:r w:rsidR="00206D80" w:rsidRPr="00D03260">
        <w:t>Victoria</w:t>
      </w:r>
      <w:r w:rsidR="00A32DED" w:rsidRPr="00D03260">
        <w:t>n</w:t>
      </w:r>
      <w:r w:rsidR="00206D80" w:rsidRPr="00D03260">
        <w:t xml:space="preserve"> State Government Better Health Channel</w:t>
      </w:r>
      <w:r w:rsidR="00A32DED" w:rsidRPr="00D03260">
        <w:t>;</w:t>
      </w:r>
      <w:r w:rsidR="00206D80" w:rsidRPr="00D03260">
        <w:t xml:space="preserve"> </w:t>
      </w:r>
      <w:hyperlink r:id="rId75" w:history="1">
        <w:r w:rsidR="00206D80" w:rsidRPr="00D03260">
          <w:rPr>
            <w:rStyle w:val="Hyperlink"/>
          </w:rPr>
          <w:t>https://www.betterhealth.vic.gov.au/health/ConditionsAndTreatments/complementary-therapies</w:t>
        </w:r>
      </w:hyperlink>
      <w:r w:rsidR="00206D80" w:rsidRPr="00D03260">
        <w:rPr>
          <w:lang w:eastAsia="en-GB"/>
        </w:rPr>
        <w:t xml:space="preserve"> </w:t>
      </w:r>
    </w:p>
    <w:p w14:paraId="7677C315" w14:textId="2AB5AB1C" w:rsidR="005F6BF1" w:rsidRPr="00D03260" w:rsidRDefault="003C3098" w:rsidP="00AF1EFC">
      <w:pPr>
        <w:pStyle w:val="NumberedHeading3"/>
        <w:numPr>
          <w:ilvl w:val="0"/>
          <w:numId w:val="0"/>
        </w:numPr>
      </w:pPr>
      <w:bookmarkStart w:id="321" w:name="_Toc121329199"/>
      <w:bookmarkStart w:id="322" w:name="_Toc141885936"/>
      <w:r w:rsidRPr="00D03260">
        <w:t>6.</w:t>
      </w:r>
      <w:r w:rsidR="00754B3D" w:rsidRPr="00D03260">
        <w:t>4</w:t>
      </w:r>
      <w:r w:rsidRPr="00D03260">
        <w:t>.3.</w:t>
      </w:r>
      <w:r w:rsidRPr="00D03260">
        <w:tab/>
      </w:r>
      <w:bookmarkStart w:id="323" w:name="Section643TheSteppedCareModel"/>
      <w:bookmarkEnd w:id="323"/>
      <w:r w:rsidR="005F6BF1" w:rsidRPr="00D03260">
        <w:t>The Stepped Care Model</w:t>
      </w:r>
      <w:bookmarkEnd w:id="321"/>
      <w:bookmarkEnd w:id="322"/>
    </w:p>
    <w:p w14:paraId="0769E4B6" w14:textId="4C5C216A" w:rsidR="00D12D1E" w:rsidRPr="00D03260" w:rsidRDefault="00D12D1E" w:rsidP="00D12D1E">
      <w:pPr>
        <w:pStyle w:val="BodyText"/>
        <w:rPr>
          <w:rFonts w:cstheme="minorHAnsi"/>
        </w:rPr>
      </w:pPr>
      <w:r w:rsidRPr="00D03260">
        <w:rPr>
          <w:rFonts w:cstheme="minorHAnsi"/>
        </w:rPr>
        <w:t>The challenge for the GP involves managing individual symptoms, but also creating a framework for the chronic care of patients with significant ongoing illness</w:t>
      </w:r>
      <w:r w:rsidR="00AD7E35" w:rsidRPr="00D03260">
        <w:rPr>
          <w:rFonts w:cstheme="minorHAnsi"/>
        </w:rPr>
        <w:t xml:space="preserve"> </w:t>
      </w:r>
      <w:r w:rsidR="00AD7E35" w:rsidRPr="00D03260">
        <w:rPr>
          <w:rFonts w:cstheme="minorHAnsi"/>
        </w:rPr>
        <w:fldChar w:fldCharType="begin"/>
      </w:r>
      <w:r w:rsidR="00217980" w:rsidRPr="00D03260">
        <w:rPr>
          <w:rFonts w:cstheme="minorHAnsi"/>
        </w:rPr>
        <w:instrText xml:space="preserve"> ADDIN ZOTERO_ITEM CSL_CITATION {"citationID":"bSAtlrC6","properties":{"formattedCitation":"(Stone, 2015)","plainCitation":"(Stone, 2015)","noteIndex":0},"citationItems":[{"id":2057,"uris":["http://zotero.org/groups/4371185/items/TWQLJGAR"],"itemData":{"id":2057,"type":"article-journal","abstract":"BACKGROUND: Patients with medically unexplained symptoms commonly present to general practice and experience significant disability. Many have a history of trauma, which  complicates the therapeutic relationship between doctor and patient. Because  diagnosis is an expected outcome of a medical interaction, doctors and patients can  feel frustrated and lost without one. OBJECTIVE: This article provides practical  management strategies that general practitioners (GPs) can use when patients present  with medically unexplained symptoms. DISCUSSION: Three types of common presentations  are discussed. Enigmatic illnesses occur when the doctor and patient believe that a  bio-medical disease is likely, but a diagnosis is not forthcoming. Contested  illnesses occur when a patient is committed to a diagnosis the doctor does not  accept. Chaotic illnesses occur when symptoms are over-determined; there are many  possible diagnoses, but none fully explain the complex web of distress the patient  experiences. Common strategies for managing medically unexplained symptoms are  discussed, and specific approaches to each presentation are outlined.","container-title":"Australian family physician","ISSN":"0300-8495","issue":"9","journalAbbreviation":"Aust Fam Physician","language":"eng","note":"publisher-place: Australia\nPMID: 26488038","page":"624-629","title":"Managing medically unexplained illness in general practice.","volume":"44","author":[{"family":"Stone","given":"Louise"}],"issued":{"date-parts":[["2015",9]]}}}],"schema":"https://github.com/citation-style-language/schema/raw/master/csl-citation.json"} </w:instrText>
      </w:r>
      <w:r w:rsidR="00AD7E35" w:rsidRPr="00D03260">
        <w:rPr>
          <w:rFonts w:cstheme="minorHAnsi"/>
        </w:rPr>
        <w:fldChar w:fldCharType="separate"/>
      </w:r>
      <w:r w:rsidR="00AD7E35" w:rsidRPr="00D03260">
        <w:rPr>
          <w:rFonts w:cs="Arial"/>
        </w:rPr>
        <w:t>(Stone, 2015)</w:t>
      </w:r>
      <w:r w:rsidR="00AD7E35" w:rsidRPr="00D03260">
        <w:rPr>
          <w:rFonts w:cstheme="minorHAnsi"/>
        </w:rPr>
        <w:fldChar w:fldCharType="end"/>
      </w:r>
      <w:r w:rsidRPr="00D03260">
        <w:rPr>
          <w:rFonts w:cstheme="minorHAnsi"/>
        </w:rPr>
        <w:t>.</w:t>
      </w:r>
    </w:p>
    <w:p w14:paraId="0477C3B5" w14:textId="5BCC9585" w:rsidR="00D12D1E" w:rsidRPr="00D03260" w:rsidRDefault="00D12D1E" w:rsidP="00D12D1E">
      <w:pPr>
        <w:pStyle w:val="BodyText"/>
        <w:rPr>
          <w:rFonts w:cstheme="minorHAnsi"/>
        </w:rPr>
      </w:pPr>
      <w:r w:rsidRPr="00D03260">
        <w:rPr>
          <w:rFonts w:cstheme="minorHAnsi"/>
        </w:rPr>
        <w:t xml:space="preserve">The stepped care model of care is internationally recognised and familiar to and widely used by GPs in Australia in all aspects of patient care. The model is recommended for use in patients with </w:t>
      </w:r>
      <w:r w:rsidR="001918A2" w:rsidRPr="00D03260">
        <w:rPr>
          <w:rFonts w:cstheme="minorHAnsi"/>
        </w:rPr>
        <w:t>MUS</w:t>
      </w:r>
      <w:r w:rsidRPr="00D03260">
        <w:rPr>
          <w:rFonts w:cstheme="minorHAnsi"/>
        </w:rPr>
        <w:t xml:space="preserve"> by international and Australian guidelines. </w:t>
      </w:r>
    </w:p>
    <w:p w14:paraId="019BA2F7" w14:textId="3219E7BA" w:rsidR="00D12D1E" w:rsidRPr="00D03260" w:rsidRDefault="00D12D1E" w:rsidP="00D12D1E">
      <w:pPr>
        <w:pStyle w:val="BodyText"/>
        <w:rPr>
          <w:rFonts w:cstheme="minorHAnsi"/>
        </w:rPr>
      </w:pPr>
      <w:r w:rsidRPr="00D03260">
        <w:rPr>
          <w:rFonts w:cstheme="minorHAnsi"/>
        </w:rPr>
        <w:t>Stepped care is an evidence-based, staged system comprising a hierarchy of interventions, from the least to the most intensive, matched to the individual’s needs. Within a stepped care approach an individual will be supported to transition up to higher intensity services or transition down to lower intensity services as their needs change</w:t>
      </w:r>
      <w:r w:rsidR="00BA33AC" w:rsidRPr="00D03260">
        <w:rPr>
          <w:rFonts w:cstheme="minorHAnsi"/>
        </w:rPr>
        <w:t xml:space="preserve"> </w:t>
      </w:r>
      <w:r w:rsidR="00BA33AC" w:rsidRPr="00D03260">
        <w:rPr>
          <w:rFonts w:cstheme="minorHAnsi"/>
        </w:rPr>
        <w:fldChar w:fldCharType="begin"/>
      </w:r>
      <w:r w:rsidR="00217980" w:rsidRPr="00D03260">
        <w:rPr>
          <w:rFonts w:cstheme="minorHAnsi"/>
        </w:rPr>
        <w:instrText xml:space="preserve"> ADDIN ZOTERO_ITEM CSL_CITATION {"citationID":"5vqbtwQI","properties":{"formattedCitation":"(General Practice Mental Health Standards Collaboration, 2019)","plainCitation":"(General Practice Mental Health Standards Collaboration, 2019)","noteIndex":0},"citationItems":[{"id":890,"uris":["http://zotero.org/groups/2576105/items/RBA2L68K"],"itemData":{"id":890,"type":"report","event-place":"East Melbourne, Victoria","publisher":"Royal Australian College of General Practitioners","publisher-place":"East Melbourne, Victoria","title":"Working with the stepped care model: mental health services through general practice","URL":"https://gpmhsc.org.au/getmedia/a3c419ef-68e9-4c32-b78f-f97b16d06541/Working-with-the-stepped-care-model.pdf.aspx","author":[{"literal":"General Practice Mental Health Standards Collaboration"}],"issued":{"date-parts":[["2019",3]]}}}],"schema":"https://github.com/citation-style-language/schema/raw/master/csl-citation.json"} </w:instrText>
      </w:r>
      <w:r w:rsidR="00BA33AC" w:rsidRPr="00D03260">
        <w:rPr>
          <w:rFonts w:cstheme="minorHAnsi"/>
        </w:rPr>
        <w:fldChar w:fldCharType="separate"/>
      </w:r>
      <w:r w:rsidR="00BA33AC" w:rsidRPr="00D03260">
        <w:rPr>
          <w:rFonts w:cs="Arial"/>
        </w:rPr>
        <w:t>(General Practice Mental Health Standards Collaboration, 2019)</w:t>
      </w:r>
      <w:r w:rsidR="00BA33AC" w:rsidRPr="00D03260">
        <w:rPr>
          <w:rFonts w:cstheme="minorHAnsi"/>
        </w:rPr>
        <w:fldChar w:fldCharType="end"/>
      </w:r>
      <w:r w:rsidRPr="00D03260">
        <w:rPr>
          <w:rFonts w:cstheme="minorHAnsi"/>
        </w:rPr>
        <w:t>.</w:t>
      </w:r>
    </w:p>
    <w:p w14:paraId="4AC797A6" w14:textId="77777777" w:rsidR="00D12D1E" w:rsidRPr="00D03260" w:rsidRDefault="00D12D1E" w:rsidP="00D12D1E">
      <w:pPr>
        <w:pStyle w:val="BodyText"/>
      </w:pPr>
      <w:r w:rsidRPr="00D03260">
        <w:t>As background, international guidelines on MUS recommend a stepped care approach to address three levels of severity of symptoms, which lack clear cut-off points. They also advise that it is important that one care provider, preferably the GP, keeps control and coordinates the care process.</w:t>
      </w:r>
    </w:p>
    <w:p w14:paraId="6611A4CE" w14:textId="4349A29A" w:rsidR="00D12D1E" w:rsidRPr="00D03260" w:rsidRDefault="00D12D1E" w:rsidP="00D12D1E">
      <w:pPr>
        <w:pStyle w:val="BodyText"/>
        <w:rPr>
          <w:rFonts w:cstheme="minorHAnsi"/>
        </w:rPr>
      </w:pPr>
      <w:r w:rsidRPr="00D03260">
        <w:rPr>
          <w:rFonts w:cstheme="minorHAnsi"/>
        </w:rPr>
        <w:t>In addition to being recommended as an approach for managing care for people with MUS, the stepped care service model has been shown in RCTs to be effective for the management of chronic pain</w:t>
      </w:r>
      <w:r w:rsidR="004D4133" w:rsidRPr="00D03260">
        <w:rPr>
          <w:rFonts w:cstheme="minorHAnsi"/>
        </w:rPr>
        <w:t xml:space="preserve"> </w:t>
      </w:r>
      <w:r w:rsidR="004D4133" w:rsidRPr="00D03260">
        <w:rPr>
          <w:rFonts w:cstheme="minorHAnsi"/>
        </w:rPr>
        <w:fldChar w:fldCharType="begin"/>
      </w:r>
      <w:r w:rsidR="00217980" w:rsidRPr="00D03260">
        <w:rPr>
          <w:rFonts w:cstheme="minorHAnsi"/>
        </w:rPr>
        <w:instrText xml:space="preserve"> ADDIN ZOTERO_ITEM CSL_CITATION {"citationID":"YptnIDco","properties":{"formattedCitation":"(US Department of Veterans Affairs, 2009)","plainCitation":"(US Department of Veterans Affairs, 2009)","noteIndex":0},"citationItems":[{"id":626,"uris":["http://zotero.org/groups/2576105/items/86YTBMD2"],"itemData":{"id":626,"type":"document","publisher":"US Department of Veterans Affairs","title":"VHA Directive 2009-053 Pain management","URL":"https://www.va.gov/painmanagement/docs/vha09paindirective.pdf","author":[{"literal":"US Department of Veterans Affairs"}],"issued":{"date-parts":[["2009",10,28]]}}}],"schema":"https://github.com/citation-style-language/schema/raw/master/csl-citation.json"} </w:instrText>
      </w:r>
      <w:r w:rsidR="004D4133" w:rsidRPr="00D03260">
        <w:rPr>
          <w:rFonts w:cstheme="minorHAnsi"/>
        </w:rPr>
        <w:fldChar w:fldCharType="separate"/>
      </w:r>
      <w:r w:rsidR="004D4133" w:rsidRPr="00D03260">
        <w:rPr>
          <w:rFonts w:cs="Arial"/>
        </w:rPr>
        <w:t>(US Department of Veterans Affairs, 2009)</w:t>
      </w:r>
      <w:r w:rsidR="004D4133" w:rsidRPr="00D03260">
        <w:rPr>
          <w:rFonts w:cstheme="minorHAnsi"/>
        </w:rPr>
        <w:fldChar w:fldCharType="end"/>
      </w:r>
      <w:r w:rsidRPr="00D03260">
        <w:rPr>
          <w:rFonts w:cstheme="minorHAnsi"/>
        </w:rPr>
        <w:t>, and for the management of depression and anxiety</w:t>
      </w:r>
      <w:r w:rsidR="006B18EE" w:rsidRPr="00D03260">
        <w:rPr>
          <w:rFonts w:cstheme="minorHAnsi"/>
        </w:rPr>
        <w:t xml:space="preserve"> </w:t>
      </w:r>
      <w:r w:rsidR="006B18EE" w:rsidRPr="00D03260">
        <w:rPr>
          <w:rFonts w:cstheme="minorHAnsi"/>
        </w:rPr>
        <w:fldChar w:fldCharType="begin"/>
      </w:r>
      <w:r w:rsidR="00217980" w:rsidRPr="00D03260">
        <w:rPr>
          <w:rFonts w:cstheme="minorHAnsi"/>
        </w:rPr>
        <w:instrText xml:space="preserve"> ADDIN ZOTERO_ITEM CSL_CITATION {"citationID":"bniuLQAB","properties":{"formattedCitation":"(Australian Government Department of Health, 2019)","plainCitation":"(Australian Government Department of Health, 2019)","noteIndex":0},"citationItems":[{"id":882,"uris":["http://zotero.org/groups/2576105/items/8YZ93858"],"itemData":{"id":882,"type":"document","publisher":"Department of Health","title":"PHN Primary Mental Health Care Flexible Funding Pool Implementation Guidance – Stepped Care","URL":"https://www1.health.gov.au/internet/main/publishing.nsf/Content/2126B045A8DA90FDCA257F6500018260/$File/1.%20PHN%20Guidance%20-%20Stepped%20Care%20-%202019.pdf","author":[{"literal":"Australian Government Department of Health"}],"issued":{"date-parts":[["2019"]]}}}],"schema":"https://github.com/citation-style-language/schema/raw/master/csl-citation.json"} </w:instrText>
      </w:r>
      <w:r w:rsidR="006B18EE" w:rsidRPr="00D03260">
        <w:rPr>
          <w:rFonts w:cstheme="minorHAnsi"/>
        </w:rPr>
        <w:fldChar w:fldCharType="separate"/>
      </w:r>
      <w:r w:rsidR="006B18EE" w:rsidRPr="00D03260">
        <w:rPr>
          <w:rFonts w:cs="Arial"/>
        </w:rPr>
        <w:t>(Australian Government Department of Health, 2019)</w:t>
      </w:r>
      <w:r w:rsidR="006B18EE" w:rsidRPr="00D03260">
        <w:rPr>
          <w:rFonts w:cstheme="minorHAnsi"/>
        </w:rPr>
        <w:fldChar w:fldCharType="end"/>
      </w:r>
      <w:r w:rsidRPr="00D03260">
        <w:rPr>
          <w:rFonts w:cstheme="minorHAnsi"/>
        </w:rPr>
        <w:t xml:space="preserve"> and in the assessment and management of anxiety and depression in adult cancer patients</w:t>
      </w:r>
      <w:r w:rsidR="009F606C" w:rsidRPr="00D03260">
        <w:rPr>
          <w:rFonts w:cstheme="minorHAnsi"/>
        </w:rPr>
        <w:t xml:space="preserve"> </w:t>
      </w:r>
      <w:r w:rsidR="009F606C" w:rsidRPr="00D03260">
        <w:rPr>
          <w:rFonts w:cstheme="minorHAnsi"/>
        </w:rPr>
        <w:fldChar w:fldCharType="begin"/>
      </w:r>
      <w:r w:rsidR="00217980" w:rsidRPr="00D03260">
        <w:rPr>
          <w:rFonts w:cstheme="minorHAnsi"/>
        </w:rPr>
        <w:instrText xml:space="preserve"> ADDIN ZOTERO_ITEM CSL_CITATION {"citationID":"1g1JtBKi","properties":{"formattedCitation":"(Butow et al., 2015)","plainCitation":"(Butow et al., 2015)","noteIndex":0},"citationItems":[{"id":793,"uris":["http://zotero.org/groups/2576105/items/HGMZ2SIK"],"itemData":{"id":793,"type":"article-journal","container-title":"Psycho-Oncology","DOI":"10.1002/pon.3920","issue":"9","page":"987-1001","title":"Clinical pathway for the screening, assessment and management of anxiety and depression in adult cancer patients: Australian guidelines","volume":"24","author":[{"family":"Butow","given":"P."},{"family":"Price","given":"M. A."},{"family":"Shaw","given":"J. M."},{"family":"Turner","given":"J."},{"family":"Clayton","given":"Josephine M."},{"family":"Grimison","given":"P."},{"family":"Rankin","given":"N."},{"family":"Kirsten","given":"L."}],"issued":{"date-parts":[["2015"]]}}}],"schema":"https://github.com/citation-style-language/schema/raw/master/csl-citation.json"} </w:instrText>
      </w:r>
      <w:r w:rsidR="009F606C" w:rsidRPr="00D03260">
        <w:rPr>
          <w:rFonts w:cstheme="minorHAnsi"/>
        </w:rPr>
        <w:fldChar w:fldCharType="separate"/>
      </w:r>
      <w:r w:rsidR="009F606C" w:rsidRPr="00D03260">
        <w:rPr>
          <w:rFonts w:cs="Arial"/>
        </w:rPr>
        <w:t>(Butow et al., 2015)</w:t>
      </w:r>
      <w:r w:rsidR="009F606C" w:rsidRPr="00D03260">
        <w:rPr>
          <w:rFonts w:cstheme="minorHAnsi"/>
        </w:rPr>
        <w:fldChar w:fldCharType="end"/>
      </w:r>
      <w:r w:rsidRPr="00D03260">
        <w:rPr>
          <w:rFonts w:cstheme="minorHAnsi"/>
        </w:rPr>
        <w:t xml:space="preserve">. Stepped care models are widely used in England, Scotland, USA, New </w:t>
      </w:r>
      <w:proofErr w:type="gramStart"/>
      <w:r w:rsidRPr="00D03260">
        <w:rPr>
          <w:rFonts w:cstheme="minorHAnsi"/>
        </w:rPr>
        <w:t>Zealand</w:t>
      </w:r>
      <w:proofErr w:type="gramEnd"/>
      <w:r w:rsidRPr="00D03260">
        <w:rPr>
          <w:rFonts w:cstheme="minorHAnsi"/>
        </w:rPr>
        <w:t xml:space="preserve"> and Australia.</w:t>
      </w:r>
    </w:p>
    <w:p w14:paraId="4DEC4E8C" w14:textId="06BFB51E" w:rsidR="00D12D1E" w:rsidRPr="00D03260" w:rsidRDefault="00D12D1E" w:rsidP="00D12D1E">
      <w:pPr>
        <w:pStyle w:val="BodyText"/>
        <w:rPr>
          <w:rFonts w:cstheme="minorHAnsi"/>
        </w:rPr>
      </w:pPr>
      <w:r w:rsidRPr="00D03260">
        <w:rPr>
          <w:rFonts w:cstheme="minorHAnsi"/>
        </w:rPr>
        <w:t>GPs make assessments to determine the best management approach to guide their patients in accessing services appropriate to their level of need, and thus ensure that more intensive and often costly services are directed to patients best able to benefit from them</w:t>
      </w:r>
      <w:r w:rsidR="00D21F6F" w:rsidRPr="00D03260">
        <w:rPr>
          <w:rFonts w:cstheme="minorHAnsi"/>
        </w:rPr>
        <w:t xml:space="preserve"> </w:t>
      </w:r>
      <w:r w:rsidR="00981740" w:rsidRPr="00D03260">
        <w:rPr>
          <w:rFonts w:cstheme="minorHAnsi"/>
        </w:rPr>
        <w:fldChar w:fldCharType="begin"/>
      </w:r>
      <w:r w:rsidR="00217980" w:rsidRPr="00D03260">
        <w:rPr>
          <w:rFonts w:cstheme="minorHAnsi"/>
        </w:rPr>
        <w:instrText xml:space="preserve"> ADDIN ZOTERO_ITEM CSL_CITATION {"citationID":"vPXAJpCL","properties":{"formattedCitation":"(General Practice Mental Health Standards Collaboration, 2019)","plainCitation":"(General Practice Mental Health Standards Collaboration, 2019)","noteIndex":0},"citationItems":[{"id":890,"uris":["http://zotero.org/groups/2576105/items/RBA2L68K"],"itemData":{"id":890,"type":"report","event-place":"East Melbourne, Victoria","publisher":"Royal Australian College of General Practitioners","publisher-place":"East Melbourne, Victoria","title":"Working with the stepped care model: mental health services through general practice","URL":"https://gpmhsc.org.au/getmedia/a3c419ef-68e9-4c32-b78f-f97b16d06541/Working-with-the-stepped-care-model.pdf.aspx","author":[{"literal":"General Practice Mental Health Standards Collaboration"}],"issued":{"date-parts":[["2019",3]]}}}],"schema":"https://github.com/citation-style-language/schema/raw/master/csl-citation.json"} </w:instrText>
      </w:r>
      <w:r w:rsidR="00981740" w:rsidRPr="00D03260">
        <w:rPr>
          <w:rFonts w:cstheme="minorHAnsi"/>
        </w:rPr>
        <w:fldChar w:fldCharType="separate"/>
      </w:r>
      <w:r w:rsidR="00981740" w:rsidRPr="00D03260">
        <w:rPr>
          <w:rFonts w:cs="Arial"/>
        </w:rPr>
        <w:t>(General Practice Mental Health Standards Collaboration, 2019)</w:t>
      </w:r>
      <w:r w:rsidR="00981740" w:rsidRPr="00D03260">
        <w:rPr>
          <w:rFonts w:cstheme="minorHAnsi"/>
        </w:rPr>
        <w:fldChar w:fldCharType="end"/>
      </w:r>
      <w:r w:rsidR="00981740" w:rsidRPr="00D03260">
        <w:rPr>
          <w:rFonts w:cstheme="minorHAnsi"/>
        </w:rPr>
        <w:t>.</w:t>
      </w:r>
      <w:r w:rsidR="00981740" w:rsidRPr="00D03260" w:rsidDel="00981740">
        <w:rPr>
          <w:rStyle w:val="FootnoteReference"/>
        </w:rPr>
        <w:t xml:space="preserve"> </w:t>
      </w:r>
      <w:r w:rsidRPr="00D03260">
        <w:rPr>
          <w:rFonts w:cstheme="minorHAnsi"/>
        </w:rPr>
        <w:t xml:space="preserve">While referrals are made to other relevant health practitioners as appropriate, it is important that one care provider, preferably the GP, coordinates care. </w:t>
      </w:r>
    </w:p>
    <w:p w14:paraId="0745F563" w14:textId="4C424FFE" w:rsidR="00EF5E6A" w:rsidRPr="00D03260" w:rsidRDefault="00D12D1E" w:rsidP="00DD571A">
      <w:pPr>
        <w:pStyle w:val="BodyText"/>
        <w:spacing w:after="80"/>
        <w:rPr>
          <w:rFonts w:cstheme="minorHAnsi"/>
        </w:rPr>
      </w:pPr>
      <w:r w:rsidRPr="00D03260">
        <w:rPr>
          <w:rFonts w:cstheme="minorHAnsi"/>
        </w:rPr>
        <w:t>Stepped care models aim to:</w:t>
      </w:r>
    </w:p>
    <w:p w14:paraId="5E10276B" w14:textId="77777777" w:rsidR="00DD571A" w:rsidRPr="00D03260" w:rsidRDefault="00DD571A" w:rsidP="00DD571A">
      <w:pPr>
        <w:pStyle w:val="ListBullet"/>
      </w:pPr>
      <w:r w:rsidRPr="00D03260">
        <w:t>offer a variety of support options for people with different levels and types of need, from low intensity to high intensity</w:t>
      </w:r>
    </w:p>
    <w:p w14:paraId="2CC52218" w14:textId="77777777" w:rsidR="00DD571A" w:rsidRPr="00D03260" w:rsidRDefault="00DD571A" w:rsidP="00DD571A">
      <w:pPr>
        <w:pStyle w:val="ListBullet"/>
      </w:pPr>
      <w:r w:rsidRPr="00D03260">
        <w:t>provide clear pathways between these care options as individuals’ needs change, and</w:t>
      </w:r>
    </w:p>
    <w:p w14:paraId="21B9AD9D" w14:textId="1777222E" w:rsidR="00DD571A" w:rsidRPr="00D03260" w:rsidRDefault="00DD571A" w:rsidP="00DD571A">
      <w:pPr>
        <w:pStyle w:val="ListBullet"/>
      </w:pPr>
      <w:r w:rsidRPr="00D03260">
        <w:t>improve collaboration and integration between services</w:t>
      </w:r>
      <w:r w:rsidR="00981740" w:rsidRPr="00D03260">
        <w:t xml:space="preserve"> </w:t>
      </w:r>
      <w:r w:rsidR="00981740" w:rsidRPr="00D03260">
        <w:fldChar w:fldCharType="begin"/>
      </w:r>
      <w:r w:rsidR="00217980" w:rsidRPr="00D03260">
        <w:instrText xml:space="preserve"> ADDIN ZOTERO_ITEM CSL_CITATION {"citationID":"txGWXRt8","properties":{"formattedCitation":"(General Practice Mental Health Standards Collaboration, 2019)","plainCitation":"(General Practice Mental Health Standards Collaboration, 2019)","noteIndex":0},"citationItems":[{"id":890,"uris":["http://zotero.org/groups/2576105/items/RBA2L68K"],"itemData":{"id":890,"type":"report","event-place":"East Melbourne, Victoria","publisher":"Royal Australian College of General Practitioners","publisher-place":"East Melbourne, Victoria","title":"Working with the stepped care model: mental health services through general practice","URL":"https://gpmhsc.org.au/getmedia/a3c419ef-68e9-4c32-b78f-f97b16d06541/Working-with-the-stepped-care-model.pdf.aspx","author":[{"literal":"General Practice Mental Health Standards Collaboration"}],"issued":{"date-parts":[["2019",3]]}}}],"schema":"https://github.com/citation-style-language/schema/raw/master/csl-citation.json"} </w:instrText>
      </w:r>
      <w:r w:rsidR="00981740" w:rsidRPr="00D03260">
        <w:fldChar w:fldCharType="separate"/>
      </w:r>
      <w:r w:rsidR="00981740" w:rsidRPr="00D03260">
        <w:rPr>
          <w:rFonts w:cs="Arial"/>
        </w:rPr>
        <w:t>(General Practice Mental Health Standards Collaboration, 2019)</w:t>
      </w:r>
      <w:r w:rsidR="00981740" w:rsidRPr="00D03260">
        <w:fldChar w:fldCharType="end"/>
      </w:r>
      <w:r w:rsidRPr="00D03260">
        <w:t>.</w:t>
      </w:r>
    </w:p>
    <w:p w14:paraId="320872EC" w14:textId="022A5B99" w:rsidR="00B67D35" w:rsidRPr="00D03260" w:rsidRDefault="00B67D35" w:rsidP="00B67D35">
      <w:r w:rsidRPr="00D03260">
        <w:t>Central to the stepped approach is the development of an individualised care plan, developed in discussion with the patient.</w:t>
      </w:r>
    </w:p>
    <w:p w14:paraId="315701D2" w14:textId="3C85D196" w:rsidR="00CB1BAF" w:rsidRPr="00D03260" w:rsidRDefault="00465872" w:rsidP="00A32DED">
      <w:r w:rsidRPr="00D03260">
        <w:t xml:space="preserve">International guidelines concur that doctor-patient communication is key. They emphasise the importance of exploring patient’s ideas, </w:t>
      </w:r>
      <w:proofErr w:type="gramStart"/>
      <w:r w:rsidRPr="00D03260">
        <w:t>concerns</w:t>
      </w:r>
      <w:proofErr w:type="gramEnd"/>
      <w:r w:rsidRPr="00D03260">
        <w:t xml:space="preserve"> and expectations, providing acceptable explanations, providing practical and constructive advice that is applicable to their daily lives is important and offering advice on symptom management. Considering the patient’s ethical-cultural background in all steps is also recommended </w:t>
      </w:r>
      <w:r w:rsidRPr="00D03260">
        <w:fldChar w:fldCharType="begin"/>
      </w:r>
      <w:r w:rsidR="00217980" w:rsidRPr="00D03260">
        <w:instrText xml:space="preserve"> ADDIN ZOTERO_ITEM CSL_CITATION {"citationID":"d5j1Ux3x","properties":{"formattedCitation":"(Olde Hartman et al., 2013)","plainCitation":"(Olde Hartman et al., 2013)","noteIndex":0},"citationItems":[{"id":1185,"uris":["http://zotero.org/groups/4371185/items/Q8WNW9Y2"],"itemData":{"id":1185,"type":"article-journal","container-title":"The British journal of general practice : the journal of the Royal College of General Practitioners","DOI":"10.3399/bjgp13X675241","ISSN":"1478-5242 0960-1643","issue":"617","journalAbbreviation":"Br J Gen Pract","language":"eng","note":"PMID: 24351464 \nPMCID: PMC3839356","page":"625-626","title":"Medically unexplained symptoms: evidence, guidelines, and beyond.","volume":"63","author":[{"family":"Olde Hartman","given":"Tim C."},{"family":"Woutersen-Koch","given":"Hèlen"},{"family":"Van der Horst","given":"Henriette E."}],"issued":{"date-parts":[["2013",12]]}}}],"schema":"https://github.com/citation-style-language/schema/raw/master/csl-citation.json"} </w:instrText>
      </w:r>
      <w:r w:rsidRPr="00D03260">
        <w:fldChar w:fldCharType="separate"/>
      </w:r>
      <w:r w:rsidRPr="00D03260">
        <w:rPr>
          <w:rFonts w:cs="Arial"/>
        </w:rPr>
        <w:t>(Olde Hartman et al., 2013)</w:t>
      </w:r>
      <w:r w:rsidRPr="00D03260">
        <w:fldChar w:fldCharType="end"/>
      </w:r>
      <w:r w:rsidRPr="00D03260">
        <w:t>.</w:t>
      </w:r>
      <w:hyperlink w:anchor="Table2" w:history="1">
        <w:r w:rsidRPr="00D03260">
          <w:rPr>
            <w:rStyle w:val="Hyperlink"/>
          </w:rPr>
          <w:t xml:space="preserve">Table </w:t>
        </w:r>
        <w:r w:rsidR="00002277" w:rsidRPr="00D03260">
          <w:rPr>
            <w:rStyle w:val="Hyperlink"/>
          </w:rPr>
          <w:t>3</w:t>
        </w:r>
      </w:hyperlink>
      <w:r w:rsidRPr="00D03260">
        <w:t xml:space="preserve"> </w:t>
      </w:r>
      <w:r w:rsidR="00A32DED" w:rsidRPr="00D03260">
        <w:t xml:space="preserve">overleaf </w:t>
      </w:r>
      <w:r w:rsidRPr="00D03260">
        <w:t>provides of the Stepped Care approach for</w:t>
      </w:r>
      <w:r w:rsidR="007531C6" w:rsidRPr="00D03260">
        <w:t xml:space="preserve"> managing</w:t>
      </w:r>
      <w:r w:rsidRPr="00D03260">
        <w:t xml:space="preserve"> MUS. </w:t>
      </w:r>
      <w:r w:rsidR="00CB1BAF" w:rsidRPr="00D03260">
        <w:br w:type="page"/>
      </w:r>
    </w:p>
    <w:p w14:paraId="4160BCCC" w14:textId="719EF311" w:rsidR="00CB1BAF" w:rsidRPr="00D03260" w:rsidRDefault="00A32DED" w:rsidP="001048FB">
      <w:pPr>
        <w:pStyle w:val="Caption"/>
      </w:pPr>
      <w:bookmarkStart w:id="324" w:name="Table2"/>
      <w:bookmarkStart w:id="325" w:name="_Toc125034710"/>
      <w:bookmarkEnd w:id="324"/>
      <w:r w:rsidRPr="00D03260">
        <w:t xml:space="preserve">Table </w:t>
      </w:r>
      <w:fldSimple w:instr=" SEQ Table \* ARABIC ">
        <w:r w:rsidR="0015383F" w:rsidRPr="00D03260">
          <w:rPr>
            <w:noProof/>
          </w:rPr>
          <w:t>3</w:t>
        </w:r>
      </w:fldSimple>
      <w:r w:rsidRPr="00D03260">
        <w:t>:</w:t>
      </w:r>
      <w:r w:rsidR="007927B1" w:rsidRPr="00D03260">
        <w:t xml:space="preserve"> </w:t>
      </w:r>
      <w:r w:rsidR="009D1095" w:rsidRPr="00D03260">
        <w:t xml:space="preserve">Overview of Stepped Care approach to managing </w:t>
      </w:r>
      <w:r w:rsidR="001918A2" w:rsidRPr="00D03260">
        <w:t>MUS</w:t>
      </w:r>
      <w:r w:rsidR="0075581D" w:rsidRPr="00D03260">
        <w:t xml:space="preserve"> </w:t>
      </w:r>
      <w:r w:rsidR="0075581D" w:rsidRPr="00D03260">
        <w:fldChar w:fldCharType="begin"/>
      </w:r>
      <w:r w:rsidR="00217980" w:rsidRPr="00D03260">
        <w:instrText xml:space="preserve"> ADDIN ZOTERO_ITEM CSL_CITATION {"citationID":"JN1h5vWR","properties":{"formattedCitation":"(Olde Hartman et al., 2013)","plainCitation":"(Olde Hartman et al., 2013)","noteIndex":0},"citationItems":[{"id":1185,"uris":["http://zotero.org/groups/4371185/items/Q8WNW9Y2"],"itemData":{"id":1185,"type":"article-journal","container-title":"The British journal of general practice : the journal of the Royal College of General Practitioners","DOI":"10.3399/bjgp13X675241","ISSN":"1478-5242 0960-1643","issue":"617","journalAbbreviation":"Br J Gen Pract","language":"eng","note":"PMID: 24351464 \nPMCID: PMC3839356","page":"625-626","title":"Medically unexplained symptoms: evidence, guidelines, and beyond.","volume":"63","author":[{"family":"Olde Hartman","given":"Tim C."},{"family":"Woutersen-Koch","given":"Hèlen"},{"family":"Van der Horst","given":"Henriette E."}],"issued":{"date-parts":[["2013",12]]}}}],"schema":"https://github.com/citation-style-language/schema/raw/master/csl-citation.json"} </w:instrText>
      </w:r>
      <w:r w:rsidR="0075581D" w:rsidRPr="00D03260">
        <w:fldChar w:fldCharType="separate"/>
      </w:r>
      <w:r w:rsidR="0075581D" w:rsidRPr="00D03260">
        <w:rPr>
          <w:rFonts w:cs="Arial"/>
        </w:rPr>
        <w:t>(Olde Hartman et al., 2013)</w:t>
      </w:r>
      <w:bookmarkEnd w:id="325"/>
      <w:r w:rsidR="0075581D" w:rsidRPr="00D03260">
        <w:fldChar w:fldCharType="end"/>
      </w:r>
    </w:p>
    <w:tbl>
      <w:tblPr>
        <w:tblStyle w:val="DepartmentofHealthtable"/>
        <w:tblW w:w="0" w:type="auto"/>
        <w:tblLook w:val="04A0" w:firstRow="1" w:lastRow="0" w:firstColumn="1" w:lastColumn="0" w:noHBand="0" w:noVBand="1"/>
        <w:tblDescription w:val="Add Alt Text describing the content of the table"/>
      </w:tblPr>
      <w:tblGrid>
        <w:gridCol w:w="9070"/>
      </w:tblGrid>
      <w:tr w:rsidR="00CB1BAF" w:rsidRPr="00D03260" w14:paraId="715642E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70" w:type="dxa"/>
          </w:tcPr>
          <w:p w14:paraId="3737C390" w14:textId="556725EC" w:rsidR="00CB1BAF" w:rsidRPr="00D03260" w:rsidRDefault="002A3128" w:rsidP="00F210B6">
            <w:pPr>
              <w:pStyle w:val="TableHeader"/>
              <w:rPr>
                <w:lang w:val="en-AU"/>
              </w:rPr>
            </w:pPr>
            <w:r w:rsidRPr="00D03260">
              <w:rPr>
                <w:lang w:val="en-AU"/>
              </w:rPr>
              <w:t>Step 1: For patients with mild functional limitations and who experience one or several symptoms</w:t>
            </w:r>
          </w:p>
        </w:tc>
      </w:tr>
      <w:tr w:rsidR="00CB1BAF" w:rsidRPr="00D03260" w14:paraId="18386D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15517EB9" w14:textId="6A8E3DA6" w:rsidR="00CB1BAF" w:rsidRPr="00D03260" w:rsidRDefault="009C25A0" w:rsidP="004C5975">
            <w:pPr>
              <w:pStyle w:val="Tabletextleft"/>
            </w:pPr>
            <w:r w:rsidRPr="00D03260">
              <w:t>For patients with mild functional limitations and who experience one or several symptoms:</w:t>
            </w:r>
          </w:p>
          <w:p w14:paraId="010D557B" w14:textId="378643E4" w:rsidR="00447EA1" w:rsidRPr="00D03260" w:rsidRDefault="00FD1AB6" w:rsidP="004C5975">
            <w:pPr>
              <w:pStyle w:val="Tablelistbullet"/>
              <w:ind w:left="284" w:hanging="284"/>
              <w:rPr>
                <w:lang w:val="en-AU"/>
              </w:rPr>
            </w:pPr>
            <w:r w:rsidRPr="00D03260">
              <w:rPr>
                <w:lang w:val="en-AU"/>
              </w:rPr>
              <w:t>E</w:t>
            </w:r>
            <w:r w:rsidR="00447EA1" w:rsidRPr="00D03260">
              <w:rPr>
                <w:lang w:val="en-AU"/>
              </w:rPr>
              <w:t>xplore symptoms, conduct physical examination and or additional investigations. List the symptoms</w:t>
            </w:r>
            <w:r w:rsidRPr="00D03260">
              <w:rPr>
                <w:lang w:val="en-AU"/>
              </w:rPr>
              <w:t>.</w:t>
            </w:r>
          </w:p>
          <w:p w14:paraId="7794FA51" w14:textId="34E75FB7" w:rsidR="00447EA1" w:rsidRPr="00D03260" w:rsidRDefault="00FD1AB6">
            <w:pPr>
              <w:pStyle w:val="Tablelistbullet"/>
              <w:ind w:left="284" w:hanging="284"/>
              <w:rPr>
                <w:lang w:val="en-AU"/>
              </w:rPr>
            </w:pPr>
            <w:r w:rsidRPr="00D03260">
              <w:rPr>
                <w:lang w:val="en-AU"/>
              </w:rPr>
              <w:t>S</w:t>
            </w:r>
            <w:r w:rsidR="00447EA1" w:rsidRPr="00D03260">
              <w:rPr>
                <w:lang w:val="en-AU"/>
              </w:rPr>
              <w:t>ummarise findings discussing clearly what was found and explicitly mentioning what was not found</w:t>
            </w:r>
            <w:r w:rsidRPr="00D03260">
              <w:rPr>
                <w:lang w:val="en-AU"/>
              </w:rPr>
              <w:t>.</w:t>
            </w:r>
          </w:p>
          <w:p w14:paraId="2953DCD4" w14:textId="625988E3" w:rsidR="00447EA1" w:rsidRPr="00D03260" w:rsidRDefault="00FD1AB6">
            <w:pPr>
              <w:pStyle w:val="Tablelistbullet"/>
              <w:ind w:left="284" w:hanging="284"/>
              <w:rPr>
                <w:lang w:val="en-AU"/>
              </w:rPr>
            </w:pPr>
            <w:r w:rsidRPr="00D03260">
              <w:rPr>
                <w:lang w:val="en-AU"/>
              </w:rPr>
              <w:t>T</w:t>
            </w:r>
            <w:r w:rsidR="00447EA1" w:rsidRPr="00D03260">
              <w:rPr>
                <w:lang w:val="en-AU"/>
              </w:rPr>
              <w:t xml:space="preserve">ry to reach a shared definition of the problem. It is important to </w:t>
            </w:r>
            <w:r w:rsidR="00402153" w:rsidRPr="00D03260">
              <w:rPr>
                <w:lang w:val="en-AU"/>
              </w:rPr>
              <w:t>recognise</w:t>
            </w:r>
            <w:r w:rsidR="00447EA1" w:rsidRPr="00D03260">
              <w:rPr>
                <w:lang w:val="en-AU"/>
              </w:rPr>
              <w:t xml:space="preserve"> the symptoms and the fact the patient is troubled by them. Explore and address anxieties and misconceptions. It is very important that the patient’s concerns are treated seriously and in a sensitive manner</w:t>
            </w:r>
            <w:r w:rsidRPr="00D03260">
              <w:rPr>
                <w:lang w:val="en-AU"/>
              </w:rPr>
              <w:t>.</w:t>
            </w:r>
          </w:p>
          <w:p w14:paraId="26DD70AD" w14:textId="576A99B6" w:rsidR="00CB1BAF" w:rsidRPr="00D03260" w:rsidRDefault="00FD1AB6">
            <w:pPr>
              <w:pStyle w:val="Tablelistbullet"/>
              <w:ind w:left="284" w:hanging="284"/>
              <w:rPr>
                <w:lang w:val="en-AU"/>
              </w:rPr>
            </w:pPr>
            <w:r w:rsidRPr="00D03260">
              <w:rPr>
                <w:lang w:val="en-AU"/>
              </w:rPr>
              <w:t>P</w:t>
            </w:r>
            <w:r w:rsidR="00447EA1" w:rsidRPr="00D03260">
              <w:rPr>
                <w:lang w:val="en-AU"/>
              </w:rPr>
              <w:t xml:space="preserve">rovide the patient with targeted and tangible information about ways to manage symptoms and an </w:t>
            </w:r>
            <w:r w:rsidR="001D2402" w:rsidRPr="00D03260">
              <w:rPr>
                <w:lang w:val="en-AU"/>
              </w:rPr>
              <w:t>i</w:t>
            </w:r>
            <w:r w:rsidR="00402833" w:rsidRPr="00D03260">
              <w:rPr>
                <w:lang w:val="en-AU"/>
              </w:rPr>
              <w:t>ndividuali</w:t>
            </w:r>
            <w:r w:rsidR="001D2402" w:rsidRPr="00D03260">
              <w:rPr>
                <w:lang w:val="en-AU"/>
              </w:rPr>
              <w:t>se</w:t>
            </w:r>
            <w:r w:rsidR="00402833" w:rsidRPr="00D03260">
              <w:rPr>
                <w:lang w:val="en-AU"/>
              </w:rPr>
              <w:t>d</w:t>
            </w:r>
            <w:r w:rsidR="00447EA1" w:rsidRPr="00D03260">
              <w:rPr>
                <w:lang w:val="en-AU"/>
              </w:rPr>
              <w:t xml:space="preserve"> care plan</w:t>
            </w:r>
            <w:r w:rsidR="00A32DED" w:rsidRPr="00D03260">
              <w:rPr>
                <w:lang w:val="en-AU"/>
              </w:rPr>
              <w:t>.</w:t>
            </w:r>
          </w:p>
        </w:tc>
      </w:tr>
      <w:tr w:rsidR="00FD5F71" w:rsidRPr="00D03260" w14:paraId="268E8CE8" w14:textId="77777777" w:rsidTr="00447E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shd w:val="clear" w:color="auto" w:fill="3F4A75"/>
          </w:tcPr>
          <w:p w14:paraId="0B506710" w14:textId="2462192D" w:rsidR="00FD5F71" w:rsidRPr="00D03260" w:rsidRDefault="00D02617" w:rsidP="00F210B6">
            <w:pPr>
              <w:pStyle w:val="TableHeader"/>
              <w:rPr>
                <w:lang w:val="en-AU"/>
              </w:rPr>
            </w:pPr>
            <w:r w:rsidRPr="00D03260">
              <w:rPr>
                <w:lang w:val="en-AU"/>
              </w:rPr>
              <w:t>Step 2: For patients with moderate functional limitations with several symptoms, cluster symptoms or a symptom duration longer than expected</w:t>
            </w:r>
          </w:p>
        </w:tc>
      </w:tr>
      <w:tr w:rsidR="00FD5F71" w:rsidRPr="00D03260" w14:paraId="023C9E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53ABEB4F" w14:textId="77777777" w:rsidR="00F36794" w:rsidRPr="00D03260" w:rsidRDefault="00F36794" w:rsidP="004C5975">
            <w:pPr>
              <w:pStyle w:val="Tabletextleft"/>
            </w:pPr>
            <w:r w:rsidRPr="00D03260">
              <w:t>For patients with moderate functional limitations with several symptoms, cluster symptoms or a symptom duration longer than expected:</w:t>
            </w:r>
          </w:p>
          <w:p w14:paraId="056F22B9" w14:textId="7B189CD7" w:rsidR="00F36794" w:rsidRPr="00D03260" w:rsidRDefault="00FD1AB6" w:rsidP="004C5975">
            <w:pPr>
              <w:pStyle w:val="Tablelistbullet"/>
              <w:ind w:left="284" w:hanging="284"/>
              <w:rPr>
                <w:lang w:val="en-AU"/>
              </w:rPr>
            </w:pPr>
            <w:r w:rsidRPr="00D03260">
              <w:rPr>
                <w:lang w:val="en-AU"/>
              </w:rPr>
              <w:t>C</w:t>
            </w:r>
            <w:r w:rsidR="00F36794" w:rsidRPr="00D03260">
              <w:rPr>
                <w:lang w:val="en-AU"/>
              </w:rPr>
              <w:t>ontinue GP led care as in Step 1 and if the patient is unable to expand his/her level of activity to an acceptable standard, refer to either primary or secondary care practitioners (e.g.</w:t>
            </w:r>
            <w:r w:rsidR="000800FF" w:rsidRPr="00D03260">
              <w:rPr>
                <w:lang w:val="en-AU"/>
              </w:rPr>
              <w:t>, </w:t>
            </w:r>
            <w:r w:rsidR="00F36794" w:rsidRPr="00D03260">
              <w:rPr>
                <w:lang w:val="en-AU"/>
              </w:rPr>
              <w:t>physiotherapy, nurse practitioners, specialist GPs, psychotherapy/CBT)</w:t>
            </w:r>
            <w:r w:rsidRPr="00D03260">
              <w:rPr>
                <w:lang w:val="en-AU"/>
              </w:rPr>
              <w:t>.</w:t>
            </w:r>
          </w:p>
          <w:p w14:paraId="1393D1B3" w14:textId="7A45CC1A" w:rsidR="00F36794" w:rsidRPr="00D03260" w:rsidRDefault="00FD1AB6">
            <w:pPr>
              <w:pStyle w:val="Tablelistbullet"/>
              <w:ind w:left="284" w:hanging="284"/>
              <w:rPr>
                <w:lang w:val="en-AU"/>
              </w:rPr>
            </w:pPr>
            <w:r w:rsidRPr="00D03260">
              <w:rPr>
                <w:lang w:val="en-AU"/>
              </w:rPr>
              <w:t>R</w:t>
            </w:r>
            <w:r w:rsidR="00F36794" w:rsidRPr="00D03260">
              <w:rPr>
                <w:lang w:val="en-AU"/>
              </w:rPr>
              <w:t>efer to secondary specialist services as required. Telehealth can be used where appropriate</w:t>
            </w:r>
            <w:r w:rsidRPr="00D03260">
              <w:rPr>
                <w:lang w:val="en-AU"/>
              </w:rPr>
              <w:t>.</w:t>
            </w:r>
          </w:p>
          <w:p w14:paraId="45C06DAF" w14:textId="62B40624" w:rsidR="00FD5F71" w:rsidRPr="00D03260" w:rsidRDefault="00FD1AB6">
            <w:pPr>
              <w:pStyle w:val="Tablelistbullet"/>
              <w:ind w:left="284" w:hanging="284"/>
              <w:rPr>
                <w:lang w:val="en-AU"/>
              </w:rPr>
            </w:pPr>
            <w:r w:rsidRPr="00D03260">
              <w:rPr>
                <w:lang w:val="en-AU"/>
              </w:rPr>
              <w:t>M</w:t>
            </w:r>
            <w:r w:rsidR="00F36794" w:rsidRPr="00D03260">
              <w:rPr>
                <w:lang w:val="en-AU"/>
              </w:rPr>
              <w:t>ake regular follow-up appointments if functional limitation persists (e.g.</w:t>
            </w:r>
            <w:r w:rsidR="000800FF" w:rsidRPr="00D03260">
              <w:rPr>
                <w:lang w:val="en-AU"/>
              </w:rPr>
              <w:t>,</w:t>
            </w:r>
            <w:r w:rsidR="00F36794" w:rsidRPr="00D03260">
              <w:rPr>
                <w:lang w:val="en-AU"/>
              </w:rPr>
              <w:t xml:space="preserve"> every </w:t>
            </w:r>
            <w:r w:rsidR="000800FF" w:rsidRPr="00D03260">
              <w:rPr>
                <w:lang w:val="en-AU"/>
              </w:rPr>
              <w:t>four to six</w:t>
            </w:r>
            <w:r w:rsidR="00F36794" w:rsidRPr="00D03260">
              <w:rPr>
                <w:lang w:val="en-AU"/>
              </w:rPr>
              <w:t xml:space="preserve"> weeks).</w:t>
            </w:r>
          </w:p>
        </w:tc>
      </w:tr>
      <w:tr w:rsidR="00447EA1" w:rsidRPr="00D03260" w14:paraId="42A9320B" w14:textId="77777777" w:rsidTr="00626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shd w:val="clear" w:color="auto" w:fill="3F4A75"/>
          </w:tcPr>
          <w:p w14:paraId="01916A57" w14:textId="2B5A9468" w:rsidR="00447EA1" w:rsidRPr="00D03260" w:rsidRDefault="006263B8" w:rsidP="00F210B6">
            <w:pPr>
              <w:pStyle w:val="TableHeader"/>
              <w:rPr>
                <w:lang w:val="en-AU"/>
              </w:rPr>
            </w:pPr>
            <w:r w:rsidRPr="00D03260">
              <w:rPr>
                <w:lang w:val="en-AU"/>
              </w:rPr>
              <w:t xml:space="preserve">Step 3: For patients with severe functional limitations and </w:t>
            </w:r>
            <w:proofErr w:type="gramStart"/>
            <w:r w:rsidRPr="00D03260">
              <w:rPr>
                <w:lang w:val="en-AU"/>
              </w:rPr>
              <w:t>a large number of</w:t>
            </w:r>
            <w:proofErr w:type="gramEnd"/>
            <w:r w:rsidRPr="00D03260">
              <w:rPr>
                <w:lang w:val="en-AU"/>
              </w:rPr>
              <w:t xml:space="preserve"> symptoms and duration of </w:t>
            </w:r>
            <w:r w:rsidR="00606C45" w:rsidRPr="00D03260">
              <w:rPr>
                <w:lang w:val="en-AU"/>
              </w:rPr>
              <w:t>three</w:t>
            </w:r>
            <w:r w:rsidRPr="00D03260">
              <w:rPr>
                <w:lang w:val="en-AU"/>
              </w:rPr>
              <w:t xml:space="preserve"> months or more</w:t>
            </w:r>
          </w:p>
        </w:tc>
      </w:tr>
      <w:tr w:rsidR="00447EA1" w:rsidRPr="00D03260" w14:paraId="2618A7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tcPr>
          <w:p w14:paraId="7181329A" w14:textId="4CFC3305" w:rsidR="00437EC7" w:rsidRPr="00D03260" w:rsidRDefault="00437EC7" w:rsidP="004C5975">
            <w:pPr>
              <w:pStyle w:val="Tabletextleft"/>
            </w:pPr>
            <w:r w:rsidRPr="00D03260">
              <w:t xml:space="preserve">For patients with severe functional limitations and </w:t>
            </w:r>
            <w:proofErr w:type="gramStart"/>
            <w:r w:rsidRPr="00D03260">
              <w:t>a large number of</w:t>
            </w:r>
            <w:proofErr w:type="gramEnd"/>
            <w:r w:rsidRPr="00D03260">
              <w:t xml:space="preserve"> symptoms and duration of </w:t>
            </w:r>
            <w:r w:rsidR="00606C45" w:rsidRPr="00D03260">
              <w:t>three</w:t>
            </w:r>
            <w:r w:rsidRPr="00D03260">
              <w:t xml:space="preserve"> months or more:</w:t>
            </w:r>
          </w:p>
          <w:p w14:paraId="047F4233" w14:textId="1BF383BD" w:rsidR="00437EC7" w:rsidRPr="00D03260" w:rsidRDefault="00FD1AB6" w:rsidP="004C5975">
            <w:pPr>
              <w:pStyle w:val="Tablelistbullet"/>
              <w:ind w:left="284" w:hanging="284"/>
              <w:rPr>
                <w:lang w:val="en-AU"/>
              </w:rPr>
            </w:pPr>
            <w:r w:rsidRPr="00D03260">
              <w:rPr>
                <w:lang w:val="en-AU"/>
              </w:rPr>
              <w:t>R</w:t>
            </w:r>
            <w:r w:rsidR="00437EC7" w:rsidRPr="00D03260">
              <w:rPr>
                <w:lang w:val="en-AU"/>
              </w:rPr>
              <w:t>efer to secondary, tertiary care providers and or multi-disciplinary teams or treatment centres</w:t>
            </w:r>
            <w:r w:rsidRPr="00D03260">
              <w:rPr>
                <w:lang w:val="en-AU"/>
              </w:rPr>
              <w:t>.</w:t>
            </w:r>
          </w:p>
          <w:p w14:paraId="211B4292" w14:textId="68119C16" w:rsidR="00437EC7" w:rsidRPr="00D03260" w:rsidRDefault="00FD1AB6">
            <w:pPr>
              <w:pStyle w:val="Tablelistbullet"/>
              <w:ind w:left="284" w:hanging="284"/>
              <w:rPr>
                <w:lang w:val="en-AU"/>
              </w:rPr>
            </w:pPr>
            <w:r w:rsidRPr="00D03260">
              <w:rPr>
                <w:lang w:val="en-AU"/>
              </w:rPr>
              <w:t>C</w:t>
            </w:r>
            <w:r w:rsidR="00437EC7" w:rsidRPr="00D03260">
              <w:rPr>
                <w:lang w:val="en-AU"/>
              </w:rPr>
              <w:t>ontinue to stimulate the expansion of the patient’s functioning and monitor for deterioration in function</w:t>
            </w:r>
            <w:r w:rsidRPr="00D03260">
              <w:rPr>
                <w:lang w:val="en-AU"/>
              </w:rPr>
              <w:t>.</w:t>
            </w:r>
          </w:p>
          <w:p w14:paraId="2DD59CAD" w14:textId="069DDB33" w:rsidR="00437EC7" w:rsidRPr="00D03260" w:rsidRDefault="00FD1AB6">
            <w:pPr>
              <w:pStyle w:val="Tablelistbullet"/>
              <w:ind w:left="284" w:hanging="284"/>
              <w:rPr>
                <w:lang w:val="en-AU"/>
              </w:rPr>
            </w:pPr>
            <w:r w:rsidRPr="00D03260">
              <w:rPr>
                <w:lang w:val="en-AU"/>
              </w:rPr>
              <w:t>I</w:t>
            </w:r>
            <w:r w:rsidR="00437EC7" w:rsidRPr="00D03260">
              <w:rPr>
                <w:lang w:val="en-AU"/>
              </w:rPr>
              <w:t>t is important that one care provider, ideally a GP, coordinates the care provided</w:t>
            </w:r>
            <w:r w:rsidRPr="00D03260">
              <w:rPr>
                <w:lang w:val="en-AU"/>
              </w:rPr>
              <w:t>.</w:t>
            </w:r>
          </w:p>
          <w:p w14:paraId="76E8772E" w14:textId="70EEF9E2" w:rsidR="00437EC7" w:rsidRPr="00D03260" w:rsidRDefault="00FD1AB6">
            <w:pPr>
              <w:pStyle w:val="Tablelistbullet"/>
              <w:ind w:left="284" w:hanging="284"/>
              <w:rPr>
                <w:lang w:val="en-AU"/>
              </w:rPr>
            </w:pPr>
            <w:r w:rsidRPr="00D03260">
              <w:rPr>
                <w:lang w:val="en-AU"/>
              </w:rPr>
              <w:t>L</w:t>
            </w:r>
            <w:r w:rsidR="00437EC7" w:rsidRPr="00D03260">
              <w:rPr>
                <w:lang w:val="en-AU"/>
              </w:rPr>
              <w:t>imit long term treatments and investigations that are not useful and may even be harmful</w:t>
            </w:r>
            <w:r w:rsidRPr="00D03260">
              <w:rPr>
                <w:lang w:val="en-AU"/>
              </w:rPr>
              <w:t>.</w:t>
            </w:r>
          </w:p>
          <w:p w14:paraId="6FF1B0CD" w14:textId="1AF54273" w:rsidR="00447EA1" w:rsidRPr="00D03260" w:rsidRDefault="00FD1AB6">
            <w:pPr>
              <w:pStyle w:val="Tablelistbullet"/>
              <w:ind w:left="284" w:hanging="284"/>
              <w:rPr>
                <w:lang w:val="en-AU"/>
              </w:rPr>
            </w:pPr>
            <w:r w:rsidRPr="00D03260">
              <w:rPr>
                <w:lang w:val="en-AU"/>
              </w:rPr>
              <w:t>M</w:t>
            </w:r>
            <w:r w:rsidR="00437EC7" w:rsidRPr="00D03260">
              <w:rPr>
                <w:lang w:val="en-AU"/>
              </w:rPr>
              <w:t>ake regular follow-up appointments during treatment (e.g.</w:t>
            </w:r>
            <w:r w:rsidR="000800FF" w:rsidRPr="00D03260">
              <w:rPr>
                <w:lang w:val="en-AU"/>
              </w:rPr>
              <w:t>,</w:t>
            </w:r>
            <w:r w:rsidR="00437EC7" w:rsidRPr="00D03260">
              <w:rPr>
                <w:lang w:val="en-AU"/>
              </w:rPr>
              <w:t xml:space="preserve"> </w:t>
            </w:r>
            <w:r w:rsidR="000800FF" w:rsidRPr="00D03260">
              <w:rPr>
                <w:lang w:val="en-AU"/>
              </w:rPr>
              <w:t>four to six</w:t>
            </w:r>
            <w:r w:rsidR="00437EC7" w:rsidRPr="00D03260">
              <w:rPr>
                <w:lang w:val="en-AU"/>
              </w:rPr>
              <w:t xml:space="preserve"> weeks).</w:t>
            </w:r>
          </w:p>
        </w:tc>
      </w:tr>
    </w:tbl>
    <w:p w14:paraId="066DDF13" w14:textId="4BACB7E7" w:rsidR="00990570" w:rsidRPr="00D03260" w:rsidRDefault="00990570" w:rsidP="00990570">
      <w:r w:rsidRPr="00D03260">
        <w:br w:type="page"/>
      </w:r>
    </w:p>
    <w:p w14:paraId="5726ED82" w14:textId="447C032A" w:rsidR="00437EC7" w:rsidRPr="00D03260" w:rsidRDefault="00990570" w:rsidP="00AF1EFC">
      <w:pPr>
        <w:pStyle w:val="NumberedHeading1"/>
        <w:ind w:left="360"/>
      </w:pPr>
      <w:bookmarkStart w:id="326" w:name="_Toc121329200"/>
      <w:bookmarkStart w:id="327" w:name="_Toc141885937"/>
      <w:r w:rsidRPr="00D03260">
        <w:t>Ongoing management</w:t>
      </w:r>
      <w:bookmarkEnd w:id="326"/>
      <w:bookmarkEnd w:id="327"/>
    </w:p>
    <w:p w14:paraId="191F621F" w14:textId="19725766" w:rsidR="004441B7" w:rsidRPr="00D03260" w:rsidRDefault="003C3098" w:rsidP="00AF1EFC">
      <w:pPr>
        <w:pStyle w:val="NumberedHeading2"/>
        <w:numPr>
          <w:ilvl w:val="0"/>
          <w:numId w:val="0"/>
        </w:numPr>
      </w:pPr>
      <w:bookmarkStart w:id="328" w:name="_Toc121329201"/>
      <w:bookmarkStart w:id="329" w:name="_Toc141885938"/>
      <w:r w:rsidRPr="00D03260">
        <w:t>7.1.</w:t>
      </w:r>
      <w:r w:rsidRPr="00D03260">
        <w:tab/>
      </w:r>
      <w:r w:rsidR="004441B7" w:rsidRPr="00D03260">
        <w:t>Asthma, respiratory and allergic conditions</w:t>
      </w:r>
      <w:bookmarkEnd w:id="328"/>
      <w:bookmarkEnd w:id="329"/>
    </w:p>
    <w:p w14:paraId="5198D69C" w14:textId="2FEB8AFD" w:rsidR="00CB1BAF" w:rsidRPr="00D03260" w:rsidRDefault="003C3098" w:rsidP="00AF1EFC">
      <w:pPr>
        <w:pStyle w:val="NumberedHeading3"/>
        <w:numPr>
          <w:ilvl w:val="0"/>
          <w:numId w:val="0"/>
        </w:numPr>
      </w:pPr>
      <w:bookmarkStart w:id="330" w:name="_Toc121329202"/>
      <w:bookmarkStart w:id="331" w:name="_Toc141885939"/>
      <w:r w:rsidRPr="00D03260">
        <w:t>7.1.1.</w:t>
      </w:r>
      <w:r w:rsidRPr="00D03260">
        <w:tab/>
      </w:r>
      <w:bookmarkStart w:id="332" w:name="Section711Asthma"/>
      <w:bookmarkEnd w:id="332"/>
      <w:r w:rsidR="0056419F" w:rsidRPr="00D03260">
        <w:t>Asthma</w:t>
      </w:r>
      <w:bookmarkEnd w:id="330"/>
      <w:bookmarkEnd w:id="331"/>
    </w:p>
    <w:p w14:paraId="3E2EEBBB" w14:textId="6D1AC436" w:rsidR="00D811CF" w:rsidRPr="00D03260" w:rsidRDefault="007F0CFD" w:rsidP="007F0CFD">
      <w:r w:rsidRPr="00D03260">
        <w:t xml:space="preserve">Follow the Australian Asthma Handbook </w:t>
      </w:r>
      <w:r w:rsidR="009B45A7" w:rsidRPr="00D03260">
        <w:fldChar w:fldCharType="begin"/>
      </w:r>
      <w:r w:rsidR="00217980" w:rsidRPr="00D03260">
        <w:instrText xml:space="preserve"> ADDIN ZOTERO_ITEM CSL_CITATION {"citationID":"srlIDcNf","properties":{"formattedCitation":"(National Asthma Council Australia, 2022)","plainCitation":"(National Asthma Council Australia, 2022)","noteIndex":0},"citationItems":[{"id":4705,"uris":["http://zotero.org/groups/4371185/items/5Y5IQIDN"],"itemData":{"id":4705,"type":"document","publisher":"National Asthma Council Australia, Melbourne","title":"Australian Asthma Handbook- Version 2.2","URL":"http://www.asthmahandbook.org.au","author":[{"family":"National Asthma Council Australia","given":""}],"issued":{"date-parts":[["2022"]]}}}],"schema":"https://github.com/citation-style-language/schema/raw/master/csl-citation.json"} </w:instrText>
      </w:r>
      <w:r w:rsidR="009B45A7" w:rsidRPr="00D03260">
        <w:fldChar w:fldCharType="separate"/>
      </w:r>
      <w:r w:rsidR="009B45A7" w:rsidRPr="00D03260">
        <w:rPr>
          <w:rFonts w:cs="Arial"/>
        </w:rPr>
        <w:t>(National Asthma Council Australia, 2022)</w:t>
      </w:r>
      <w:r w:rsidR="009B45A7" w:rsidRPr="00D03260">
        <w:fldChar w:fldCharType="end"/>
      </w:r>
      <w:r w:rsidR="00617A7A" w:rsidRPr="00D03260">
        <w:t xml:space="preserve"> </w:t>
      </w:r>
      <w:r w:rsidRPr="00D03260">
        <w:t>for managing asthma in</w:t>
      </w:r>
      <w:r w:rsidR="00D811CF" w:rsidRPr="00D03260">
        <w:t>:</w:t>
      </w:r>
    </w:p>
    <w:p w14:paraId="5104666A" w14:textId="46FE9D11" w:rsidR="007927B1" w:rsidRPr="00D03260" w:rsidRDefault="00402833" w:rsidP="007927B1">
      <w:pPr>
        <w:pStyle w:val="ListBullet"/>
      </w:pPr>
      <w:r w:rsidRPr="00D03260">
        <w:t>a</w:t>
      </w:r>
      <w:r w:rsidR="007F0CFD" w:rsidRPr="00D03260">
        <w:t>dults, including ongoing management and management of flare ups</w:t>
      </w:r>
      <w:r w:rsidRPr="00D03260">
        <w:t>;</w:t>
      </w:r>
      <w:r w:rsidR="007F0CFD" w:rsidRPr="00D03260">
        <w:t xml:space="preserve"> </w:t>
      </w:r>
      <w:hyperlink r:id="rId76" w:history="1">
        <w:r w:rsidR="000A4204" w:rsidRPr="00D03260">
          <w:rPr>
            <w:rStyle w:val="Hyperlink"/>
          </w:rPr>
          <w:t>https://www.asthmahandbook.org.au/management/adults</w:t>
        </w:r>
      </w:hyperlink>
    </w:p>
    <w:p w14:paraId="0D9BA703" w14:textId="30DC7D8D" w:rsidR="007F0CFD" w:rsidRPr="00D03260" w:rsidRDefault="00402833" w:rsidP="00231C8A">
      <w:pPr>
        <w:pStyle w:val="ListBullet"/>
      </w:pPr>
      <w:r w:rsidRPr="00D03260">
        <w:t>a</w:t>
      </w:r>
      <w:r w:rsidR="00D811CF" w:rsidRPr="00D03260">
        <w:t>dolescents</w:t>
      </w:r>
      <w:r w:rsidRPr="00D03260">
        <w:t>;</w:t>
      </w:r>
      <w:r w:rsidR="00D811CF" w:rsidRPr="00D03260">
        <w:t xml:space="preserve"> </w:t>
      </w:r>
      <w:hyperlink r:id="rId77" w:history="1">
        <w:r w:rsidR="00093EA4" w:rsidRPr="00D03260">
          <w:rPr>
            <w:rStyle w:val="Hyperlink"/>
          </w:rPr>
          <w:t>https://www.asthmahandbook.org.au/management/adolescents</w:t>
        </w:r>
      </w:hyperlink>
    </w:p>
    <w:p w14:paraId="59515885" w14:textId="15C9650A" w:rsidR="001036B7" w:rsidRPr="00D03260" w:rsidRDefault="00402833" w:rsidP="001036B7">
      <w:pPr>
        <w:pStyle w:val="ListBullet"/>
      </w:pPr>
      <w:r w:rsidRPr="00D03260">
        <w:t>c</w:t>
      </w:r>
      <w:r w:rsidR="00056CB2" w:rsidRPr="00D03260">
        <w:t>hildren</w:t>
      </w:r>
      <w:r w:rsidRPr="00D03260">
        <w:t>;</w:t>
      </w:r>
      <w:r w:rsidR="00056CB2" w:rsidRPr="00D03260">
        <w:t xml:space="preserve"> </w:t>
      </w:r>
      <w:hyperlink r:id="rId78" w:history="1">
        <w:r w:rsidR="00056CB2" w:rsidRPr="00D03260">
          <w:rPr>
            <w:rStyle w:val="Hyperlink"/>
          </w:rPr>
          <w:t>https://www.asthmahandbook.org.au/management/children</w:t>
        </w:r>
      </w:hyperlink>
      <w:r w:rsidR="00A32DED" w:rsidRPr="00D03260">
        <w:rPr>
          <w:lang w:eastAsia="en-NZ"/>
        </w:rPr>
        <w:t>.</w:t>
      </w:r>
    </w:p>
    <w:p w14:paraId="1F7AB91A" w14:textId="66A320A7" w:rsidR="001036B7" w:rsidRPr="00D03260" w:rsidRDefault="009718B4" w:rsidP="001036B7">
      <w:pPr>
        <w:pStyle w:val="BodyText"/>
        <w:rPr>
          <w:rStyle w:val="Strong"/>
        </w:rPr>
      </w:pPr>
      <w:r w:rsidRPr="00D03260">
        <w:rPr>
          <w:rStyle w:val="Strong"/>
        </w:rPr>
        <w:t>General principles of asthma treatment in childre</w:t>
      </w:r>
      <w:r w:rsidR="001036B7" w:rsidRPr="00D03260">
        <w:rPr>
          <w:rStyle w:val="Strong"/>
        </w:rPr>
        <w:t>n</w:t>
      </w:r>
      <w:r w:rsidR="00C07C0D" w:rsidRPr="00D03260">
        <w:rPr>
          <w:rStyle w:val="Strong"/>
        </w:rPr>
        <w:t xml:space="preserve"> </w:t>
      </w:r>
      <w:r w:rsidR="00C90F61" w:rsidRPr="00D03260">
        <w:rPr>
          <w:rStyle w:val="Strong"/>
        </w:rPr>
        <w:t>as per the Australian Asthma Handbook are:</w:t>
      </w:r>
    </w:p>
    <w:p w14:paraId="0353AE76" w14:textId="4BC5901B" w:rsidR="009718B4" w:rsidRPr="00D03260" w:rsidRDefault="009718B4" w:rsidP="001036B7">
      <w:pPr>
        <w:pStyle w:val="ListBullet"/>
      </w:pPr>
      <w:r w:rsidRPr="00D03260">
        <w:rPr>
          <w:lang w:eastAsia="en-NZ"/>
        </w:rPr>
        <w:t>Aim for good control of asthma symptoms</w:t>
      </w:r>
      <w:r w:rsidR="00E11188" w:rsidRPr="00D03260">
        <w:rPr>
          <w:lang w:eastAsia="en-NZ"/>
        </w:rPr>
        <w:t>.</w:t>
      </w:r>
    </w:p>
    <w:p w14:paraId="3C589A97" w14:textId="324DEE60" w:rsidR="009718B4" w:rsidRPr="00D03260" w:rsidRDefault="009718B4" w:rsidP="00231C8A">
      <w:pPr>
        <w:pStyle w:val="ListBullet"/>
        <w:rPr>
          <w:lang w:eastAsia="en-NZ"/>
        </w:rPr>
      </w:pPr>
      <w:r w:rsidRPr="00D03260">
        <w:rPr>
          <w:lang w:eastAsia="en-NZ"/>
        </w:rPr>
        <w:t>Try to identify what triggers asthma symptoms (e.g.</w:t>
      </w:r>
      <w:r w:rsidR="000800FF" w:rsidRPr="00D03260">
        <w:rPr>
          <w:lang w:eastAsia="en-NZ"/>
        </w:rPr>
        <w:t>,</w:t>
      </w:r>
      <w:r w:rsidRPr="00D03260">
        <w:rPr>
          <w:lang w:eastAsia="en-NZ"/>
        </w:rPr>
        <w:t xml:space="preserve"> allergens).</w:t>
      </w:r>
    </w:p>
    <w:p w14:paraId="2E2F75C4" w14:textId="5C2212D0" w:rsidR="009718B4" w:rsidRPr="00D03260" w:rsidRDefault="009718B4" w:rsidP="00231C8A">
      <w:pPr>
        <w:pStyle w:val="ListBullet"/>
        <w:rPr>
          <w:lang w:eastAsia="en-NZ"/>
        </w:rPr>
      </w:pPr>
      <w:r w:rsidRPr="00D03260">
        <w:rPr>
          <w:lang w:eastAsia="en-NZ"/>
        </w:rPr>
        <w:t>Manage comorbid conditions that affect asthma (e.g.</w:t>
      </w:r>
      <w:r w:rsidR="000800FF" w:rsidRPr="00D03260">
        <w:rPr>
          <w:lang w:eastAsia="en-NZ"/>
        </w:rPr>
        <w:t>,</w:t>
      </w:r>
      <w:r w:rsidRPr="00D03260">
        <w:rPr>
          <w:lang w:eastAsia="en-NZ"/>
        </w:rPr>
        <w:t xml:space="preserve"> allergic rhinitis).</w:t>
      </w:r>
    </w:p>
    <w:p w14:paraId="6DC5A1B0" w14:textId="77777777" w:rsidR="009718B4" w:rsidRPr="00D03260" w:rsidRDefault="009718B4" w:rsidP="00231C8A">
      <w:pPr>
        <w:pStyle w:val="ListBullet"/>
        <w:rPr>
          <w:lang w:eastAsia="en-NZ"/>
        </w:rPr>
      </w:pPr>
      <w:r w:rsidRPr="00D03260">
        <w:rPr>
          <w:lang w:eastAsia="en-NZ"/>
        </w:rPr>
        <w:t>Show parents and children (if old enough) when and how to take reliever medicine.</w:t>
      </w:r>
    </w:p>
    <w:p w14:paraId="51D8D3B3" w14:textId="77777777" w:rsidR="009718B4" w:rsidRPr="00D03260" w:rsidRDefault="009718B4" w:rsidP="00231C8A">
      <w:pPr>
        <w:pStyle w:val="ListBullet"/>
        <w:rPr>
          <w:lang w:eastAsia="en-NZ"/>
        </w:rPr>
      </w:pPr>
      <w:r w:rsidRPr="00D03260">
        <w:rPr>
          <w:lang w:eastAsia="en-NZ"/>
        </w:rPr>
        <w:t>Monitor regularly and adjust the treatment regimen to maintain good control of symptoms and prevent flare-ups, while minimising the dose of inhaled corticosteroids (if needed).</w:t>
      </w:r>
    </w:p>
    <w:p w14:paraId="063E5020" w14:textId="77777777" w:rsidR="009718B4" w:rsidRPr="00D03260" w:rsidRDefault="009718B4" w:rsidP="00305E12">
      <w:pPr>
        <w:rPr>
          <w:lang w:eastAsia="en-NZ"/>
        </w:rPr>
      </w:pPr>
      <w:r w:rsidRPr="00D03260">
        <w:rPr>
          <w:lang w:eastAsia="en-NZ"/>
        </w:rPr>
        <w:t>Provide parents/carers and children with information and skills to manage their asthma, including:</w:t>
      </w:r>
    </w:p>
    <w:p w14:paraId="1F9483CA" w14:textId="77777777" w:rsidR="009718B4" w:rsidRPr="00D03260" w:rsidRDefault="009718B4" w:rsidP="00231C8A">
      <w:pPr>
        <w:pStyle w:val="ListBullet"/>
        <w:rPr>
          <w:lang w:eastAsia="en-NZ"/>
        </w:rPr>
      </w:pPr>
      <w:r w:rsidRPr="00D03260">
        <w:rPr>
          <w:lang w:eastAsia="en-NZ"/>
        </w:rPr>
        <w:t>a written asthma action plan to follow when symptoms worsen</w:t>
      </w:r>
    </w:p>
    <w:p w14:paraId="1F909DA6" w14:textId="708F1CA9" w:rsidR="009718B4" w:rsidRPr="00D03260" w:rsidRDefault="009718B4" w:rsidP="00231C8A">
      <w:pPr>
        <w:pStyle w:val="ListBullet"/>
        <w:rPr>
          <w:lang w:eastAsia="en-NZ"/>
        </w:rPr>
      </w:pPr>
      <w:r w:rsidRPr="00D03260">
        <w:rPr>
          <w:lang w:eastAsia="en-NZ"/>
        </w:rPr>
        <w:t>information about reducing exposure to triggers, where appropriate (e.g.</w:t>
      </w:r>
      <w:r w:rsidR="000800FF" w:rsidRPr="00D03260">
        <w:rPr>
          <w:lang w:eastAsia="en-NZ"/>
        </w:rPr>
        <w:t>,</w:t>
      </w:r>
      <w:r w:rsidRPr="00D03260">
        <w:rPr>
          <w:lang w:eastAsia="en-NZ"/>
        </w:rPr>
        <w:t xml:space="preserve"> all tobacco smoke, but allergens only when likely to be helpful and cost-effective)</w:t>
      </w:r>
    </w:p>
    <w:p w14:paraId="09FCA4CD" w14:textId="77777777" w:rsidR="009718B4" w:rsidRPr="00D03260" w:rsidRDefault="009718B4" w:rsidP="00231C8A">
      <w:pPr>
        <w:pStyle w:val="ListBullet"/>
        <w:rPr>
          <w:lang w:eastAsia="en-NZ"/>
        </w:rPr>
      </w:pPr>
      <w:r w:rsidRPr="00D03260">
        <w:rPr>
          <w:lang w:eastAsia="en-NZ"/>
        </w:rPr>
        <w:t>training in correct use of medicines, including inhaler technique</w:t>
      </w:r>
    </w:p>
    <w:p w14:paraId="3C4B087E" w14:textId="77777777" w:rsidR="009718B4" w:rsidRPr="00D03260" w:rsidRDefault="009718B4" w:rsidP="00231C8A">
      <w:pPr>
        <w:pStyle w:val="ListBullet"/>
        <w:rPr>
          <w:lang w:eastAsia="en-NZ"/>
        </w:rPr>
      </w:pPr>
      <w:r w:rsidRPr="00D03260">
        <w:rPr>
          <w:lang w:eastAsia="en-NZ"/>
        </w:rPr>
        <w:t>information and support to maximise adherence.</w:t>
      </w:r>
    </w:p>
    <w:p w14:paraId="2762E772" w14:textId="73383A18" w:rsidR="007F0CFD" w:rsidRPr="00D03260" w:rsidRDefault="009718B4" w:rsidP="00231C8A">
      <w:pPr>
        <w:pStyle w:val="ListBullet"/>
        <w:rPr>
          <w:lang w:eastAsia="en-NZ"/>
        </w:rPr>
      </w:pPr>
      <w:r w:rsidRPr="00D03260">
        <w:rPr>
          <w:lang w:eastAsia="en-NZ"/>
        </w:rPr>
        <w:t xml:space="preserve">advice about avoidance of tobacco smoke, healthy eating, physical activity, healthy </w:t>
      </w:r>
      <w:proofErr w:type="gramStart"/>
      <w:r w:rsidRPr="00D03260">
        <w:rPr>
          <w:lang w:eastAsia="en-NZ"/>
        </w:rPr>
        <w:t>weight</w:t>
      </w:r>
      <w:proofErr w:type="gramEnd"/>
      <w:r w:rsidRPr="00D03260">
        <w:rPr>
          <w:lang w:eastAsia="en-NZ"/>
        </w:rPr>
        <w:t xml:space="preserve"> and immunisation.</w:t>
      </w:r>
    </w:p>
    <w:p w14:paraId="1855D396" w14:textId="002CD469" w:rsidR="007F0CFD" w:rsidRPr="00D03260" w:rsidRDefault="007F0CFD" w:rsidP="007F0CFD">
      <w:r w:rsidRPr="00D03260">
        <w:t xml:space="preserve">If symptoms have </w:t>
      </w:r>
      <w:r w:rsidR="00D60BB6" w:rsidRPr="00D03260">
        <w:t>stabilised/</w:t>
      </w:r>
      <w:r w:rsidRPr="00D03260">
        <w:t xml:space="preserve">resolved, the patient exits the </w:t>
      </w:r>
      <w:r w:rsidR="0072200D" w:rsidRPr="00D03260">
        <w:t>Biotoxins (</w:t>
      </w:r>
      <w:r w:rsidR="00CB03E2" w:rsidRPr="00D03260">
        <w:t>i</w:t>
      </w:r>
      <w:r w:rsidR="0072200D" w:rsidRPr="00D03260">
        <w:t xml:space="preserve">ndoor damp and mould) </w:t>
      </w:r>
      <w:r w:rsidRPr="00D03260">
        <w:t>Clinical Pathway.</w:t>
      </w:r>
    </w:p>
    <w:p w14:paraId="2FA2ECCC" w14:textId="1C73CFE3" w:rsidR="007F0CFD" w:rsidRPr="00D03260" w:rsidRDefault="007F0CFD" w:rsidP="007F0CFD">
      <w:r w:rsidRPr="00D03260">
        <w:t>If symptoms persist, consider alternative diagnoses</w:t>
      </w:r>
      <w:r w:rsidR="00207AF5" w:rsidRPr="00D03260">
        <w:t xml:space="preserve"> (s</w:t>
      </w:r>
      <w:r w:rsidR="00104378" w:rsidRPr="00D03260">
        <w:t xml:space="preserve">ee </w:t>
      </w:r>
      <w:hyperlink w:anchor="Section34PatientsPresentingWithPersisten" w:history="1">
        <w:r w:rsidR="00207AF5" w:rsidRPr="00D03260">
          <w:rPr>
            <w:rStyle w:val="Hyperlink"/>
          </w:rPr>
          <w:t>s</w:t>
        </w:r>
        <w:r w:rsidR="00104378" w:rsidRPr="00D03260">
          <w:rPr>
            <w:rStyle w:val="Hyperlink"/>
          </w:rPr>
          <w:t>ection 3.4</w:t>
        </w:r>
      </w:hyperlink>
      <w:r w:rsidR="00104378" w:rsidRPr="00D03260">
        <w:t xml:space="preserve"> </w:t>
      </w:r>
      <w:r w:rsidR="00C05701" w:rsidRPr="00D03260">
        <w:t xml:space="preserve">for further details </w:t>
      </w:r>
      <w:r w:rsidR="00104378" w:rsidRPr="00D03260">
        <w:t>on ‘Patients presenting with persistent debilitating symptoms and no diagnosis’</w:t>
      </w:r>
      <w:r w:rsidR="00C05701" w:rsidRPr="00D03260">
        <w:t>)</w:t>
      </w:r>
      <w:r w:rsidR="00104378" w:rsidRPr="00D03260">
        <w:t>.</w:t>
      </w:r>
    </w:p>
    <w:p w14:paraId="2E30500A" w14:textId="5A53B39B" w:rsidR="000A39D5" w:rsidRPr="00D03260" w:rsidRDefault="003C3098" w:rsidP="00AF1EFC">
      <w:pPr>
        <w:pStyle w:val="NumberedHeading3"/>
        <w:numPr>
          <w:ilvl w:val="0"/>
          <w:numId w:val="0"/>
        </w:numPr>
      </w:pPr>
      <w:bookmarkStart w:id="333" w:name="_Toc121329203"/>
      <w:bookmarkStart w:id="334" w:name="Section712MouldAllergy"/>
      <w:bookmarkStart w:id="335" w:name="_Toc141885940"/>
      <w:bookmarkStart w:id="336" w:name="_Toc107998622"/>
      <w:r w:rsidRPr="00D03260">
        <w:t>7.1.2.</w:t>
      </w:r>
      <w:r w:rsidRPr="00D03260">
        <w:tab/>
      </w:r>
      <w:r w:rsidR="00395D6D" w:rsidRPr="00D03260">
        <w:t>Mould allergy</w:t>
      </w:r>
      <w:bookmarkEnd w:id="333"/>
      <w:bookmarkEnd w:id="334"/>
      <w:bookmarkEnd w:id="335"/>
    </w:p>
    <w:p w14:paraId="22424B34" w14:textId="7C91A1B3" w:rsidR="001352F8" w:rsidRPr="00D03260" w:rsidRDefault="006E7599" w:rsidP="001352F8">
      <w:r w:rsidRPr="00D03260">
        <w:t xml:space="preserve">In patients with mould allergy, </w:t>
      </w:r>
      <w:r w:rsidR="00A63191" w:rsidRPr="00D03260">
        <w:t>o</w:t>
      </w:r>
      <w:r w:rsidR="00C2406D" w:rsidRPr="00D03260">
        <w:t xml:space="preserve">ngoing monitoring </w:t>
      </w:r>
      <w:r w:rsidR="00A63191" w:rsidRPr="00D03260">
        <w:t xml:space="preserve">would be led </w:t>
      </w:r>
      <w:r w:rsidR="00D60BB6" w:rsidRPr="00D03260">
        <w:t xml:space="preserve">by </w:t>
      </w:r>
      <w:r w:rsidR="00A63191" w:rsidRPr="00D03260">
        <w:t xml:space="preserve">a </w:t>
      </w:r>
      <w:r w:rsidR="00D60BB6" w:rsidRPr="00D03260">
        <w:t>Clinical Allergist or Immunologist</w:t>
      </w:r>
      <w:r w:rsidR="00E1406E" w:rsidRPr="00D03260">
        <w:t xml:space="preserve">. </w:t>
      </w:r>
    </w:p>
    <w:p w14:paraId="77C96598" w14:textId="12AC69AB" w:rsidR="002810EE" w:rsidRPr="00D03260" w:rsidRDefault="002810EE" w:rsidP="002810EE">
      <w:r w:rsidRPr="00D03260">
        <w:t xml:space="preserve">If symptoms have </w:t>
      </w:r>
      <w:r w:rsidR="00D60BB6" w:rsidRPr="00D03260">
        <w:t>stabilised/</w:t>
      </w:r>
      <w:r w:rsidRPr="00D03260">
        <w:t>resolved, the patient exits the Clinical Pathway.</w:t>
      </w:r>
    </w:p>
    <w:p w14:paraId="44D9EF98" w14:textId="6370562D" w:rsidR="002810EE" w:rsidRPr="00D03260" w:rsidRDefault="002810EE" w:rsidP="001352F8">
      <w:r w:rsidRPr="00D03260">
        <w:t>If symptoms persist, consider alternative diagnoses</w:t>
      </w:r>
      <w:r w:rsidR="00207AF5" w:rsidRPr="00D03260">
        <w:t xml:space="preserve"> (s</w:t>
      </w:r>
      <w:r w:rsidR="00104378" w:rsidRPr="00D03260">
        <w:t>ee</w:t>
      </w:r>
      <w:r w:rsidR="002C0F71" w:rsidRPr="00D03260">
        <w:t xml:space="preserve"> </w:t>
      </w:r>
      <w:hyperlink w:anchor="Sect32PatientsPresentingWithPersistentDe" w:history="1">
        <w:r w:rsidR="004D37B3" w:rsidRPr="00D03260">
          <w:rPr>
            <w:rStyle w:val="Hyperlink"/>
          </w:rPr>
          <w:t>s</w:t>
        </w:r>
        <w:r w:rsidR="002C0F71" w:rsidRPr="00D03260">
          <w:rPr>
            <w:rStyle w:val="Hyperlink"/>
          </w:rPr>
          <w:t>ection 3.2</w:t>
        </w:r>
      </w:hyperlink>
      <w:r w:rsidR="004D37B3" w:rsidRPr="00D03260">
        <w:t xml:space="preserve"> for further details</w:t>
      </w:r>
      <w:r w:rsidR="00104378" w:rsidRPr="00D03260">
        <w:t xml:space="preserve"> on ‘Patients presenting with persistent debilitating symptoms and no diagnosis’</w:t>
      </w:r>
      <w:r w:rsidR="00207AF5" w:rsidRPr="00D03260">
        <w:t>).</w:t>
      </w:r>
    </w:p>
    <w:p w14:paraId="186316A5" w14:textId="1BC21D7A" w:rsidR="007F0CFD" w:rsidRPr="00D03260" w:rsidRDefault="003C3098" w:rsidP="00AF1EFC">
      <w:pPr>
        <w:pStyle w:val="NumberedHeading2"/>
        <w:numPr>
          <w:ilvl w:val="0"/>
          <w:numId w:val="0"/>
        </w:numPr>
        <w:ind w:left="720" w:hanging="720"/>
      </w:pPr>
      <w:bookmarkStart w:id="337" w:name="_Toc121329204"/>
      <w:bookmarkStart w:id="338" w:name="_Toc141885941"/>
      <w:r w:rsidRPr="00D03260">
        <w:t>7.2.</w:t>
      </w:r>
      <w:r w:rsidRPr="00D03260">
        <w:tab/>
      </w:r>
      <w:bookmarkStart w:id="339" w:name="Section72HPMouldRelatedInfectionsAndAlle"/>
      <w:bookmarkEnd w:id="339"/>
      <w:r w:rsidR="007F0CFD" w:rsidRPr="00D03260">
        <w:t xml:space="preserve">HP, mould-related </w:t>
      </w:r>
      <w:proofErr w:type="gramStart"/>
      <w:r w:rsidR="007F0CFD" w:rsidRPr="00D03260">
        <w:t>infections</w:t>
      </w:r>
      <w:proofErr w:type="gramEnd"/>
      <w:r w:rsidR="007F0CFD" w:rsidRPr="00D03260">
        <w:t xml:space="preserve"> and allergic conditions in susceptible people</w:t>
      </w:r>
      <w:bookmarkEnd w:id="336"/>
      <w:bookmarkEnd w:id="337"/>
      <w:bookmarkEnd w:id="338"/>
    </w:p>
    <w:p w14:paraId="3BF0C4ED" w14:textId="3FE6666C" w:rsidR="007F0CFD" w:rsidRPr="00D03260" w:rsidRDefault="007F0CFD" w:rsidP="007F0CFD">
      <w:r w:rsidRPr="00D03260">
        <w:t>If symptoms have resolved, the patient exits the Clinical Pathway.</w:t>
      </w:r>
    </w:p>
    <w:p w14:paraId="601FFD4F" w14:textId="623DCE4A" w:rsidR="007F0CFD" w:rsidRPr="00D03260" w:rsidRDefault="007F0CFD" w:rsidP="002B56DB">
      <w:r w:rsidRPr="00D03260">
        <w:t>If symptoms persist, consider alternative diagnoses</w:t>
      </w:r>
      <w:r w:rsidR="00207AF5" w:rsidRPr="00D03260">
        <w:t xml:space="preserve"> (s</w:t>
      </w:r>
      <w:r w:rsidR="00104378" w:rsidRPr="00D03260">
        <w:t>ee</w:t>
      </w:r>
      <w:r w:rsidR="002C0F71" w:rsidRPr="00D03260">
        <w:t xml:space="preserve"> </w:t>
      </w:r>
      <w:hyperlink w:anchor="Sect32PatientsPresentingWithPersistentDe" w:history="1">
        <w:r w:rsidR="004D37B3" w:rsidRPr="00D03260">
          <w:rPr>
            <w:rStyle w:val="Hyperlink"/>
          </w:rPr>
          <w:t>s</w:t>
        </w:r>
        <w:r w:rsidR="002C0F71" w:rsidRPr="00D03260">
          <w:rPr>
            <w:rStyle w:val="Hyperlink"/>
          </w:rPr>
          <w:t>ection 3.2</w:t>
        </w:r>
      </w:hyperlink>
      <w:r w:rsidR="004D37B3" w:rsidRPr="00D03260">
        <w:t xml:space="preserve"> for further details</w:t>
      </w:r>
      <w:r w:rsidR="00677674" w:rsidRPr="00D03260">
        <w:t xml:space="preserve"> </w:t>
      </w:r>
      <w:r w:rsidR="00104378" w:rsidRPr="00D03260">
        <w:t>on ‘Patients presenting with persistent debilitating symptoms and no diagnosis’</w:t>
      </w:r>
      <w:r w:rsidR="00677674" w:rsidRPr="00D03260">
        <w:t>)</w:t>
      </w:r>
      <w:r w:rsidR="00104378" w:rsidRPr="00D03260">
        <w:t>.</w:t>
      </w:r>
    </w:p>
    <w:p w14:paraId="12BC4A19" w14:textId="098BD030" w:rsidR="00803EC8" w:rsidRPr="00D03260" w:rsidRDefault="003C3098" w:rsidP="00AF1EFC">
      <w:pPr>
        <w:pStyle w:val="NumberedHeading2"/>
        <w:numPr>
          <w:ilvl w:val="0"/>
          <w:numId w:val="0"/>
        </w:numPr>
        <w:ind w:left="720" w:hanging="720"/>
      </w:pPr>
      <w:bookmarkStart w:id="340" w:name="_Toc121329205"/>
      <w:bookmarkStart w:id="341" w:name="Section73ManagementOfPatientsWithPersist"/>
      <w:bookmarkStart w:id="342" w:name="_Toc141885942"/>
      <w:r w:rsidRPr="00D03260">
        <w:t>7.3.</w:t>
      </w:r>
      <w:r w:rsidRPr="00D03260">
        <w:tab/>
      </w:r>
      <w:r w:rsidR="00803EC8" w:rsidRPr="00D03260">
        <w:t>Management of patients with persistent symptoms and who remain undiagnosed</w:t>
      </w:r>
      <w:bookmarkEnd w:id="340"/>
      <w:bookmarkEnd w:id="341"/>
      <w:bookmarkEnd w:id="342"/>
    </w:p>
    <w:p w14:paraId="224770E5" w14:textId="77777777" w:rsidR="00F210B6" w:rsidRPr="00D03260" w:rsidRDefault="00F210B6" w:rsidP="00F210B6">
      <w:pPr>
        <w:pStyle w:val="Boxtext"/>
        <w:rPr>
          <w:b/>
          <w:bCs/>
          <w:lang w:val="en-AU"/>
        </w:rPr>
      </w:pPr>
      <w:r w:rsidRPr="00D03260">
        <w:rPr>
          <w:lang w:val="en-AU"/>
        </w:rPr>
        <w:t xml:space="preserve">This section is aligned with the Australian Government Department of Health DSCATT Clinical Pathway, published in October 2020. The guidance can be applied to the ongoing management of patients who have unresolved debilitating symptoms that cannot be attributed to exposure to indoor mould and damp or another diagnosable condition. </w:t>
      </w:r>
    </w:p>
    <w:p w14:paraId="3EA72FFB" w14:textId="77777777" w:rsidR="00F210B6" w:rsidRPr="00D03260" w:rsidRDefault="00F210B6" w:rsidP="0064645D"/>
    <w:p w14:paraId="044AB99E" w14:textId="30053F77" w:rsidR="0064645D" w:rsidRPr="00D03260" w:rsidRDefault="0064645D" w:rsidP="0064645D">
      <w:r w:rsidRPr="00D03260">
        <w:t>The GP will lead the ongoing review of symptoms and management plan, in consultation with the patient, with regular review of progress in achieving their goals. In the event of persistent dysfunction, evaluate the situation regularly and offer any new treatment options. The review and evaluation of new symptoms may require a change of level in stepped care for the patient.</w:t>
      </w:r>
    </w:p>
    <w:p w14:paraId="41BF97E6" w14:textId="52DD7B43" w:rsidR="0064645D" w:rsidRPr="00D03260" w:rsidRDefault="0064645D" w:rsidP="0064645D">
      <w:r w:rsidRPr="00D03260">
        <w:t xml:space="preserve">Management of ongoing symptoms should involve a multidisciplinary approach, incorporating the teamwork of all medical specialties relevant to the individual patient’s care. Diagnosis is challenging, and it is important for GPs to seek opinions of experts in </w:t>
      </w:r>
      <w:r w:rsidR="00994973" w:rsidRPr="00D03260">
        <w:t xml:space="preserve">indoor damp and mould </w:t>
      </w:r>
      <w:r w:rsidRPr="00D03260">
        <w:t xml:space="preserve">including </w:t>
      </w:r>
      <w:r w:rsidR="005D688D" w:rsidRPr="00D03260">
        <w:t>clinical immunologists, allergy specialists</w:t>
      </w:r>
      <w:r w:rsidR="00CB3DDC" w:rsidRPr="00D03260">
        <w:t xml:space="preserve">, </w:t>
      </w:r>
      <w:r w:rsidR="00A53FCD" w:rsidRPr="00D03260">
        <w:t xml:space="preserve">or </w:t>
      </w:r>
      <w:r w:rsidRPr="00D03260">
        <w:t>specialist microbiologists with diagnostic experience. The management of patients must be a collaborative approach between GPs and specialists. Telehealth can also be used where appropriate.</w:t>
      </w:r>
    </w:p>
    <w:p w14:paraId="6E33208D" w14:textId="16268A07" w:rsidR="0064645D" w:rsidRPr="00D03260" w:rsidRDefault="0064645D" w:rsidP="0064645D">
      <w:r w:rsidRPr="00D03260">
        <w:t>Consider referring patients who have MUS to appropriate specialists based on best clinical practice and relevant evidence.</w:t>
      </w:r>
    </w:p>
    <w:p w14:paraId="4200693A" w14:textId="03B76066" w:rsidR="00EF5E6A" w:rsidRPr="00D03260" w:rsidRDefault="0064645D" w:rsidP="00523805">
      <w:r w:rsidRPr="00D03260">
        <w:t xml:space="preserve">If symptoms have resolved the patient exits the Clinical Pathway. </w:t>
      </w:r>
      <w:r w:rsidRPr="00D03260">
        <w:br w:type="page"/>
      </w:r>
    </w:p>
    <w:p w14:paraId="70AAB984" w14:textId="761747ED" w:rsidR="00573A6D" w:rsidRPr="00D03260" w:rsidRDefault="00573A6D" w:rsidP="00346C4A">
      <w:pPr>
        <w:sectPr w:rsidR="00573A6D" w:rsidRPr="00D03260" w:rsidSect="00CF14A6">
          <w:type w:val="oddPage"/>
          <w:pgSz w:w="11906" w:h="16838"/>
          <w:pgMar w:top="1701" w:right="1418" w:bottom="1418" w:left="1418" w:header="709" w:footer="709" w:gutter="0"/>
          <w:pgNumType w:start="1"/>
          <w:cols w:space="708"/>
          <w:docGrid w:linePitch="360"/>
        </w:sectPr>
      </w:pPr>
    </w:p>
    <w:p w14:paraId="0FB5B142" w14:textId="7A418A03" w:rsidR="00FB57E2" w:rsidRPr="00D03260" w:rsidRDefault="00FB57E2" w:rsidP="00FD6721">
      <w:pPr>
        <w:pStyle w:val="NumberedHeading1"/>
        <w:ind w:left="360"/>
      </w:pPr>
      <w:bookmarkStart w:id="343" w:name="_Toc121329206"/>
      <w:bookmarkStart w:id="344" w:name="_Toc141885943"/>
      <w:r w:rsidRPr="00D03260">
        <w:t>Appendices</w:t>
      </w:r>
      <w:bookmarkEnd w:id="343"/>
      <w:bookmarkEnd w:id="344"/>
    </w:p>
    <w:p w14:paraId="2D828864" w14:textId="121260A3" w:rsidR="00AE15B9" w:rsidRPr="00D03260" w:rsidRDefault="000E0E54" w:rsidP="00AE15B9">
      <w:r w:rsidRPr="00D03260">
        <w:t xml:space="preserve">This section </w:t>
      </w:r>
      <w:r w:rsidR="00A12AFF" w:rsidRPr="00D03260">
        <w:t>includes:</w:t>
      </w:r>
    </w:p>
    <w:p w14:paraId="15D1D6C2" w14:textId="109705D4" w:rsidR="004A0981" w:rsidRPr="00D03260" w:rsidRDefault="00000000" w:rsidP="004A0981">
      <w:pPr>
        <w:pStyle w:val="ListBullet"/>
      </w:pPr>
      <w:hyperlink w:anchor="AppendixALikelyDifferentialDiagnosesOrSy" w:history="1">
        <w:r w:rsidR="004A0981" w:rsidRPr="00D03260">
          <w:rPr>
            <w:rStyle w:val="Hyperlink"/>
          </w:rPr>
          <w:t>Appendix A</w:t>
        </w:r>
      </w:hyperlink>
      <w:r w:rsidR="004A0981" w:rsidRPr="00D03260">
        <w:t>: Likely differential diagnoses</w:t>
      </w:r>
      <w:r w:rsidR="00670702" w:rsidRPr="00D03260">
        <w:t xml:space="preserve"> or symptoms</w:t>
      </w:r>
      <w:r w:rsidR="004A0981" w:rsidRPr="00D03260">
        <w:t>: Health effects for which there is sufficient evidence of association with exposure to indoor damp and mould</w:t>
      </w:r>
    </w:p>
    <w:p w14:paraId="2E28812E" w14:textId="36F3E5C2" w:rsidR="004A0981" w:rsidRPr="00D03260" w:rsidRDefault="00000000" w:rsidP="004A0981">
      <w:pPr>
        <w:pStyle w:val="ListBullet"/>
      </w:pPr>
      <w:hyperlink w:anchor="AppendixBLessLikelyDifferentialDiagnoses" w:history="1">
        <w:r w:rsidR="004A0981" w:rsidRPr="00D03260">
          <w:rPr>
            <w:rStyle w:val="Hyperlink"/>
          </w:rPr>
          <w:t>Appendix B</w:t>
        </w:r>
      </w:hyperlink>
      <w:r w:rsidR="004A0981" w:rsidRPr="00D03260">
        <w:t>: Less likely differential diagnoses</w:t>
      </w:r>
      <w:r w:rsidR="00670702" w:rsidRPr="00D03260">
        <w:t xml:space="preserve"> or symptoms</w:t>
      </w:r>
      <w:r w:rsidR="004A0981" w:rsidRPr="00D03260">
        <w:t>: Health effects for which there is limited or suggested evidenced of association with exposure to indoor damp and mould</w:t>
      </w:r>
    </w:p>
    <w:p w14:paraId="62F09E19" w14:textId="6896DA31" w:rsidR="004A0981" w:rsidRPr="00D03260" w:rsidRDefault="00000000" w:rsidP="004A0981">
      <w:pPr>
        <w:pStyle w:val="ListBullet"/>
      </w:pPr>
      <w:hyperlink w:anchor="AppendixCUnlikelyDifferentialDiagnosesOr" w:history="1">
        <w:r w:rsidR="004A0981" w:rsidRPr="00D03260">
          <w:rPr>
            <w:rStyle w:val="Hyperlink"/>
          </w:rPr>
          <w:t>Appendix C</w:t>
        </w:r>
      </w:hyperlink>
      <w:r w:rsidR="004A0981" w:rsidRPr="00D03260">
        <w:t>: Unlikely differential diagnoses</w:t>
      </w:r>
      <w:r w:rsidR="00670702" w:rsidRPr="00D03260">
        <w:t xml:space="preserve"> or symptoms</w:t>
      </w:r>
      <w:r w:rsidR="004A0981" w:rsidRPr="00D03260">
        <w:t>: Health effects for which there is inadequate or insufficient evidence of an association with indoor damp and mould</w:t>
      </w:r>
    </w:p>
    <w:p w14:paraId="43EDFD7F" w14:textId="388DC323" w:rsidR="004A0981" w:rsidRPr="00D03260" w:rsidRDefault="00000000" w:rsidP="004A0981">
      <w:pPr>
        <w:pStyle w:val="ListBullet"/>
      </w:pPr>
      <w:hyperlink w:anchor="AppendixDenHealthFactsheetOnPotentialHea" w:history="1">
        <w:r w:rsidR="004A0981" w:rsidRPr="00D03260">
          <w:rPr>
            <w:rStyle w:val="Hyperlink"/>
          </w:rPr>
          <w:t>Appendix D</w:t>
        </w:r>
      </w:hyperlink>
      <w:r w:rsidR="004A0981" w:rsidRPr="00D03260">
        <w:t>: enHealth factsheet on Potential health effects of mould in the environment</w:t>
      </w:r>
    </w:p>
    <w:p w14:paraId="1C22D7DE" w14:textId="47DB6DFA" w:rsidR="004A0981" w:rsidRPr="00D03260" w:rsidRDefault="00000000" w:rsidP="004A0981">
      <w:pPr>
        <w:pStyle w:val="ListBullet"/>
      </w:pPr>
      <w:hyperlink w:anchor="AppendixECIRS" w:history="1">
        <w:r w:rsidR="004A0981" w:rsidRPr="00D03260">
          <w:rPr>
            <w:rStyle w:val="Hyperlink"/>
          </w:rPr>
          <w:t>Appendix E</w:t>
        </w:r>
      </w:hyperlink>
      <w:r w:rsidR="004A0981" w:rsidRPr="00D03260">
        <w:t xml:space="preserve">: Chronic Inflammatory Response Syndrome (CIRS) </w:t>
      </w:r>
    </w:p>
    <w:p w14:paraId="7FC0143F" w14:textId="762ADF1D" w:rsidR="004A0981" w:rsidRPr="00D03260" w:rsidRDefault="00000000" w:rsidP="004A0981">
      <w:pPr>
        <w:pStyle w:val="ListBullet"/>
      </w:pPr>
      <w:hyperlink w:anchor="AppendixFPotentialSideEffectsOfPharmaceu" w:history="1">
        <w:r w:rsidR="004A0981" w:rsidRPr="00D03260">
          <w:rPr>
            <w:rStyle w:val="Hyperlink"/>
          </w:rPr>
          <w:t>Appendix F</w:t>
        </w:r>
      </w:hyperlink>
      <w:r w:rsidR="004A0981" w:rsidRPr="00D03260">
        <w:t xml:space="preserve">: Potential side effects of the pharmaceuticals used in the </w:t>
      </w:r>
      <w:r w:rsidR="00833280" w:rsidRPr="00D03260">
        <w:t>treatment of CIRS</w:t>
      </w:r>
    </w:p>
    <w:p w14:paraId="398DA506" w14:textId="661589A6" w:rsidR="00AE15B9" w:rsidRPr="00D03260" w:rsidRDefault="00000000" w:rsidP="004A0981">
      <w:pPr>
        <w:pStyle w:val="ListBullet"/>
      </w:pPr>
      <w:hyperlink w:anchor="AppendixGBibliography" w:history="1">
        <w:r w:rsidR="004A0981" w:rsidRPr="00D03260">
          <w:rPr>
            <w:rStyle w:val="Hyperlink"/>
          </w:rPr>
          <w:t>Appendix G</w:t>
        </w:r>
      </w:hyperlink>
      <w:r w:rsidR="004A0981" w:rsidRPr="00D03260">
        <w:t>: Bibliography.</w:t>
      </w:r>
    </w:p>
    <w:p w14:paraId="77AC38E4" w14:textId="77777777" w:rsidR="00AE15B9" w:rsidRPr="00D03260" w:rsidRDefault="00AE15B9" w:rsidP="00AE15B9">
      <w:pPr>
        <w:sectPr w:rsidR="00AE15B9" w:rsidRPr="00D03260" w:rsidSect="00052859">
          <w:footerReference w:type="default" r:id="rId79"/>
          <w:pgSz w:w="11906" w:h="16838"/>
          <w:pgMar w:top="1701" w:right="1418" w:bottom="1418" w:left="1418" w:header="709" w:footer="709" w:gutter="0"/>
          <w:cols w:space="708"/>
          <w:docGrid w:linePitch="360"/>
        </w:sectPr>
      </w:pPr>
      <w:r w:rsidRPr="00D03260">
        <w:br w:type="page"/>
      </w:r>
    </w:p>
    <w:p w14:paraId="3149DAC2" w14:textId="51446AC1" w:rsidR="0003107F" w:rsidRPr="00D03260" w:rsidRDefault="00DB60DF" w:rsidP="00DB60DF">
      <w:pPr>
        <w:pStyle w:val="Heading1"/>
      </w:pPr>
      <w:bookmarkStart w:id="345" w:name="AppendixALikelyDifferentialDiagnosesOrSy"/>
      <w:bookmarkStart w:id="346" w:name="_Appendix_A:_Likely"/>
      <w:bookmarkStart w:id="347" w:name="_Toc121329207"/>
      <w:bookmarkStart w:id="348" w:name="_Toc141885944"/>
      <w:bookmarkEnd w:id="345"/>
      <w:bookmarkEnd w:id="346"/>
      <w:r w:rsidRPr="00D03260">
        <w:t xml:space="preserve">Appendix </w:t>
      </w:r>
      <w:r w:rsidR="00174FB4" w:rsidRPr="00D03260">
        <w:t>A</w:t>
      </w:r>
      <w:r w:rsidR="007D6334" w:rsidRPr="00D03260">
        <w:t xml:space="preserve">: </w:t>
      </w:r>
      <w:r w:rsidR="005760E2" w:rsidRPr="00D03260">
        <w:t>Likely differential diagnoses</w:t>
      </w:r>
      <w:r w:rsidR="00584C88" w:rsidRPr="00D03260">
        <w:t xml:space="preserve"> or symptoms</w:t>
      </w:r>
      <w:r w:rsidR="005760E2" w:rsidRPr="00D03260">
        <w:t xml:space="preserve">: Health effects for which there is sufficient evidence of association with exposure to indoor damp and </w:t>
      </w:r>
      <w:r w:rsidR="00A05BCA" w:rsidRPr="00D03260">
        <w:t>mould</w:t>
      </w:r>
      <w:bookmarkEnd w:id="347"/>
      <w:bookmarkEnd w:id="348"/>
    </w:p>
    <w:p w14:paraId="42A85B95" w14:textId="619C0689" w:rsidR="00323A53" w:rsidRPr="00D03260" w:rsidRDefault="00323A53" w:rsidP="00323A53">
      <w:bookmarkStart w:id="349" w:name="_Toc121329208"/>
      <w:bookmarkStart w:id="350" w:name="_Toc121329372"/>
      <w:bookmarkStart w:id="351" w:name="_Toc121834515"/>
      <w:r w:rsidRPr="00D03260">
        <w:t xml:space="preserve">The </w:t>
      </w:r>
      <w:r w:rsidR="00EA5D44" w:rsidRPr="00D03260">
        <w:t xml:space="preserve">sections below provide an overview of the findings for </w:t>
      </w:r>
      <w:r w:rsidR="005403CC" w:rsidRPr="00D03260">
        <w:t xml:space="preserve">asthma, respiratory infections, wheeze, </w:t>
      </w:r>
      <w:r w:rsidR="00F74A22" w:rsidRPr="00D03260">
        <w:t xml:space="preserve">cough, dyspnoea, bronchitis, </w:t>
      </w:r>
      <w:r w:rsidR="00327322" w:rsidRPr="00D03260">
        <w:t xml:space="preserve">rhinitis, </w:t>
      </w:r>
      <w:r w:rsidR="00F74A22" w:rsidRPr="00D03260">
        <w:t>upper respiratory tract symptoms, and e</w:t>
      </w:r>
      <w:r w:rsidR="00E309A9" w:rsidRPr="00D03260">
        <w:t xml:space="preserve">czema. See </w:t>
      </w:r>
      <w:hyperlink w:anchor="Sect312HPMouldRelatedInfectionsAndAllerg" w:history="1">
        <w:r w:rsidR="00E309A9" w:rsidRPr="00D03260">
          <w:rPr>
            <w:rStyle w:val="Hyperlink"/>
          </w:rPr>
          <w:t>section</w:t>
        </w:r>
        <w:r w:rsidR="00A2737C" w:rsidRPr="00D03260">
          <w:rPr>
            <w:rStyle w:val="Hyperlink"/>
          </w:rPr>
          <w:t xml:space="preserve"> 3.1.2</w:t>
        </w:r>
      </w:hyperlink>
      <w:r w:rsidR="00A2737C" w:rsidRPr="00D03260">
        <w:t xml:space="preserve"> </w:t>
      </w:r>
      <w:r w:rsidR="007B2076" w:rsidRPr="00D03260">
        <w:t xml:space="preserve">for further details </w:t>
      </w:r>
      <w:r w:rsidR="00F20DEB" w:rsidRPr="00D03260">
        <w:t xml:space="preserve">on hypersensitivity pneumonitis (HP), </w:t>
      </w:r>
      <w:r w:rsidR="00582755" w:rsidRPr="00D03260">
        <w:t xml:space="preserve">mould-related infections and allergic health effects in susceptible people. </w:t>
      </w:r>
    </w:p>
    <w:p w14:paraId="7922ECC8" w14:textId="4FC7E4FB" w:rsidR="00A05BCA" w:rsidRPr="00D03260" w:rsidRDefault="00A05BCA" w:rsidP="000136F5">
      <w:pPr>
        <w:pStyle w:val="Heading2"/>
      </w:pPr>
      <w:bookmarkStart w:id="352" w:name="_Toc141885945"/>
      <w:r w:rsidRPr="00D03260">
        <w:t>Asthma</w:t>
      </w:r>
      <w:bookmarkEnd w:id="349"/>
      <w:bookmarkEnd w:id="350"/>
      <w:bookmarkEnd w:id="351"/>
      <w:bookmarkEnd w:id="352"/>
    </w:p>
    <w:p w14:paraId="4BE2BC93" w14:textId="43A4C307" w:rsidR="00A05BCA" w:rsidRPr="00D03260" w:rsidRDefault="00A05BCA" w:rsidP="00A05BCA">
      <w:r w:rsidRPr="00D03260">
        <w:t>The body of evidence from international guidelines, international authorities and medical professional bodies, systematic reviews, reviews, and studies acknowledges that exposure to indoor dampness and mould is associated with asthma, particularly in children. However, consistent associations</w:t>
      </w:r>
      <w:r w:rsidR="00756D25" w:rsidRPr="00D03260">
        <w:t xml:space="preserve"> is</w:t>
      </w:r>
      <w:r w:rsidRPr="00D03260">
        <w:t xml:space="preserve"> shown between indoor dampness and mould and a variety of respiratory and allergic health effects, including asthma</w:t>
      </w:r>
      <w:r w:rsidR="008601FE" w:rsidRPr="00D03260">
        <w:t>. These associations</w:t>
      </w:r>
      <w:r w:rsidRPr="00D03260">
        <w:t xml:space="preserve"> have been limited to observation-based, qualitative indicators of damp or mould, such as visible mould, mouldy or musty odour, water-damaged materials or (observed) moisture of materials </w:t>
      </w:r>
      <w:r w:rsidRPr="00D03260">
        <w:fldChar w:fldCharType="begin"/>
      </w:r>
      <w:r w:rsidR="00217980" w:rsidRPr="00D03260">
        <w:instrText xml:space="preserve"> ADDIN ZOTERO_ITEM CSL_CITATION {"citationID":"Qy00Ix00","properties":{"formattedCitation":"(Mendell et al., 2011, 2018; World Health Organization, 2009)","plainCitation":"(Mendell et al., 2011, 2018; World Health Organization, 2009)","noteIndex":0},"citationItems":[{"id":2232,"uris":["http://zotero.org/groups/4371185/items/KWLCRUWS"],"itemData":{"id":2232,"type":"article-journal","abstract":"OBJECTIVES: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2224,"uris":["http://zotero.org/groups/4371185/items/C5DDIAXZ"],"itemData":{"id":2224,"type":"article-journal","abstract":"It has not yet been possible to quantify dose-related health risks attributable to indoor dampness or mold (D/M), to support setting specific health-related limits for  D/M. An overlooked target for assessing D/M is moisture in building materials, the  critical factor allowing microbial growth. A search for studies of quantified  building moisture and occupant health effects identified 3 eligible studies. Two  studies assessed associations between measured wall moisture content and respiratory  health in the UK. Both reported dose-related increases in asthma exacerbation with  higher measured moisture, with 1 study reporting an adjusted odds ratio of 7.0 for  night-time asthma symptoms with higher bedroom moisture. The third study assessed  relationships between infrared camera-determined wall moisture and atopic dermatitis  in South Korea, reporting an adjusted odds ratio of 14.5 for water-damaged homes and  moderate or severe atopic dermatitis. Measuring building moisture has, despite  extremely limited available findings, potential promise for detecting unhealthy D/M  in homes and merits more research attention. Further research to validate these  findings should include measured \"water activity,\" which directly assesses moisture  availability for microbial growth. Ultimately, evidence-based, health-related  thresholds for building moisture, across specific materials and measurement devices,  could better guide assessment and remediation of D/M in buildings.","container-title":"Indoor air","DOI":"10.1111/ina.12464","ISSN":"1600-0668 0905-6947","issue":"4","journalAbbreviation":"Indoor Air","language":"eng","license":"© 2018 John Wiley &amp; Sons A/S. Published by John Wiley &amp; Sons Ltd.","note":"publisher-place: England\nPMID: 29683210","page":"488-499","title":"Measured moisture in buildings and adverse health effects: A review.","volume":"28","author":[{"family":"Mendell","given":"M. J."},{"family":"Macher","given":"J. M."},{"family":"Kumagai","given":"K."}],"issued":{"date-parts":[["2018",7]]}}},{"id":2180,"uris":["http://zotero.org/groups/4371185/items/T4A7D2R4"],"itemData":{"id":2180,"type":"report","abstract":"Microbial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(Mendell et al., 2011, 2018; World Health Organization, 2009)</w:t>
      </w:r>
      <w:r w:rsidRPr="00D03260">
        <w:fldChar w:fldCharType="end"/>
      </w:r>
      <w:r w:rsidRPr="00D03260">
        <w:t>.</w:t>
      </w:r>
    </w:p>
    <w:p w14:paraId="5469406C" w14:textId="21405ED4" w:rsidR="00A05BCA" w:rsidRPr="00D03260" w:rsidRDefault="00A05BCA" w:rsidP="00A05BCA">
      <w:bookmarkStart w:id="353" w:name="_Hlk123890630"/>
      <w:r w:rsidRPr="00D03260">
        <w:t>Additionally, while more recent reviews of the evidence indicates that in children there is sufficient evidence of a causal association</w:t>
      </w:r>
      <w:r w:rsidR="00814FA3" w:rsidRPr="00D03260">
        <w:t xml:space="preserve"> </w:t>
      </w:r>
      <w:r w:rsidR="00760228" w:rsidRPr="00D03260">
        <w:t xml:space="preserve">between </w:t>
      </w:r>
      <w:r w:rsidR="00913E81" w:rsidRPr="00D03260">
        <w:t xml:space="preserve">asthma (exacerbation) </w:t>
      </w:r>
      <w:r w:rsidR="002B0CB2" w:rsidRPr="00D03260">
        <w:t xml:space="preserve">and </w:t>
      </w:r>
      <w:r w:rsidR="00814FA3" w:rsidRPr="00D03260">
        <w:t>e</w:t>
      </w:r>
      <w:r w:rsidR="00D44AA1" w:rsidRPr="00D03260">
        <w:t xml:space="preserve">xposure to indoor dampness and dampness-related </w:t>
      </w:r>
      <w:r w:rsidR="00DD6C7D" w:rsidRPr="00D03260">
        <w:t>agents</w:t>
      </w:r>
      <w:r w:rsidRPr="00D03260">
        <w:t>, there is not sufficient evidence for causation</w:t>
      </w:r>
      <w:r w:rsidR="002B0CB2" w:rsidRPr="00D03260">
        <w:t>.</w:t>
      </w:r>
      <w:r w:rsidRPr="00D03260">
        <w:t xml:space="preserve"> </w:t>
      </w:r>
      <w:r w:rsidR="000F1ABD" w:rsidRPr="00D03260">
        <w:t xml:space="preserve">For other indoor </w:t>
      </w:r>
      <w:r w:rsidR="002621C6" w:rsidRPr="00D03260">
        <w:t xml:space="preserve">exposures, there is sufficient evidence for causation </w:t>
      </w:r>
      <w:r w:rsidR="00625F1F" w:rsidRPr="00D03260">
        <w:t xml:space="preserve">of asthma (exacerbation) from </w:t>
      </w:r>
      <w:r w:rsidR="00AD319D" w:rsidRPr="00D03260">
        <w:t xml:space="preserve">exposure to </w:t>
      </w:r>
      <w:r w:rsidRPr="00D03260">
        <w:t xml:space="preserve">house dust mite allergens, cat allergens, </w:t>
      </w:r>
      <w:r w:rsidR="006C2C1E" w:rsidRPr="00D03260">
        <w:t xml:space="preserve">and </w:t>
      </w:r>
      <w:r w:rsidRPr="00D03260">
        <w:t>cockroach allergens</w:t>
      </w:r>
      <w:r w:rsidR="00897A24" w:rsidRPr="00D03260">
        <w:t xml:space="preserve"> (in individuals sensiti</w:t>
      </w:r>
      <w:r w:rsidR="00AD319D" w:rsidRPr="00D03260">
        <w:t>s</w:t>
      </w:r>
      <w:r w:rsidR="00897A24" w:rsidRPr="00D03260">
        <w:t>ed to these allergens)</w:t>
      </w:r>
      <w:r w:rsidR="002C423B" w:rsidRPr="00D03260">
        <w:t xml:space="preserve"> </w:t>
      </w:r>
      <w:r w:rsidRPr="00D03260">
        <w:fldChar w:fldCharType="begin"/>
      </w:r>
      <w:r w:rsidR="00217980" w:rsidRPr="00D03260">
        <w:instrText xml:space="preserve"> ADDIN ZOTERO_ITEM CSL_CITATION {"citationID":"weeUjcz5","properties":{"formattedCitation":"(Kanchongkittiphon et al., 2015)","plainCitation":"(Kanchongkittiphon et al., 2015)","noteIndex":0},"citationItems":[{"id":2231,"uris":["http://zotero.org/groups/4371185/items/5BSGNUCK"],"itemData":{"id":2231,"type":"article-journal","abstract":"ackground: Previous research has found relationships between specific indoor environmental exposures and exacerbation of asthma.\n\nObjectives: In this review we provide an updated summary of knowledge from the scientific literature on indoor exposures and exacerbation of asthma.\n\nMethods: Peer-reviewed articles published from 2000 to 2013 on indoor exposures and exacerbation of asthma were identified through PubMed, from reference lists, and from authors' files. Articles that focused on modifiable indoor exposures in relation to frequency or severity of exacerbation of asthma were selected for review. Research findings were reviewed and summarized with consideration of the strength of the evidence.\n\nResults: Sixty-nine eligible articles were included. Major changed conclusions include a causal relationship with exacerbation for indoor dampness or dampness-related agents (in children); associations with exacerbation for dampness or dampness-related agents (in adults), endotoxin, and environmental tobacco smoke (in preschool children); and limited or suggestive evidence for association with exacerbation for indoor culturable Penicillium or total fungi, nitrogen dioxide, rodents (nonoccupational), feather/down pillows (protective relative to synthetic bedding), and (regardless of specific sensitization) dust mite, cockroach, dog, and dampness-related agents.\n\nDiscussion: This review, incorporating evidence reported since 2000, increases the strength of evidence linking many indoor factors to the exacerbation of asthma. Conclusions should be considered provisional until all available evidence is examined more thoroughly.\n\nConclusion: Multiple indoor exposures, especially dampness-related agents, merit increased attention to prevent exacerbation of asthma, possibly even in nonsensitized individuals. Additional research to establish causality and evaluate interventions is needed for these and other indoor exposures.","container-title":"Environmental health perspectives","ISSN":"0091-6765","issue":"1","journalAbbreviation":"Environmental health perspectives","note":"publisher: NLM-Export","page":"6-20","title":"Indoor environmental exposures and exacerbation of asthma: an update to the 2000 review by the Institute of Medicine","volume":"123","author":[{"family":"Kanchongkittiphon","given":"Watcharoot"},{"family":"Mendell","given":"Mark J"},{"family":"Gaffin","given":"Jonathan M"},{"family":"Wang","given":"Grace"},{"family":"Phipatanakul","given":"Wanda"}],"issued":{"date-parts":[["2015"]]}}}],"schema":"https://github.com/citation-style-language/schema/raw/master/csl-citation.json"} </w:instrText>
      </w:r>
      <w:r w:rsidRPr="00D03260">
        <w:fldChar w:fldCharType="separate"/>
      </w:r>
      <w:r w:rsidRPr="00D03260">
        <w:t>(Kanchongkittiphon et al., 2015)</w:t>
      </w:r>
      <w:r w:rsidRPr="00D03260">
        <w:fldChar w:fldCharType="end"/>
      </w:r>
      <w:r w:rsidRPr="00D03260">
        <w:t>.</w:t>
      </w:r>
    </w:p>
    <w:bookmarkEnd w:id="353"/>
    <w:p w14:paraId="64D95416" w14:textId="4DEFD4E3" w:rsidR="00A05BCA" w:rsidRPr="00D03260" w:rsidRDefault="00A05BCA" w:rsidP="00A05BCA">
      <w:r w:rsidRPr="00D03260">
        <w:t xml:space="preserve">In 2009, the WHO concluded that while the epidemiological evidence is not sufficient to determine causal relationships between indoor dampness or mould and any specific human health effect, the findings of one strong epidemiological intervention study, in conjunction with other available studies, suggest that dampness or mould exacerbates asthma in children. The WHO also concluded there is sufficient epidemiological evidence of an association between indoor dampness-related factors and asthma (development, current, exacerbation) </w:t>
      </w:r>
      <w:r w:rsidRPr="00D03260">
        <w:fldChar w:fldCharType="begin"/>
      </w:r>
      <w:r w:rsidR="00217980" w:rsidRPr="00D03260">
        <w:instrText xml:space="preserve"> ADDIN ZOTERO_ITEM CSL_CITATION {"citationID":"9HW9A8Bh","properties":{"formattedCitation":"(World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w:t>
      </w:r>
    </w:p>
    <w:p w14:paraId="007BBC91" w14:textId="4B1A08E9" w:rsidR="00A05BCA" w:rsidRPr="00D03260" w:rsidRDefault="00A05BCA" w:rsidP="00A05BCA">
      <w:r w:rsidRPr="00D03260">
        <w:t>Eight years later, the 2017 AWMF guideline also</w:t>
      </w:r>
      <w:r w:rsidRPr="00D03260" w:rsidDel="00A425B9">
        <w:t xml:space="preserve"> </w:t>
      </w:r>
      <w:r w:rsidRPr="00D03260">
        <w:t xml:space="preserve">determined that sufficient evidence for an association between moisture/mould damage and the manifestations, progression and exacerbation of asthma has been established </w:t>
      </w:r>
      <w:r w:rsidRPr="00D03260">
        <w:fldChar w:fldCharType="begin"/>
      </w:r>
      <w:r w:rsidR="00217980" w:rsidRPr="00D03260">
        <w:instrText xml:space="preserve"> ADDIN ZOTERO_ITEM CSL_CITATION {"citationID":"HshRrQec","properties":{"formattedCitation":"(Wiesm\\uc0\\u252{}ller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Furthermore, the link between indoor </w:t>
      </w:r>
      <w:r w:rsidR="00D15BA6" w:rsidRPr="00D03260">
        <w:t xml:space="preserve">damp </w:t>
      </w:r>
      <w:r w:rsidRPr="00D03260">
        <w:t xml:space="preserve">and mould and the development of asthma, particularly in children, can be considered undisputed </w:t>
      </w:r>
      <w:r w:rsidRPr="00D03260">
        <w:fldChar w:fldCharType="begin"/>
      </w:r>
      <w:r w:rsidR="00217980" w:rsidRPr="00D03260">
        <w:instrText xml:space="preserve"> ADDIN ZOTERO_ITEM CSL_CITATION {"citationID":"zayoUZqN","properties":{"formattedCitation":"(Wiesm\\uc0\\u252{}ller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The AWMF</w:t>
      </w:r>
      <w:r w:rsidRPr="00D03260" w:rsidDel="00D75990">
        <w:t xml:space="preserve"> guideline </w:t>
      </w:r>
      <w:r w:rsidRPr="00D03260">
        <w:t xml:space="preserve">reported young children appear to be at higher risk of developing bronchial asthma where moisture damage or mould exposure occurs in the bedroom or living room </w:t>
      </w:r>
      <w:r w:rsidRPr="00D03260">
        <w:fldChar w:fldCharType="begin"/>
      </w:r>
      <w:r w:rsidR="00217980" w:rsidRPr="00D03260">
        <w:instrText xml:space="preserve"> ADDIN ZOTERO_ITEM CSL_CITATION {"citationID":"gvOD5Rom","properties":{"formattedCitation":"(Karvonen et al. 2015 in Wiesm\\uc0\\u252{}ller et al., 2017)","plainCitation":"(Karvonen et al. 2015 in 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Peter"},{"family":"Steiß","given":"Jens-Oliver"},{"family":"Szewszyk","given":"Regine"},{"family":"Thomas","given":"Peter"},{"family":"Valtanen","given":"Kerttu"},{"family":"Hurraß","given":"Julia"}],"issued":{"date-parts":[["2017",8]]}},"prefix":"Karvonen et al. 2015 in"}],"schema":"https://github.com/citation-style-language/schema/raw/master/csl-citation.json"} </w:instrText>
      </w:r>
      <w:r w:rsidRPr="00D03260">
        <w:fldChar w:fldCharType="separate"/>
      </w:r>
      <w:r w:rsidRPr="00D03260">
        <w:t>(Karvonen et al. 2015 in Wiesmüller et al., 2017)</w:t>
      </w:r>
      <w:r w:rsidRPr="00D03260">
        <w:fldChar w:fldCharType="end"/>
      </w:r>
      <w:r w:rsidRPr="00D03260">
        <w:t>.</w:t>
      </w:r>
    </w:p>
    <w:p w14:paraId="25FDC1B9" w14:textId="07181396" w:rsidR="00A05BCA" w:rsidRPr="00D03260" w:rsidRDefault="00A05BCA" w:rsidP="00A05BCA">
      <w:r w:rsidRPr="00D03260">
        <w:t xml:space="preserve">Two reviews by the US IOM detailed their findings and conclusions specific to asthma. A 2011 review, cited widely in the literature, reported that current asthma (defined as either asthma diagnosis in prior 12 months, asthma diagnosis ever plus asthmatic symptoms in prior 12 months, or recent prescription of asthma medication), was consistently associated in available studies with dampness or mould </w:t>
      </w:r>
      <w:r w:rsidRPr="00D03260">
        <w:fldChar w:fldCharType="begin"/>
      </w:r>
      <w:r w:rsidR="00217980" w:rsidRPr="00D03260">
        <w:instrText xml:space="preserve"> ADDIN ZOTERO_ITEM CSL_CITATION {"citationID":"pP5ap7Ve","properties":{"formattedCitation":"(Mendell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 xml:space="preserve">. Among cross-sectional studies of adults, children, or both, almost all odds ratios (ORs) (94%) exceeded 1.0 (ranging from 0.3 to 13.0), and in the systematic review by Fisk et al. (2007) as a summary effect estimate, an OR of 1.6 (1.3–1.9, 95% CI) for current asthma and qualitative dampness factors was reported </w:t>
      </w:r>
      <w:r w:rsidRPr="00D03260">
        <w:fldChar w:fldCharType="begin"/>
      </w:r>
      <w:r w:rsidR="00217980" w:rsidRPr="00D03260">
        <w:instrText xml:space="preserve"> ADDIN ZOTERO_ITEM CSL_CITATION {"citationID":"rPUTU3Iy","properties":{"formattedCitation":"(Mendell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 xml:space="preserve">. Ever-diagnosis with asthma was associated consistently with dampness or mould (91% of ORs; range, 0.6–2.6) in both adults and children </w:t>
      </w:r>
      <w:r w:rsidRPr="00D03260">
        <w:fldChar w:fldCharType="begin"/>
      </w:r>
      <w:r w:rsidR="00217980" w:rsidRPr="00D03260">
        <w:instrText xml:space="preserve"> ADDIN ZOTERO_ITEM CSL_CITATION {"citationID":"uW8Tvxoa","properties":{"formattedCitation":"(Mendell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w:t>
      </w:r>
    </w:p>
    <w:p w14:paraId="12FD8EC8" w14:textId="34021117" w:rsidR="00A05BCA" w:rsidRPr="00D03260" w:rsidRDefault="00A05BCA" w:rsidP="00A05BCA">
      <w:r w:rsidRPr="00D03260">
        <w:t xml:space="preserve">A 2015 update to the 2000 Review by the IOM on indoor environmental exposures and exacerbation of asthma, that included studies from 2000 to 2013, reported major updated conclusions on dampness and dampness related agents </w:t>
      </w:r>
      <w:r w:rsidRPr="00D03260">
        <w:fldChar w:fldCharType="begin"/>
      </w:r>
      <w:r w:rsidR="00217980" w:rsidRPr="00D03260">
        <w:instrText xml:space="preserve"> ADDIN ZOTERO_ITEM CSL_CITATION {"citationID":"75crwVY2","properties":{"formattedCitation":"(Kanchongkittiphon et al., 2015)","plainCitation":"(Kanchongkittiphon et al., 2015)","noteIndex":0},"citationItems":[{"id":2231,"uris":["http://zotero.org/groups/4371185/items/5BSGNUCK"],"itemData":{"id":2231,"type":"article-journal","abstract":"ackground: Previous research has found relationships between specific indoor environmental exposures and exacerbation of asthma.\n\nObjectives: In this review we provide an updated summary of knowledge from the scientific literature on indoor exposures and exacerbation of asthma.\n\nMethods: Peer-reviewed articles published from 2000 to 2013 on indoor exposures and exacerbation of asthma were identified through PubMed, from reference lists, and from authors' files. Articles that focused on modifiable indoor exposures in relation to frequency or severity of exacerbation of asthma were selected for review. Research findings were reviewed and summarized with consideration of the strength of the evidence.\n\nResults: Sixty-nine eligible articles were included. Major changed conclusions include a causal relationship with exacerbation for indoor dampness or dampness-related agents (in children); associations with exacerbation for dampness or dampness-related agents (in adults), endotoxin, and environmental tobacco smoke (in preschool children); and limited or suggestive evidence for association with exacerbation for indoor culturable Penicillium or total fungi, nitrogen dioxide, rodents (nonoccupational), feather/down pillows (protective relative to synthetic bedding), and (regardless of specific sensitization) dust mite, cockroach, dog, and dampness-related agents.\n\nDiscussion: This review, incorporating evidence reported since 2000, increases the strength of evidence linking many indoor factors to the exacerbation of asthma. Conclusions should be considered provisional until all available evidence is examined more thoroughly.\n\nConclusion: Multiple indoor exposures, especially dampness-related agents, merit increased attention to prevent exacerbation of asthma, possibly even in nonsensitized individuals. Additional research to establish causality and evaluate interventions is needed for these and other indoor exposures.","container-title":"Environmental health perspectives","ISSN":"0091-6765","issue":"1","journalAbbreviation":"Environmental health perspectives","note":"publisher: NLM-Export","page":"6-20","title":"Indoor environmental exposures and exacerbation of asthma: an update to the 2000 review by the Institute of Medicine","volume":"123","author":[{"family":"Kanchongkittiphon","given":"Watcharoot"},{"family":"Mendell","given":"Mark J"},{"family":"Gaffin","given":"Jonathan M"},{"family":"Wang","given":"Grace"},{"family":"Phipatanakul","given":"Wanda"}],"issued":{"date-parts":[["2015"]]}}}],"schema":"https://github.com/citation-style-language/schema/raw/master/csl-citation.json"} </w:instrText>
      </w:r>
      <w:r w:rsidRPr="00D03260">
        <w:fldChar w:fldCharType="separate"/>
      </w:r>
      <w:r w:rsidRPr="00D03260">
        <w:t>(Kanchongkittiphon et al., 2015)</w:t>
      </w:r>
      <w:r w:rsidRPr="00D03260">
        <w:fldChar w:fldCharType="end"/>
      </w:r>
      <w:r w:rsidRPr="00D03260">
        <w:t>. In the 2015, the IOM updated its conclusions for dampness and dampness-related agents:</w:t>
      </w:r>
    </w:p>
    <w:p w14:paraId="245B52F5" w14:textId="77777777" w:rsidR="00A05BCA" w:rsidRPr="00D03260" w:rsidRDefault="00A05BCA" w:rsidP="00A05BCA">
      <w:pPr>
        <w:pStyle w:val="ListBullet"/>
      </w:pPr>
      <w:r w:rsidRPr="00D03260">
        <w:t>in children, there was sufficient evidence of a causal association between dampness and dampness-related agents and exacerbation of asthma</w:t>
      </w:r>
    </w:p>
    <w:p w14:paraId="5E8A36FD" w14:textId="0AE52B7E" w:rsidR="00A05BCA" w:rsidRPr="00D03260" w:rsidRDefault="00A05BCA" w:rsidP="00A05BCA">
      <w:pPr>
        <w:pStyle w:val="ListBullet"/>
      </w:pPr>
      <w:r w:rsidRPr="00D03260">
        <w:t xml:space="preserve">in adults there was sufficient evidence of an association </w:t>
      </w:r>
      <w:r w:rsidRPr="00D03260">
        <w:fldChar w:fldCharType="begin"/>
      </w:r>
      <w:r w:rsidR="00217980" w:rsidRPr="00D03260">
        <w:instrText xml:space="preserve"> ADDIN ZOTERO_ITEM CSL_CITATION {"citationID":"Oo8suneA","properties":{"formattedCitation":"(Kanchongkittiphon et al., 2015)","plainCitation":"(Kanchongkittiphon et al., 2015)","noteIndex":0},"citationItems":[{"id":2231,"uris":["http://zotero.org/groups/4371185/items/5BSGNUCK"],"itemData":{"id":2231,"type":"article-journal","abstract":"ackground: Previous research has found relationships between specific indoor environmental exposures and exacerbation of asthma.\n\nObjectives: In this review we provide an updated summary of knowledge from the scientific literature on indoor exposures and exacerbation of asthma.\n\nMethods: Peer-reviewed articles published from 2000 to 2013 on indoor exposures and exacerbation of asthma were identified through PubMed, from reference lists, and from authors' files. Articles that focused on modifiable indoor exposures in relation to frequency or severity of exacerbation of asthma were selected for review. Research findings were reviewed and summarized with consideration of the strength of the evidence.\n\nResults: Sixty-nine eligible articles were included. Major changed conclusions include a causal relationship with exacerbation for indoor dampness or dampness-related agents (in children); associations with exacerbation for dampness or dampness-related agents (in adults), endotoxin, and environmental tobacco smoke (in preschool children); and limited or suggestive evidence for association with exacerbation for indoor culturable Penicillium or total fungi, nitrogen dioxide, rodents (nonoccupational), feather/down pillows (protective relative to synthetic bedding), and (regardless of specific sensitization) dust mite, cockroach, dog, and dampness-related agents.\n\nDiscussion: This review, incorporating evidence reported since 2000, increases the strength of evidence linking many indoor factors to the exacerbation of asthma. Conclusions should be considered provisional until all available evidence is examined more thoroughly.\n\nConclusion: Multiple indoor exposures, especially dampness-related agents, merit increased attention to prevent exacerbation of asthma, possibly even in nonsensitized individuals. Additional research to establish causality and evaluate interventions is needed for these and other indoor exposures.","container-title":"Environmental health perspectives","ISSN":"0091-6765","issue":"1","journalAbbreviation":"Environmental health perspectives","note":"publisher: NLM-Export","page":"6-20","title":"Indoor environmental exposures and exacerbation of asthma: an update to the 2000 review by the Institute of Medicine","volume":"123","author":[{"family":"Kanchongkittiphon","given":"Watcharoot"},{"family":"Mendell","given":"Mark J"},{"family":"Gaffin","given":"Jonathan M"},{"family":"Wang","given":"Grace"},{"family":"Phipatanakul","given":"Wanda"}],"issued":{"date-parts":[["2015"]]}}}],"schema":"https://github.com/citation-style-language/schema/raw/master/csl-citation.json"} </w:instrText>
      </w:r>
      <w:r w:rsidRPr="00D03260">
        <w:fldChar w:fldCharType="separate"/>
      </w:r>
      <w:r w:rsidRPr="00D03260">
        <w:t>(Kanchongkittiphon et al., 2015)</w:t>
      </w:r>
      <w:r w:rsidRPr="00D03260">
        <w:fldChar w:fldCharType="end"/>
      </w:r>
      <w:r w:rsidRPr="00D03260">
        <w:t>.</w:t>
      </w:r>
    </w:p>
    <w:p w14:paraId="776C7005" w14:textId="30BAD15E" w:rsidR="00A05BCA" w:rsidRPr="00D03260" w:rsidRDefault="00A05BCA" w:rsidP="00A05BCA">
      <w:bookmarkStart w:id="354" w:name="_Hlk123891134"/>
      <w:r w:rsidRPr="00D03260">
        <w:t>These updated conclusions for dampness and dampness-related agents were reported under ‘Sufficient evidence for association’, not ‘Sufficient evidence for causation’</w:t>
      </w:r>
      <w:bookmarkEnd w:id="354"/>
      <w:r w:rsidRPr="00D03260">
        <w:t xml:space="preserve">. Of note, and of relevance to the wider subject of indoor air quality, the updated IOM conclusions found sufficient evidence of a causal relationship between </w:t>
      </w:r>
      <w:r w:rsidR="00FC0656" w:rsidRPr="00D03260">
        <w:t xml:space="preserve">exacerbation of </w:t>
      </w:r>
      <w:r w:rsidRPr="00D03260">
        <w:t>asthma and exposure to house dust mite allergens, cat allergens,</w:t>
      </w:r>
      <w:r w:rsidR="00230F41" w:rsidRPr="00D03260">
        <w:t xml:space="preserve"> and</w:t>
      </w:r>
      <w:r w:rsidR="002C423B" w:rsidRPr="00D03260">
        <w:t xml:space="preserve"> </w:t>
      </w:r>
      <w:r w:rsidRPr="00D03260">
        <w:t>cockroach allergens</w:t>
      </w:r>
      <w:r w:rsidR="00A621A8" w:rsidRPr="00D03260">
        <w:t xml:space="preserve"> (in individuals sensitised to these allergens)</w:t>
      </w:r>
      <w:r w:rsidR="00FE0CC2" w:rsidRPr="00D03260">
        <w:t xml:space="preserve"> </w:t>
      </w:r>
      <w:r w:rsidRPr="00D03260">
        <w:fldChar w:fldCharType="begin"/>
      </w:r>
      <w:r w:rsidR="00217980" w:rsidRPr="00D03260">
        <w:instrText xml:space="preserve"> ADDIN ZOTERO_ITEM CSL_CITATION {"citationID":"WO9bGfYZ","properties":{"formattedCitation":"(Kanchongkittiphon et al., 2015)","plainCitation":"(Kanchongkittiphon et al., 2015)","noteIndex":0},"citationItems":[{"id":2231,"uris":["http://zotero.org/groups/4371185/items/5BSGNUCK"],"itemData":{"id":2231,"type":"article-journal","abstract":"ackground: Previous research has found relationships between specific indoor environmental exposures and exacerbation of asthma.\n\nObjectives: In this review we provide an updated summary of knowledge from the scientific literature on indoor exposures and exacerbation of asthma.\n\nMethods: Peer-reviewed articles published from 2000 to 2013 on indoor exposures and exacerbation of asthma were identified through PubMed, from reference lists, and from authors' files. Articles that focused on modifiable indoor exposures in relation to frequency or severity of exacerbation of asthma were selected for review. Research findings were reviewed and summarized with consideration of the strength of the evidence.\n\nResults: Sixty-nine eligible articles were included. Major changed conclusions include a causal relationship with exacerbation for indoor dampness or dampness-related agents (in children); associations with exacerbation for dampness or dampness-related agents (in adults), endotoxin, and environmental tobacco smoke (in preschool children); and limited or suggestive evidence for association with exacerbation for indoor culturable Penicillium or total fungi, nitrogen dioxide, rodents (nonoccupational), feather/down pillows (protective relative to synthetic bedding), and (regardless of specific sensitization) dust mite, cockroach, dog, and dampness-related agents.\n\nDiscussion: This review, incorporating evidence reported since 2000, increases the strength of evidence linking many indoor factors to the exacerbation of asthma. Conclusions should be considered provisional until all available evidence is examined more thoroughly.\n\nConclusion: Multiple indoor exposures, especially dampness-related agents, merit increased attention to prevent exacerbation of asthma, possibly even in nonsensitized individuals. Additional research to establish causality and evaluate interventions is needed for these and other indoor exposures.","container-title":"Environmental health perspectives","ISSN":"0091-6765","issue":"1","journalAbbreviation":"Environmental health perspectives","note":"publisher: NLM-Export","page":"6-20","title":"Indoor environmental exposures and exacerbation of asthma: an update to the 2000 review by the Institute of Medicine","volume":"123","author":[{"family":"Kanchongkittiphon","given":"Watcharoot"},{"family":"Mendell","given":"Mark J"},{"family":"Gaffin","given":"Jonathan M"},{"family":"Wang","given":"Grace"},{"family":"Phipatanakul","given":"Wanda"}],"issued":{"date-parts":[["2015"]]}}}],"schema":"https://github.com/citation-style-language/schema/raw/master/csl-citation.json"} </w:instrText>
      </w:r>
      <w:r w:rsidRPr="00D03260">
        <w:fldChar w:fldCharType="separate"/>
      </w:r>
      <w:r w:rsidRPr="00D03260">
        <w:t>(Kanchongkittiphon et al., 2015)</w:t>
      </w:r>
      <w:r w:rsidRPr="00D03260">
        <w:fldChar w:fldCharType="end"/>
      </w:r>
      <w:r w:rsidRPr="00D03260">
        <w:t>.</w:t>
      </w:r>
    </w:p>
    <w:p w14:paraId="16126BC0" w14:textId="6B9C2D38" w:rsidR="00A05BCA" w:rsidRPr="00D03260" w:rsidRDefault="00A05BCA" w:rsidP="00A05BCA">
      <w:r w:rsidRPr="00D03260">
        <w:t xml:space="preserve">For exposure to fungi (quantified) and asthma, the updated 2015 IOM conclusions included the following </w:t>
      </w:r>
      <w:r w:rsidRPr="00D03260">
        <w:fldChar w:fldCharType="begin"/>
      </w:r>
      <w:r w:rsidR="00217980" w:rsidRPr="00D03260">
        <w:instrText xml:space="preserve"> ADDIN ZOTERO_ITEM CSL_CITATION {"citationID":"kuHgDRkL","properties":{"formattedCitation":"(Kanchongkittiphon et al., 2015)","plainCitation":"(Kanchongkittiphon et al., 2015)","noteIndex":0},"citationItems":[{"id":2231,"uris":["http://zotero.org/groups/4371185/items/5BSGNUCK"],"itemData":{"id":2231,"type":"article-journal","abstract":"ackground: Previous research has found relationships between specific indoor environmental exposures and exacerbation of asthma.\n\nObjectives: In this review we provide an updated summary of knowledge from the scientific literature on indoor exposures and exacerbation of asthma.\n\nMethods: Peer-reviewed articles published from 2000 to 2013 on indoor exposures and exacerbation of asthma were identified through PubMed, from reference lists, and from authors' files. Articles that focused on modifiable indoor exposures in relation to frequency or severity of exacerbation of asthma were selected for review. Research findings were reviewed and summarized with consideration of the strength of the evidence.\n\nResults: Sixty-nine eligible articles were included. Major changed conclusions include a causal relationship with exacerbation for indoor dampness or dampness-related agents (in children); associations with exacerbation for dampness or dampness-related agents (in adults), endotoxin, and environmental tobacco smoke (in preschool children); and limited or suggestive evidence for association with exacerbation for indoor culturable Penicillium or total fungi, nitrogen dioxide, rodents (nonoccupational), feather/down pillows (protective relative to synthetic bedding), and (regardless of specific sensitization) dust mite, cockroach, dog, and dampness-related agents.\n\nDiscussion: This review, incorporating evidence reported since 2000, increases the strength of evidence linking many indoor factors to the exacerbation of asthma. Conclusions should be considered provisional until all available evidence is examined more thoroughly.\n\nConclusion: Multiple indoor exposures, especially dampness-related agents, merit increased attention to prevent exacerbation of asthma, possibly even in nonsensitized individuals. Additional research to establish causality and evaluate interventions is needed for these and other indoor exposures.","container-title":"Environmental health perspectives","ISSN":"0091-6765","issue":"1","journalAbbreviation":"Environmental health perspectives","note":"publisher: NLM-Export","page":"6-20","title":"Indoor environmental exposures and exacerbation of asthma: an update to the 2000 review by the Institute of Medicine","volume":"123","author":[{"family":"Kanchongkittiphon","given":"Watcharoot"},{"family":"Mendell","given":"Mark J"},{"family":"Gaffin","given":"Jonathan M"},{"family":"Wang","given":"Grace"},{"family":"Phipatanakul","given":"Wanda"}],"issued":{"date-parts":[["2015"]]}}}],"schema":"https://github.com/citation-style-language/schema/raw/master/csl-citation.json"} </w:instrText>
      </w:r>
      <w:r w:rsidRPr="00D03260">
        <w:fldChar w:fldCharType="separate"/>
      </w:r>
      <w:r w:rsidRPr="00D03260">
        <w:t>(Kanchongkittiphon et al., 2015)</w:t>
      </w:r>
      <w:r w:rsidRPr="00D03260">
        <w:fldChar w:fldCharType="end"/>
      </w:r>
      <w:r w:rsidRPr="00D03260">
        <w:t>:</w:t>
      </w:r>
    </w:p>
    <w:p w14:paraId="5BBC6902" w14:textId="77777777" w:rsidR="00A05BCA" w:rsidRPr="00D03260" w:rsidRDefault="00A05BCA" w:rsidP="00A05BCA">
      <w:pPr>
        <w:pStyle w:val="ListBullet"/>
      </w:pPr>
      <w:r w:rsidRPr="00D03260">
        <w:t xml:space="preserve">there is limited or suggestive evidence of an association between indoor culturable </w:t>
      </w:r>
      <w:r w:rsidRPr="00D03260">
        <w:rPr>
          <w:i/>
          <w:iCs/>
        </w:rPr>
        <w:t xml:space="preserve">Penicillium </w:t>
      </w:r>
      <w:r w:rsidRPr="00D03260">
        <w:t>exposure and exacerbation in asthmatic children with specific sensitisation, any fungal sensitisation, or unspecified sensitisation</w:t>
      </w:r>
    </w:p>
    <w:p w14:paraId="66155DC5" w14:textId="77777777" w:rsidR="00A05BCA" w:rsidRPr="00D03260" w:rsidRDefault="00A05BCA" w:rsidP="00A05BCA">
      <w:pPr>
        <w:pStyle w:val="ListBullet"/>
      </w:pPr>
      <w:r w:rsidRPr="00D03260">
        <w:t>there is limited or suggestive evidence of an association between indoor total culturable fungal exposure and exacerbation of asthma in children with any fungal sensitisation.</w:t>
      </w:r>
    </w:p>
    <w:p w14:paraId="5CBB4BEC" w14:textId="58A9F3B2" w:rsidR="00A05BCA" w:rsidRPr="00D03260" w:rsidRDefault="00A05BCA" w:rsidP="00A05BCA">
      <w:r w:rsidRPr="00D03260">
        <w:t xml:space="preserve">As in allergic rhinitis, allergic asthma due to moulds is mostly a seasonal disease and is predominantly induced by seasonal outdoor moulds like </w:t>
      </w:r>
      <w:r w:rsidRPr="00D03260">
        <w:rPr>
          <w:i/>
          <w:iCs/>
        </w:rPr>
        <w:t>Alternaria</w:t>
      </w:r>
      <w:r w:rsidRPr="00D03260">
        <w:t xml:space="preserve"> or in rarer cases </w:t>
      </w:r>
      <w:r w:rsidRPr="00D03260">
        <w:rPr>
          <w:i/>
          <w:iCs/>
        </w:rPr>
        <w:t>Cladosporium</w:t>
      </w:r>
      <w:r w:rsidRPr="00D03260">
        <w:t xml:space="preserve">, </w:t>
      </w:r>
      <w:r w:rsidRPr="00D03260">
        <w:rPr>
          <w:i/>
          <w:iCs/>
        </w:rPr>
        <w:t>Epicoccum</w:t>
      </w:r>
      <w:r w:rsidRPr="00D03260">
        <w:t xml:space="preserve">, </w:t>
      </w:r>
      <w:r w:rsidRPr="00D03260">
        <w:rPr>
          <w:i/>
          <w:iCs/>
        </w:rPr>
        <w:t xml:space="preserve">Fusarium </w:t>
      </w:r>
      <w:r w:rsidRPr="00D03260">
        <w:rPr>
          <w:i/>
          <w:iCs/>
        </w:rPr>
        <w:fldChar w:fldCharType="begin"/>
      </w:r>
      <w:r w:rsidR="00217980" w:rsidRPr="00D03260">
        <w:rPr>
          <w:i/>
          <w:iCs/>
        </w:rPr>
        <w:instrText xml:space="preserve"> ADDIN ZOTERO_ITEM CSL_CITATION {"citationID":"1FTt6qyF","properties":{"formattedCitation":"(Hurra\\uc0\\u223{} et al., 2017)","plainCitation":"(Hurraß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schema":"https://github.com/citation-style-language/schema/raw/master/csl-citation.json"} </w:instrText>
      </w:r>
      <w:r w:rsidRPr="00D03260">
        <w:rPr>
          <w:i/>
          <w:iCs/>
        </w:rPr>
        <w:fldChar w:fldCharType="separate"/>
      </w:r>
      <w:r w:rsidRPr="00D03260">
        <w:t>(Hurraß et al., 2017)</w:t>
      </w:r>
      <w:r w:rsidRPr="00D03260">
        <w:rPr>
          <w:i/>
          <w:iCs/>
        </w:rPr>
        <w:fldChar w:fldCharType="end"/>
      </w:r>
      <w:r w:rsidRPr="00D03260">
        <w:t xml:space="preserve">. Indoor moulds such as </w:t>
      </w:r>
      <w:r w:rsidRPr="00D03260">
        <w:rPr>
          <w:i/>
          <w:iCs/>
        </w:rPr>
        <w:t>Aspergillus</w:t>
      </w:r>
      <w:r w:rsidRPr="00D03260">
        <w:t xml:space="preserve"> sp. Or </w:t>
      </w:r>
      <w:r w:rsidRPr="00D03260">
        <w:rPr>
          <w:i/>
          <w:iCs/>
        </w:rPr>
        <w:t>Penicillium</w:t>
      </w:r>
      <w:r w:rsidRPr="00D03260">
        <w:t xml:space="preserve"> sp. </w:t>
      </w:r>
      <w:r w:rsidR="004758FB" w:rsidRPr="00D03260">
        <w:t>m</w:t>
      </w:r>
      <w:r w:rsidRPr="00D03260">
        <w:t xml:space="preserve">ay rarely cause perennial asthma </w:t>
      </w:r>
      <w:r w:rsidRPr="00D03260">
        <w:fldChar w:fldCharType="begin"/>
      </w:r>
      <w:r w:rsidR="00217980" w:rsidRPr="00D03260">
        <w:instrText xml:space="preserve"> ADDIN ZOTERO_ITEM CSL_CITATION {"citationID":"Da8jb7Nh","properties":{"formattedCitation":"(Reponen et al. 2012 in Hurra\\uc0\\u223{} et al., 2017)","plainCitation":"(Reponen et al. 2012 in 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prefix":"Reponen et al. 2012 in"}],"schema":"https://github.com/citation-style-language/schema/raw/master/csl-citation.json"} </w:instrText>
      </w:r>
      <w:r w:rsidRPr="00D03260">
        <w:fldChar w:fldCharType="separate"/>
      </w:r>
      <w:r w:rsidRPr="00D03260">
        <w:t>(Reponen et al. 2012 in Hurraß et al., 2017)</w:t>
      </w:r>
      <w:r w:rsidRPr="00D03260">
        <w:fldChar w:fldCharType="end"/>
      </w:r>
      <w:r w:rsidRPr="00D03260">
        <w:t xml:space="preserve">. Patients with allergic asthma to moulds were additionally sensitised to other environmental allergens in 95% of cases, but mono-sensitisations to moulds may occur only in rare cases, with the latter especially true for indoor moulds </w:t>
      </w:r>
      <w:r w:rsidRPr="00D03260">
        <w:fldChar w:fldCharType="begin"/>
      </w:r>
      <w:r w:rsidR="00217980" w:rsidRPr="00D03260">
        <w:instrText xml:space="preserve"> ADDIN ZOTERO_ITEM CSL_CITATION {"citationID":"MWa2935t","properties":{"formattedCitation":"(Inersen &amp; Dahl 1995 in Hurra\\uc0\\u223{} et al., 2017; Inersen &amp; Dahl 1995 in Wiesm\\uc0\\u252{}ller et al., 2017)","plainCitation":"(Inersen &amp; Dahl 1995 in Hurraß et al., 2017; Inersen &amp; Dahl 1995 in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prefix":"Inersen &amp; Dahl 1995 in"},{"id":2051,"uris":["http://zotero.org/groups/4371185/items/QZ4VYG6U"],"itemData":{"id":2051,"type":"article-journal","container-title":"Allergo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Peter"},{"family":"Steiß","given":"Jens-Oliver"},{"family":"Szewszyk","given":"Regine"},{"family":"Thomas","given":"Peter"},{"family":"Valtanen","given":"Kerttu"},{"family":"Hurraß","given":"Julia"}],"issued":{"date-parts":[["2017",8]]}},"prefix":"Inersen &amp; Dahl 1995 in"}],"schema":"https://github.com/citation-style-language/schema/raw/master/csl-citation.json"} </w:instrText>
      </w:r>
      <w:r w:rsidRPr="00D03260">
        <w:fldChar w:fldCharType="separate"/>
      </w:r>
      <w:r w:rsidRPr="00D03260">
        <w:t>(Inersen &amp; Dahl 1995 in Hurraß et al., 2017; Inersen &amp; Dahl 1995 in Wiesmüller et al., 2017)</w:t>
      </w:r>
      <w:r w:rsidRPr="00D03260">
        <w:fldChar w:fldCharType="end"/>
      </w:r>
      <w:r w:rsidRPr="00D03260">
        <w:t xml:space="preserve">. Furthermore, sensitisation to moulds mostly occurs in patients with a high potential for being sensitised to common inhalation allergens. Sensitisation to moulds is not related to damp dwellings, as it is believed that moulds have a low sensitising potential and genetic factors are of higher importance than exposure </w:t>
      </w:r>
      <w:r w:rsidRPr="00D03260">
        <w:fldChar w:fldCharType="begin"/>
      </w:r>
      <w:r w:rsidR="00217980" w:rsidRPr="00D03260">
        <w:instrText xml:space="preserve"> ADDIN ZOTERO_ITEM CSL_CITATION {"citationID":"D1jv3HMk","properties":{"formattedCitation":"(Inersen &amp; Dahl 1995 in Hurra\\uc0\\u223{} et al., 2017; Inersen &amp; Dahl 1995 in Wiesm\\uc0\\u252{}ller et al., 2017)","plainCitation":"(Inersen &amp; Dahl 1995 in Hurraß et al., 2017; Inersen &amp; Dahl 1995 in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prefix":"Inersen &amp; Dahl 1995 in"},{"id":2051,"uris":["http://zotero.org/groups/4371185/items/QZ4VYG6U"],"itemData":{"id":2051,"type":"article-journal","container-title":"Allergo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Peter"},{"family":"Steiß","given":"Jens-Oliver"},{"family":"Szewszyk","given":"Regine"},{"family":"Thomas","given":"Peter"},{"family":"Valtanen","given":"Kerttu"},{"family":"Hurraß","given":"Julia"}],"issued":{"date-parts":[["2017",8]]}},"prefix":"Inersen &amp; Dahl 1995 in"}],"schema":"https://github.com/citation-style-language/schema/raw/master/csl-citation.json"} </w:instrText>
      </w:r>
      <w:r w:rsidRPr="00D03260">
        <w:fldChar w:fldCharType="separate"/>
      </w:r>
      <w:r w:rsidRPr="00D03260">
        <w:t>(Inersen &amp; Dahl 1995 in Hurraß et al., 2017; Inersen &amp; Dahl 1995 in Wiesmüller et al., 2017)</w:t>
      </w:r>
      <w:r w:rsidRPr="00D03260">
        <w:fldChar w:fldCharType="end"/>
      </w:r>
      <w:r w:rsidRPr="00D03260">
        <w:t>.</w:t>
      </w:r>
    </w:p>
    <w:p w14:paraId="185C7228" w14:textId="144CEAE3" w:rsidR="00A05BCA" w:rsidRPr="00D03260" w:rsidRDefault="00A05BCA" w:rsidP="00A05BCA">
      <w:r w:rsidRPr="00D03260">
        <w:t xml:space="preserve">For advice on diagnostic testing for asthma, see </w:t>
      </w:r>
      <w:hyperlink w:anchor="Section41Asthma" w:history="1">
        <w:r w:rsidRPr="00D03260">
          <w:rPr>
            <w:rStyle w:val="Hyperlink"/>
          </w:rPr>
          <w:t>Section 4.1</w:t>
        </w:r>
      </w:hyperlink>
      <w:r w:rsidRPr="00D03260">
        <w:t xml:space="preserve"> and Sections </w:t>
      </w:r>
      <w:hyperlink w:anchor="Section411Adults" w:history="1">
        <w:r w:rsidRPr="00D03260">
          <w:rPr>
            <w:rStyle w:val="Hyperlink"/>
          </w:rPr>
          <w:t>4.1.1</w:t>
        </w:r>
      </w:hyperlink>
      <w:r w:rsidRPr="00D03260">
        <w:t xml:space="preserve"> to </w:t>
      </w:r>
      <w:hyperlink w:anchor="Section414InfantsAged0To12Months" w:history="1">
        <w:r w:rsidRPr="00D03260">
          <w:rPr>
            <w:rStyle w:val="Hyperlink"/>
          </w:rPr>
          <w:t>4.1.4</w:t>
        </w:r>
      </w:hyperlink>
      <w:r w:rsidRPr="00D03260">
        <w:t xml:space="preserve">. For advice on the diagnosis of asthma, see </w:t>
      </w:r>
      <w:hyperlink w:anchor="Section51Asthma" w:history="1">
        <w:r w:rsidRPr="00D03260">
          <w:rPr>
            <w:rStyle w:val="Hyperlink"/>
          </w:rPr>
          <w:t>Section 5.1</w:t>
        </w:r>
      </w:hyperlink>
      <w:r w:rsidRPr="00D03260">
        <w:t xml:space="preserve"> and Sections </w:t>
      </w:r>
      <w:hyperlink w:anchor="Section511ConfirmedDiagnosisOfAsthmaInAd" w:history="1">
        <w:r w:rsidRPr="00D03260">
          <w:rPr>
            <w:rStyle w:val="Hyperlink"/>
          </w:rPr>
          <w:t>5.1.1</w:t>
        </w:r>
      </w:hyperlink>
      <w:r w:rsidRPr="00D03260">
        <w:t xml:space="preserve"> to </w:t>
      </w:r>
      <w:hyperlink w:anchor="Section515NoConfirmedDiagnosisOfAsthmaAn" w:history="1">
        <w:r w:rsidRPr="00D03260">
          <w:rPr>
            <w:rStyle w:val="Hyperlink"/>
          </w:rPr>
          <w:t>5.1.5</w:t>
        </w:r>
      </w:hyperlink>
      <w:r w:rsidRPr="00D03260">
        <w:t>.</w:t>
      </w:r>
    </w:p>
    <w:p w14:paraId="2D941EB5" w14:textId="77777777" w:rsidR="00A05BCA" w:rsidRPr="00D03260" w:rsidRDefault="00A05BCA" w:rsidP="00A05BCA">
      <w:r w:rsidRPr="00D03260">
        <w:t xml:space="preserve">For advice on the initial management of asthma, see </w:t>
      </w:r>
      <w:hyperlink w:anchor="Section621Asthma" w:history="1">
        <w:r w:rsidRPr="00D03260">
          <w:rPr>
            <w:rStyle w:val="Hyperlink"/>
          </w:rPr>
          <w:t>Section 6.2.1</w:t>
        </w:r>
      </w:hyperlink>
      <w:r w:rsidRPr="00D03260">
        <w:t xml:space="preserve">, and for advice on the ongoing management of asthma, see </w:t>
      </w:r>
      <w:hyperlink w:anchor="Section711Asthma" w:history="1">
        <w:r w:rsidRPr="00D03260">
          <w:rPr>
            <w:rStyle w:val="Hyperlink"/>
          </w:rPr>
          <w:t>Section 7.1.1</w:t>
        </w:r>
      </w:hyperlink>
      <w:r w:rsidRPr="00D03260">
        <w:t xml:space="preserve">. </w:t>
      </w:r>
    </w:p>
    <w:p w14:paraId="266AC5BF" w14:textId="14601EFB" w:rsidR="00A05BCA" w:rsidRPr="00D03260" w:rsidRDefault="00A05BCA" w:rsidP="000136F5">
      <w:pPr>
        <w:pStyle w:val="Heading3"/>
      </w:pPr>
      <w:bookmarkStart w:id="355" w:name="_Toc121329209"/>
      <w:bookmarkStart w:id="356" w:name="_Toc121329373"/>
      <w:bookmarkStart w:id="357" w:name="_Toc121834516"/>
      <w:bookmarkStart w:id="358" w:name="_Toc141885946"/>
      <w:r w:rsidRPr="00D03260">
        <w:t>The Australian situation and Australian studies</w:t>
      </w:r>
      <w:bookmarkEnd w:id="355"/>
      <w:bookmarkEnd w:id="356"/>
      <w:bookmarkEnd w:id="357"/>
      <w:bookmarkEnd w:id="358"/>
    </w:p>
    <w:p w14:paraId="6930E881" w14:textId="393A4754" w:rsidR="00A05BCA" w:rsidRPr="00D03260" w:rsidRDefault="00A05BCA" w:rsidP="00A05BCA">
      <w:bookmarkStart w:id="359" w:name="_Hlk96335808"/>
      <w:r w:rsidRPr="00D03260">
        <w:t xml:space="preserve">The House of Representatives Inquiry Report noted that the WHO estimated the prevalence of indoor dampness may affect between 10–50% of indoor environments in Australia, particularly in settings such as river valleys and coastal areas </w:t>
      </w:r>
      <w:r w:rsidRPr="00D03260">
        <w:fldChar w:fldCharType="begin"/>
      </w:r>
      <w:r w:rsidR="00217980" w:rsidRPr="00D03260">
        <w:instrText xml:space="preserve"> ADDIN ZOTERO_ITEM CSL_CITATION {"citationID":"SfgRiJJV","properties":{"formattedCitation":"(House of Representatives Standing Committee on Health, Aged Care and Sport, 2018)","plainCitation":"(House of Representatives Standing Committee on Health, Aged Care and Sport, 2018)","noteIndex":0},"citationItems":[{"id":2054,"uris":["http://zotero.org/groups/4371185/items/Z729ASVA"],"itemData":{"id":2054,"type":"report","language":"English","publisher":"Parliament of the Commonwealth of Australia","title":"Report on the Inquiry into Biotoxin-related Illnesses in Australia","author":[{"family":"House of Representatives Standing Committee on Health, Aged Care and Sport","given":""}],"issued":{"date-parts":[["2018",10]]}}}],"schema":"https://github.com/citation-style-language/schema/raw/master/csl-citation.json"} </w:instrText>
      </w:r>
      <w:r w:rsidRPr="00D03260">
        <w:fldChar w:fldCharType="separate"/>
      </w:r>
      <w:r w:rsidRPr="00D03260">
        <w:t>(House of Representatives Standing Committee on Health, Aged Care and Sport, 2018)</w:t>
      </w:r>
      <w:r w:rsidRPr="00D03260">
        <w:fldChar w:fldCharType="end"/>
      </w:r>
      <w:r w:rsidRPr="00D03260">
        <w:t xml:space="preserve">. To put this into perspective, the WHO provided the same prevalence estimates of indoor dampness for Europe, North America, India and Japan </w:t>
      </w:r>
      <w:r w:rsidRPr="00D03260">
        <w:rPr>
          <w:rStyle w:val="BodyTextChar"/>
        </w:rPr>
        <w:fldChar w:fldCharType="begin"/>
      </w:r>
      <w:r w:rsidR="00217980" w:rsidRPr="00D03260">
        <w:rPr>
          <w:rStyle w:val="BodyTextChar"/>
        </w:rPr>
        <w:instrText xml:space="preserve"> ADDIN ZOTERO_ITEM CSL_CITATION {"citationID":"jM5st2yu","properties":{"formattedCitation":"(World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rPr>
          <w:rStyle w:val="BodyTextChar"/>
        </w:rPr>
        <w:fldChar w:fldCharType="separate"/>
      </w:r>
      <w:r w:rsidRPr="00D03260">
        <w:rPr>
          <w:rStyle w:val="BodyTextChar"/>
        </w:rPr>
        <w:t>(World Health Organization, 2009)</w:t>
      </w:r>
      <w:r w:rsidRPr="00D03260">
        <w:rPr>
          <w:rStyle w:val="BodyTextChar"/>
        </w:rPr>
        <w:fldChar w:fldCharType="end"/>
      </w:r>
      <w:r w:rsidRPr="00D03260">
        <w:rPr>
          <w:rStyle w:val="BodyTextChar"/>
        </w:rPr>
        <w:t xml:space="preserve">. </w:t>
      </w:r>
      <w:bookmarkStart w:id="360" w:name="_Hlk96328953"/>
      <w:r w:rsidRPr="00D03260">
        <w:rPr>
          <w:rStyle w:val="BodyTextChar"/>
        </w:rPr>
        <w:t xml:space="preserve">However, the Inquiry Report also noted advice from the Australasian Society of Building Biologists (ASBB) was that while an estimate provided by Dr. Tim Law to the Inquiry indicated that one third of new buildings in Australia may be affected by condensation problems, the true prevalence and geographic distribution of dampness in Australian buildings is yet to be quantified </w:t>
      </w:r>
      <w:r w:rsidRPr="00D03260">
        <w:rPr>
          <w:rStyle w:val="BodyTextChar"/>
        </w:rPr>
        <w:fldChar w:fldCharType="begin"/>
      </w:r>
      <w:r w:rsidR="00217980" w:rsidRPr="00D03260">
        <w:rPr>
          <w:rStyle w:val="BodyTextChar"/>
        </w:rPr>
        <w:instrText xml:space="preserve"> ADDIN ZOTERO_ITEM CSL_CITATION {"citationID":"SAET9Vzv","properties":{"formattedCitation":"(House of Representatives Standing Committee on Health, Aged Care and Sport, 2018, p. 16)","plainCitation":"(House of Representatives Standing Committee on Health, Aged Care and Sport, 2018, p. 16)","noteIndex":0},"citationItems":[{"id":2054,"uris":["http://zotero.org/groups/4371185/items/Z729ASVA"],"itemData":{"id":2054,"type":"report","language":"English","publisher":"Parliament of the Commonwealth of Australia","title":"Report on the Inquiry into Biotoxin-related Illnesses in Australia","author":[{"family":"House of Representatives Standing Committee on Health, Aged Care and Sport","given":""}],"issued":{"date-parts":[["2018",10]]}},"locator":"16"}],"schema":"https://github.com/citation-style-language/schema/raw/master/csl-citation.json"} </w:instrText>
      </w:r>
      <w:r w:rsidRPr="00D03260">
        <w:rPr>
          <w:rStyle w:val="BodyTextChar"/>
        </w:rPr>
        <w:fldChar w:fldCharType="separate"/>
      </w:r>
      <w:r w:rsidRPr="00D03260">
        <w:rPr>
          <w:rStyle w:val="BodyTextChar"/>
        </w:rPr>
        <w:t>(House of Representatives Standing Committee on Health, Aged Care and Sport, 2018, p. 16)</w:t>
      </w:r>
      <w:r w:rsidRPr="00D03260">
        <w:rPr>
          <w:rStyle w:val="BodyTextChar"/>
        </w:rPr>
        <w:fldChar w:fldCharType="end"/>
      </w:r>
      <w:bookmarkEnd w:id="359"/>
      <w:bookmarkEnd w:id="360"/>
      <w:r w:rsidRPr="00D03260">
        <w:t>.</w:t>
      </w:r>
    </w:p>
    <w:p w14:paraId="14549EF1" w14:textId="5CEF71A1" w:rsidR="00A05BCA" w:rsidRPr="00D03260" w:rsidRDefault="00A05BCA" w:rsidP="00A05BCA">
      <w:r w:rsidRPr="00D03260">
        <w:t xml:space="preserve">Three Australian studies have reported on exposure to indoor damp or mould and asthma outcomes. A study by Knibbs et al. </w:t>
      </w:r>
      <w:r w:rsidRPr="00D03260">
        <w:fldChar w:fldCharType="begin"/>
      </w:r>
      <w:r w:rsidR="00217980" w:rsidRPr="00D03260">
        <w:instrText xml:space="preserve"> ADDIN ZOTERO_ITEM CSL_CITATION {"citationID":"PXAiqSMK","properties":{"formattedCitation":"(2018)","plainCitation":"(2018)","noteIndex":0},"citationItems":[{"id":2192,"uris":["http://zotero.org/groups/4371185/items/J92E27GV"],"itemData":{"id":2192,"type":"article-journal","abstract":"OBJECTIVE: To determine the proportion of the national childhood asthma burden associated with exposure to dampness and gas stoves in Australian homes. DESIGN:  Comparative risk assessment modelling study. Setting, participants: Australian  children aged 14 years or less, 2011. MAIN OUTCOME MEASURES: The population  attributable fractions (PAFs) and number of disability-adjusted life years (DALYs)  for childhood asthma associated with exposure to damp housing and gas stoves.  RESULTS: 26.1% of Australian homes have dampness problems and 38.2% have natural gas  as the main energy source for cooktop stoves. The PAF for childhood asthma  attributable to damp housing was 7.9% (95% CI, 3.2-12.6%), causing 1760  disability-adjusted life years (DALYs; 95% CI, 416-3104 DALYs), or 42 DALYs/100 000  children. The PAF associated with gas stoves was 12.3% (95% CI, 8.9-15.8%),  corresponding to 2756 DALYs (95% CI, 1271-4242), or 67 DALYs/100 000 children. If  all homes with gas stoves were fitted with high efficiency range hoods to vent gas  combustion products outdoors, the PAF and burden estimates were reduced to 3.4% (95%  CI, 2.2-4.6%) and 761 DALYs (95% CI, 322-1199). CONCLUSIONS: Exposure to damp  housing and gas stoves is common in Australia, and is associated with a considerable  proportion of the childhood asthma burden. Strategies for reducing exposure to  indoor dampness and gas combustion products should be communicated to parents of  children with or at risk of asthma.","container-title":"The Medical journal of Australia","DOI":"10.5694/mja17.00469","ISSN":"1326-5377 0025-729X","issue":"7","journalAbbreviation":"Med J Aust","language":"eng","note":"publisher-place: Australia\nPMID: 29642816","page":"299-302","title":"Damp housing, gas stoves, and the burden of childhood asthma in Australia.","volume":"208","author":[{"family":"Knibbs","given":"Luke D."},{"family":"Woldeyohannes","given":"Solomon"},{"family":"Marks","given":"Guy B."},{"family":"Cowie","given":"Christine T."}],"issued":{"date-parts":[["2018",4,16]]}},"suppress-author":true}],"schema":"https://github.com/citation-style-language/schema/raw/master/csl-citation.json"} </w:instrText>
      </w:r>
      <w:r w:rsidRPr="00D03260">
        <w:fldChar w:fldCharType="separate"/>
      </w:r>
      <w:r w:rsidRPr="00D03260">
        <w:t>(2018)</w:t>
      </w:r>
      <w:r w:rsidRPr="00D03260">
        <w:fldChar w:fldCharType="end"/>
      </w:r>
      <w:r w:rsidRPr="00D03260">
        <w:t xml:space="preserve"> sought to determine the proportion of the national childhood asthma burden associated with exposure to dampness and gas stoves in Australian homes</w:t>
      </w:r>
      <w:r w:rsidR="00D757E6" w:rsidRPr="00D03260">
        <w:t>. The study</w:t>
      </w:r>
      <w:r w:rsidRPr="00D03260">
        <w:t xml:space="preserve"> found exposure of Australian children to damp housing and gas stove emissions is common, and is associated with 7.9% and 12.3% respectively of the total asthma burden in children aged 14 years or under:</w:t>
      </w:r>
    </w:p>
    <w:p w14:paraId="0D62439E" w14:textId="77777777" w:rsidR="00A05BCA" w:rsidRPr="00D03260" w:rsidRDefault="00A05BCA" w:rsidP="00A05BCA">
      <w:pPr>
        <w:pStyle w:val="ListBullet"/>
      </w:pPr>
      <w:r w:rsidRPr="00D03260">
        <w:t>For dampness problems, the authors reported 26.1% of Australian homes to be affected. The population attributable fractions (PAFs) for childhood asthma attributable to damp housing was 7.9% (95% CI: 3.2–12.6%), causing 1,760 disability-adjusted life years (DALYs) (DALYs; 95% CI: 416–3,104 DALYs), or 42 DALYs/100,000 children</w:t>
      </w:r>
    </w:p>
    <w:p w14:paraId="0DC8C37E" w14:textId="325F45F1" w:rsidR="00A05BCA" w:rsidRPr="00D03260" w:rsidRDefault="00A05BCA" w:rsidP="00A05BCA">
      <w:pPr>
        <w:pStyle w:val="ListBullet"/>
      </w:pPr>
      <w:r w:rsidRPr="00D03260">
        <w:t xml:space="preserve">For gas stoves, 38.2% of homes were estimated to have natural gas as the main energy source for cooktop stoves. The PAFs associated with gas stoves was 12.3% (95% CI: 8.9–15.8%), corresponding to 2,756 DALYs (95% CI: 1,271–4,242), or 67 DALYs/100,000 children </w:t>
      </w:r>
      <w:r w:rsidRPr="00D03260">
        <w:fldChar w:fldCharType="begin"/>
      </w:r>
      <w:r w:rsidR="00217980" w:rsidRPr="00D03260">
        <w:instrText xml:space="preserve"> ADDIN ZOTERO_ITEM CSL_CITATION {"citationID":"L0zxhjvm","properties":{"formattedCitation":"(Knibbs et al., 2018)","plainCitation":"(Knibbs et al., 2018)","noteIndex":0},"citationItems":[{"id":2192,"uris":["http://zotero.org/groups/4371185/items/J92E27GV"],"itemData":{"id":2192,"type":"article-journal","abstract":"OBJECTIVE: To determine the proportion of the national childhood asthma burden associated with exposure to dampness and gas stoves in Australian homes. DESIGN:  Comparative risk assessment modelling study. Setting, participants: Australian  children aged 14 years or less, 2011. MAIN OUTCOME MEASURES: The population  attributable fractions (PAFs) and number of disability-adjusted life years (DALYs)  for childhood asthma associated with exposure to damp housing and gas stoves.  RESULTS: 26.1% of Australian homes have dampness problems and 38.2% have natural gas  as the main energy source for cooktop stoves. The PAF for childhood asthma  attributable to damp housing was 7.9% (95% CI, 3.2-12.6%), causing 1760  disability-adjusted life years (DALYs; 95% CI, 416-3104 DALYs), or 42 DALYs/100 000  children. The PAF associated with gas stoves was 12.3% (95% CI, 8.9-15.8%),  corresponding to 2756 DALYs (95% CI, 1271-4242), or 67 DALYs/100 000 children. If  all homes with gas stoves were fitted with high efficiency range hoods to vent gas  combustion products outdoors, the PAF and burden estimates were reduced to 3.4% (95%  CI, 2.2-4.6%) and 761 DALYs (95% CI, 322-1199). CONCLUSIONS: Exposure to damp  housing and gas stoves is common in Australia, and is associated with a considerable  proportion of the childhood asthma burden. Strategies for reducing exposure to  indoor dampness and gas combustion products should be communicated to parents of  children with or at risk of asthma.","container-title":"The Medical journal of Australia","DOI":"10.5694/mja17.00469","ISSN":"1326-5377 0025-729X","issue":"7","journalAbbreviation":"Med J Aust","language":"eng","note":"publisher-place: Australia\nPMID: 29642816","page":"299-302","title":"Damp housing, gas stoves, and the burden of childhood asthma in Australia.","volume":"208","author":[{"family":"Knibbs","given":"Luke D."},{"family":"Woldeyohannes","given":"Solomon"},{"family":"Marks","given":"Guy B."},{"family":"Cowie","given":"Christine T."}],"issued":{"date-parts":[["2018",4,16]]}}}],"schema":"https://github.com/citation-style-language/schema/raw/master/csl-citation.json"} </w:instrText>
      </w:r>
      <w:r w:rsidRPr="00D03260">
        <w:fldChar w:fldCharType="separate"/>
      </w:r>
      <w:r w:rsidRPr="00D03260">
        <w:t>(Knibbs et al., 2018)</w:t>
      </w:r>
      <w:r w:rsidRPr="00D03260">
        <w:fldChar w:fldCharType="end"/>
      </w:r>
      <w:r w:rsidRPr="00D03260">
        <w:t>.</w:t>
      </w:r>
    </w:p>
    <w:p w14:paraId="6A006A00" w14:textId="68569223" w:rsidR="00A05BCA" w:rsidRPr="00D03260" w:rsidRDefault="00A05BCA" w:rsidP="00A05BCA">
      <w:r w:rsidRPr="00D03260">
        <w:t xml:space="preserve">While noting the risks at the level of the individual are relatively small, the authors pointed out that the proportion of the population is relatively large so that the contribution to the population asthma burden is considerable </w:t>
      </w:r>
      <w:r w:rsidRPr="00D03260">
        <w:fldChar w:fldCharType="begin"/>
      </w:r>
      <w:r w:rsidR="00217980" w:rsidRPr="00D03260">
        <w:instrText xml:space="preserve"> ADDIN ZOTERO_ITEM CSL_CITATION {"citationID":"KpBgEflo","properties":{"formattedCitation":"(Knibbs et al., 2018)","plainCitation":"(Knibbs et al., 2018)","noteIndex":0},"citationItems":[{"id":2192,"uris":["http://zotero.org/groups/4371185/items/J92E27GV"],"itemData":{"id":2192,"type":"article-journal","abstract":"OBJECTIVE: To determine the proportion of the national childhood asthma burden associated with exposure to dampness and gas stoves in Australian homes. DESIGN:  Comparative risk assessment modelling study. Setting, participants: Australian  children aged 14 years or less, 2011. MAIN OUTCOME MEASURES: The population  attributable fractions (PAFs) and number of disability-adjusted life years (DALYs)  for childhood asthma associated with exposure to damp housing and gas stoves.  RESULTS: 26.1% of Australian homes have dampness problems and 38.2% have natural gas  as the main energy source for cooktop stoves. The PAF for childhood asthma  attributable to damp housing was 7.9% (95% CI, 3.2-12.6%), causing 1760  disability-adjusted life years (DALYs; 95% CI, 416-3104 DALYs), or 42 DALYs/100 000  children. The PAF associated with gas stoves was 12.3% (95% CI, 8.9-15.8%),  corresponding to 2756 DALYs (95% CI, 1271-4242), or 67 DALYs/100 000 children. If  all homes with gas stoves were fitted with high efficiency range hoods to vent gas  combustion products outdoors, the PAF and burden estimates were reduced to 3.4% (95%  CI, 2.2-4.6%) and 761 DALYs (95% CI, 322-1199). CONCLUSIONS: Exposure to damp  housing and gas stoves is common in Australia, and is associated with a considerable  proportion of the childhood asthma burden. Strategies for reducing exposure to  indoor dampness and gas combustion products should be communicated to parents of  children with or at risk of asthma.","container-title":"The Medical journal of Australia","DOI":"10.5694/mja17.00469","ISSN":"1326-5377 0025-729X","issue":"7","journalAbbreviation":"Med J Aust","language":"eng","note":"publisher-place: Australia\nPMID: 29642816","page":"299-302","title":"Damp housing, gas stoves, and the burden of childhood asthma in Australia.","volume":"208","author":[{"family":"Knibbs","given":"Luke D."},{"family":"Woldeyohannes","given":"Solomon"},{"family":"Marks","given":"Guy B."},{"family":"Cowie","given":"Christine T."}],"issued":{"date-parts":[["2018",4,16]]}}}],"schema":"https://github.com/citation-style-language/schema/raw/master/csl-citation.json"} </w:instrText>
      </w:r>
      <w:r w:rsidRPr="00D03260">
        <w:fldChar w:fldCharType="separate"/>
      </w:r>
      <w:r w:rsidRPr="00D03260">
        <w:t>(Knibbs et al., 2018)</w:t>
      </w:r>
      <w:r w:rsidRPr="00D03260">
        <w:fldChar w:fldCharType="end"/>
      </w:r>
      <w:r w:rsidRPr="00D03260">
        <w:t xml:space="preserve">. As such, advice was that at if all homes with gas stoves were fitted with high efficiency rangehoods to vent gas combustion products outdoors, the PAFs and burden estimates were reduced to 3.4% (95% CI: 2.2–4.6%) and 761 DALYs (95% CI: 322–1,199) </w:t>
      </w:r>
      <w:r w:rsidRPr="00D03260">
        <w:fldChar w:fldCharType="begin"/>
      </w:r>
      <w:r w:rsidR="00217980" w:rsidRPr="00D03260">
        <w:instrText xml:space="preserve"> ADDIN ZOTERO_ITEM CSL_CITATION {"citationID":"KHG9dbT3","properties":{"formattedCitation":"(Knibbs et al., 2018)","plainCitation":"(Knibbs et al., 2018)","noteIndex":0},"citationItems":[{"id":2192,"uris":["http://zotero.org/groups/4371185/items/J92E27GV"],"itemData":{"id":2192,"type":"article-journal","abstract":"OBJECTIVE: To determine the proportion of the national childhood asthma burden associated with exposure to dampness and gas stoves in Australian homes. DESIGN:  Comparative risk assessment modelling study. Setting, participants: Australian  children aged 14 years or less, 2011. MAIN OUTCOME MEASURES: The population  attributable fractions (PAFs) and number of disability-adjusted life years (DALYs)  for childhood asthma associated with exposure to damp housing and gas stoves.  RESULTS: 26.1% of Australian homes have dampness problems and 38.2% have natural gas  as the main energy source for cooktop stoves. The PAF for childhood asthma  attributable to damp housing was 7.9% (95% CI, 3.2-12.6%), causing 1760  disability-adjusted life years (DALYs; 95% CI, 416-3104 DALYs), or 42 DALYs/100 000  children. The PAF associated with gas stoves was 12.3% (95% CI, 8.9-15.8%),  corresponding to 2756 DALYs (95% CI, 1271-4242), or 67 DALYs/100 000 children. If  all homes with gas stoves were fitted with high efficiency range hoods to vent gas  combustion products outdoors, the PAF and burden estimates were reduced to 3.4% (95%  CI, 2.2-4.6%) and 761 DALYs (95% CI, 322-1199). CONCLUSIONS: Exposure to damp  housing and gas stoves is common in Australia, and is associated with a considerable  proportion of the childhood asthma burden. Strategies for reducing exposure to  indoor dampness and gas combustion products should be communicated to parents of  children with or at risk of asthma.","container-title":"The Medical journal of Australia","DOI":"10.5694/mja17.00469","ISSN":"1326-5377 0025-729X","issue":"7","journalAbbreviation":"Med J Aust","language":"eng","note":"publisher-place: Australia\nPMID: 29642816","page":"299-302","title":"Damp housing, gas stoves, and the burden of childhood asthma in Australia.","volume":"208","author":[{"family":"Knibbs","given":"Luke D."},{"family":"Woldeyohannes","given":"Solomon"},{"family":"Marks","given":"Guy B."},{"family":"Cowie","given":"Christine T."}],"issued":{"date-parts":[["2018",4,16]]}}}],"schema":"https://github.com/citation-style-language/schema/raw/master/csl-citation.json"} </w:instrText>
      </w:r>
      <w:r w:rsidRPr="00D03260">
        <w:fldChar w:fldCharType="separate"/>
      </w:r>
      <w:r w:rsidRPr="00D03260">
        <w:t>(Knibbs et al., 2018)</w:t>
      </w:r>
      <w:r w:rsidRPr="00D03260">
        <w:fldChar w:fldCharType="end"/>
      </w:r>
      <w:r w:rsidRPr="00D03260">
        <w:t>.</w:t>
      </w:r>
    </w:p>
    <w:p w14:paraId="2CEF68CE" w14:textId="0765AA91" w:rsidR="00A05BCA" w:rsidRPr="00D03260" w:rsidRDefault="00A05BCA" w:rsidP="00A05BCA">
      <w:r w:rsidRPr="00D03260">
        <w:t xml:space="preserve">A hospital-based case–control study, nested within the Melbourne Air Pollen Children and Adolescent Health (MAPCAH) study that sought to understand the influences on indoor environmental and lifestyle characteristics on asthma hospital readmission found factors in the child’s bedroom play an important role in increasing the risk of asthma hospital readmissions </w:t>
      </w:r>
      <w:r w:rsidRPr="00D03260">
        <w:fldChar w:fldCharType="begin"/>
      </w:r>
      <w:r w:rsidR="00217980" w:rsidRPr="00D03260">
        <w:instrText xml:space="preserve"> ADDIN ZOTERO_ITEM CSL_CITATION {"citationID":"mDYHV0Z3","properties":{"formattedCitation":"(Vicendese et al., 2015)","plainCitation":"(Vicendese et al., 2015)","noteIndex":0},"citationItems":[{"id":2148,"uris":["http://zotero.org/groups/4371185/items/QZ4NUEUT"],"itemData":{"id":2148,"type":"article-journal","abstract":"OBJECTIVE: Indoor environment factors have been associated with risk of asthma exacerbations in children but little is known about their role on asthma hospital  readmissions. As children in Western societies continually spend more time indoors,  understanding the influence of these factors on asthma exacerbation is important. We  examined the role of indoor environmental and lifestyle characteristics on child  asthma readmissions. METHODS: A hospital-based case-control study recruited 22  children readmitted for asthma and 22 controls not readmitted for asthma. Logistic  regression models were used to examine the association between aeroallergens and  fungi in the bedroom and indoor lifestyle characteristics factors for asthma  readmissions. To determine the best possible set of predictors among a large set of  risk factors, we used random forests (RF) techniques. RESULTS: Higher levels of  airborne Cladosporium and yeast in the child's bedroom increased risk of readmission  (OR = 1.68, 95% CI 1.04-2.72 and OR = 1.52, 95% CI 0.99-2.34, respectively).  Carpeted floors in the bedroom and synthetic doonas were also associated with  increase in asthma readmissions (OR = 4.07, 95% CI 1.03-16.06 and OR = 14.6, 95% CI  1.26-169.4, respectively). In the home, frequent vacuuming using bagged cleaners  increased risk of asthma readmission OR = 15.7 (95% CI 2.82-87.2). CONCLUSIONS:  Factors in the child's bedroom play an important role in increasing the risk of  asthma hospital readmissions. These findings have major clinical implications as the  identified potential risk factors may be modifiable. Further epidemiological studies  with larger samples are necessary to evaluate these associations further.","container-title":"Journal of Asthma","DOI":"10.3109/02770903.2014.1001904","ISSN":"1532-4303 0277-0903","issue":"7","journalAbbreviation":"J Asthma","language":"eng","note":"publisher-place: England\nPMID: 25539399","page":"727-731","title":"Bedroom air quality and vacuuming frequency are associated with repeat child asthma hospital admissions.","volume":"52","author":[{"family":"Vicendese","given":"Don"},{"family":"Dharmage","given":"Shyamali C."},{"family":"Tang","given":"Mimi L. K."},{"family":"Olenko","given":"Andriy"},{"family":"Allen","given":"Katrina J."},{"family":"Abramson","given":"Michael J."},{"family":"Erbas","given":"Bircan"}],"issued":{"date-parts":[["2015",9]]}}}],"schema":"https://github.com/citation-style-language/schema/raw/master/csl-citation.json"} </w:instrText>
      </w:r>
      <w:r w:rsidRPr="00D03260">
        <w:fldChar w:fldCharType="separate"/>
      </w:r>
      <w:r w:rsidRPr="00D03260">
        <w:t>(Vicendese et al., 2015)</w:t>
      </w:r>
      <w:r w:rsidRPr="00D03260">
        <w:fldChar w:fldCharType="end"/>
      </w:r>
      <w:r w:rsidRPr="00D03260">
        <w:t xml:space="preserve">. Regarding indoor fungal exposure, the authors found that for every doubling of the concentration of colony forming units (CFU) of airborne </w:t>
      </w:r>
      <w:r w:rsidRPr="00D03260">
        <w:rPr>
          <w:i/>
          <w:iCs/>
        </w:rPr>
        <w:t>Cladosporium</w:t>
      </w:r>
      <w:r w:rsidRPr="00D03260">
        <w:t xml:space="preserve"> (per 28 L of air) in the bedroom, there was over a 60% increase in the odds of readmission, adjusted odds ratio (OR) 1.68, 95% confidence interval (CI) (1.04–2.72), </w:t>
      </w:r>
      <w:r w:rsidRPr="00D03260">
        <w:rPr>
          <w:i/>
          <w:iCs/>
        </w:rPr>
        <w:t>p</w:t>
      </w:r>
      <w:r w:rsidRPr="00D03260">
        <w:t xml:space="preserve"> = .03. Similarly, for every doubling of the concentration of CFU of airborne yeast in the bedroom, there was over a 50% increase in the odds of readmission OR 1.52, 95% CI: 0.99–2.34, </w:t>
      </w:r>
      <w:r w:rsidRPr="00D03260">
        <w:rPr>
          <w:i/>
          <w:iCs/>
        </w:rPr>
        <w:t>p</w:t>
      </w:r>
      <w:r w:rsidRPr="00D03260">
        <w:t xml:space="preserve"> = .05. Overall, higher levels of airborne </w:t>
      </w:r>
      <w:r w:rsidRPr="00D03260">
        <w:rPr>
          <w:rStyle w:val="BodyTextChar"/>
          <w:i/>
          <w:iCs/>
        </w:rPr>
        <w:t>Cladosporium</w:t>
      </w:r>
      <w:r w:rsidRPr="00D03260">
        <w:rPr>
          <w:rStyle w:val="BodyTextChar"/>
        </w:rPr>
        <w:t xml:space="preserve"> and yeast in a child’s bedroom increased the risk of readmission</w:t>
      </w:r>
      <w:r w:rsidRPr="00D03260">
        <w:t xml:space="preserve"> for asthma (OR 1.68; 95% CI: 1.04–2.72). Of the other environmental or lifestyle factors investigated in this study the authors also found a much higher OR for asthma readmissions for carpeted floors in the bedroom (OR 4.07; 95% CI: 1.03–16.06), synthetic doonas (OR 14.6; 95% CI: 1.26–169.4) and frequent vacuuming using bagged cleaners (OR 15.7; 95% CI: 2.82–87.2). The authors noted the findings have major clinical implications as the identified potential risk factors may be modifiable but that further epidemiological studies with larger sample sizes are required to evaluate the associations further </w:t>
      </w:r>
      <w:r w:rsidRPr="00D03260">
        <w:fldChar w:fldCharType="begin"/>
      </w:r>
      <w:r w:rsidR="00217980" w:rsidRPr="00D03260">
        <w:instrText xml:space="preserve"> ADDIN ZOTERO_ITEM CSL_CITATION {"citationID":"gGiBxL6o","properties":{"formattedCitation":"(Vicendese et al., 2015)","plainCitation":"(Vicendese et al., 2015)","noteIndex":0},"citationItems":[{"id":2148,"uris":["http://zotero.org/groups/4371185/items/QZ4NUEUT"],"itemData":{"id":2148,"type":"article-journal","abstract":"OBJECTIVE: Indoor environment factors have been associated with risk of asthma exacerbations in children but little is known about their role on asthma hospital  readmissions. As children in Western societies continually spend more time indoors,  understanding the influence of these factors on asthma exacerbation is important. We  examined the role of indoor environmental and lifestyle characteristics on child  asthma readmissions. METHODS: A hospital-based case-control study recruited 22  children readmitted for asthma and 22 controls not readmitted for asthma. Logistic  regression models were used to examine the association between aeroallergens and  fungi in the bedroom and indoor lifestyle characteristics factors for asthma  readmissions. To determine the best possible set of predictors among a large set of  risk factors, we used random forests (RF) techniques. RESULTS: Higher levels of  airborne Cladosporium and yeast in the child's bedroom increased risk of readmission  (OR = 1.68, 95% CI 1.04-2.72 and OR = 1.52, 95% CI 0.99-2.34, respectively).  Carpeted floors in the bedroom and synthetic doonas were also associated with  increase in asthma readmissions (OR = 4.07, 95% CI 1.03-16.06 and OR = 14.6, 95% CI  1.26-169.4, respectively). In the home, frequent vacuuming using bagged cleaners  increased risk of asthma readmission OR = 15.7 (95% CI 2.82-87.2). CONCLUSIONS:  Factors in the child's bedroom play an important role in increasing the risk of  asthma hospital readmissions. These findings have major clinical implications as the  identified potential risk factors may be modifiable. Further epidemiological studies  with larger samples are necessary to evaluate these associations further.","container-title":"Journal of Asthma","DOI":"10.3109/02770903.2014.1001904","ISSN":"1532-4303 0277-0903","issue":"7","journalAbbreviation":"J Asthma","language":"eng","note":"publisher-place: England\nPMID: 25539399","page":"727-731","title":"Bedroom air quality and vacuuming frequency are associated with repeat child asthma hospital admissions.","volume":"52","author":[{"family":"Vicendese","given":"Don"},{"family":"Dharmage","given":"Shyamali C."},{"family":"Tang","given":"Mimi L. K."},{"family":"Olenko","given":"Andriy"},{"family":"Allen","given":"Katrina J."},{"family":"Abramson","given":"Michael J."},{"family":"Erbas","given":"Bircan"}],"issued":{"date-parts":[["2015",9]]}}}],"schema":"https://github.com/citation-style-language/schema/raw/master/csl-citation.json"} </w:instrText>
      </w:r>
      <w:r w:rsidRPr="00D03260">
        <w:fldChar w:fldCharType="separate"/>
      </w:r>
      <w:r w:rsidRPr="00D03260">
        <w:t>(Vicendese et al., 2015)</w:t>
      </w:r>
      <w:r w:rsidRPr="00D03260">
        <w:fldChar w:fldCharType="end"/>
      </w:r>
      <w:r w:rsidRPr="00D03260">
        <w:t>.</w:t>
      </w:r>
    </w:p>
    <w:p w14:paraId="77946267" w14:textId="73D2F063" w:rsidR="00A05BCA" w:rsidRPr="00D03260" w:rsidRDefault="00A05BCA" w:rsidP="00A05BCA">
      <w:bookmarkStart w:id="361" w:name="_Hlk88727153"/>
      <w:r w:rsidRPr="00D03260">
        <w:t xml:space="preserve">A study by Mészáros that investigated the effect of indoor air pollutants on atopic and non-atopic asthma and asthma-related respiratory symptoms in middle age found that exposure to mould was an independent risk factor for current asthma and asthma-related symptoms, and for current non-atopic asthma in males </w:t>
      </w:r>
      <w:r w:rsidRPr="00D03260">
        <w:fldChar w:fldCharType="begin"/>
      </w:r>
      <w:r w:rsidR="00217980" w:rsidRPr="00D03260">
        <w:instrText xml:space="preserve"> ADDIN ZOTERO_ITEM CSL_CITATION {"citationID":"0zso5Zj1","properties":{"formattedCitation":"(M\\uc0\\u233{}sz\\uc0\\u225{}ros et al., 2014)","plainCitation":"(Mészáros et al., 2014)","noteIndex":0},"citationItems":[{"id":2205,"uris":["http://zotero.org/groups/4371185/items/XY9QI9ZU"],"itemData":{"id":2205,"type":"article-journal","abstract":"Background and objective The role of indoor air pollution as a risk factor for asthma and respiratory symptoms in middle age is unclear. We investigated associations between indoor air pollution sources and (i) asthma phenotypes and (ii) asthma-related respiratory symptoms in middle-aged adults. Methods Subjects (n = 5729) who participated in the 2004 survey of the Tasmanian Longitudinal Health Study completed respiratory and home environment questionnaires. Associations between indoor air pollution sources, and asthma phenotypes and asthma-related respiratory symptoms were estimated. Results Recent mould in the home was associated with current asthma (odds ratio (OR) 1.26; 95% confidence interval 1.06-1.50), wheeze (OR 1.34; 1.17-1.54) and nocturnal chest tightness (OR 1.30; 1.12-1.51). Stratified by atopy and gender, recent mould was associated with current non-atopic asthma only in males (OR 3.73; 1.29-10.80). More rooms affected by mould were associated with significant trends for current asthma, wheeze and nocturnal chest tightness. Home environmental tobacco smoke was associated with doctor-diagnosed asthma (OR 1.25; 1.02-1.53), wheeze (OR 1.69; 1.41-2.03), nocturnal chest tightness (OR 1.54; 1.26-1.88), with current asthma only in non-smokers (OR 2.09; 95%: 1.30-3.35) and with current asthma only in males (OR 1.74; 95%: 1.25-2.42). Among heating appliances, reverse cycle air conditioning was negatively associated with doctor-diagnosed asthma (OR 0.84; 0.70-1.00). Neither electric nor gas stove use was associated with either asthma phenotype or with asthma-related respiratory symptoms. Conclusions In middle age, reducing home exposure to mould and environmental tobacco smoke might reduce asthma and asthma-related respiratory symptoms. Associations were examined between sources of indoor air pollution and asthma phenotypes and asthma-related respiratory symptoms in middle-aged adults. Exposure to mould was an independent risk factor for current asthma and asthma-related symptoms and for current non-atopic asthma in males. Mould reduction in the home may reduce asthma in middle age. © 2014 Asian Pacific Society of Respirology.","container-title":"Respirology","DOI":"10.1111/resp.12245","ISSN":"1323-7799","issue":"3","journalAbbreviation":"Respirology","language":"English","page":"411-418","title":"Domestic airborne pollutants and asthma and respiratory symptoms in middle age","volume":"19","author":[{"family":"Mészáros","given":"D."},{"family":"Burgess","given":"J."},{"family":"Walters","given":"E.H."},{"family":"Johns","given":"D."},{"family":"Markos","given":"J."},{"family":"Giles","given":"G."},{"family":"Hopper","given":"J."},{"family":"Abramson","given":"M."},{"family":"Dharmage","given":"S.C."},{"family":"Matheson","given":"M."}],"issued":{"date-parts":[["2014"]]}}}],"schema":"https://github.com/citation-style-language/schema/raw/master/csl-citation.json"} </w:instrText>
      </w:r>
      <w:r w:rsidRPr="00D03260">
        <w:fldChar w:fldCharType="separate"/>
      </w:r>
      <w:r w:rsidRPr="00D03260">
        <w:t>(Mészáros et al., 2014)</w:t>
      </w:r>
      <w:r w:rsidRPr="00D03260">
        <w:fldChar w:fldCharType="end"/>
      </w:r>
      <w:r w:rsidRPr="00D03260">
        <w:t xml:space="preserve">. The authors analysed older survey questionnaire data on respiratory and home environment factors completed by participants in the Tasmanian Longitudinal Health Study in 2004. The study found over a third of the cohort reported mould on any surface in the last 12 months. Mould ‘ever’ in the house in the last 12 months was associated with current and doctor-diagnosed asthma (OR 1.26; 95% CI: 1.06–1.50). This study found recent mould exposure in the home was associated with a near four-fold increase in the odds of current non-atopic asthma in males, but no other phenotype. Additionally, from modelling, a dose-response effect was suggested where the greater the number of rooms affected by mould, the greater the odds of current asthma and related respiratory symptoms </w:t>
      </w:r>
      <w:r w:rsidRPr="00D03260">
        <w:fldChar w:fldCharType="begin"/>
      </w:r>
      <w:r w:rsidR="00217980" w:rsidRPr="00D03260">
        <w:instrText xml:space="preserve"> ADDIN ZOTERO_ITEM CSL_CITATION {"citationID":"y0rayKyw","properties":{"formattedCitation":"(M\\uc0\\u233{}sz\\uc0\\u225{}ros et al., 2014)","plainCitation":"(Mészáros et al., 2014)","noteIndex":0},"citationItems":[{"id":2205,"uris":["http://zotero.org/groups/4371185/items/XY9QI9ZU"],"itemData":{"id":2205,"type":"article-journal","abstract":"Background and objective The role of indoor air pollution as a risk factor for asthma and respiratory symptoms in middle age is unclear. We investigated associations between indoor air pollution sources and (i) asthma phenotypes and (ii) asthma-related respiratory symptoms in middle-aged adults. Methods Subjects (n = 5729) who participated in the 2004 survey of the Tasmanian Longitudinal Health Study completed respiratory and home environment questionnaires. Associations between indoor air pollution sources, and asthma phenotypes and asthma-related respiratory symptoms were estimated. Results Recent mould in the home was associated with current asthma (odds ratio (OR) 1.26; 95% confidence interval 1.06-1.50), wheeze (OR 1.34; 1.17-1.54) and nocturnal chest tightness (OR 1.30; 1.12-1.51). Stratified by atopy and gender, recent mould was associated with current non-atopic asthma only in males (OR 3.73; 1.29-10.80). More rooms affected by mould were associated with significant trends for current asthma, wheeze and nocturnal chest tightness. Home environmental tobacco smoke was associated with doctor-diagnosed asthma (OR 1.25; 1.02-1.53), wheeze (OR 1.69; 1.41-2.03), nocturnal chest tightness (OR 1.54; 1.26-1.88), with current asthma only in non-smokers (OR 2.09; 95%: 1.30-3.35) and with current asthma only in males (OR 1.74; 95%: 1.25-2.42). Among heating appliances, reverse cycle air conditioning was negatively associated with doctor-diagnosed asthma (OR 0.84; 0.70-1.00). Neither electric nor gas stove use was associated with either asthma phenotype or with asthma-related respiratory symptoms. Conclusions In middle age, reducing home exposure to mould and environmental tobacco smoke might reduce asthma and asthma-related respiratory symptoms. Associations were examined between sources of indoor air pollution and asthma phenotypes and asthma-related respiratory symptoms in middle-aged adults. Exposure to mould was an independent risk factor for current asthma and asthma-related symptoms and for current non-atopic asthma in males. Mould reduction in the home may reduce asthma in middle age. © 2014 Asian Pacific Society of Respirology.","container-title":"Respirology","DOI":"10.1111/resp.12245","ISSN":"1323-7799","issue":"3","journalAbbreviation":"Respirology","language":"English","page":"411-418","title":"Domestic airborne pollutants and asthma and respiratory symptoms in middle age","volume":"19","author":[{"family":"Mészáros","given":"D."},{"family":"Burgess","given":"J."},{"family":"Walters","given":"E.H."},{"family":"Johns","given":"D."},{"family":"Markos","given":"J."},{"family":"Giles","given":"G."},{"family":"Hopper","given":"J."},{"family":"Abramson","given":"M."},{"family":"Dharmage","given":"S.C."},{"family":"Matheson","given":"M."}],"issued":{"date-parts":[["2014"]]}}}],"schema":"https://github.com/citation-style-language/schema/raw/master/csl-citation.json"} </w:instrText>
      </w:r>
      <w:r w:rsidRPr="00D03260">
        <w:fldChar w:fldCharType="separate"/>
      </w:r>
      <w:r w:rsidRPr="00D03260">
        <w:t>(Mészáros et al., 2014)</w:t>
      </w:r>
      <w:r w:rsidRPr="00D03260">
        <w:fldChar w:fldCharType="end"/>
      </w:r>
      <w:r w:rsidRPr="00D03260">
        <w:t xml:space="preserve">. The authors noted having more than one room affected by mould is likely to increase the airborne spore concentration, creating a more allergenic environment </w:t>
      </w:r>
      <w:r w:rsidRPr="00D03260">
        <w:fldChar w:fldCharType="begin"/>
      </w:r>
      <w:r w:rsidR="00217980" w:rsidRPr="00D03260">
        <w:instrText xml:space="preserve"> ADDIN ZOTERO_ITEM CSL_CITATION {"citationID":"Jb3hm9Gp","properties":{"formattedCitation":"(M\\uc0\\u233{}sz\\uc0\\u225{}ros et al., 2014)","plainCitation":"(Mészáros et al., 2014)","noteIndex":0},"citationItems":[{"id":2205,"uris":["http://zotero.org/groups/4371185/items/XY9QI9ZU"],"itemData":{"id":2205,"type":"article-journal","abstract":"Background and objective The role of indoor air pollution as a risk factor for asthma and respiratory symptoms in middle age is unclear. We investigated associations between indoor air pollution sources and (i) asthma phenotypes and (ii) asthma-related respiratory symptoms in middle-aged adults. Methods Subjects (n = 5729) who participated in the 2004 survey of the Tasmanian Longitudinal Health Study completed respiratory and home environment questionnaires. Associations between indoor air pollution sources, and asthma phenotypes and asthma-related respiratory symptoms were estimated. Results Recent mould in the home was associated with current asthma (odds ratio (OR) 1.26; 95% confidence interval 1.06-1.50), wheeze (OR 1.34; 1.17-1.54) and nocturnal chest tightness (OR 1.30; 1.12-1.51). Stratified by atopy and gender, recent mould was associated with current non-atopic asthma only in males (OR 3.73; 1.29-10.80). More rooms affected by mould were associated with significant trends for current asthma, wheeze and nocturnal chest tightness. Home environmental tobacco smoke was associated with doctor-diagnosed asthma (OR 1.25; 1.02-1.53), wheeze (OR 1.69; 1.41-2.03), nocturnal chest tightness (OR 1.54; 1.26-1.88), with current asthma only in non-smokers (OR 2.09; 95%: 1.30-3.35) and with current asthma only in males (OR 1.74; 95%: 1.25-2.42). Among heating appliances, reverse cycle air conditioning was negatively associated with doctor-diagnosed asthma (OR 0.84; 0.70-1.00). Neither electric nor gas stove use was associated with either asthma phenotype or with asthma-related respiratory symptoms. Conclusions In middle age, reducing home exposure to mould and environmental tobacco smoke might reduce asthma and asthma-related respiratory symptoms. Associations were examined between sources of indoor air pollution and asthma phenotypes and asthma-related respiratory symptoms in middle-aged adults. Exposure to mould was an independent risk factor for current asthma and asthma-related symptoms and for current non-atopic asthma in males. Mould reduction in the home may reduce asthma in middle age. © 2014 Asian Pacific Society of Respirology.","container-title":"Respirology","DOI":"10.1111/resp.12245","ISSN":"1323-7799","issue":"3","journalAbbreviation":"Respirology","language":"English","page":"411-418","title":"Domestic airborne pollutants and asthma and respiratory symptoms in middle age","volume":"19","author":[{"family":"Mészáros","given":"D."},{"family":"Burgess","given":"J."},{"family":"Walters","given":"E.H."},{"family":"Johns","given":"D."},{"family":"Markos","given":"J."},{"family":"Giles","given":"G."},{"family":"Hopper","given":"J."},{"family":"Abramson","given":"M."},{"family":"Dharmage","given":"S.C."},{"family":"Matheson","given":"M."}],"issued":{"date-parts":[["2014"]]}}}],"schema":"https://github.com/citation-style-language/schema/raw/master/csl-citation.json"} </w:instrText>
      </w:r>
      <w:r w:rsidRPr="00D03260">
        <w:fldChar w:fldCharType="separate"/>
      </w:r>
      <w:r w:rsidRPr="00D03260">
        <w:t>(Mészáros et al., 2014)</w:t>
      </w:r>
      <w:r w:rsidRPr="00D03260">
        <w:fldChar w:fldCharType="end"/>
      </w:r>
      <w:r w:rsidRPr="00D03260">
        <w:t>.</w:t>
      </w:r>
      <w:bookmarkEnd w:id="361"/>
    </w:p>
    <w:p w14:paraId="128FF2C5" w14:textId="1E3FAECE" w:rsidR="00A05BCA" w:rsidRPr="00D03260" w:rsidRDefault="00A05BCA" w:rsidP="000136F5">
      <w:pPr>
        <w:pStyle w:val="Heading2"/>
      </w:pPr>
      <w:bookmarkStart w:id="362" w:name="_Toc121329210"/>
      <w:bookmarkStart w:id="363" w:name="_Toc121329374"/>
      <w:bookmarkStart w:id="364" w:name="_Toc121834517"/>
      <w:bookmarkStart w:id="365" w:name="_Toc141885947"/>
      <w:r w:rsidRPr="00D03260">
        <w:t>Respiratory infections</w:t>
      </w:r>
      <w:bookmarkEnd w:id="362"/>
      <w:bookmarkEnd w:id="363"/>
      <w:bookmarkEnd w:id="364"/>
      <w:bookmarkEnd w:id="365"/>
    </w:p>
    <w:p w14:paraId="4DD66B0A" w14:textId="459ABC13" w:rsidR="00C92F4E" w:rsidRPr="00D03260" w:rsidRDefault="00A05BCA" w:rsidP="00A05BCA">
      <w:r w:rsidRPr="00D03260">
        <w:t xml:space="preserve">Two guidelines and two international authority evidence reviews, and the evidence review that underpinned the AWMF guideline reported there was sufficient evidence for an association between exposure to indoor mould or damp and respiratory infections </w:t>
      </w:r>
      <w:r w:rsidRPr="00D03260">
        <w:fldChar w:fldCharType="begin"/>
      </w:r>
      <w:r w:rsidR="00217980" w:rsidRPr="00D03260">
        <w:instrText xml:space="preserve"> ADDIN ZOTERO_ITEM CSL_CITATION {"citationID":"ENoMGOU4","properties":{"formattedCitation":"(Hurra\\uc0\\u223{} et al., 2017; Mendell et al., 2011; Palaty &amp; Shum, 2012; Wiesm\\uc0\\u252{}ller et al., 2017; World Health Organization, 2009)","plainCitation":"(Hurraß et al., 2017; Mendell et al., 2011; Palaty &amp; Shum, 2012; Wiesmüller et al., 2017; World Health Organization, 2009)","noteIndex":0},"citationItems":[{"id":2217,"uris":["http://zotero.org/groups/4371185/items/542KM3BH"],"itemData":{"id":2217,"type":"article-journal","abstract":"In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(Hurraß et al., 2017; Mendell et al., 2011; Palaty &amp; Shum, 2012; Wiesmüller et al., 2017; World Health Organization, 2009)</w:t>
      </w:r>
      <w:r w:rsidRPr="00D03260">
        <w:fldChar w:fldCharType="end"/>
      </w:r>
      <w:r w:rsidRPr="00D03260">
        <w:t xml:space="preserve">. The AWMF guideline advised there is evidence of a consistent association between water damage or indoor mould exposure and the development of medically diagnosed respiratory tract diseases (common cold, bronchitis, infections) </w:t>
      </w:r>
      <w:r w:rsidRPr="00D03260">
        <w:fldChar w:fldCharType="begin"/>
      </w:r>
      <w:r w:rsidR="00217980" w:rsidRPr="00D03260">
        <w:instrText xml:space="preserve"> ADDIN ZOTERO_ITEM CSL_CITATION {"citationID":"KZ04pcWp","properties":{"formattedCitation":"(Mendell et al. 2011 in Wiesm\\uc0\\u252{}ller et al., 2017)","plainCitation":"(Mendell et al. 2011 in 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Peter"},{"family":"Steiß","given":"Jens-Oliver"},{"family":"Szewszyk","given":"Regine"},{"family":"Thomas","given":"Peter"},{"family":"Valtanen","given":"Kerttu"},{"family":"Hurraß","given":"Julia"}],"issued":{"date-parts":[["2017",8]]}},"prefix":"Mendell et al. 2011 in"}],"schema":"https://github.com/citation-style-language/schema/raw/master/csl-citation.json"} </w:instrText>
      </w:r>
      <w:r w:rsidRPr="00D03260">
        <w:fldChar w:fldCharType="separate"/>
      </w:r>
      <w:r w:rsidRPr="00D03260">
        <w:t>(Mendell et al. 2011 in Wiesmüller et al., 2017)</w:t>
      </w:r>
      <w:r w:rsidRPr="00D03260">
        <w:fldChar w:fldCharType="end"/>
      </w:r>
      <w:r w:rsidRPr="00D03260">
        <w:t xml:space="preserve">, however, the risk of infection from common indoor mould species is low in healthy individuals </w:t>
      </w:r>
      <w:r w:rsidRPr="00D03260">
        <w:fldChar w:fldCharType="begin"/>
      </w:r>
      <w:r w:rsidR="00217980" w:rsidRPr="00D03260">
        <w:instrText xml:space="preserve"> ADDIN ZOTERO_ITEM CSL_CITATION {"citationID":"adwt7cwm","properties":{"formattedCitation":"(Wiesm\\uc0\\u252{}ller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The AWMF also noted that an estimated 8–20% of respiratory tract infections in the US are associated with mould or indoor dampness, that the link continues to exist after controlling for independent variables, and </w:t>
      </w:r>
      <w:r w:rsidRPr="00D03260">
        <w:rPr>
          <w:i/>
          <w:iCs/>
        </w:rPr>
        <w:t>Penicillium</w:t>
      </w:r>
      <w:r w:rsidRPr="00D03260">
        <w:t xml:space="preserve"> sp., </w:t>
      </w:r>
      <w:r w:rsidRPr="00D03260">
        <w:rPr>
          <w:i/>
          <w:iCs/>
        </w:rPr>
        <w:t>Cladosporium</w:t>
      </w:r>
      <w:r w:rsidRPr="00D03260">
        <w:t xml:space="preserve"> sp., </w:t>
      </w:r>
      <w:r w:rsidRPr="00D03260">
        <w:rPr>
          <w:i/>
          <w:iCs/>
        </w:rPr>
        <w:t>Zygomycetes</w:t>
      </w:r>
      <w:r w:rsidRPr="00D03260">
        <w:t xml:space="preserve"> and </w:t>
      </w:r>
      <w:r w:rsidRPr="00D03260">
        <w:rPr>
          <w:i/>
          <w:iCs/>
        </w:rPr>
        <w:t xml:space="preserve">Alternaria </w:t>
      </w:r>
      <w:r w:rsidRPr="00D03260">
        <w:t xml:space="preserve">sp. proved to be the most closely linked to the development of these diseases </w:t>
      </w:r>
      <w:r w:rsidRPr="00D03260">
        <w:fldChar w:fldCharType="begin"/>
      </w:r>
      <w:r w:rsidR="00217980" w:rsidRPr="00D03260">
        <w:instrText xml:space="preserve"> ADDIN ZOTERO_ITEM CSL_CITATION {"citationID":"r0lX47UJ","properties":{"formattedCitation":"(Fisk et al. 2010 in Wiesm\\uc0\\u252{}ller et al., 2017)","plainCitation":"(Fisk et al. 2010 in 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Peter"},{"family":"Steiß","given":"Jens-Oliver"},{"family":"Szewszyk","given":"Regine"},{"family":"Thomas","given":"Peter"},{"family":"Valtanen","given":"Kerttu"},{"family":"Hurraß","given":"Julia"}],"issued":{"date-parts":[["2017",8]]}},"prefix":"Fisk et al. 2010 in"}],"schema":"https://github.com/citation-style-language/schema/raw/master/csl-citation.json"} </w:instrText>
      </w:r>
      <w:r w:rsidRPr="00D03260">
        <w:fldChar w:fldCharType="separate"/>
      </w:r>
      <w:r w:rsidRPr="00D03260">
        <w:t>(Fisk et al. 2010 in Wiesmüller et al., 2017)</w:t>
      </w:r>
      <w:r w:rsidRPr="00D03260">
        <w:fldChar w:fldCharType="end"/>
      </w:r>
      <w:r w:rsidRPr="00D03260">
        <w:t>.</w:t>
      </w:r>
    </w:p>
    <w:p w14:paraId="26C914CE" w14:textId="0FBC8210" w:rsidR="00A05BCA" w:rsidRPr="00D03260" w:rsidRDefault="00A05BCA" w:rsidP="00A05BCA">
      <w:r w:rsidRPr="00D03260">
        <w:t xml:space="preserve">For more information, see </w:t>
      </w:r>
      <w:hyperlink w:anchor="Section42MouldInfectionDiagnostics" w:history="1">
        <w:r w:rsidR="00BC3B2C" w:rsidRPr="00D03260">
          <w:rPr>
            <w:rStyle w:val="Hyperlink"/>
          </w:rPr>
          <w:t>s</w:t>
        </w:r>
        <w:r w:rsidRPr="00D03260">
          <w:rPr>
            <w:rStyle w:val="Hyperlink"/>
          </w:rPr>
          <w:t>ection 4.2</w:t>
        </w:r>
      </w:hyperlink>
      <w:r w:rsidRPr="00D03260">
        <w:t xml:space="preserve">, (on ‘Mould infection diagnostics’), </w:t>
      </w:r>
      <w:hyperlink w:anchor="Section53MouldRelatedInfection" w:history="1">
        <w:r w:rsidR="00BC3B2C" w:rsidRPr="00D03260">
          <w:rPr>
            <w:rStyle w:val="Hyperlink"/>
          </w:rPr>
          <w:t>s</w:t>
        </w:r>
        <w:r w:rsidRPr="00D03260">
          <w:rPr>
            <w:rStyle w:val="Hyperlink"/>
          </w:rPr>
          <w:t>ection 5.3</w:t>
        </w:r>
      </w:hyperlink>
      <w:r w:rsidRPr="00D03260">
        <w:t xml:space="preserve">, (on the diagnosis of ‘Mould-related infection’), and </w:t>
      </w:r>
      <w:hyperlink w:anchor="Section623MouldRelatedInfection" w:history="1">
        <w:r w:rsidR="00BC3B2C" w:rsidRPr="00D03260">
          <w:rPr>
            <w:rStyle w:val="Hyperlink"/>
          </w:rPr>
          <w:t>s</w:t>
        </w:r>
        <w:r w:rsidRPr="00D03260">
          <w:rPr>
            <w:rStyle w:val="Hyperlink"/>
          </w:rPr>
          <w:t>ection 6.2.3</w:t>
        </w:r>
      </w:hyperlink>
      <w:r w:rsidRPr="00D03260">
        <w:t xml:space="preserve"> (on the initial management of ‘Mould-related infection’).</w:t>
      </w:r>
    </w:p>
    <w:p w14:paraId="0B2FE9A6" w14:textId="539C506F" w:rsidR="00A05BCA" w:rsidRPr="00D03260" w:rsidRDefault="00A05BCA" w:rsidP="000136F5">
      <w:pPr>
        <w:pStyle w:val="Heading2"/>
      </w:pPr>
      <w:bookmarkStart w:id="366" w:name="_Toc121329211"/>
      <w:bookmarkStart w:id="367" w:name="_Toc121329375"/>
      <w:bookmarkStart w:id="368" w:name="_Toc121834518"/>
      <w:bookmarkStart w:id="369" w:name="_Toc141885948"/>
      <w:r w:rsidRPr="00D03260">
        <w:t>Wheeze</w:t>
      </w:r>
      <w:bookmarkEnd w:id="366"/>
      <w:bookmarkEnd w:id="367"/>
      <w:bookmarkEnd w:id="368"/>
      <w:bookmarkEnd w:id="369"/>
    </w:p>
    <w:p w14:paraId="48232B5E" w14:textId="3830C389" w:rsidR="00A05BCA" w:rsidRPr="00D03260" w:rsidRDefault="00A05BCA" w:rsidP="00A05BCA">
      <w:pPr>
        <w:pStyle w:val="BodyText"/>
      </w:pPr>
      <w:r w:rsidRPr="00D03260">
        <w:t xml:space="preserve">Two guidelines, two international authority evidence reviews, three systematic reviews, a review associated with the AWMF guideline and an Australian study concluded or advised there was sufficient evidence for an association between exposure to indoor damp and/or mould and wheeze </w:t>
      </w:r>
      <w:r w:rsidRPr="00D03260">
        <w:fldChar w:fldCharType="begin"/>
      </w:r>
      <w:r w:rsidR="00217980" w:rsidRPr="00D03260">
        <w:instrText xml:space="preserve"> ADDIN ZOTERO_ITEM CSL_CITATION {"citationID":"YK5VhlRG","properties":{"formattedCitation":"(Fakunle et al., 2021; Fisk et al., 2019; Hurra\\uc0\\u223{} et al., 2017; Mendell et al., 2011; M\\uc0\\u233{}sz\\uc0\\u225{}ros et al., 2014; Palaty &amp; Shum, 2012; Tischer et al., 2011; Wiesm\\uc0\\u252{}ller et al., 2017; World Health Organization, 2009)","plainCitation":"(Fakunle et al., 2021; Fisk et al., 2019; Hurraß et al., 2017; Mendell et al., 2011; Mészáros et al., 2014; Palaty &amp; Shum, 2012; Tischer et al., 2011; Wiesmüller et al., 2017; World Health Organization, 2009)","noteIndex":0},"citationItems":[{"id":2218,"uris":["http://zotero.org/groups/4371185/items/H43THBDM"],"itemData":{"id":2218,"type":"article-journal","abstract":"Background: Despite the recognition of the importance of indoor microbial exposures on children's health, the role of different microbial agents in development and aggravation of respiratory symptoms and diseases is only poorly understood. This study aimed to assess whether exposure to microbial aerosols within the indoor environment are associated with respiratory symptoms among children under-5 years of age.Methods: A systematic literature search was conducted on PubMed, Web of Science, GreenFILE, ScienceDirect, EMBASE and Cochrane library through February 2020. Studies that investigated the exposure-response relationship between components of the indoor microbial communities and respiratory symptoms among under-five children were eligible for inclusion. A random-effect meta-analysis was applied to estimate pooled relative risk (RR) and 95% confidence interval (CI) for study specific high versus low microbial exposures. The potential effect of individual studies on the overall estimate was evaluated using leave-one-out analysis, while heterogeneity was evaluated by I2 statistics using RevMan 5.3.Results: Fifteen studies were eligible for inclusion in a meta-analysis. The pooled risk estimate suggested that increased microbial exposure was associated with an increased risk of respiratory symptoms [pooled relative risk (RR): 1.24 (1.09, 1.41), P = 0.001]. The association was strongest with exposure to a combination of Aspergillus, Penicillium, Cladosporium and Alternaria species [pooled RR: 1.73 (1.30, 2.31), P = 0.0002]. Stratified analysis revealed an increased risk of wheeze [pooled RR: 1.20 (1.05, 1.37), P = 0.007 and allergic rhinitis [RR: 1.18 (0.94, 1.98), P = 0.16] from any microbial exposure.Conclusions: Microbial exposures are, in general, associated with risk of respiratory symptoms. Future studies are needed to study the indoor microbiome more comprehensively, and to investigate the mechanism of these associations.","container-title":"Environmental Health: A Global Access Science Source","DOI":"10.1186/s12940-021-00759-2","ISSN":"1476-069X","issue":"1","journalAbbreviation":"Environmental Health: A Global Access Science Source","note":"publisher: BioMed Central","page":"1-16","source":"EBSCOhost","title":"Association of indoor microbial aerosols with respiratory symptoms among under-five children: a systematic review and meta-analysis.","volume":"20","author":[{"family":"Fakunle","given":"Adekunle Gregory"},{"family":"Jafta","given":"Nkosana"},{"family":"Naidoo","given":"Rajen N."},{"family":"Smit","given":"Lidwien A. M."}],"issued":{"date-parts":[["2021"]],"season":"7/1/2021"}}},{"id":2118,"uris":["http://zotero.org/groups/4371185/items/P42DIP5J"],"itemData":{"id":2118,"type":"article-journal","abstract":"This paper provides meta-analyses of the published findings relating the respiratory health of occupants of schools with visible dampness, water damage, visible mold,  and/or mold odor. Random effects models were used to develop central estimates and  confidence limits for the associations of respiratory health effects with school  dampness and mold. Eleven studies, all with cross-sectional designs, were included  in the meta-analyses; however, analyses for some health outcomes were based on as  few as four studies. Analyses were performed using data from adults and children  combined, using only data from children, and using data from adults and children  after excluding two studies. The central estimates of odds ratios from the  meta-analyses were consistently above unity. The evidence of adverse health effects  was strongest for cough and wheeze, which had confidence limits excluding unity in  some or all analyses. The odds ratios of 1.32 for cough and 1.68 for wheeze suggest  moderate increases in health risk. Studies not included in the meta-analyses provide  additional evidence that dampness and mold in schools are associated with adverse  health outcomes. These meta-analyses and the published literature not included in  the meta-analyses suggest that dampness and mold in schools are associated with  adverse respiratory health effects.","container-title":"Indoor air","DOI":"10.1111/ina.12588","ISSN":"1600-0668 0905-6947","issue":"6","journalAbbreviation":"Indoor Air","language":"eng","license":"© 2019 John Wiley &amp; Sons A/S. Published by John Wiley &amp; Sons Ltd.","note":"publisher-place: England\nPMID: 31310034","page":"895-902","title":"Does dampness and mold in schools affect health? Results of a meta-analysis.","volume":"29","author":[{"family":"Fisk","given":"William J."},{"family":"Chan","given":"Wanyu R."},{"family":"Johnson","given":"Alexandra L."}],"issued":{"date-parts":[["2019",11]]}}},{"id":2217,"uris":["http://zotero.org/groups/4371185/items/542KM3BH"],"itemData":{"id":2217,"type":"article-journal","abstract":"In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2205,"uris":["http://zotero.org/groups/4371185/items/XY9QI9ZU"],"itemData":{"id":2205,"type":"article-journal","abstract":"Background and objective The role of indoor air pollution as a risk factor for asthma and respiratory symptoms in middle age is unclear. We investigated associations between indoor air pollution sources and (i) asthma phenotypes and (ii) asthma-related respiratory symptoms in middle-aged adults. Methods Subjects (n = 5729) who participated in the 2004 survey of the Tasmanian Longitudinal Health Study completed respiratory and home environment questionnaires. Associations between indoor air pollution sources, and asthma phenotypes and asthma-related respiratory symptoms were estimated. Results Recent mould in the home was associated with current asthma (odds ratio (OR) 1.26; 95% confidence interval 1.06-1.50), wheeze (OR 1.34; 1.17-1.54) and nocturnal chest tightness (OR 1.30; 1.12-1.51). Stratified by atopy and gender, recent mould was associated with current non-atopic asthma only in males (OR 3.73; 1.29-10.80). More rooms affected by mould were associated with significant trends for current asthma, wheeze and nocturnal chest tightness. Home environmental tobacco smoke was associated with doctor-diagnosed asthma (OR 1.25; 1.02-1.53), wheeze (OR 1.69; 1.41-2.03), nocturnal chest tightness (OR 1.54; 1.26-1.88), with current asthma only in non-smokers (OR 2.09; 95%: 1.30-3.35) and with current asthma only in males (OR 1.74; 95%: 1.25-2.42). Among heating appliances, reverse cycle air conditioning was negatively associated with doctor-diagnosed asthma (OR 0.84; 0.70-1.00). Neither electric nor gas stove use was associated with either asthma phenotype or with asthma-related respiratory symptoms. Conclusions In middle age, reducing home exposure to mould and environmental tobacco smoke might reduce asthma and asthma-related respiratory symptoms. Associations were examined between sources of indoor air pollution and asthma phenotypes and asthma-related respiratory symptoms in middle-aged adults. Exposure to mould was an independent risk factor for current asthma and asthma-related symptoms and for current non-atopic asthma in males. Mould reduction in the home may reduce asthma in middle age. © 2014 Asian Pacific Society of Respirology.","container-title":"Respirology","DOI":"10.1111/resp.12245","ISSN":"1323-7799","issue":"3","journalAbbreviation":"Respirology","language":"English","page":"411-418","title":"Domestic airborne pollutants and asthma and respiratory symptoms in middle age","volume":"19","author":[{"family":"Mészáros","given":"D."},{"family":"Burgess","given":"J."},{"family":"Walters","given":"E.H."},{"family":"Johns","given":"D."},{"family":"Markos","given":"J."},{"family":"Giles","given":"G."},{"family":"Hopper","given":"J."},{"family":"Abramson","given":"M."},{"family":"Dharmage","given":"S.C."},{"family":"Matheson","given":"M."}],"issued":{"date-parts":[["2014"]]}}},{"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2213,"uris":["http://zotero.org/groups/4371185/items/K2H9JUBA"],"itemData":{"id":2213,"type":"article-journal","abstract":"Critical reviews over the past 10 yrs have found increased respiratory and allergic health outcomes for children living in damp and mouldy environments. However, recent studies have suggested that early childhood exposure to specific mould components may actually protect children from developing allergy. We conducted a systematic review of observational studies published in English from January 1980 to July 2010. This review was conducted according to systematic guidelines for Meta-analyses of Observational Studies in Epidemiology (MOOSE). The literature was searched using a computerised bibliographic database, PubMed. In order to increase the quality of the reviewed studies, meta-analyses of the effects of visible mould exposure on allergic health outcomes were performed and we evaluated the findings according to the Bradford Hill criteria for evidence of causation. The literature search identified 1,398 peer-reviewed scientific publications, and 61 studies that fulfilled the inclusion criteria were included in this review. We observed increased risks of allergic respiratory health outcomes in children exposed to visible mould and mould spores. These findings were confirmed by the results of the meta-analysis and in line with the evaluation criteria according to Bradford Hill. Visible mould was positively associated with asthma (OR 1.49 (95% CI 1.28-1.72)), wheeze (OR 1.68 (95% CI 1.48-1.90)) and allergic rhinitis (OR 1.39 (95% CI 1.28-1.51)). However, there was a tendency of lower risk for allergic health outcomes in children exposed to mould-derived components such as (1,3)-β-D-glucan and extracellular polysaccharides. These findings suggest that home environments with visible mould and mould spore exposure increase the risk of allergic respiratory health outcomes in children. However, further investigations are needed to examine the effects of exposure to mould-derived components as the current literature is inconclusive. In order to disentangle the different effects of overall microbial exposure on children's health, research should focus on specific microbial markers in the home, in combination with new assessment techniques including molecular methods. Copyright©ERS 2011.","container-title":"European Respiratory Journal","DOI":"10.1183/09031936.00184010","ISSN":"0903-1936","issue":"4","journalAbbreviation":"Eur. Respir. J.","language":"English","page":"812-824","title":"Association between domestic mould and mould components, and asthma and allergy in children: A systematic review","volume":"38","author":[{"family":"Tischer","given":"C."},{"family":"Chen","given":"C.-M."},{"family":"Heinrich","given":"J."}],"issued":{"date-parts":[["2011"]]}}},{"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(Fakunle et al., 2021; Fisk et al., 2019; Hurraß et al., 2017; Mendell et al., 2011; Mészáros et al., 2014; Palaty &amp; Shum, 2012; Tischer et al., 2011; Wiesmüller et al., 2017; World Health Organization, 2009)</w:t>
      </w:r>
      <w:r w:rsidRPr="00D03260">
        <w:fldChar w:fldCharType="end"/>
      </w:r>
      <w:r w:rsidRPr="00D03260">
        <w:t>.</w:t>
      </w:r>
    </w:p>
    <w:p w14:paraId="0843997B" w14:textId="1C304902" w:rsidR="00A05BCA" w:rsidRPr="00D03260" w:rsidRDefault="00A05BCA" w:rsidP="00A05BCA">
      <w:pPr>
        <w:pStyle w:val="BodyText"/>
      </w:pPr>
      <w:r w:rsidRPr="00D03260">
        <w:t xml:space="preserve">Mendell et al. reported that for qualitative dampness and mould studies and wheeze, most studies found positive associations with dampness or mould, with 100% of retrospective ORs exceeding 1.0 (range, 1.5–2.8), and 95% of cross- sectional ORs exceeding 1.0 (range, 0.4–5.8) in adults. For children 95% of prospective or retrospective ORs exceeded 1.0 (range, 0.7–6.2) and 92% of cross-sectional ORs exceeded 1.0 (range, 0.5–8.7) </w:t>
      </w:r>
      <w:r w:rsidRPr="00D03260">
        <w:fldChar w:fldCharType="begin"/>
      </w:r>
      <w:r w:rsidR="00217980" w:rsidRPr="00D03260">
        <w:instrText xml:space="preserve"> ADDIN ZOTERO_ITEM CSL_CITATION {"citationID":"fBV6TDsl","properties":{"formattedCitation":"(Mendell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w:t>
      </w:r>
    </w:p>
    <w:p w14:paraId="2463BF7A" w14:textId="14E6C6CF" w:rsidR="00A05BCA" w:rsidRPr="00D03260" w:rsidRDefault="00A05BCA" w:rsidP="000136F5">
      <w:pPr>
        <w:pStyle w:val="Heading2"/>
      </w:pPr>
      <w:bookmarkStart w:id="370" w:name="_Toc121329212"/>
      <w:bookmarkStart w:id="371" w:name="_Toc121329376"/>
      <w:bookmarkStart w:id="372" w:name="_Toc121834519"/>
      <w:bookmarkStart w:id="373" w:name="_Toc141885949"/>
      <w:r w:rsidRPr="00D03260">
        <w:t>Cough</w:t>
      </w:r>
      <w:bookmarkEnd w:id="370"/>
      <w:bookmarkEnd w:id="371"/>
      <w:bookmarkEnd w:id="372"/>
      <w:bookmarkEnd w:id="373"/>
    </w:p>
    <w:p w14:paraId="21B58337" w14:textId="4FD35096" w:rsidR="00A05BCA" w:rsidRPr="00D03260" w:rsidRDefault="00A05BCA" w:rsidP="00A05BCA">
      <w:pPr>
        <w:pStyle w:val="BodyText"/>
      </w:pPr>
      <w:r w:rsidRPr="00D03260">
        <w:t xml:space="preserve">Two guidelines, two international authority reviews and two reviews concluded or advised there was sufficient evidence for an association between exposure to indoor damp and/or mould and cough </w:t>
      </w:r>
      <w:r w:rsidRPr="00D03260">
        <w:fldChar w:fldCharType="begin"/>
      </w:r>
      <w:r w:rsidR="00217980" w:rsidRPr="00D03260">
        <w:instrText xml:space="preserve"> ADDIN ZOTERO_ITEM CSL_CITATION {"citationID":"wobAQN2M","properties":{"formattedCitation":"(Hurra\\uc0\\u223{} et al., 2017; Mendell et al., 2011; Palaty &amp; Shum, 2012; Wiesm\\uc0\\u252{}ller et al., 2017; World Health Organization, 2009)","plainCitation":"(Hurraß et al., 2017; Mendell et al., 2011; Palaty &amp; Shum, 2012; Wiesmüller et al., 2017; World Health Organization, 2009)","noteIndex":0},"citationItems":[{"id":2217,"uris":["http://zotero.org/groups/4371185/items/542KM3BH"],"itemData":{"id":2217,"type":"article-journal","abstract":"In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(Hurraß et al., 2017; Mendell et al., 2011; Palaty &amp; Shum, 2012; Wiesmüller et al., 2017; World Health Organization, 2009)</w:t>
      </w:r>
      <w:r w:rsidRPr="00D03260">
        <w:fldChar w:fldCharType="end"/>
      </w:r>
      <w:r w:rsidRPr="00D03260">
        <w:t xml:space="preserve">. A meta-analysis of studies on mould and dampness in schools found positive associations for cough among adults and children </w:t>
      </w:r>
      <w:r w:rsidRPr="00D03260">
        <w:fldChar w:fldCharType="begin"/>
      </w:r>
      <w:r w:rsidR="00217980" w:rsidRPr="00D03260">
        <w:instrText xml:space="preserve"> ADDIN ZOTERO_ITEM CSL_CITATION {"citationID":"o0CaYxfJ","properties":{"formattedCitation":"(Fisk et al., 2019)","plainCitation":"(Fisk et al., 2019)","noteIndex":0},"citationItems":[{"id":2118,"uris":["http://zotero.org/groups/4371185/items/P42DIP5J"],"itemData":{"id":2118,"type":"article-journal","abstract":"This paper provides meta-analyses of the published findings relating the respiratory health of occupants of schools with visible dampness, water damage, visible mold,  and/or mold odor. Random effects models were used to develop central estimates and  confidence limits for the associations of respiratory health effects with school  dampness and mold. Eleven studies, all with cross-sectional designs, were included  in the meta-analyses; however, analyses for some health outcomes were based on as  few as four studies. Analyses were performed using data from adults and children  combined, using only data from children, and using data from adults and children  after excluding two studies. The central estimates of odds ratios from the  meta-analyses were consistently above unity. The evidence of adverse health effects  was strongest for cough and wheeze, which had confidence limits excluding unity in  some or all analyses. The odds ratios of 1.32 for cough and 1.68 for wheeze suggest  moderate increases in health risk. Studies not included in the meta-analyses provide  additional evidence that dampness and mold in schools are associated with adverse  health outcomes. These meta-analyses and the published literature not included in  the meta-analyses suggest that dampness and mold in schools are associated with  adverse respiratory health effects.","container-title":"Indoor air","DOI":"10.1111/ina.12588","ISSN":"1600-0668 0905-6947","issue":"6","journalAbbreviation":"Indoor Air","language":"eng","license":"© 2019 John Wiley &amp; Sons A/S. Published by John Wiley &amp; Sons Ltd.","note":"publisher-place: England\nPMID: 31310034","page":"895-902","title":"Does dampness and mold in schools affect health? Results of a meta-analysis.","volume":"29","author":[{"family":"Fisk","given":"William J."},{"family":"Chan","given":"Wanyu R."},{"family":"Johnson","given":"Alexandra L."}],"issued":{"date-parts":[["2019",11]]}}}],"schema":"https://github.com/citation-style-language/schema/raw/master/csl-citation.json"} </w:instrText>
      </w:r>
      <w:r w:rsidRPr="00D03260">
        <w:fldChar w:fldCharType="separate"/>
      </w:r>
      <w:r w:rsidRPr="00D03260">
        <w:t>(Fisk et al., 2019)</w:t>
      </w:r>
      <w:r w:rsidRPr="00D03260">
        <w:fldChar w:fldCharType="end"/>
      </w:r>
      <w:r w:rsidRPr="00D03260">
        <w:t>.</w:t>
      </w:r>
    </w:p>
    <w:p w14:paraId="4B778AEE" w14:textId="11446710" w:rsidR="00A05BCA" w:rsidRPr="00D03260" w:rsidRDefault="00A05BCA" w:rsidP="00A05BCA">
      <w:pPr>
        <w:pStyle w:val="BodyText"/>
      </w:pPr>
      <w:r w:rsidRPr="00D03260">
        <w:t xml:space="preserve">Mendell et al. reported that many new studies, some of strong design, including statistically significant elevation of risk identified in a quantitative meta-analysis by Fisk et al. (2007), led them to conclude there was sufficient evidence for an association between indoor dampness and dampness-related agents and cough </w:t>
      </w:r>
      <w:r w:rsidRPr="00D03260">
        <w:fldChar w:fldCharType="begin"/>
      </w:r>
      <w:r w:rsidR="00217980" w:rsidRPr="00D03260">
        <w:instrText xml:space="preserve"> ADDIN ZOTERO_ITEM CSL_CITATION {"citationID":"m6sbO2e4","properties":{"formattedCitation":"(Mendell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 xml:space="preserve">. Most qualitative studies on dampness or mould and cough found positive associations, with 94% of ORs in cross-sectional studies in adults exceeding 1.0 (range, 0.8–4.0). For children, 85% of ORs of prospective or retrospective studies exceeded 1.0 (range, 0.5–2.1) and 94% of cross-sectional studies exceeded 1.0 (range, 0.2–5.7) </w:t>
      </w:r>
      <w:r w:rsidRPr="00D03260">
        <w:fldChar w:fldCharType="begin"/>
      </w:r>
      <w:r w:rsidR="00217980" w:rsidRPr="00D03260">
        <w:instrText xml:space="preserve"> ADDIN ZOTERO_ITEM CSL_CITATION {"citationID":"qGtI4bnj","properties":{"formattedCitation":"(Mendell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w:t>
      </w:r>
    </w:p>
    <w:p w14:paraId="44199DE8" w14:textId="789BFDDF" w:rsidR="00A05BCA" w:rsidRPr="00D03260" w:rsidRDefault="00A05BCA" w:rsidP="00A05BCA">
      <w:r w:rsidRPr="00D03260">
        <w:t xml:space="preserve">The NICE committee found high quality evidence from a large prospective cohort study in Germany that damp condition was associated with cough </w:t>
      </w:r>
      <w:r w:rsidRPr="00D03260">
        <w:fldChar w:fldCharType="begin"/>
      </w:r>
      <w:r w:rsidR="00707A99" w:rsidRPr="00D03260">
        <w:instrText xml:space="preserve"> ADDIN ZOTERO_ITEM CSL_CITATION {"citationID":"8HvuspkE","properties":{"formattedCitation":"(Du Prel et al. 2006 in National Institute for Health and Care Excellence, 2020b)","plainCitation":"(Du Prel et al. 2006 in National Institute for Health and Care Excellence, 2020b)","noteIndex":0},"citationItems":[{"id":2056,"uris":["http://zotero.org/groups/4371185/items/7T3KG6B7"],"itemData":{"id":2056,"type":"document","publisher":"National Institute for Health and Care Excellence","title":"Indoor air quality at home [2] Evidence review for exposure to pollutants and health outcomes NICE Guideline NG149 Evidence Review","author":[{"literal":"National Institute for Health and Care Excellence"}],"accessed":{"date-parts":[["2021",9,3]]},"issued":{"literal":"2020b"}},"prefix":"Du Prel et al. 2006 in "}],"schema":"https://github.com/citation-style-language/schema/raw/master/csl-citation.json"} </w:instrText>
      </w:r>
      <w:r w:rsidRPr="00D03260">
        <w:fldChar w:fldCharType="separate"/>
      </w:r>
      <w:r w:rsidR="00707A99" w:rsidRPr="00D03260">
        <w:rPr>
          <w:rFonts w:cs="Arial"/>
        </w:rPr>
        <w:t>(Du Prel et al. 2006 in National Institute for Health and Care Excellence, 2020b)</w:t>
      </w:r>
      <w:r w:rsidRPr="00D03260">
        <w:fldChar w:fldCharType="end"/>
      </w:r>
      <w:r w:rsidRPr="00D03260">
        <w:t xml:space="preserve"> and high quality evidence from a prospective cohort study in infants that found mould was associated with cough </w:t>
      </w:r>
      <w:r w:rsidRPr="00D03260">
        <w:fldChar w:fldCharType="begin"/>
      </w:r>
      <w:r w:rsidR="00707A99" w:rsidRPr="00D03260">
        <w:instrText xml:space="preserve"> ADDIN ZOTERO_ITEM CSL_CITATION {"citationID":"lQAb5g9s","properties":{"formattedCitation":"(Belanger et al. 2003 in National Institute for Health and Care Excellence, 2020b)","plainCitation":"(Belanger et al. 2003 in National Institute for Health and Care Excellence, 2020b)","noteIndex":0},"citationItems":[{"id":2056,"uris":["http://zotero.org/groups/4371185/items/7T3KG6B7"],"itemData":{"id":2056,"type":"document","publisher":"National Institute for Health and Care Excellence","title":"Indoor air quality at home [2] Evidence review for exposure to pollutants and health outcomes NICE Guideline NG149 Evidence Review","author":[{"literal":"National Institute for Health and Care Excellence"}],"accessed":{"date-parts":[["2021",9,3]]},"issued":{"literal":"2020b"}},"prefix":"Belanger et al. 2003 in "}],"schema":"https://github.com/citation-style-language/schema/raw/master/csl-citation.json"} </w:instrText>
      </w:r>
      <w:r w:rsidRPr="00D03260">
        <w:fldChar w:fldCharType="separate"/>
      </w:r>
      <w:r w:rsidR="00707A99" w:rsidRPr="00D03260">
        <w:rPr>
          <w:rFonts w:cs="Arial"/>
        </w:rPr>
        <w:t>(Belanger et al. 2003 in National Institute for Health and Care Excellence, 2020b)</w:t>
      </w:r>
      <w:r w:rsidRPr="00D03260">
        <w:fldChar w:fldCharType="end"/>
      </w:r>
      <w:r w:rsidRPr="00D03260">
        <w:t>.</w:t>
      </w:r>
    </w:p>
    <w:p w14:paraId="25CBB822" w14:textId="12F2991B" w:rsidR="00A05BCA" w:rsidRPr="00D03260" w:rsidRDefault="00A05BCA" w:rsidP="000136F5">
      <w:pPr>
        <w:pStyle w:val="Heading2"/>
      </w:pPr>
      <w:bookmarkStart w:id="374" w:name="_Toc121329213"/>
      <w:bookmarkStart w:id="375" w:name="_Toc121329377"/>
      <w:bookmarkStart w:id="376" w:name="_Toc121834520"/>
      <w:bookmarkStart w:id="377" w:name="_Toc141885950"/>
      <w:r w:rsidRPr="00D03260">
        <w:t>Dyspnoea</w:t>
      </w:r>
      <w:bookmarkEnd w:id="374"/>
      <w:bookmarkEnd w:id="375"/>
      <w:bookmarkEnd w:id="376"/>
      <w:bookmarkEnd w:id="377"/>
    </w:p>
    <w:p w14:paraId="1363A494" w14:textId="5E37FB1A" w:rsidR="00A05BCA" w:rsidRPr="00D03260" w:rsidRDefault="00A05BCA" w:rsidP="00A05BCA">
      <w:r w:rsidRPr="00D03260">
        <w:t xml:space="preserve">One guideline and two international authority evidence reviews concluded or advised there was sufficient evidence for an association between indoor damp or mould and dyspnoea </w:t>
      </w:r>
      <w:r w:rsidRPr="00D03260">
        <w:fldChar w:fldCharType="begin"/>
      </w:r>
      <w:r w:rsidR="00217980" w:rsidRPr="00D03260">
        <w:instrText xml:space="preserve"> ADDIN ZOTERO_ITEM CSL_CITATION {"citationID":"rH8v8fGJ","properties":{"formattedCitation":"(Mendell et al., 2011; Palaty &amp; Shum, 2012; World Health Organization, 2009)","plainCitation":"(Mendell et al., 2011; Palaty &amp; Shum, 2012; World Health Organization, 2009)","noteIndex":0},"citationItems":[{"id":2232,"uris":["http://zotero.org/groups/4371185/items/KWLCRUWS"],"itemData":{"id":2232,"type":"article-journal","abstract":"OBJECTIVES: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(Mendell et al., 2011; Palaty &amp; Shum, 2012; World Health Organization, 2009)</w:t>
      </w:r>
      <w:r w:rsidRPr="00D03260">
        <w:fldChar w:fldCharType="end"/>
      </w:r>
      <w:r w:rsidRPr="00D03260">
        <w:t xml:space="preserve">. Mendell et al. noted that since the 2004 IOM report, the number of available studies for adults and children had increased and that measures of association with dampness or mould with dyspnoea were predominantly (84%) &gt;1.0 with ORs ranging from 0.7 to 9.4 in adults and from 0.4 to 2.3 in children </w:t>
      </w:r>
      <w:r w:rsidRPr="00D03260">
        <w:fldChar w:fldCharType="begin"/>
      </w:r>
      <w:r w:rsidR="00217980" w:rsidRPr="00D03260">
        <w:instrText xml:space="preserve"> ADDIN ZOTERO_ITEM CSL_CITATION {"citationID":"j3tON7ue","properties":{"formattedCitation":"(Mendell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w:t>
      </w:r>
    </w:p>
    <w:p w14:paraId="70AD8C64" w14:textId="46F63F56" w:rsidR="00A05BCA" w:rsidRPr="00D03260" w:rsidRDefault="00A05BCA" w:rsidP="000136F5">
      <w:pPr>
        <w:pStyle w:val="Heading2"/>
      </w:pPr>
      <w:bookmarkStart w:id="378" w:name="_Toc121329214"/>
      <w:bookmarkStart w:id="379" w:name="_Toc121329378"/>
      <w:bookmarkStart w:id="380" w:name="_Toc121834521"/>
      <w:bookmarkStart w:id="381" w:name="_Toc141885951"/>
      <w:r w:rsidRPr="00D03260">
        <w:t>Bronchitis</w:t>
      </w:r>
      <w:bookmarkEnd w:id="378"/>
      <w:bookmarkEnd w:id="379"/>
      <w:bookmarkEnd w:id="380"/>
      <w:bookmarkEnd w:id="381"/>
    </w:p>
    <w:p w14:paraId="4CEFD53C" w14:textId="5EB492EA" w:rsidR="00A05BCA" w:rsidRPr="00D03260" w:rsidRDefault="00A05BCA" w:rsidP="00A05BCA">
      <w:r w:rsidRPr="00D03260">
        <w:t xml:space="preserve">Two guidelines, two international authority evidence reviews and a review that underpinned the AWMF guideline concluded or advised there is sufficient evidence of as association between bronchitis and exposure to indoor mould and/or dampness </w:t>
      </w:r>
      <w:r w:rsidRPr="00D03260">
        <w:fldChar w:fldCharType="begin"/>
      </w:r>
      <w:r w:rsidR="00217980" w:rsidRPr="00D03260">
        <w:instrText xml:space="preserve"> ADDIN ZOTERO_ITEM CSL_CITATION {"citationID":"hsZsd8fQ","properties":{"formattedCitation":"(Hurra\\uc0\\u223{} et al., 2017; Mendell et al., 2011; Palaty &amp; Shum, 2012; Wiesm\\uc0\\u252{}ller et al., 2017)","plainCitation":"(Hurraß et al., 2017; Mendell et al., 2011; Palaty &amp; Shum, 2012;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(Hurraß et al., 2017; Mendell et al., 2011; Palaty &amp; Shum, 2012; Wiesmüller et al., 2017)</w:t>
      </w:r>
      <w:r w:rsidRPr="00D03260">
        <w:fldChar w:fldCharType="end"/>
      </w:r>
      <w:r w:rsidRPr="00D03260">
        <w:t xml:space="preserve">. In 2009, the WHO was a little more circumspect. The WHO had concluded in 2009 that exposure to indoor damp or mould appears to be associated with bronchitis but the evidence is based on relatively few studies </w:t>
      </w:r>
      <w:r w:rsidRPr="00D03260">
        <w:fldChar w:fldCharType="begin"/>
      </w:r>
      <w:r w:rsidR="00217980" w:rsidRPr="00D03260">
        <w:instrText xml:space="preserve"> ADDIN ZOTERO_ITEM CSL_CITATION {"citationID":"J3sUN1gg","properties":{"formattedCitation":"(World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w:t>
      </w:r>
    </w:p>
    <w:p w14:paraId="27D430D8" w14:textId="5980852A" w:rsidR="00A05BCA" w:rsidRPr="00D03260" w:rsidRDefault="00A05BCA" w:rsidP="00A05BCA">
      <w:r w:rsidRPr="00D03260">
        <w:t xml:space="preserve">NICE, in their 2020 evidence review reported high quality evidence was found in a German prospective cohort study of 26,888 children showing that damp conditions were associated with </w:t>
      </w:r>
      <w:r w:rsidRPr="00D03260">
        <w:rPr>
          <w:rFonts w:eastAsiaTheme="minorHAnsi"/>
        </w:rPr>
        <w:t>bronchitis (ever diagnosed) aOR 1.25 (95% CI: 1.13</w:t>
      </w:r>
      <w:r w:rsidRPr="00D03260">
        <w:t>–</w:t>
      </w:r>
      <w:r w:rsidRPr="00D03260">
        <w:rPr>
          <w:rFonts w:eastAsiaTheme="minorHAnsi"/>
        </w:rPr>
        <w:t>1.37) for homes in East Germany, and bronchitis (ever diagnosed aOR 1.30 (95% CI: 1.03</w:t>
      </w:r>
      <w:r w:rsidRPr="00D03260">
        <w:t>–</w:t>
      </w:r>
      <w:r w:rsidRPr="00D03260">
        <w:rPr>
          <w:rFonts w:eastAsiaTheme="minorHAnsi"/>
        </w:rPr>
        <w:t>1.65) for homes in West Germany</w:t>
      </w:r>
      <w:r w:rsidRPr="00D03260">
        <w:t xml:space="preserve"> </w:t>
      </w:r>
      <w:r w:rsidRPr="00D03260">
        <w:fldChar w:fldCharType="begin"/>
      </w:r>
      <w:r w:rsidR="00707A99" w:rsidRPr="00D03260">
        <w:instrText xml:space="preserve"> ADDIN ZOTERO_ITEM CSL_CITATION {"citationID":"RqKQ7CgM","properties":{"formattedCitation":"(Du Prel et al. 2006 in National Institute for Health and Care Excellence, 2020b)","plainCitation":"(Du Prel et al. 2006 in National Institute for Health and Care Excellence, 2020b)","noteIndex":0},"citationItems":[{"id":2056,"uris":["http://zotero.org/groups/4371185/items/7T3KG6B7"],"itemData":{"id":2056,"type":"document","publisher":"National Institute for Health and Care Excellence","title":"Indoor air quality at home [2] Evidence review for exposure to pollutants and health outcomes NICE Guideline NG149 Evidence Review","author":[{"literal":"National Institute for Health and Care Excellence"}],"accessed":{"date-parts":[["2021",9,3]]},"issued":{"literal":"2020b"}},"prefix":"Du Prel et al. 2006 in "}],"schema":"https://github.com/citation-style-language/schema/raw/master/csl-citation.json"} </w:instrText>
      </w:r>
      <w:r w:rsidRPr="00D03260">
        <w:fldChar w:fldCharType="separate"/>
      </w:r>
      <w:r w:rsidR="00707A99" w:rsidRPr="00D03260">
        <w:rPr>
          <w:rFonts w:cs="Arial"/>
        </w:rPr>
        <w:t>(Du Prel et al. 2006 in National Institute for Health and Care Excellence, 2020b)</w:t>
      </w:r>
      <w:r w:rsidRPr="00D03260">
        <w:fldChar w:fldCharType="end"/>
      </w:r>
      <w:r w:rsidRPr="00D03260">
        <w:t>.</w:t>
      </w:r>
    </w:p>
    <w:p w14:paraId="1262A457" w14:textId="4DF90CC7" w:rsidR="00A05BCA" w:rsidRPr="00D03260" w:rsidRDefault="00A05BCA" w:rsidP="000136F5">
      <w:pPr>
        <w:pStyle w:val="Heading2"/>
      </w:pPr>
      <w:bookmarkStart w:id="382" w:name="_Toc121329215"/>
      <w:bookmarkStart w:id="383" w:name="_Toc121329379"/>
      <w:bookmarkStart w:id="384" w:name="_Toc121834522"/>
      <w:bookmarkStart w:id="385" w:name="_Toc141885952"/>
      <w:r w:rsidRPr="00D03260">
        <w:t>Rhinitis</w:t>
      </w:r>
      <w:bookmarkEnd w:id="382"/>
      <w:bookmarkEnd w:id="383"/>
      <w:bookmarkEnd w:id="384"/>
      <w:bookmarkEnd w:id="385"/>
    </w:p>
    <w:p w14:paraId="6D475739" w14:textId="729BE9C3" w:rsidR="00A05BCA" w:rsidRPr="00D03260" w:rsidRDefault="00A05BCA" w:rsidP="00A05BCA">
      <w:r w:rsidRPr="00D03260">
        <w:t xml:space="preserve">Two guidelines, two international authority evidence reviews, a systematic review and two reviews provided advice or conclusions about an association between exposure to indoor mould or dampness and allergic rhinitis, most of which indicating that the evidence was sufficient for an association </w:t>
      </w:r>
      <w:r w:rsidRPr="00D03260">
        <w:fldChar w:fldCharType="begin"/>
      </w:r>
      <w:r w:rsidR="00217980" w:rsidRPr="00D03260">
        <w:instrText xml:space="preserve"> ADDIN ZOTERO_ITEM CSL_CITATION {"citationID":"CvGXv01W","properties":{"formattedCitation":"(Caillaud et al., 2018; Hurra\\uc0\\u223{} et al., 2017; Mendell et al., 2011; Palaty &amp; Shum, 2012; Tischer et al., 2011; Wiesm\\uc0\\u252{}ller et al., 2017; World Health Organization, 2009)","plainCitation":"(Caillaud et al., 2018; Hurraß et al., 2017; Mendell et al., 2011; Palaty &amp; Shum, 2012; Tischer et al., 2011; Wiesmüller et al., 2017; World Health Organization, 2009)","noteIndex":0},"citationItems":[{"id":2126,"uris":["http://zotero.org/groups/4371185/items/98CJCC6S"],"itemData":{"id":2126,"type":"article-journal","container-title":"European Respiratory Review","ISSN":"0905-9180","issue":"148","journalAbbreviation":"European Respiratory Review","note":"publisher: Eur Respiratory Soc","title":"Indoor mould exposure, asthma and rhinitis: findings from systematic reviews and recent longitudinal studies","volume":"27","author":[{"family":"Caillaud","given":"Denis"},{"family":"Leynaert","given":"Benedicte"},{"family":"Keirsbulck","given":"Marion"},{"family":"Nadif","given":"Rachel"}],"issued":{"date-parts":[["2018"]]}}},{"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2213,"uris":["http://zotero.org/groups/4371185/items/K2H9JUBA"],"itemData":{"id":2213,"type":"article-journal","abstract":"Critical reviews over the past 10 yrs have found increased respiratory and allergic health outcomes for children living in damp and mouldy environments. However, recent studies have suggested that early childhood exposure to specific mould components may actually protect children from developing allergy. We conducted a systematic review of observational studies published in English from January 1980 to July 2010. This review was conducted according to systematic guidelines for Meta-analyses of Observational Studies in Epidemiology (MOOSE). The literature was searched using a computerised bibliographic database, PubMed. In order to increase the quality of the reviewed studies, meta-analyses of the effects of visible mould exposure on allergic health outcomes were performed and we evaluated the findings according to the Bradford Hill criteria for evidence of causation. The literature search identified 1,398 peer-reviewed scientific publications, and 61 studies that fulfilled the inclusion criteria were included in this review. We observed increased risks of allergic respiratory health outcomes in children exposed to visible mould and mould spores. These findings were confirmed by the results of the meta-analysis and in line with the evaluation criteria according to Bradford Hill. Visible mould was positively associated with asthma (OR 1.49 (95% CI 1.28-1.72)), wheeze (OR 1.68 (95% CI 1.48-1.90)) and allergic rhinitis (OR 1.39 (95% CI 1.28-1.51)). However, there was a tendency of lower risk for allergic health outcomes in children exposed to mould-derived components such as (1,3)-β-D-glucan and extracellular polysaccharides. These findings suggest that home environments with visible mould and mould spore exposure increase the risk of allergic respiratory health outcomes in children. However, further investigations are needed to examine the effects of exposure to mould-derived components as the current literature is inconclusive. In order to disentangle the different effects of overall microbial exposure on children's health, research should focus on specific microbial markers in the home, in combination with new assessment techniques including molecular methods. Copyright©ERS 2011.","container-title":"European Respiratory Journal","DOI":"10.1183/09031936.00184010","ISSN":"0903-1936","issue":"4","journalAbbreviation":"Eur. Respir. J.","language":"English","page":"812-824","title":"Association between domestic mould and mould components, and asthma and allergy in children: A systematic review","volume":"38","author":[{"family":"Tischer","given":"C."},{"family":"Chen","given":"C.-M."},{"family":"Heinrich","given":"J."}],"issued":{"date-parts":[["2011"]]}}},{"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(Caillaud et al., 2018; Hurraß et al., 2017; Mendell et al., 2011; Palaty &amp; Shum, 2012; Tischer et al., 2011; Wiesmüller et al., 2017; World Health Organization, 2009)</w:t>
      </w:r>
      <w:r w:rsidRPr="00D03260">
        <w:fldChar w:fldCharType="end"/>
      </w:r>
      <w:r w:rsidRPr="00D03260">
        <w:t>.</w:t>
      </w:r>
    </w:p>
    <w:p w14:paraId="64EA19B2" w14:textId="0419B309" w:rsidR="00A05BCA" w:rsidRPr="00D03260" w:rsidRDefault="00A05BCA" w:rsidP="00A05BCA">
      <w:r w:rsidRPr="00D03260">
        <w:t xml:space="preserve">The AWMF guideline and associated evidence review noted an association of indoor dampness and moulds with rhinitis risk as the evidence that epidemiological studies on indoor dampness and mould are consistently associated with allergic rhinitis </w:t>
      </w:r>
      <w:r w:rsidRPr="00D03260">
        <w:fldChar w:fldCharType="begin"/>
      </w:r>
      <w:r w:rsidR="00217980" w:rsidRPr="00D03260">
        <w:instrText xml:space="preserve"> ADDIN ZOTERO_ITEM CSL_CITATION {"citationID":"jOcsTUrA","properties":{"formattedCitation":"(Mendell et al. 2011 and Jaakola et al 2013 in Hurra\\uc0\\u223{} et al., 2017; Mendell et al. 2011 and Jaakola et al 2013 in Wiesm\\uc0\\u252{}ller et al., 2017)","plainCitation":"(Mendell et al. 2011 and Jaakola et al 2013 in Hurraß et al., 2017; Mendell et al. 2011 and Jaakola et al 2013 in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prefix":"Mendell et al. 2011 and Jaakola et al 2013 in"},{"id":2051,"uris":["http://zotero.org/groups/4371185/items/QZ4VYG6U"],"itemData":{"id":2051,"type":"article-journal","container-title":"Allergo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Peter"},{"family":"Steiß","given":"Jens-Oliver"},{"family":"Szewszyk","given":"Regine"},{"family":"Thomas","given":"Peter"},{"family":"Valtanen","given":"Kerttu"},{"family":"Hurraß","given":"Julia"}],"issued":{"date-parts":[["2017",8]]}},"prefix":"Mendell et al. 2011 and Jaakola et al 2013 in"}],"schema":"https://github.com/citation-style-language/schema/raw/master/csl-citation.json"} </w:instrText>
      </w:r>
      <w:r w:rsidRPr="00D03260">
        <w:fldChar w:fldCharType="separate"/>
      </w:r>
      <w:r w:rsidRPr="00D03260">
        <w:t>(Mendell et al. 2011 and Jaakola et al 2013 in Hurraß et al., 2017; Mendell et al. 2011 and Jaakola et al 2013 in Wiesmüller et al., 2017)</w:t>
      </w:r>
      <w:r w:rsidRPr="00D03260">
        <w:fldChar w:fldCharType="end"/>
      </w:r>
      <w:r w:rsidRPr="00D03260">
        <w:t>.</w:t>
      </w:r>
    </w:p>
    <w:p w14:paraId="03E8A267" w14:textId="501E07EB" w:rsidR="00A05BCA" w:rsidRPr="00D03260" w:rsidRDefault="00A05BCA" w:rsidP="00A05BCA">
      <w:r w:rsidRPr="00D03260">
        <w:t xml:space="preserve">Mendell et al. only included rhinitis outcomes defined as medically diagnosed allergic rhinitis or the combination of rhinitis symptoms with documented atopy. Dampness and mould were consistently associated with allergic rhinitis in 92% of the findings (all in children) with ORs ranging from 0.7 to 3.5 </w:t>
      </w:r>
      <w:r w:rsidRPr="00D03260">
        <w:fldChar w:fldCharType="begin"/>
      </w:r>
      <w:r w:rsidR="00217980" w:rsidRPr="00D03260">
        <w:instrText xml:space="preserve"> ADDIN ZOTERO_ITEM CSL_CITATION {"citationID":"z66tuvwK","properties":{"formattedCitation":"(Mendell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w:t>
      </w:r>
    </w:p>
    <w:p w14:paraId="0EAAE9A4" w14:textId="6A1A3C77" w:rsidR="00A05BCA" w:rsidRPr="00D03260" w:rsidRDefault="00A05BCA" w:rsidP="000136F5">
      <w:pPr>
        <w:pStyle w:val="Heading2"/>
      </w:pPr>
      <w:bookmarkStart w:id="386" w:name="_Toc121329216"/>
      <w:bookmarkStart w:id="387" w:name="_Toc121329380"/>
      <w:bookmarkStart w:id="388" w:name="_Toc121834523"/>
      <w:bookmarkStart w:id="389" w:name="_Toc141885953"/>
      <w:r w:rsidRPr="00D03260">
        <w:t>Upper respiratory tract symptoms</w:t>
      </w:r>
      <w:bookmarkEnd w:id="386"/>
      <w:bookmarkEnd w:id="387"/>
      <w:bookmarkEnd w:id="388"/>
      <w:bookmarkEnd w:id="389"/>
    </w:p>
    <w:p w14:paraId="4DD1F019" w14:textId="5081FA3D" w:rsidR="00A05BCA" w:rsidRPr="00D03260" w:rsidRDefault="00A05BCA" w:rsidP="00A05BCA">
      <w:r w:rsidRPr="00D03260">
        <w:t xml:space="preserve">Two guidelines, two international authority evidence reviews and the review that is associated with the AWMF guideline concluded or advised the evidence was sufficient for an association between upper respiratory tract symptoms and exposure to indoor damp or mould </w:t>
      </w:r>
      <w:r w:rsidRPr="00D03260">
        <w:fldChar w:fldCharType="begin"/>
      </w:r>
      <w:r w:rsidR="00217980" w:rsidRPr="00D03260">
        <w:instrText xml:space="preserve"> ADDIN ZOTERO_ITEM CSL_CITATION {"citationID":"mOksWxTD","properties":{"formattedCitation":"(Hurra\\uc0\\u223{} et al., 2017; Mendell et al., 2011; Palaty &amp; Shum, 2012; Wiesm\\uc0\\u252{}ller et al., 2017)","plainCitation":"(Hurraß et al., 2017; Mendell et al., 2011; Palaty &amp; Shum, 2012;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(Hurraß et al., 2017; Mendell et al., 2011; Palaty &amp; Shum, 2012; Wiesmüller et al., 2017)</w:t>
      </w:r>
      <w:r w:rsidRPr="00D03260">
        <w:fldChar w:fldCharType="end"/>
      </w:r>
      <w:r w:rsidRPr="00D03260">
        <w:t xml:space="preserve">. Of the evidence for upper respiratory tract symptoms, Mendell et al. reported most studies found positive associations with dampness or mould </w:t>
      </w:r>
      <w:r w:rsidRPr="00D03260">
        <w:fldChar w:fldCharType="begin"/>
      </w:r>
      <w:r w:rsidR="00217980" w:rsidRPr="00D03260">
        <w:instrText xml:space="preserve"> ADDIN ZOTERO_ITEM CSL_CITATION {"citationID":"YAnnCjzC","properties":{"formattedCitation":"(Mendell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 Among children 88% of ORs in prospective or retrospec</w:t>
      </w:r>
      <w:r w:rsidRPr="00D03260">
        <w:softHyphen/>
        <w:t xml:space="preserve">tive studies reviewed exceeded 1.0 (range, 1.0–1.8), and 95% of ORs in cross-sectional studies exceeded 1.0 (range, 0.4–5.9). Among adults, 81% of ORs in cross sectional studies exceeded 1.0 (range, 0.4–4.4) </w:t>
      </w:r>
      <w:r w:rsidRPr="00D03260">
        <w:fldChar w:fldCharType="begin"/>
      </w:r>
      <w:r w:rsidR="00217980" w:rsidRPr="00D03260">
        <w:instrText xml:space="preserve"> ADDIN ZOTERO_ITEM CSL_CITATION {"citationID":"ZAIW9C55","properties":{"formattedCitation":"(Mendell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w:t>
      </w:r>
    </w:p>
    <w:p w14:paraId="09F4DFC7" w14:textId="56AFCDF2" w:rsidR="00A05BCA" w:rsidRPr="00D03260" w:rsidRDefault="00A05BCA" w:rsidP="000136F5">
      <w:pPr>
        <w:pStyle w:val="Heading2"/>
      </w:pPr>
      <w:bookmarkStart w:id="390" w:name="_Toc121329217"/>
      <w:bookmarkStart w:id="391" w:name="_Toc121329381"/>
      <w:bookmarkStart w:id="392" w:name="_Toc121834524"/>
      <w:bookmarkStart w:id="393" w:name="_Toc141885954"/>
      <w:r w:rsidRPr="00D03260">
        <w:t>Eczema</w:t>
      </w:r>
      <w:bookmarkEnd w:id="390"/>
      <w:bookmarkEnd w:id="391"/>
      <w:bookmarkEnd w:id="392"/>
      <w:bookmarkEnd w:id="393"/>
    </w:p>
    <w:p w14:paraId="12398FF7" w14:textId="38C3DF80" w:rsidR="00A05BCA" w:rsidRPr="00D03260" w:rsidRDefault="00A05BCA" w:rsidP="00A05BCA">
      <w:r w:rsidRPr="00D03260">
        <w:t xml:space="preserve">The WHO did not make any conclusions about the level of association between exposure to indoor damp or mould and eczema </w:t>
      </w:r>
      <w:r w:rsidRPr="00D03260">
        <w:fldChar w:fldCharType="begin"/>
      </w:r>
      <w:r w:rsidR="00217980" w:rsidRPr="00D03260">
        <w:instrText xml:space="preserve"> ADDIN ZOTERO_ITEM CSL_CITATION {"citationID":"BL6wAcuM","properties":{"formattedCitation":"(World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 xml:space="preserve">. The literature that examined eczema and exposure to indoor damp and mould came to somewhat different conclusions. Two evidence reviews by international authorities concluded or advised there was sufficient evidence for an association between exposure to indoor mould or dampness and eczema </w:t>
      </w:r>
      <w:r w:rsidRPr="00D03260">
        <w:fldChar w:fldCharType="begin"/>
      </w:r>
      <w:r w:rsidR="00217980" w:rsidRPr="00D03260">
        <w:instrText xml:space="preserve"> ADDIN ZOTERO_ITEM CSL_CITATION {"citationID":"MqhaJosR","properties":{"formattedCitation":"(Mendell et al., 2011; Palaty &amp; Shum, 2012)","plainCitation":"(Mendell et al., 2011; Palaty &amp; Shum, 2012)","noteIndex":0},"citationItems":[{"id":2232,"uris":["http://zotero.org/groups/4371185/items/KWLCRUWS"],"itemData":{"id":2232,"type":"article-journal","abstract":"OBJECTIVES: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Environments","author":[{"family":"Palaty","given":"Chrystal"},{"family":"Shum","given":"Mona"}],"accessed":{"date-parts":[["2021",9,2]]},"issued":{"date-parts":[["2012",7]]}}}],"schema":"https://github.com/citation-style-language/schema/raw/master/csl-citation.json"} </w:instrText>
      </w:r>
      <w:r w:rsidRPr="00D03260">
        <w:fldChar w:fldCharType="separate"/>
      </w:r>
      <w:r w:rsidRPr="00D03260">
        <w:t>(Mendell et al., 2011; Palaty &amp; Shum, 2012)</w:t>
      </w:r>
      <w:r w:rsidRPr="00D03260">
        <w:fldChar w:fldCharType="end"/>
      </w:r>
      <w:r w:rsidRPr="00D03260">
        <w:t xml:space="preserve">, whereas the AWMF guideline and its associated evidence review </w:t>
      </w:r>
      <w:r w:rsidRPr="00D03260">
        <w:fldChar w:fldCharType="begin"/>
      </w:r>
      <w:r w:rsidR="00217980" w:rsidRPr="00D03260">
        <w:instrText xml:space="preserve"> ADDIN ZOTERO_ITEM CSL_CITATION {"citationID":"PmHzd8P1","properties":{"formattedCitation":"(Hurra\\uc0\\u223{} et al., 2017; Wiesm\\uc0\\u252{}ller et al., 2017)","plainCitation":"(Hurraß et al., 2017;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(Hurraß et al., 2017; Wiesmüller et al., 2017)</w:t>
      </w:r>
      <w:r w:rsidRPr="00D03260">
        <w:fldChar w:fldCharType="end"/>
      </w:r>
      <w:r w:rsidRPr="00D03260">
        <w:t xml:space="preserve"> concluded there was limited or suspected evidence of an association with atopic eczema (manifestation, progression, exacerbation).</w:t>
      </w:r>
    </w:p>
    <w:p w14:paraId="4554B2D3" w14:textId="319E16D3" w:rsidR="00A05BCA" w:rsidRPr="00D03260" w:rsidRDefault="00A05BCA" w:rsidP="00A05BCA">
      <w:r w:rsidRPr="00D03260">
        <w:t xml:space="preserve">Mendell et al.’s update review to the WHO guideline reported dampness or mould was associated consistently with eczema, in the studies they reviewed, with 89% of ORs &gt; 1.0 (range, 0.2–2.9). The strongest study included in the review was a prospective study in children, that found consistently increased ORs up to 2.9 for prenatal mould exposure to infants with no parental atopic history </w:t>
      </w:r>
      <w:r w:rsidRPr="00D03260">
        <w:fldChar w:fldCharType="begin"/>
      </w:r>
      <w:r w:rsidR="00217980" w:rsidRPr="00D03260">
        <w:instrText xml:space="preserve"> ADDIN ZOTERO_ITEM CSL_CITATION {"citationID":"ENjeX699","properties":{"formattedCitation":"(Mendell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 xml:space="preserve">. Palaty &amp; Shum’s conclusion as to level of association was based on Mendell et al.’s evidence review </w:t>
      </w:r>
      <w:r w:rsidRPr="00D03260">
        <w:fldChar w:fldCharType="begin"/>
      </w:r>
      <w:r w:rsidR="00217980" w:rsidRPr="00D03260">
        <w:instrText xml:space="preserve"> ADDIN ZOTERO_ITEM CSL_CITATION {"citationID":"SmqhkL8S","properties":{"formattedCitation":"(Palaty &amp; Shum, 2012)","plainCitation":"(Palaty &amp; Shum, 2012)","noteIndex":0},"citationItems":[{"id":2176,"uris":["http://zotero.org/groups/4371185/items/8UAC2VRS"],"itemData":{"id":2176,"type":"document","language":"English","publisher":"National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Environments","author":[{"family":"Palaty","given":"Chrystal"},{"family":"Shum","given":"Mona"}],"accessed":{"date-parts":[["2021",9,2]]},"issued":{"date-parts":[["2012",7]]}}}],"schema":"https://github.com/citation-style-language/schema/raw/master/csl-citation.json"} </w:instrText>
      </w:r>
      <w:r w:rsidRPr="00D03260">
        <w:fldChar w:fldCharType="separate"/>
      </w:r>
      <w:r w:rsidRPr="00D03260">
        <w:t>(Palaty &amp; Shum, 2012)</w:t>
      </w:r>
      <w:r w:rsidRPr="00D03260">
        <w:fldChar w:fldCharType="end"/>
      </w:r>
      <w:r w:rsidRPr="00D03260">
        <w:t>.</w:t>
      </w:r>
    </w:p>
    <w:p w14:paraId="1218D1CA" w14:textId="3F722D46" w:rsidR="0003107F" w:rsidRPr="00D03260" w:rsidRDefault="00A05BCA" w:rsidP="00A05BCA">
      <w:r w:rsidRPr="00D03260">
        <w:t xml:space="preserve">NICE in their evidence review of indoor air pollutants and health effects </w:t>
      </w:r>
      <w:r w:rsidR="00FB1E48" w:rsidRPr="00D03260">
        <w:t xml:space="preserve">reported </w:t>
      </w:r>
      <w:r w:rsidRPr="00D03260">
        <w:t xml:space="preserve">one prospective cohort study from Germany that provided high quality evidence of a positive association between damp condition and eczema in children, but only in East Germany, not West Germany </w:t>
      </w:r>
      <w:r w:rsidRPr="00D03260">
        <w:fldChar w:fldCharType="begin"/>
      </w:r>
      <w:r w:rsidR="00707A99" w:rsidRPr="00D03260">
        <w:instrText xml:space="preserve"> ADDIN ZOTERO_ITEM CSL_CITATION {"citationID":"Uk0zRRTu","properties":{"formattedCitation":"(Du Prel et al. 2006 in National Institute for Health and Care Excellence, 2020b)","plainCitation":"(Du Prel et al. 2006 in National Institute for Health and Care Excellence, 2020b)","noteIndex":0},"citationItems":[{"id":2056,"uris":["http://zotero.org/groups/4371185/items/7T3KG6B7"],"itemData":{"id":2056,"type":"document","publisher":"National Institute for Health and Care Excellence","title":"Indoor air quality at home [2] Evidence review for exposure to pollutants and health outcomes NICE Guideline NG149 Evidence Review","author":[{"literal":"National Institute for Health and Care Excellence"}],"accessed":{"date-parts":[["2021",9,3]]},"issued":{"literal":"2020b"}},"prefix":"Du Prel et al. 2006 in "}],"schema":"https://github.com/citation-style-language/schema/raw/master/csl-citation.json"} </w:instrText>
      </w:r>
      <w:r w:rsidRPr="00D03260">
        <w:fldChar w:fldCharType="separate"/>
      </w:r>
      <w:r w:rsidR="00707A99" w:rsidRPr="00D03260">
        <w:rPr>
          <w:rFonts w:cs="Arial"/>
        </w:rPr>
        <w:t>(Du Prel et al. 2006 in National Institute for Health and Care Excellence, 2020b)</w:t>
      </w:r>
      <w:r w:rsidRPr="00D03260">
        <w:fldChar w:fldCharType="end"/>
      </w:r>
      <w:r w:rsidRPr="00D03260">
        <w:t>. NICE did not find any high-quality evidence on exposure to mould and eczema.</w:t>
      </w:r>
    </w:p>
    <w:p w14:paraId="1498F575" w14:textId="52DE6986" w:rsidR="0003107F" w:rsidRPr="00D03260" w:rsidRDefault="0003107F" w:rsidP="00876C83">
      <w:r w:rsidRPr="00D03260">
        <w:br w:type="page"/>
      </w:r>
    </w:p>
    <w:p w14:paraId="148AB1F6" w14:textId="720834AD" w:rsidR="0003107F" w:rsidRPr="00D03260" w:rsidRDefault="000136F5" w:rsidP="000136F5">
      <w:pPr>
        <w:pStyle w:val="Heading1"/>
      </w:pPr>
      <w:bookmarkStart w:id="394" w:name="AppendixBLessLikelyDifferentialDiagnoses"/>
      <w:bookmarkStart w:id="395" w:name="_Toc121329218"/>
      <w:bookmarkStart w:id="396" w:name="_Toc141885955"/>
      <w:bookmarkEnd w:id="394"/>
      <w:r w:rsidRPr="00D03260">
        <w:t xml:space="preserve">Appendix </w:t>
      </w:r>
      <w:r w:rsidR="00C05EA8" w:rsidRPr="00D03260">
        <w:t>B</w:t>
      </w:r>
      <w:r w:rsidR="007D6334" w:rsidRPr="00D03260">
        <w:t xml:space="preserve">: </w:t>
      </w:r>
      <w:r w:rsidR="00C05EA8" w:rsidRPr="00D03260">
        <w:t>Less likely differential diagnoses</w:t>
      </w:r>
      <w:r w:rsidR="00584C88" w:rsidRPr="00D03260">
        <w:t xml:space="preserve"> or symptoms</w:t>
      </w:r>
      <w:r w:rsidR="00C05EA8" w:rsidRPr="00D03260">
        <w:t xml:space="preserve">: Health effects for which there is limited or suggested evidenced of association with exposure to indoor damp and </w:t>
      </w:r>
      <w:r w:rsidRPr="00D03260">
        <w:t>mould</w:t>
      </w:r>
      <w:bookmarkEnd w:id="395"/>
      <w:bookmarkEnd w:id="396"/>
    </w:p>
    <w:p w14:paraId="419683A0" w14:textId="251FBB82" w:rsidR="000136F5" w:rsidRPr="00D03260" w:rsidRDefault="000136F5" w:rsidP="000136F5">
      <w:r w:rsidRPr="00D03260">
        <w:t>The sections below provide an overview of the findings for each health effect.</w:t>
      </w:r>
    </w:p>
    <w:p w14:paraId="4644650B" w14:textId="197599EA" w:rsidR="000136F5" w:rsidRPr="00D03260" w:rsidRDefault="000136F5" w:rsidP="007D6334">
      <w:pPr>
        <w:pStyle w:val="Heading2"/>
      </w:pPr>
      <w:bookmarkStart w:id="397" w:name="Section321CommonCold"/>
      <w:bookmarkStart w:id="398" w:name="_Toc121329219"/>
      <w:bookmarkStart w:id="399" w:name="_Toc121329383"/>
      <w:bookmarkStart w:id="400" w:name="_Toc121834526"/>
      <w:bookmarkStart w:id="401" w:name="_Toc141885956"/>
      <w:bookmarkEnd w:id="397"/>
      <w:r w:rsidRPr="00D03260">
        <w:t>Common cold</w:t>
      </w:r>
      <w:bookmarkEnd w:id="398"/>
      <w:bookmarkEnd w:id="399"/>
      <w:bookmarkEnd w:id="400"/>
      <w:bookmarkEnd w:id="401"/>
    </w:p>
    <w:p w14:paraId="48E5419E" w14:textId="6C4BCA68" w:rsidR="000136F5" w:rsidRPr="00D03260" w:rsidRDefault="000136F5" w:rsidP="000136F5">
      <w:r w:rsidRPr="00D03260">
        <w:t xml:space="preserve">Mendell et al. and the NCCEH both reported there was limited or suggestive evidence for an association between the common cold and exposure to indoor damp or mould, with the NCCEH citing the review by Mendell et al. as their evidence </w:t>
      </w:r>
      <w:r w:rsidRPr="00D03260">
        <w:fldChar w:fldCharType="begin"/>
      </w:r>
      <w:r w:rsidR="00217980" w:rsidRPr="00D03260">
        <w:instrText xml:space="preserve"> ADDIN ZOTERO_ITEM CSL_CITATION {"citationID":"3b8J8JrG","properties":{"formattedCitation":"(Mendell et al., 2011; Mendell et al 2011 in Palaty &amp; Shum, 2012)","plainCitation":"(Mendell et al., 2011; Mendell et al 2011 in Palaty &amp; Shum, 2012)","noteIndex":0},"citationItems":[{"id":2232,"uris":["http://zotero.org/groups/4371185/items/KWLCRUWS"],"itemData":{"id":2232,"type":"article-journal","abstract":"OBJECTIVES: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Environments","author":[{"family":"Palaty","given":"Chrystal"},{"family":"Shum","given":"Mona"}],"accessed":{"date-parts":[["2021",9,2]]},"issued":{"date-parts":[["2012",7]]}},"prefix":"Mendell et al 2011 in"}],"schema":"https://github.com/citation-style-language/schema/raw/master/csl-citation.json"} </w:instrText>
      </w:r>
      <w:r w:rsidRPr="00D03260">
        <w:fldChar w:fldCharType="separate"/>
      </w:r>
      <w:r w:rsidRPr="00D03260">
        <w:t>(Mendell et al., 2011; Mendell et al 2011 in Palaty &amp; Shum, 2012)</w:t>
      </w:r>
      <w:r w:rsidRPr="00D03260">
        <w:fldChar w:fldCharType="end"/>
      </w:r>
      <w:r w:rsidRPr="00D03260">
        <w:t xml:space="preserve">. The common cold was positively associated with dampness or mould in 71% of reported findings, but, the methodologically strongest single study, a prospective study in children, found only four of nine estimates elevated, with ORs ranging from 0.6 to 1.8. As such, Mendell et al. considered the association only suggestive </w:t>
      </w:r>
      <w:r w:rsidRPr="00D03260">
        <w:fldChar w:fldCharType="begin"/>
      </w:r>
      <w:r w:rsidR="00217980" w:rsidRPr="00D03260">
        <w:instrText xml:space="preserve"> ADDIN ZOTERO_ITEM CSL_CITATION {"citationID":"9zpqkgLY","properties":{"formattedCitation":"(Mendell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w:t>
      </w:r>
    </w:p>
    <w:p w14:paraId="1E133673" w14:textId="1C4637D7" w:rsidR="000136F5" w:rsidRPr="00D03260" w:rsidRDefault="000136F5" w:rsidP="007D6334">
      <w:pPr>
        <w:pStyle w:val="Heading2"/>
      </w:pPr>
      <w:bookmarkStart w:id="402" w:name="_Toc121329220"/>
      <w:bookmarkStart w:id="403" w:name="_Toc121329384"/>
      <w:bookmarkStart w:id="404" w:name="_Toc121834527"/>
      <w:bookmarkStart w:id="405" w:name="_Toc141885957"/>
      <w:r w:rsidRPr="00D03260">
        <w:t>Allergy/atopy (excluding rhinitis and eczema)</w:t>
      </w:r>
      <w:bookmarkEnd w:id="402"/>
      <w:bookmarkEnd w:id="403"/>
      <w:bookmarkEnd w:id="404"/>
      <w:bookmarkEnd w:id="405"/>
    </w:p>
    <w:p w14:paraId="621C8A67" w14:textId="446CE175" w:rsidR="000136F5" w:rsidRPr="00D03260" w:rsidRDefault="000136F5" w:rsidP="000136F5">
      <w:r w:rsidRPr="00D03260">
        <w:t xml:space="preserve">Two international authority evidence reviews reported the evidence for an association between the allergy/atopy and exposure to indoor damp or mould as limited or suggestive </w:t>
      </w:r>
      <w:r w:rsidRPr="00D03260">
        <w:fldChar w:fldCharType="begin"/>
      </w:r>
      <w:r w:rsidR="00217980" w:rsidRPr="00D03260">
        <w:instrText xml:space="preserve"> ADDIN ZOTERO_ITEM CSL_CITATION {"citationID":"9WOpIaEI","properties":{"formattedCitation":"(Mendell et al., 2011; Mendell et al. 2011 in Palaty &amp; Shum, 2012)","plainCitation":"(Mendell et al., 2011; Mendell et al. 2011 in Palaty &amp; Shum, 2012)","noteIndex":0},"citationItems":[{"id":2232,"uris":["http://zotero.org/groups/4371185/items/KWLCRUWS"],"itemData":{"id":2232,"type":"article-journal","abstract":"OBJECTIVES: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Environments","author":[{"family":"Palaty","given":"Chrystal"},{"family":"Shum","given":"Mona"}],"accessed":{"date-parts":[["2021",9,2]]},"issued":{"date-parts":[["2012",7]]}},"prefix":"Mendell et al. 2011 in"}],"schema":"https://github.com/citation-style-language/schema/raw/master/csl-citation.json"} </w:instrText>
      </w:r>
      <w:r w:rsidRPr="00D03260">
        <w:fldChar w:fldCharType="separate"/>
      </w:r>
      <w:r w:rsidRPr="00D03260">
        <w:t>(Mendell et al., 2011; Mendell et al. 2011 in Palaty &amp; Shum, 2012)</w:t>
      </w:r>
      <w:r w:rsidRPr="00D03260">
        <w:fldChar w:fldCharType="end"/>
      </w:r>
      <w:r w:rsidRPr="00D03260">
        <w:t>. Mendell et al. reported that increase in allergy/atopy (excluding rhinitis and eczema) in association with dampness or mould, was found in 77% of reported assessments in the available studies, with O</w:t>
      </w:r>
      <w:r w:rsidR="00C769AC" w:rsidRPr="00D03260">
        <w:t>R</w:t>
      </w:r>
      <w:r w:rsidRPr="00D03260">
        <w:t xml:space="preserve">s ranging from 0.6 to 2.4 </w:t>
      </w:r>
      <w:r w:rsidRPr="00D03260">
        <w:fldChar w:fldCharType="begin"/>
      </w:r>
      <w:r w:rsidR="00217980" w:rsidRPr="00D03260">
        <w:instrText xml:space="preserve"> ADDIN ZOTERO_ITEM CSL_CITATION {"citationID":"nFM8Eifu","properties":{"formattedCitation":"(Mendell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 xml:space="preserve">. Of the evidence overall linking allergy/atopy and dampness or mould, Mendell et al. noted it was inconsistent, and as such, considered the evidence only (strongly) suggestive </w:t>
      </w:r>
      <w:r w:rsidRPr="00D03260">
        <w:fldChar w:fldCharType="begin"/>
      </w:r>
      <w:r w:rsidR="00217980" w:rsidRPr="00D03260">
        <w:instrText xml:space="preserve"> ADDIN ZOTERO_ITEM CSL_CITATION {"citationID":"S41sZ8Ju","properties":{"formattedCitation":"(Mendell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w:t>
      </w:r>
    </w:p>
    <w:p w14:paraId="7BF68D32" w14:textId="783BAA28" w:rsidR="000136F5" w:rsidRPr="00D03260" w:rsidRDefault="000136F5" w:rsidP="007D6334">
      <w:pPr>
        <w:pStyle w:val="Heading2"/>
      </w:pPr>
      <w:bookmarkStart w:id="406" w:name="Section323Irritanteffects"/>
      <w:bookmarkStart w:id="407" w:name="_Toc121329221"/>
      <w:bookmarkStart w:id="408" w:name="_Toc121329385"/>
      <w:bookmarkStart w:id="409" w:name="_Toc121834528"/>
      <w:bookmarkStart w:id="410" w:name="_Toc141885958"/>
      <w:bookmarkEnd w:id="406"/>
      <w:r w:rsidRPr="00D03260">
        <w:t>Irritant effects (mucous membrane irritation)</w:t>
      </w:r>
      <w:bookmarkEnd w:id="407"/>
      <w:bookmarkEnd w:id="408"/>
      <w:bookmarkEnd w:id="409"/>
      <w:bookmarkEnd w:id="410"/>
    </w:p>
    <w:p w14:paraId="3C93BA10" w14:textId="019036D0" w:rsidR="000136F5" w:rsidRPr="00D03260" w:rsidRDefault="000136F5" w:rsidP="000136F5">
      <w:r w:rsidRPr="00D03260">
        <w:t xml:space="preserve">Two guidelines and two evidence reviews reported on irritant effects or MMI </w:t>
      </w:r>
      <w:r w:rsidRPr="00D03260">
        <w:fldChar w:fldCharType="begin"/>
      </w:r>
      <w:r w:rsidR="00217980" w:rsidRPr="00D03260">
        <w:instrText xml:space="preserve"> ADDIN ZOTERO_ITEM CSL_CITATION {"citationID":"CAP7ys7E","properties":{"formattedCitation":"(Hurra\\uc0\\u223{} et al., 2017; Palaty &amp; Shum, 2012; Wiesm\\uc0\\u252{}ller et al., 2017; World Health Organization, 2009)","plainCitation":"(Hurraß et al., 2017; Palaty &amp; Shum, 2012; Wiesmüller et al., 2017; World Health Organization, 2009)","noteIndex":0},"citationItems":[{"id":2217,"uris":["http://zotero.org/groups/4371185/items/542KM3BH"],"itemData":{"id":2217,"type":"article-journal","abstract":"In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rPr>
          <w:rFonts w:cs="Arial"/>
        </w:rPr>
        <w:t>(Hurraß et al., 2017; Palaty &amp; Shum, 2012; Wiesmüller et al., 2017; World Health Organization, 2009)</w:t>
      </w:r>
      <w:r w:rsidRPr="00D03260">
        <w:fldChar w:fldCharType="end"/>
      </w:r>
      <w:r w:rsidRPr="00D03260">
        <w:t xml:space="preserve">, </w:t>
      </w:r>
      <w:r w:rsidRPr="00D03260">
        <w:fldChar w:fldCharType="begin"/>
      </w:r>
      <w:r w:rsidR="00217980" w:rsidRPr="00D03260">
        <w:instrText xml:space="preserve"> ADDIN ZOTERO_ITEM CSL_CITATION {"citationID":"m4TbhfQE","properties":{"formattedCitation":"(Hurra\\uc0\\u223{} et al., 2017; Palaty &amp; Shum, 2012)","plainCitation":"(Hurraß et al., 2017; Palaty &amp; Shum, 2012)","noteIndex":0},"citationItems":[{"id":2217,"uris":["http://zotero.org/groups/4371185/items/542KM3BH"],"itemData":{"id":2217,"type":"article-journal","abstract":"In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Environments","author":[{"family":"Palaty","given":"Chrystal"},{"family":"Shum","given":"Mona"}],"accessed":{"date-parts":[["2021",9,2]]},"issued":{"date-parts":[["2012",7]]}}}],"schema":"https://github.com/citation-style-language/schema/raw/master/csl-citation.json"} </w:instrText>
      </w:r>
      <w:r w:rsidRPr="00D03260">
        <w:fldChar w:fldCharType="separate"/>
      </w:r>
      <w:r w:rsidRPr="00D03260">
        <w:t>(Hurraß et al., 2017; Palaty &amp; Shum, 2012)</w:t>
      </w:r>
      <w:r w:rsidRPr="00D03260">
        <w:fldChar w:fldCharType="end"/>
      </w:r>
      <w:r w:rsidRPr="00D03260">
        <w:t>,</w:t>
      </w:r>
      <w:r w:rsidR="00C75AF6" w:rsidRPr="00D03260">
        <w:t xml:space="preserve"> </w:t>
      </w:r>
      <w:r w:rsidRPr="00D03260">
        <w:t>with slightly different conclusions as to level of evidence for an association with indoor damp or mould.</w:t>
      </w:r>
    </w:p>
    <w:p w14:paraId="0A55DE3E" w14:textId="2EDBBCBB" w:rsidR="000136F5" w:rsidRPr="00D03260" w:rsidRDefault="000136F5" w:rsidP="000136F5">
      <w:r w:rsidRPr="00D03260">
        <w:t>The WHO advised that in epidemiological studies the prevalence of respiratory and irritative symptoms has been associated with perceived mould odour, possibly indicating the presence of volatile organic compounds, and suggestive evidence that</w:t>
      </w:r>
      <w:r w:rsidR="009F5BC1" w:rsidRPr="00D03260">
        <w:t xml:space="preserve"> they exist</w:t>
      </w:r>
      <w:r w:rsidRPr="00D03260">
        <w:t xml:space="preserve"> in damp buildings at sufficient levels to cause symptoms of irritation in exposed people </w:t>
      </w:r>
      <w:r w:rsidRPr="00D03260">
        <w:fldChar w:fldCharType="begin"/>
      </w:r>
      <w:r w:rsidR="00217980" w:rsidRPr="00D03260">
        <w:instrText xml:space="preserve"> ADDIN ZOTERO_ITEM CSL_CITATION {"citationID":"rKvqpCQH","properties":{"formattedCitation":"(World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w:t>
      </w:r>
    </w:p>
    <w:p w14:paraId="1B3BAF9E" w14:textId="6CF904D1" w:rsidR="000136F5" w:rsidRPr="00D03260" w:rsidRDefault="000136F5" w:rsidP="000136F5">
      <w:r w:rsidRPr="00D03260">
        <w:t xml:space="preserve">The AWMF guideline and associated evidence review categorised the level of evidence between indoor mould exposure or dampness and MMI as limited or suspected evidence for an association </w:t>
      </w:r>
      <w:r w:rsidRPr="00D03260">
        <w:fldChar w:fldCharType="begin"/>
      </w:r>
      <w:r w:rsidR="00217980" w:rsidRPr="00D03260">
        <w:instrText xml:space="preserve"> ADDIN ZOTERO_ITEM CSL_CITATION {"citationID":"Mr2UMzqO","properties":{"formattedCitation":"(Hurra\\uc0\\u223{} et al., 2017; Wiesm\\uc0\\u252{}ller et al., 2017)","plainCitation":"(Hurraß et al., 2017;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(Hurraß et al., 2017; Wiesmüller et al., 2017)</w:t>
      </w:r>
      <w:r w:rsidRPr="00D03260">
        <w:fldChar w:fldCharType="end"/>
      </w:r>
      <w:r w:rsidRPr="00D03260">
        <w:t xml:space="preserve">. The prevalence of mucosal irritation among individuals occupationally or environmentally exposed to bioaerosols is put at approximately 20–30%, although there is no reliable data as yet, on the prevalence of these non-allergic, irritant, inflammatory effects in general or specifically for indoor mould exposure </w:t>
      </w:r>
      <w:r w:rsidRPr="00D03260">
        <w:fldChar w:fldCharType="begin"/>
      </w:r>
      <w:r w:rsidR="00217980" w:rsidRPr="00D03260">
        <w:instrText xml:space="preserve"> ADDIN ZOTERO_ITEM CSL_CITATION {"citationID":"hxq4eovp","properties":{"formattedCitation":"(Wiesm\\uc0\\u252{}ller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Possible irritant symptoms in MMI include non-specific irritation of the mucous membrane of the nose (e.g., sneezing, secretion and obstruction of the nasal cavity), the eye (e.g., burning, watering, itching), and the throat (e.g., feeling of dryness, clearing of the throat) </w:t>
      </w:r>
      <w:r w:rsidRPr="00D03260">
        <w:fldChar w:fldCharType="begin"/>
      </w:r>
      <w:r w:rsidR="00217980" w:rsidRPr="00D03260">
        <w:instrText xml:space="preserve"> ADDIN ZOTERO_ITEM CSL_CITATION {"citationID":"874bt0xp","properties":{"formattedCitation":"(Wiesm\\uc0\\u252{}ller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Irritant inflammatory processes in the deeper airways (e.g., cough) may manifest as chronic bronchitis.</w:t>
      </w:r>
    </w:p>
    <w:p w14:paraId="5BCCF1A0" w14:textId="6C8898CA" w:rsidR="000136F5" w:rsidRPr="00D03260" w:rsidRDefault="000136F5" w:rsidP="000136F5">
      <w:r w:rsidRPr="00D03260">
        <w:t>The AWMF guideline noted that symptoms seen during exposure, such a</w:t>
      </w:r>
      <w:r w:rsidR="00C75AF6" w:rsidRPr="00D03260">
        <w:t>s</w:t>
      </w:r>
      <w:r w:rsidRPr="00D03260">
        <w:t xml:space="preserve"> coughing, burning, itching of the eyes and nose and skin irritation resolve rapidly once exposure ceases</w:t>
      </w:r>
      <w:r w:rsidR="00AF1EFF" w:rsidRPr="00D03260">
        <w:t>.</w:t>
      </w:r>
      <w:r w:rsidRPr="00D03260">
        <w:t xml:space="preserve"> </w:t>
      </w:r>
      <w:r w:rsidR="00AF1EFF" w:rsidRPr="00D03260">
        <w:t>A</w:t>
      </w:r>
      <w:r w:rsidRPr="00D03260">
        <w:t xml:space="preserve">s such, from a differential diagnosis perspective it is important to distinguish between allergic symptoms, that unlike irritant reactions, generally increase upon repeated and long-term exposure due to sensitisation </w:t>
      </w:r>
      <w:r w:rsidRPr="00D03260">
        <w:fldChar w:fldCharType="begin"/>
      </w:r>
      <w:r w:rsidR="00217980" w:rsidRPr="00D03260">
        <w:instrText xml:space="preserve"> ADDIN ZOTERO_ITEM CSL_CITATION {"citationID":"Tu41RG2Y","properties":{"formattedCitation":"(Wiesm\\uc0\\u252{}ller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Typical symptoms of MMI are burning or itching eyes, lacrimation, sneezing, runny nose, nasal obstruction, dryness of the throat, frequent clearing of the throat, or cough. Typically, symptoms resolve quickly after exposure cessation.</w:t>
      </w:r>
    </w:p>
    <w:p w14:paraId="605E6DED" w14:textId="6F7D0300" w:rsidR="000136F5" w:rsidRPr="00D03260" w:rsidRDefault="000136F5" w:rsidP="000136F5">
      <w:r w:rsidRPr="00D03260">
        <w:t xml:space="preserve">It is believed that MMI is caused by products of mould metabolism or constituents of the cell walls or a combination of these substances. There are, however, no valid data about indoor mould exposures and MMI </w:t>
      </w:r>
      <w:r w:rsidRPr="00D03260">
        <w:fldChar w:fldCharType="begin"/>
      </w:r>
      <w:r w:rsidR="00217980" w:rsidRPr="00D03260">
        <w:instrText xml:space="preserve"> ADDIN ZOTERO_ITEM CSL_CITATION {"citationID":"ZENyysgc","properties":{"formattedCitation":"(Wiesm\\uc0\\u252{}ller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39830C2D" w14:textId="22F31EA6" w:rsidR="000136F5" w:rsidRPr="00D03260" w:rsidRDefault="000136F5" w:rsidP="00876C83">
      <w:r w:rsidRPr="00D03260">
        <w:br w:type="page"/>
      </w:r>
    </w:p>
    <w:p w14:paraId="09747CC6" w14:textId="2D206319" w:rsidR="000136F5" w:rsidRPr="00D03260" w:rsidRDefault="007D6334" w:rsidP="007D6334">
      <w:pPr>
        <w:pStyle w:val="Heading1"/>
      </w:pPr>
      <w:bookmarkStart w:id="411" w:name="AppendixCUnlikelyDifferentialDiagnosesOr"/>
      <w:bookmarkStart w:id="412" w:name="_Toc121329222"/>
      <w:bookmarkStart w:id="413" w:name="_Toc141885959"/>
      <w:bookmarkEnd w:id="411"/>
      <w:r w:rsidRPr="00D03260">
        <w:t xml:space="preserve">Appendix </w:t>
      </w:r>
      <w:r w:rsidR="00461E10" w:rsidRPr="00D03260">
        <w:t>C</w:t>
      </w:r>
      <w:r w:rsidRPr="00D03260">
        <w:t xml:space="preserve">: </w:t>
      </w:r>
      <w:r w:rsidR="00461E10" w:rsidRPr="00D03260">
        <w:t>Unlikely differential diagnoses</w:t>
      </w:r>
      <w:r w:rsidR="007747AE" w:rsidRPr="00D03260">
        <w:t xml:space="preserve"> or symptoms</w:t>
      </w:r>
      <w:r w:rsidR="00461E10" w:rsidRPr="00D03260">
        <w:t xml:space="preserve">: Health effects for which there is inadequate or insufficient evidence of an association with indoor damp and </w:t>
      </w:r>
      <w:r w:rsidRPr="00D03260">
        <w:t>mould</w:t>
      </w:r>
      <w:bookmarkEnd w:id="412"/>
      <w:bookmarkEnd w:id="413"/>
    </w:p>
    <w:p w14:paraId="59AF2863" w14:textId="2485DE82" w:rsidR="007D6334" w:rsidRPr="00D03260" w:rsidRDefault="007D6334" w:rsidP="007D6334">
      <w:r w:rsidRPr="00D03260">
        <w:t xml:space="preserve">The sections below provide an overview of the findings for each health effect. </w:t>
      </w:r>
    </w:p>
    <w:p w14:paraId="2FAD375B" w14:textId="0EABAEE3" w:rsidR="007D6334" w:rsidRPr="00D03260" w:rsidRDefault="007D6334" w:rsidP="007D6334">
      <w:pPr>
        <w:pStyle w:val="Heading2"/>
      </w:pPr>
      <w:bookmarkStart w:id="414" w:name="Section331AcuteIdiopathicPulmonaryHaemor"/>
      <w:bookmarkStart w:id="415" w:name="_Toc121329223"/>
      <w:bookmarkStart w:id="416" w:name="_Toc121329387"/>
      <w:bookmarkStart w:id="417" w:name="_Toc121834530"/>
      <w:bookmarkStart w:id="418" w:name="_Toc141885960"/>
      <w:bookmarkEnd w:id="414"/>
      <w:r w:rsidRPr="00D03260">
        <w:t>Acute idiopathic pulmonary haemorrhage in infants</w:t>
      </w:r>
      <w:bookmarkEnd w:id="415"/>
      <w:bookmarkEnd w:id="416"/>
      <w:bookmarkEnd w:id="417"/>
      <w:bookmarkEnd w:id="418"/>
    </w:p>
    <w:p w14:paraId="23316C49" w14:textId="283DC01C" w:rsidR="007D6334" w:rsidRPr="00D03260" w:rsidRDefault="007D6334" w:rsidP="007D6334">
      <w:r w:rsidRPr="00D03260">
        <w:t xml:space="preserve">‘Acute idiopathic pulmonary haemorrhage’ (AIPH) is also referred to as ‘acute idiopathic pulmonary hemosiderosis’. AIPH is a rare disease of unknown origin </w:t>
      </w:r>
      <w:r w:rsidRPr="00D03260">
        <w:fldChar w:fldCharType="begin"/>
      </w:r>
      <w:r w:rsidR="00217980" w:rsidRPr="00D03260">
        <w:instrText xml:space="preserve"> ADDIN ZOTERO_ITEM CSL_CITATION {"citationID":"TH8fwjqS","properties":{"formattedCitation":"(Hurra\\uc0\\u223{} et al., 2017)","plainCitation":"(Hurraß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schema":"https://github.com/citation-style-language/schema/raw/master/csl-citation.json"} </w:instrText>
      </w:r>
      <w:r w:rsidRPr="00D03260">
        <w:fldChar w:fldCharType="separate"/>
      </w:r>
      <w:r w:rsidRPr="00D03260">
        <w:t>(Hurraß et al., 2017)</w:t>
      </w:r>
      <w:r w:rsidRPr="00D03260">
        <w:fldChar w:fldCharType="end"/>
      </w:r>
      <w:r w:rsidRPr="00D03260">
        <w:t>.</w:t>
      </w:r>
    </w:p>
    <w:p w14:paraId="3A13F846" w14:textId="3989C6D5" w:rsidR="007D6334" w:rsidRPr="00D03260" w:rsidRDefault="007D6334" w:rsidP="007D6334">
      <w:r w:rsidRPr="00D03260">
        <w:t xml:space="preserve">Six pieces of literature concluded or advised there was inadequate or insufficient evidence for an association between AIPH in infants and exposure to indoor damp or mould </w:t>
      </w:r>
      <w:r w:rsidRPr="00D03260">
        <w:fldChar w:fldCharType="begin"/>
      </w:r>
      <w:r w:rsidR="00217980" w:rsidRPr="00D03260">
        <w:instrText xml:space="preserve"> ADDIN ZOTERO_ITEM CSL_CITATION {"citationID":"69L8R0Rp","properties":{"formattedCitation":"(Borchers et al., 2017; Hurra\\uc0\\u223{} et al., 2017; Palaty &amp; Shum, 2012; Park &amp; Cox-Ganser, 2011; Wiesm\\uc0\\u252{}ller et al., 2017; World Health Organization, 2009)","plainCitation":"(Borchers et al., 2017; Hurraß et al., 2017; Palaty &amp; Shum, 2012; Park &amp; Cox-Ganser, 2011; Wiesmüller et al., 2017; World Health Organization, 2009)","noteIndex":0},"citationItems":[{"id":2127,"uris":["http://zotero.org/groups/4371185/items/SH7Q7R7H"],"itemData":{"id":2127,"type":"article-journal","container-title":"Clinical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2055,"uris":["http://zotero.org/groups/4371185/items/VIU9CSHP"],"itemData":{"id":2055,"type":"article-journal","abstract":"Almost all modern buildings experience at least minor, and sometimes serious, water damage during their life span. Excess moisture in buildings becomes a critical  factor for mold (fungal) proliferation in nutrient-rich environments. As a result,  building occupants may be exposed to increased levels of microbial agents such as  fungal spores, cell fragments, cell wall components, or toxins. Such exposures may  result in various diseases and symptoms, both respiratory and non-respiratory.  Respiratory health complaints are common in damp buildings and have been more  thoroughly studied than non-respiratory complaints. Respiratory diseases and  symptoms which may be produced by exposure to indoor fungi include asthma  development, exacerbation of asthma, hypersensitivity pneumonitis, cough, wheeze,  dyspnea (shortness of breath), nasal and throat symptoms, and respiratory  infections. In addition to these illnesses, rhinosinusitis and sarcoidosis in  water-damaged building occupants are also drawing more scientific attention. In this  article, we explore the evidence for adverse effects of fungal exposure on  respiratory health in damp indoor environments and potential disease mechanisms  related to the exposure.","container-title":"Frontiers in bioscience (Elite edition)","DOI":"10.2741/e284","ISSN":"1945-0508 1945-0494","journalAbbreviation":"Front Biosci (Elite Ed)","language":"eng","note":"publisher-place: Singapore\nPMID: 21196349","page":"757-771","title":"Mold exposure and respiratory health in damp indoor environments.","volume":"3","author":[{"family":"Park","given":"Ju-Hyeong"},{"family":"Cox-Ganser","given":"Jean M."}],"issued":{"date-parts":[["2011",1,1]]}}},{"id":2051,"uris":["http://zotero.org/groups/4371185/items/QZ4VYG6U"],"itemData":{"id":2051,"type":"article-journal","container-title":"Allergo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(Borchers et al., 2017; Hurraß et al., 2017; Palaty &amp; Shum, 2012; Park &amp; Cox-Ganser, 2011; Wiesmüller et al., 2017; World Health Organization, 2009)</w:t>
      </w:r>
      <w:r w:rsidRPr="00D03260">
        <w:fldChar w:fldCharType="end"/>
      </w:r>
      <w:r w:rsidRPr="00D03260">
        <w:t>:</w:t>
      </w:r>
    </w:p>
    <w:p w14:paraId="2B286169" w14:textId="05BCB0C8" w:rsidR="007D6334" w:rsidRPr="00D03260" w:rsidRDefault="007D6334" w:rsidP="007D6334">
      <w:pPr>
        <w:pStyle w:val="ListBullet"/>
      </w:pPr>
      <w:r w:rsidRPr="00D03260">
        <w:t xml:space="preserve">The WHO noted the US IOM (2004) concluded that “available case-report information, taken together, constitutes inadequate or insufficient information to determine whether an association exists between acute idiopathic pulmonary haemorrhage and the presence of </w:t>
      </w:r>
      <w:r w:rsidRPr="00D03260">
        <w:rPr>
          <w:i/>
          <w:iCs/>
        </w:rPr>
        <w:t xml:space="preserve">S. chartarum </w:t>
      </w:r>
      <w:r w:rsidRPr="00D03260">
        <w:t>[</w:t>
      </w:r>
      <w:r w:rsidRPr="00D03260">
        <w:rPr>
          <w:i/>
          <w:iCs/>
        </w:rPr>
        <w:t>Stachybotrys chartarum</w:t>
      </w:r>
      <w:r w:rsidRPr="00D03260">
        <w:t>]”</w:t>
      </w:r>
      <w:r w:rsidRPr="00D03260">
        <w:fldChar w:fldCharType="begin"/>
      </w:r>
      <w:r w:rsidR="00217980" w:rsidRPr="00D03260">
        <w:instrText xml:space="preserve"> ADDIN ZOTERO_ITEM CSL_CITATION {"citationID":"SlHrU7Na","properties":{"formattedCitation":"(World Health Organization, 2009, p. 81)","plainCitation":"(World Health Organization, 2009, p. 81)","noteIndex":0},"citationItems":[{"id":2180,"uris":["http://zotero.org/groups/4371185/items/T4A7D2R4"],"itemData":{"id":2180,"type":"report","abstract":"Microbial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Organization","given":""}],"contributor":[{"family":"Rosen","given":"J"}],"accessed":{"date-parts":[["2021",8,20]]},"issued":{"date-parts":[["2009"]]}},"locator":"81"}],"schema":"https://github.com/citation-style-language/schema/raw/master/csl-citation.json"} </w:instrText>
      </w:r>
      <w:r w:rsidRPr="00D03260">
        <w:fldChar w:fldCharType="separate"/>
      </w:r>
      <w:r w:rsidRPr="00D03260">
        <w:t>(World Health Organization, 2009, p. 81)</w:t>
      </w:r>
      <w:r w:rsidRPr="00D03260">
        <w:fldChar w:fldCharType="end"/>
      </w:r>
    </w:p>
    <w:p w14:paraId="472DB3AA" w14:textId="166193DD" w:rsidR="007D6334" w:rsidRPr="00D03260" w:rsidRDefault="007D6334" w:rsidP="007D6334">
      <w:pPr>
        <w:pStyle w:val="ListBullet"/>
      </w:pPr>
      <w:r w:rsidRPr="00D03260">
        <w:t xml:space="preserve">The AWMF guideline advised that while there is no rationale at present to assume a causal link between pulmonary haemorrhage and the presence of indoor mould, nevertheless, a degree of association cannot be ruled out </w:t>
      </w:r>
      <w:r w:rsidRPr="00D03260">
        <w:fldChar w:fldCharType="begin"/>
      </w:r>
      <w:r w:rsidR="00217980" w:rsidRPr="00D03260">
        <w:instrText xml:space="preserve"> ADDIN ZOTERO_ITEM CSL_CITATION {"citationID":"u8fWupqt","properties":{"formattedCitation":"(Wiesm\\uc0\\u252{}ller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p>
    <w:p w14:paraId="3F525547" w14:textId="4F648F5E" w:rsidR="007D6334" w:rsidRPr="00D03260" w:rsidRDefault="007D6334" w:rsidP="007D6334">
      <w:pPr>
        <w:pStyle w:val="ListBullet"/>
      </w:pPr>
      <w:r w:rsidRPr="00D03260">
        <w:t xml:space="preserve">Borchers et al. also in 2017, noted that although the early reports in the early 1990s appeared to suggest a link between the unusual cluster of cases of pulmonary haemorrhage in infants and inhalation of mycotoxins, particularly satratoxins, produced by </w:t>
      </w:r>
      <w:r w:rsidRPr="00D03260">
        <w:rPr>
          <w:i/>
          <w:iCs/>
        </w:rPr>
        <w:t>S. chartarum</w:t>
      </w:r>
      <w:r w:rsidRPr="00D03260">
        <w:t xml:space="preserve">, later epidemiological studies failed to confirm any causal relationship </w:t>
      </w:r>
      <w:r w:rsidRPr="00D03260">
        <w:fldChar w:fldCharType="begin"/>
      </w:r>
      <w:r w:rsidR="00217980" w:rsidRPr="00D03260">
        <w:instrText xml:space="preserve"> ADDIN ZOTERO_ITEM CSL_CITATION {"citationID":"5z7vtyUO","properties":{"formattedCitation":"(Borchers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Pr="00D03260">
        <w:fldChar w:fldCharType="separate"/>
      </w:r>
      <w:r w:rsidRPr="00D03260">
        <w:t>(Borchers et al., 2017)</w:t>
      </w:r>
      <w:r w:rsidRPr="00D03260">
        <w:fldChar w:fldCharType="end"/>
      </w:r>
      <w:r w:rsidRPr="00D03260">
        <w:t xml:space="preserve">. As such “a causal relationship between cases of infant pulmonary haemorrhage and exposure to “black mould” has never been proven” </w:t>
      </w:r>
      <w:r w:rsidRPr="00D03260">
        <w:fldChar w:fldCharType="begin"/>
      </w:r>
      <w:r w:rsidR="00217980" w:rsidRPr="00D03260">
        <w:instrText xml:space="preserve"> ADDIN ZOTERO_ITEM CSL_CITATION {"citationID":"EOR166DK","properties":{"formattedCitation":"(Borchers et al., 2017, p. 305)","plainCitation":"(Borchers et al., 2017, p. 305)","noteIndex":0},"citationItems":[{"id":2127,"uris":["http://zotero.org/groups/4371185/items/SH7Q7R7H"],"itemData":{"id":2127,"type":"article-journal","container-title":"Clinical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Eric"}],"issued":{"date-parts":[["2017"]]}},"locator":"305"}],"schema":"https://github.com/citation-style-language/schema/raw/master/csl-citation.json"} </w:instrText>
      </w:r>
      <w:r w:rsidRPr="00D03260">
        <w:fldChar w:fldCharType="separate"/>
      </w:r>
      <w:r w:rsidRPr="00D03260">
        <w:t>(Borchers et al., 2017, p. 305)</w:t>
      </w:r>
      <w:r w:rsidRPr="00D03260">
        <w:fldChar w:fldCharType="end"/>
      </w:r>
      <w:r w:rsidRPr="00D03260">
        <w:t>.</w:t>
      </w:r>
    </w:p>
    <w:p w14:paraId="549E5A6F" w14:textId="05FBBD94" w:rsidR="007D6334" w:rsidRPr="00D03260" w:rsidRDefault="007D6334" w:rsidP="007D6334">
      <w:pPr>
        <w:pStyle w:val="Heading2"/>
      </w:pPr>
      <w:bookmarkStart w:id="419" w:name="_Toc121329224"/>
      <w:bookmarkStart w:id="420" w:name="_Toc121329388"/>
      <w:bookmarkStart w:id="421" w:name="_Toc121834531"/>
      <w:bookmarkStart w:id="422" w:name="_Toc141885961"/>
      <w:r w:rsidRPr="00D03260">
        <w:t>Altered lung function/airway obstruction</w:t>
      </w:r>
      <w:bookmarkEnd w:id="419"/>
      <w:bookmarkEnd w:id="420"/>
      <w:bookmarkEnd w:id="421"/>
      <w:bookmarkEnd w:id="422"/>
    </w:p>
    <w:p w14:paraId="5A0045C4" w14:textId="1BA5DAE6" w:rsidR="007D6334" w:rsidRPr="00D03260" w:rsidRDefault="007D6334" w:rsidP="007D6334">
      <w:r w:rsidRPr="00D03260">
        <w:t xml:space="preserve">Mendell et al. listed altered lung function as a health effect for which there was inadequate or insufficient evidence to determine whether an association exists between indoor dampness and dampness-related agents, reporting that the evidence associating altered lung function with dampness or mould was considered too inconsistent to draw conclusions </w:t>
      </w:r>
      <w:r w:rsidRPr="00D03260">
        <w:fldChar w:fldCharType="begin"/>
      </w:r>
      <w:r w:rsidR="00217980" w:rsidRPr="00D03260">
        <w:instrText xml:space="preserve"> ADDIN ZOTERO_ITEM CSL_CITATION {"citationID":"SjxujU8l","properties":{"formattedCitation":"(Mendell et al., 2011)","plainCitation":"(Mendell et al., 2011)","noteIndex":0},"citationItems":[{"id":2232,"uris":["http://zotero.org/groups/4371185/items/KWLCRUWS"],"itemData":{"id":2232,"type":"article-journal","abstract":"OBJECTIVES: Many studies have shown consistent associations between evident indoor dampness or mold and respiratory or allergic health effects, but causal links remain  unclear. Findings on measured microbiologic factors have received little review. We  conducted an updated, comprehensive review on these topics. DATA SOURCES: We  reviewed eligible peer-reviewed epidemiologic studies or quantitative meta-analyses,  up to late 2009, on dampness, mold, or other microbiologic agents and respiratory or  allergic effects. DATA EXTRACTION: We evaluated evidence for causation or  association between qualitative/subjective assessments of dampness or mold  (considered together) and specific health outcomes. We separately considered  evidence for associations between specific quantitative measurements of  microbiologic factors and each health outcome. DATA SYNTHESIS: Evidence from  epidemiologic studies and meta-analyses showed indoor dampness or mold to be  associated consistently with increased asthma development and exacerbation, current  and ever diagnosis of asthma, dyspnea, wheeze, cough, respiratory infections,  bronchitis, allergic rhinitis, eczema, and upper respiratory tract symptoms.  Associations were found in allergic and nonallergic individuals. Evidence strongly  suggested causation of asthma exacerbation in children. Suggestive evidence was  available for only a few specific measured microbiologic factors and was in part  equivocal, suggesting both adverse and protective associations with health.  CONCLUSIONS: Evident dampness or mold had consistent positive associations with  multiple allergic and respiratory effects. Measured microbiologic agents in dust had  limited suggestive associations, including both positive and negative associations  for some agents. Thus, prevention and remediation of indoor dampness and mold are  likely to reduce health risks, but current evidence does not support measuring  specific indoor microbiologic factors to guide health-protective actions.","container-title":"Environmental health perspectives","DOI":"10.1289/ehp.1002410","ISSN":"1552-9924 0091-6765","issue":"6","journalAbbreviation":"Environ Health Perspect","language":"eng","note":"PMID: 21269928 \nPMCID: PMC3114807","page":"748-756","title":"Respiratory and allergic health effects of dampness, mold, and dampness-related agents: a review of the epidemiologic evidence.","volume":"119","author":[{"family":"Mendell","given":"Mark J."},{"family":"Mirer","given":"Anna G."},{"family":"Cheung","given":"Kerry"},{"family":"Tong","given":"My"},{"family":"Douwes","given":"Jeroen"}],"issued":{"date-parts":[["2011",6]]}}}],"schema":"https://github.com/citation-style-language/schema/raw/master/csl-citation.json"} </w:instrText>
      </w:r>
      <w:r w:rsidRPr="00D03260">
        <w:fldChar w:fldCharType="separate"/>
      </w:r>
      <w:r w:rsidRPr="00D03260">
        <w:t>(Mendell et al., 2011)</w:t>
      </w:r>
      <w:r w:rsidRPr="00D03260">
        <w:fldChar w:fldCharType="end"/>
      </w:r>
      <w:r w:rsidRPr="00D03260">
        <w:t>.</w:t>
      </w:r>
    </w:p>
    <w:p w14:paraId="57814A31" w14:textId="4B5E88EB" w:rsidR="007D6334" w:rsidRPr="00D03260" w:rsidRDefault="007D6334" w:rsidP="007D6334">
      <w:r w:rsidRPr="00D03260">
        <w:t xml:space="preserve">The NCCEH listed airflow obstruction in otherwise healthy persons as a health effect for which there was inadequate or insufficient evidence for an association with mould exposure to dampness in indoor environments </w:t>
      </w:r>
      <w:r w:rsidRPr="00D03260">
        <w:fldChar w:fldCharType="begin"/>
      </w:r>
      <w:r w:rsidR="00217980" w:rsidRPr="00D03260">
        <w:instrText xml:space="preserve"> ADDIN ZOTERO_ITEM CSL_CITATION {"citationID":"gIKEoLn6","properties":{"formattedCitation":"(Palaty &amp; Shum, 2012)","plainCitation":"(Palaty &amp; Shum, 2012)","noteIndex":0},"citationItems":[{"id":2176,"uris":["http://zotero.org/groups/4371185/items/8UAC2VRS"],"itemData":{"id":2176,"type":"document","language":"English","publisher":"National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Environments","author":[{"family":"Palaty","given":"Chrystal"},{"family":"Shum","given":"Mona"}],"accessed":{"date-parts":[["2021",9,2]]},"issued":{"date-parts":[["2012",7]]}}}],"schema":"https://github.com/citation-style-language/schema/raw/master/csl-citation.json"} </w:instrText>
      </w:r>
      <w:r w:rsidRPr="00D03260">
        <w:fldChar w:fldCharType="separate"/>
      </w:r>
      <w:r w:rsidRPr="00D03260">
        <w:t>(Palaty &amp; Shum, 2012)</w:t>
      </w:r>
      <w:r w:rsidRPr="00D03260">
        <w:fldChar w:fldCharType="end"/>
      </w:r>
      <w:r w:rsidRPr="00D03260">
        <w:t>.</w:t>
      </w:r>
    </w:p>
    <w:p w14:paraId="1608196A" w14:textId="1B17E25C" w:rsidR="007D6334" w:rsidRPr="00D03260" w:rsidRDefault="007D6334" w:rsidP="007D6334">
      <w:pPr>
        <w:pStyle w:val="Heading2"/>
      </w:pPr>
      <w:bookmarkStart w:id="423" w:name="_Toc121329225"/>
      <w:bookmarkStart w:id="424" w:name="_Toc121329389"/>
      <w:bookmarkStart w:id="425" w:name="_Toc121834532"/>
      <w:bookmarkStart w:id="426" w:name="_Toc141885962"/>
      <w:r w:rsidRPr="00D03260">
        <w:t>Cancer</w:t>
      </w:r>
      <w:bookmarkEnd w:id="423"/>
      <w:bookmarkEnd w:id="424"/>
      <w:bookmarkEnd w:id="425"/>
      <w:bookmarkEnd w:id="426"/>
    </w:p>
    <w:p w14:paraId="4FC3A24B" w14:textId="4EA8E8D4" w:rsidR="007D6334" w:rsidRPr="00D03260" w:rsidRDefault="007D6334" w:rsidP="007D6334">
      <w:r w:rsidRPr="00D03260">
        <w:t xml:space="preserve">Two guidelines, the review that is associated with the AWMF guideline and one international authority evidence review concluded or advised there was no evidence or suggestion of evidence that exposure to indoor moisture damage or mould is associated with cancer </w:t>
      </w:r>
      <w:r w:rsidRPr="00D03260">
        <w:fldChar w:fldCharType="begin"/>
      </w:r>
      <w:r w:rsidR="00217980" w:rsidRPr="00D03260">
        <w:instrText xml:space="preserve"> ADDIN ZOTERO_ITEM CSL_CITATION {"citationID":"R3afIz3q","properties":{"formattedCitation":"(Hurra\\uc0\\u223{} et al., 2017; Palaty &amp; Shum, 2012; Wiesm\\uc0\\u252{}ller et al., 2017; World Health Organization, 2009)","plainCitation":"(Hurraß et al., 2017; Palaty &amp; Shum, 2012; Wiesmüller et al., 2017; World Health Organization, 2009)","noteIndex":0},"citationItems":[{"id":2217,"uris":["http://zotero.org/groups/4371185/items/542KM3BH"],"itemData":{"id":2217,"type":"article-journal","abstract":"In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(Hurraß et al., 2017; Palaty &amp; Shum, 2012; Wiesmüller et al., 2017; World Health Organization, 2009)</w:t>
      </w:r>
      <w:r w:rsidRPr="00D03260">
        <w:fldChar w:fldCharType="end"/>
      </w:r>
      <w:r w:rsidRPr="00D03260">
        <w:t>.</w:t>
      </w:r>
    </w:p>
    <w:p w14:paraId="1F35E639" w14:textId="13FAFCD5" w:rsidR="007D6334" w:rsidRPr="00D03260" w:rsidRDefault="007D6334" w:rsidP="007D6334">
      <w:r w:rsidRPr="00D03260">
        <w:t xml:space="preserve">The WHO advised that heavy occupational exposure by inhalation to mycotoxins in mouldy grain may be linked to an increased risk of cancer but there is no epidemiological evidence for an association between exposure in damp buildings and cancer </w:t>
      </w:r>
      <w:r w:rsidRPr="00D03260">
        <w:fldChar w:fldCharType="begin"/>
      </w:r>
      <w:r w:rsidR="00217980" w:rsidRPr="00D03260">
        <w:instrText xml:space="preserve"> ADDIN ZOTERO_ITEM CSL_CITATION {"citationID":"k634w3zF","properties":{"formattedCitation":"(World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 xml:space="preserve">. Some of the microbial toxins produced by fungi and bacteria are known to be genotoxic and carcinogenic but the relevance of these findings to exposure by inhalation in damp buildings is unknown </w:t>
      </w:r>
      <w:r w:rsidRPr="00D03260">
        <w:fldChar w:fldCharType="begin"/>
      </w:r>
      <w:r w:rsidR="00217980" w:rsidRPr="00D03260">
        <w:instrText xml:space="preserve"> ADDIN ZOTERO_ITEM CSL_CITATION {"citationID":"IRKYkWMC","properties":{"formattedCitation":"(World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w:t>
      </w:r>
    </w:p>
    <w:p w14:paraId="71CDDD6A" w14:textId="390C5CEC" w:rsidR="007D6334" w:rsidRPr="00D03260" w:rsidRDefault="007D6334" w:rsidP="007D6334">
      <w:r w:rsidRPr="00D03260">
        <w:t xml:space="preserve">The AWMF guideline and Hurraß et al. review concluded there was inadequate or insufficient evidence for an association with cancer </w:t>
      </w:r>
      <w:r w:rsidRPr="00D03260">
        <w:fldChar w:fldCharType="begin"/>
      </w:r>
      <w:r w:rsidR="00217980" w:rsidRPr="00D03260">
        <w:instrText xml:space="preserve"> ADDIN ZOTERO_ITEM CSL_CITATION {"citationID":"f89rFgsN","properties":{"formattedCitation":"(Hurra\\uc0\\u223{} et al., 2017; Wiesm\\uc0\\u252{}ller et al., 2017)","plainCitation":"(Hurraß et al., 2017;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(Hurraß et al., 2017; Wiesmüller et al., 2017)</w:t>
      </w:r>
      <w:r w:rsidRPr="00D03260">
        <w:fldChar w:fldCharType="end"/>
      </w:r>
      <w:r w:rsidRPr="00D03260">
        <w:t>. The Hurraß et al. review advised that in single cases, hypotheses about relationships between fungi and many other different diseases are postulated</w:t>
      </w:r>
      <w:r w:rsidR="00DA63A7" w:rsidRPr="00D03260">
        <w:t>,</w:t>
      </w:r>
      <w:r w:rsidRPr="00D03260">
        <w:t xml:space="preserve"> with the consequence of frightened patients who “inform” themselves via internet. The review went on to note that additionally, mould is incorrectly equated with “intestinal fungi” (commensal colonisation by </w:t>
      </w:r>
      <w:r w:rsidRPr="00D03260">
        <w:rPr>
          <w:i/>
          <w:iCs/>
        </w:rPr>
        <w:t>Candida albicans</w:t>
      </w:r>
      <w:r w:rsidRPr="00D03260">
        <w:t xml:space="preserve">), and that currently, no systematic examinations or case reports are available that show or suggest an association with moisture damage or mould indoors and [gastrointestinal or renal disease, reproductive disorders, teratogenicity] or cancers </w:t>
      </w:r>
      <w:r w:rsidRPr="00D03260">
        <w:fldChar w:fldCharType="begin"/>
      </w:r>
      <w:r w:rsidR="00217980" w:rsidRPr="00D03260">
        <w:instrText xml:space="preserve"> ADDIN ZOTERO_ITEM CSL_CITATION {"citationID":"EVbPl1Cy","properties":{"formattedCitation":"(Palaty &amp; Shum, 2012 and Mazur &amp; Kim, 2006 in Hurra\\uc0\\u223{} et al., 2017)","plainCitation":"(Palaty &amp; Shum, 2012 and Mazur &amp; Kim, 2006 in 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prefix":"Palaty &amp; Shum, 2012 and Mazur &amp; Kim, 2006 in"}],"schema":"https://github.com/citation-style-language/schema/raw/master/csl-citation.json"} </w:instrText>
      </w:r>
      <w:r w:rsidRPr="00D03260">
        <w:fldChar w:fldCharType="separate"/>
      </w:r>
      <w:r w:rsidRPr="00D03260">
        <w:t>(Palaty &amp; Shum, 2012 and Mazur &amp; Kim, 2006 in Hurraß et al., 2017)</w:t>
      </w:r>
      <w:r w:rsidRPr="00D03260">
        <w:fldChar w:fldCharType="end"/>
      </w:r>
      <w:r w:rsidRPr="00D03260">
        <w:t>.</w:t>
      </w:r>
    </w:p>
    <w:p w14:paraId="01B41B01" w14:textId="6C6449A4" w:rsidR="007D6334" w:rsidRPr="00D03260" w:rsidRDefault="007D6334" w:rsidP="007D6334">
      <w:r w:rsidRPr="00D03260">
        <w:t xml:space="preserve">It is a medical task, to provide objective information for concerned patients in such cases </w:t>
      </w:r>
      <w:r w:rsidRPr="00D03260">
        <w:fldChar w:fldCharType="begin"/>
      </w:r>
      <w:r w:rsidR="00217980" w:rsidRPr="00D03260">
        <w:instrText xml:space="preserve"> ADDIN ZOTERO_ITEM CSL_CITATION {"citationID":"lCMEKx0e","properties":{"formattedCitation":"(Hurra\\uc0\\u223{} et al., 2017)","plainCitation":"(Hurraß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schema":"https://github.com/citation-style-language/schema/raw/master/csl-citation.json"} </w:instrText>
      </w:r>
      <w:r w:rsidRPr="00D03260">
        <w:fldChar w:fldCharType="separate"/>
      </w:r>
      <w:r w:rsidRPr="00D03260">
        <w:t>(Hurraß et al., 2017)</w:t>
      </w:r>
      <w:r w:rsidRPr="00D03260">
        <w:fldChar w:fldCharType="end"/>
      </w:r>
      <w:r w:rsidRPr="00D03260">
        <w:t>.</w:t>
      </w:r>
    </w:p>
    <w:p w14:paraId="757CB3A0" w14:textId="6EE2BEB0" w:rsidR="007D6334" w:rsidRPr="00D03260" w:rsidRDefault="007D6334" w:rsidP="007D6334">
      <w:pPr>
        <w:pStyle w:val="Heading2"/>
      </w:pPr>
      <w:bookmarkStart w:id="427" w:name="_Toc121329226"/>
      <w:bookmarkStart w:id="428" w:name="_Toc121329390"/>
      <w:bookmarkStart w:id="429" w:name="_Toc121834533"/>
      <w:bookmarkStart w:id="430" w:name="_Toc141885963"/>
      <w:r w:rsidRPr="00D03260">
        <w:t>COPD (development of COPD)</w:t>
      </w:r>
      <w:bookmarkEnd w:id="427"/>
      <w:bookmarkEnd w:id="428"/>
      <w:bookmarkEnd w:id="429"/>
      <w:bookmarkEnd w:id="430"/>
    </w:p>
    <w:p w14:paraId="4C03FF28" w14:textId="3D82BB44" w:rsidR="007D6334" w:rsidRPr="00D03260" w:rsidRDefault="007D6334" w:rsidP="007D6334">
      <w:r w:rsidRPr="00D03260">
        <w:t xml:space="preserve">The AWMF guideline and associated review </w:t>
      </w:r>
      <w:r w:rsidRPr="00D03260">
        <w:fldChar w:fldCharType="begin"/>
      </w:r>
      <w:r w:rsidR="00217980" w:rsidRPr="00D03260">
        <w:instrText xml:space="preserve"> ADDIN ZOTERO_ITEM CSL_CITATION {"citationID":"zWtFcU0A","properties":{"formattedCitation":"(Hurra\\uc0\\u223{} et al., 2017; Wiesm\\uc0\\u252{}ller et al., 2017)","plainCitation":"(Hurraß et al., 2017;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rPr>
          <w:rFonts w:cs="Arial"/>
        </w:rPr>
        <w:t>(Hurraß et al., 2017; Wiesmüller et al., 2017)</w:t>
      </w:r>
      <w:r w:rsidRPr="00D03260">
        <w:fldChar w:fldCharType="end"/>
      </w:r>
      <w:r w:rsidRPr="00D03260">
        <w:t xml:space="preserve">and the evidence review by the NCCEH </w:t>
      </w:r>
      <w:r w:rsidRPr="00D03260">
        <w:fldChar w:fldCharType="begin"/>
      </w:r>
      <w:r w:rsidR="00217980" w:rsidRPr="00D03260">
        <w:instrText xml:space="preserve"> ADDIN ZOTERO_ITEM CSL_CITATION {"citationID":"ZTOnQzVC","properties":{"formattedCitation":"(Palaty &amp; Shum, 2012)","plainCitation":"(Palaty &amp; Shum, 2012)","noteIndex":0},"citationItems":[{"id":2176,"uris":["http://zotero.org/groups/4371185/items/8UAC2VRS"],"itemData":{"id":2176,"type":"document","language":"English","publisher":"National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Environments","author":[{"family":"Palaty","given":"Chrystal"},{"family":"Shum","given":"Mona"}],"accessed":{"date-parts":[["2021",9,2]]},"issued":{"date-parts":[["2012",7]]}}}],"schema":"https://github.com/citation-style-language/schema/raw/master/csl-citation.json"} </w:instrText>
      </w:r>
      <w:r w:rsidRPr="00D03260">
        <w:fldChar w:fldCharType="separate"/>
      </w:r>
      <w:r w:rsidRPr="00D03260">
        <w:t>(Palaty &amp; Shum, 2012)</w:t>
      </w:r>
      <w:r w:rsidRPr="00D03260">
        <w:fldChar w:fldCharType="end"/>
      </w:r>
      <w:r w:rsidRPr="00D03260">
        <w:t xml:space="preserve"> concluded or advised there was inadequate or insufficient evidence of an association between indoor damp or mould and COPD. The AWMF guideline and the Hurra</w:t>
      </w:r>
      <w:r w:rsidRPr="00D03260">
        <w:rPr>
          <w:sz w:val="21"/>
          <w:szCs w:val="21"/>
        </w:rPr>
        <w:t xml:space="preserve">ß </w:t>
      </w:r>
      <w:r w:rsidRPr="00D03260">
        <w:t xml:space="preserve">et al. review based their evidence for association on several pieces of evidence </w:t>
      </w:r>
      <w:r w:rsidRPr="00D03260">
        <w:fldChar w:fldCharType="begin"/>
      </w:r>
      <w:r w:rsidR="00217980" w:rsidRPr="00D03260">
        <w:instrText xml:space="preserve"> ADDIN ZOTERO_ITEM CSL_CITATION {"citationID":"S9tCwwQZ","properties":{"formattedCitation":"((Fisk et al. 2007, 2010; Mendell et al. 2011; Palaty &amp; Shum, 2012; WHO, 2009b in Hurra\\uc0\\u223{} et al., 2017)","plainCitation":"((Fisk et al. 2007, 2010; Mendell et al. 2011; Palaty &amp; Shum, 2012; WHO, 2009b in 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prefix":"(Fisk et al. 2007, 2010; Mendell et al. 2011; Palaty &amp; Shum, 2012; WHO, 2009b in "}],"schema":"https://github.com/citation-style-language/schema/raw/master/csl-citation.json"} </w:instrText>
      </w:r>
      <w:r w:rsidRPr="00D03260">
        <w:fldChar w:fldCharType="separate"/>
      </w:r>
      <w:r w:rsidRPr="00D03260">
        <w:t>(Fisk et al. 2007, 2010; Mendell et al. 2011; Palaty &amp; Shum, 2012; WHO, 2009b in Hurraß et al., 2017)</w:t>
      </w:r>
      <w:r w:rsidRPr="00D03260">
        <w:fldChar w:fldCharType="end"/>
      </w:r>
      <w:r w:rsidRPr="00D03260">
        <w:t>.</w:t>
      </w:r>
    </w:p>
    <w:p w14:paraId="50608004" w14:textId="2A9F305B" w:rsidR="007D6334" w:rsidRPr="00D03260" w:rsidRDefault="007D6334" w:rsidP="007D6334">
      <w:r w:rsidRPr="00D03260">
        <w:t xml:space="preserve">Note: The evidence reviewed in </w:t>
      </w:r>
      <w:hyperlink w:anchor="Section212IdentifySusceptiblePeople" w:history="1">
        <w:r w:rsidR="008159EA" w:rsidRPr="00D03260">
          <w:rPr>
            <w:rStyle w:val="Hyperlink"/>
          </w:rPr>
          <w:t>s</w:t>
        </w:r>
        <w:r w:rsidRPr="00D03260">
          <w:rPr>
            <w:rStyle w:val="Hyperlink"/>
          </w:rPr>
          <w:t>ection 2.1.2</w:t>
        </w:r>
      </w:hyperlink>
      <w:r w:rsidRPr="00D03260">
        <w:t xml:space="preserve"> on susceptible patients concerned patients who already had COPD.</w:t>
      </w:r>
    </w:p>
    <w:p w14:paraId="211BF52B" w14:textId="17F6016E" w:rsidR="007D6334" w:rsidRPr="00D03260" w:rsidRDefault="007D6334" w:rsidP="007D6334">
      <w:pPr>
        <w:pStyle w:val="Heading2"/>
      </w:pPr>
      <w:bookmarkStart w:id="431" w:name="_Toc121329227"/>
      <w:bookmarkStart w:id="432" w:name="_Toc121329391"/>
      <w:bookmarkStart w:id="433" w:name="_Toc121834534"/>
      <w:bookmarkStart w:id="434" w:name="_Toc141885964"/>
      <w:r w:rsidRPr="00D03260">
        <w:t>Rheumatic disorders and autoimmune diseases/autoimmunity</w:t>
      </w:r>
      <w:bookmarkEnd w:id="431"/>
      <w:bookmarkEnd w:id="432"/>
      <w:bookmarkEnd w:id="433"/>
      <w:bookmarkEnd w:id="434"/>
    </w:p>
    <w:p w14:paraId="489932AF" w14:textId="637853FF" w:rsidR="007D6334" w:rsidRPr="00D03260" w:rsidRDefault="007D6334" w:rsidP="007D6334">
      <w:r w:rsidRPr="00D03260">
        <w:t xml:space="preserve">Two guidelines and four evidence reviews concluded or advised that for rheumatological disorders and other autoimmune diseases there was no or inadequate or insufficient evidence for an association with exposure to indoor damp or mould </w:t>
      </w:r>
      <w:r w:rsidRPr="00D03260">
        <w:fldChar w:fldCharType="begin"/>
      </w:r>
      <w:r w:rsidR="00217980" w:rsidRPr="00D03260">
        <w:instrText xml:space="preserve"> ADDIN ZOTERO_ITEM CSL_CITATION {"citationID":"N6xnPTxY","properties":{"formattedCitation":"(Borchers et al., 2017; Chang &amp; Gershwin, 2019; Hurra\\uc0\\u223{} et al., 2017; Palaty &amp; Shum, 2012; Wiesm\\uc0\\u252{}ller et al., 2017; World Health Organization, 2009)","plainCitation":"(Borchers et al., 2017; Chang &amp; Gershwin, 2019; Hurraß et al., 2017; Palaty &amp; Shum, 2012; Wiesmüller et al., 2017; World Health Organization, 2009)","noteIndex":0},"citationItems":[{"id":2127,"uris":["http://zotero.org/groups/4371185/items/SH7Q7R7H"],"itemData":{"id":2127,"type":"article-journal","container-title":"Clinical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(Borchers et al., 2017; Chang &amp; Gershwin, 2019; Hurraß et al., 2017; Palaty &amp; Shum, 2012; Wiesmüller et al., 2017; World Health Organization, 2009)</w:t>
      </w:r>
      <w:r w:rsidRPr="00D03260">
        <w:fldChar w:fldCharType="end"/>
      </w:r>
      <w:r w:rsidRPr="00D03260">
        <w:t xml:space="preserve">. The WHO noted in 2009 that cases of autoimmune diseases and related symptoms have been reported among occupants of damp buildings, however, there were no toxicological data on autoimmune responses caused by microorganisms found in damp buildings or microbial substances </w:t>
      </w:r>
      <w:r w:rsidRPr="00D03260">
        <w:fldChar w:fldCharType="begin"/>
      </w:r>
      <w:r w:rsidR="00217980" w:rsidRPr="00D03260">
        <w:instrText xml:space="preserve"> ADDIN ZOTERO_ITEM CSL_CITATION {"citationID":"G7lNdZxp","properties":{"formattedCitation":"(World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 xml:space="preserve">. Microbial fragments can, however, cause autoimmune reactions by molecular mimicry </w:t>
      </w:r>
      <w:r w:rsidRPr="00D03260">
        <w:fldChar w:fldCharType="begin"/>
      </w:r>
      <w:r w:rsidR="00217980" w:rsidRPr="00D03260">
        <w:instrText xml:space="preserve"> ADDIN ZOTERO_ITEM CSL_CITATION {"citationID":"CSMBCour","properties":{"formattedCitation":"(World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w:t>
      </w:r>
    </w:p>
    <w:p w14:paraId="383A4907" w14:textId="77D583B7" w:rsidR="007D6334" w:rsidRPr="00D03260" w:rsidRDefault="007D6334" w:rsidP="007D6334">
      <w:r w:rsidRPr="00D03260">
        <w:t xml:space="preserve">The AWMF guideline and the associated review concluded there was inadequate or insufficient evidence for an association with rheumatic disorders, rheumatism or arthritis </w:t>
      </w:r>
      <w:r w:rsidRPr="00D03260">
        <w:fldChar w:fldCharType="begin"/>
      </w:r>
      <w:r w:rsidR="00217980" w:rsidRPr="00D03260">
        <w:instrText xml:space="preserve"> ADDIN ZOTERO_ITEM CSL_CITATION {"citationID":"KGp6US3I","properties":{"formattedCitation":"(Hurra\\uc0\\u223{} et al., 2017; Wiesm\\uc0\\u252{}ller et al., 2017)","plainCitation":"(Hurraß et al., 2017;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(Hurraß et al., 2017; Wiesmüller et al., 2017)</w:t>
      </w:r>
      <w:r w:rsidRPr="00D03260">
        <w:fldChar w:fldCharType="end"/>
      </w:r>
      <w:r w:rsidRPr="00D03260">
        <w:t xml:space="preserve">. While an association between inflammatory rheumatic diseases and infections had been hypothesized for many years and there are also reports about dampness and rheumatic complaints, these observations were noted to have been made by one group of researchers and further evidence is not available </w:t>
      </w:r>
      <w:r w:rsidRPr="00D03260">
        <w:fldChar w:fldCharType="begin"/>
      </w:r>
      <w:r w:rsidR="00217980" w:rsidRPr="00D03260">
        <w:instrText xml:space="preserve"> ADDIN ZOTERO_ITEM CSL_CITATION {"citationID":"JxaVEb7B","properties":{"formattedCitation":"(Hurra\\uc0\\u223{} et al., 2017)","plainCitation":"(Hurraß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schema":"https://github.com/citation-style-language/schema/raw/master/csl-citation.json"} </w:instrText>
      </w:r>
      <w:r w:rsidRPr="00D03260">
        <w:fldChar w:fldCharType="separate"/>
      </w:r>
      <w:r w:rsidRPr="00D03260">
        <w:t>(Hurraß et al., 2017)</w:t>
      </w:r>
      <w:r w:rsidRPr="00D03260">
        <w:fldChar w:fldCharType="end"/>
      </w:r>
      <w:r w:rsidRPr="00D03260">
        <w:t xml:space="preserve">. Until studies from other centres and countries are available the AWMF guideline authors advised it cannot be assumed the current evidence is sufficiently robust </w:t>
      </w:r>
      <w:r w:rsidRPr="00D03260">
        <w:fldChar w:fldCharType="begin"/>
      </w:r>
      <w:r w:rsidR="00217980" w:rsidRPr="00D03260">
        <w:instrText xml:space="preserve"> ADDIN ZOTERO_ITEM CSL_CITATION {"citationID":"wnnAg3iY","properties":{"formattedCitation":"(Wiesm\\uc0\\u252{}ller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and extending diagnostic measures beyond standard procedures cannot be recommended </w:t>
      </w:r>
      <w:r w:rsidRPr="00D03260">
        <w:fldChar w:fldCharType="begin"/>
      </w:r>
      <w:r w:rsidR="00217980" w:rsidRPr="00D03260">
        <w:instrText xml:space="preserve"> ADDIN ZOTERO_ITEM CSL_CITATION {"citationID":"O7dOasNO","properties":{"formattedCitation":"(Hurra\\uc0\\u223{} et al., 2017; Wiesm\\uc0\\u252{}ller et al., 2017)","plainCitation":"(Hurraß et al., 2017;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(Hurraß et al., 2017; Wiesmüller et al., 2017)</w:t>
      </w:r>
      <w:r w:rsidRPr="00D03260">
        <w:fldChar w:fldCharType="end"/>
      </w:r>
      <w:r w:rsidRPr="00D03260">
        <w:t>.</w:t>
      </w:r>
    </w:p>
    <w:p w14:paraId="2F106923" w14:textId="588BD46A" w:rsidR="007D6334" w:rsidRPr="00D03260" w:rsidRDefault="007D6334" w:rsidP="007D6334">
      <w:pPr>
        <w:pStyle w:val="Heading2"/>
      </w:pPr>
      <w:bookmarkStart w:id="435" w:name="_Toc121329228"/>
      <w:bookmarkStart w:id="436" w:name="_Toc121329392"/>
      <w:bookmarkStart w:id="437" w:name="_Toc121834535"/>
      <w:bookmarkStart w:id="438" w:name="_Toc141885965"/>
      <w:r w:rsidRPr="00D03260">
        <w:t>Reproductive effects, gastrointestinal effects, renal effects, and teratogenicity</w:t>
      </w:r>
      <w:bookmarkEnd w:id="435"/>
      <w:bookmarkEnd w:id="436"/>
      <w:bookmarkEnd w:id="437"/>
      <w:bookmarkEnd w:id="438"/>
    </w:p>
    <w:p w14:paraId="239E2428" w14:textId="64C48651" w:rsidR="007D6334" w:rsidRPr="00D03260" w:rsidRDefault="007D6334" w:rsidP="007D6334">
      <w:r w:rsidRPr="00D03260">
        <w:t xml:space="preserve">Two guidelines, the review that is associated with the AWMF guideline and one international authority evidence review concluded reproductive effects as health effects for which there is inadequate or insufficient evidence for an association with exposure to indoor dampness or mould </w:t>
      </w:r>
      <w:r w:rsidRPr="00D03260">
        <w:fldChar w:fldCharType="begin"/>
      </w:r>
      <w:r w:rsidR="00217980" w:rsidRPr="00D03260">
        <w:instrText xml:space="preserve"> ADDIN ZOTERO_ITEM CSL_CITATION {"citationID":"Nkk681ws","properties":{"formattedCitation":"(Hurra\\uc0\\u223{} et al., 2017; Palaty &amp; Shum, 2012; Wiesm\\uc0\\u252{}ller et al., 2017; World Health Organization, 2009)","plainCitation":"(Hurraß et al., 2017; Palaty &amp; Shum, 2012; Wiesmüller et al., 2017; World Health Organization, 2009)","dontUpdate":true,"noteIndex":0},"citationItems":[{"id":2217,"uris":["http://zotero.org/groups/4371185/items/542KM3BH"],"itemData":{"id":2217,"type":"article-journal","abstract":"In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(Hurraß et al , 2017; Palaty &amp; Shum, 2012; Wiesmüller et al., 2017; World Health Organization, 2009)</w:t>
      </w:r>
      <w:r w:rsidRPr="00D03260">
        <w:fldChar w:fldCharType="end"/>
      </w:r>
      <w:r w:rsidRPr="00D03260">
        <w:t xml:space="preserve">. The WHO advised no studies were found on the effects of exposure to microbes in damp buildings on reproductive responses, but noted that phthalates (one group of indoor air contaminants) are potential reproductive and developmental toxicants </w:t>
      </w:r>
      <w:r w:rsidRPr="00D03260">
        <w:fldChar w:fldCharType="begin"/>
      </w:r>
      <w:r w:rsidR="00217980" w:rsidRPr="00D03260">
        <w:instrText xml:space="preserve"> ADDIN ZOTERO_ITEM CSL_CITATION {"citationID":"T3Sr4Emx","properties":{"formattedCitation":"(World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w:t>
      </w:r>
    </w:p>
    <w:p w14:paraId="04DDCE1A" w14:textId="2F807F0F" w:rsidR="007D6334" w:rsidRPr="00D03260" w:rsidRDefault="007D6334" w:rsidP="007D6334">
      <w:r w:rsidRPr="00D03260">
        <w:t xml:space="preserve">The AWMF guideline and the </w:t>
      </w:r>
      <w:r w:rsidRPr="00D03260">
        <w:rPr>
          <w:sz w:val="21"/>
          <w:szCs w:val="21"/>
        </w:rPr>
        <w:t xml:space="preserve">associated review </w:t>
      </w:r>
      <w:r w:rsidRPr="00D03260">
        <w:t xml:space="preserve">both covered a wider number of health effects, advising that no systematic examinations or case reports are available that show or suggest an association with moisture damage or mould indoors and gastrointestinal or renal disease, reproductive disorders, teratogenicity [or cancers] </w:t>
      </w:r>
      <w:r w:rsidRPr="00D03260">
        <w:fldChar w:fldCharType="begin"/>
      </w:r>
      <w:r w:rsidR="00217980" w:rsidRPr="00D03260">
        <w:instrText xml:space="preserve"> ADDIN ZOTERO_ITEM CSL_CITATION {"citationID":"aEeuOoXR","properties":{"formattedCitation":"(Palaty &amp; Shum, 2012 and Mazur &amp; Kim, 2006 in Hurra\\uc0\\u223{} et al., 2017; Wiesm\\uc0\\u252{}ller et al., 2017)","plainCitation":"(Palaty &amp; Shum, 2012 and Mazur &amp; Kim, 2006 in Hurraß et al., 2017;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prefix":"Palaty &amp; Shum, 2012 and Mazur &amp; Kim, 2006 in"},{"id":2051,"uris":["http://zotero.org/groups/4371185/items/QZ4VYG6U"],"itemData":{"id":2051,"type":"article-journal","container-title":"Allergo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rPr>
          <w:rFonts w:cs="Arial"/>
        </w:rPr>
        <w:t>(Palaty &amp; Shum, 2012 and Mazur &amp; Kim, 2006 in Hurraß et al., 2017; Wiesmüller et al., 2017)</w:t>
      </w:r>
      <w:r w:rsidRPr="00D03260">
        <w:fldChar w:fldCharType="end"/>
      </w:r>
      <w:r w:rsidRPr="00D03260">
        <w:t>.</w:t>
      </w:r>
    </w:p>
    <w:p w14:paraId="4C387E6E" w14:textId="14DBCB4A" w:rsidR="007D6334" w:rsidRPr="00D03260" w:rsidRDefault="007D6334" w:rsidP="007D6334">
      <w:r w:rsidRPr="00D03260">
        <w:t>Regarding exposure to other potential indoor air pollutants (as mentioned by the WHO above) and reproductive effects, in the evidence review by NICE that considered exposure to indoor mould and damp, along with multiple other exposures</w:t>
      </w:r>
      <w:r w:rsidR="00D7306A" w:rsidRPr="00D03260">
        <w:t>,</w:t>
      </w:r>
      <w:r w:rsidRPr="00D03260">
        <w:t xml:space="preserve"> reproductive effects were not specifically mentioned in the section ‘For the outcomes that matter most’. Of the range of indoor air pollutants investigated in the evidence review, the NICE committee stated:</w:t>
      </w:r>
    </w:p>
    <w:p w14:paraId="2E572AA3" w14:textId="02033B39" w:rsidR="007D6334" w:rsidRPr="00D03260" w:rsidRDefault="007D6334" w:rsidP="007D6334">
      <w:pPr>
        <w:pStyle w:val="Quote"/>
      </w:pPr>
      <w:r w:rsidRPr="00D03260">
        <w:t>The committee noted the pollutants such as NO</w:t>
      </w:r>
      <w:r w:rsidRPr="00D03260">
        <w:rPr>
          <w:vertAlign w:val="subscript"/>
        </w:rPr>
        <w:t xml:space="preserve">2 </w:t>
      </w:r>
      <w:r w:rsidRPr="00D03260">
        <w:t>[nitrous dioxide], volatile organic compounds (VOCs), particulate matter (PM) from open solid-fuel fires, polycyclic aromatic hydrocarbons (PAHs) and biological agents such as mould and pet dander are sometimes associated with many symptoms including those affecting the respiratory, cardiovascular and neurological systems.</w:t>
      </w:r>
      <w:r w:rsidRPr="00D03260">
        <w:rPr>
          <w:i w:val="0"/>
          <w:iCs w:val="0"/>
        </w:rPr>
        <w:t xml:space="preserve"> </w:t>
      </w:r>
      <w:r w:rsidRPr="00D03260">
        <w:rPr>
          <w:i w:val="0"/>
          <w:iCs w:val="0"/>
        </w:rPr>
        <w:fldChar w:fldCharType="begin"/>
      </w:r>
      <w:r w:rsidR="00707A99" w:rsidRPr="00D03260">
        <w:rPr>
          <w:i w:val="0"/>
          <w:iCs w:val="0"/>
        </w:rPr>
        <w:instrText xml:space="preserve"> ADDIN ZOTERO_ITEM CSL_CITATION {"citationID":"UtjysM53","properties":{"formattedCitation":"(National Institute for Health and Care Excellence, 2020b, p. 66)","plainCitation":"(National Institute for Health and Care Excellence, 2020b, p. 66)","noteIndex":0},"citationItems":[{"id":2056,"uris":["http://zotero.org/groups/4371185/items/7T3KG6B7"],"itemData":{"id":2056,"type":"document","publisher":"National Institute for Health and Care Excellence","title":"Indoor air quality at home [2] Evidence review for exposure to pollutants and health outcomes NICE Guideline NG149 Evidence Review","author":[{"literal":"National Institute for Health and Care Excellence"}],"accessed":{"date-parts":[["2021",9,3]]},"issued":{"literal":"2020b"}},"locator":"66"}],"schema":"https://github.com/citation-style-language/schema/raw/master/csl-citation.json"} </w:instrText>
      </w:r>
      <w:r w:rsidRPr="00D03260">
        <w:rPr>
          <w:i w:val="0"/>
          <w:iCs w:val="0"/>
        </w:rPr>
        <w:fldChar w:fldCharType="separate"/>
      </w:r>
      <w:r w:rsidR="00707A99" w:rsidRPr="00D03260">
        <w:rPr>
          <w:rFonts w:cs="Arial"/>
          <w:i w:val="0"/>
          <w:iCs w:val="0"/>
        </w:rPr>
        <w:t>(National Institute for Health and Care Excellence, 2020b, p. 66)</w:t>
      </w:r>
      <w:r w:rsidRPr="00D03260">
        <w:rPr>
          <w:i w:val="0"/>
          <w:iCs w:val="0"/>
        </w:rPr>
        <w:fldChar w:fldCharType="end"/>
      </w:r>
    </w:p>
    <w:p w14:paraId="610B7F89" w14:textId="37DD41D7" w:rsidR="007D6334" w:rsidRPr="00D03260" w:rsidRDefault="007D6334" w:rsidP="007D6334">
      <w:pPr>
        <w:pStyle w:val="Heading2"/>
      </w:pPr>
      <w:bookmarkStart w:id="439" w:name="_Toc121329229"/>
      <w:bookmarkStart w:id="440" w:name="_Toc121329393"/>
      <w:bookmarkStart w:id="441" w:name="_Toc121834536"/>
      <w:bookmarkStart w:id="442" w:name="_Toc141885966"/>
      <w:r w:rsidRPr="00D03260">
        <w:t>Sarcoidosis</w:t>
      </w:r>
      <w:bookmarkEnd w:id="439"/>
      <w:bookmarkEnd w:id="440"/>
      <w:bookmarkEnd w:id="441"/>
      <w:bookmarkEnd w:id="442"/>
    </w:p>
    <w:p w14:paraId="1128A02F" w14:textId="70D9CAAD" w:rsidR="007D6334" w:rsidRPr="00D03260" w:rsidRDefault="007D6334" w:rsidP="007D6334">
      <w:r w:rsidRPr="00D03260">
        <w:t xml:space="preserve">Sarcoidosis is a granulomatous disease of unknown cause involving multiple organs, including the lung, with the lung being the most commonly affected organ </w:t>
      </w:r>
      <w:r w:rsidRPr="00D03260">
        <w:fldChar w:fldCharType="begin"/>
      </w:r>
      <w:r w:rsidR="00217980" w:rsidRPr="00D03260">
        <w:instrText xml:space="preserve"> ADDIN ZOTERO_ITEM CSL_CITATION {"citationID":"QP6PNaWf","properties":{"formattedCitation":"(Hurra\\uc0\\u223{} et al., 2017; National Institute for Occupational Safety and Health et al., 2012; Park &amp; Cox-Ganser, 2011)","plainCitation":"(Hurraß et al., 2017; National Institute for Occupational Safety and Health et al., 2012; Park &amp; Cox-Ganser, 2011)","noteIndex":0},"citationItems":[{"id":2217,"uris":["http://zotero.org/groups/4371185/items/542KM3BH"],"itemData":{"id":2217,"type":"article-journal","abstract":"In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2153,"uris":["http://zotero.org/groups/4371185/items/QTNCQS83"],"itemData":{"id":2153,"type":"document","publisher":"Department of Health and Human Services, Centers for Disease Control and Prevention, National Institute for Occupational Safety and Health. Publication No 2013-102","source":"Publication No 2013-102","title":"Preventing occupational respiratory disease from exposures caused by dampness in office buildings, schools, and other nonindustrial buildings","author":[{"family":"National Institute for Occupational Safety and Health","given":""},{"family":"Kanwal","given":"Richard"},{"family":"Kreiss","given":"Kathleen"},{"family":"Martin","given":"Michelle"},{"family":"Sahakian","given":"Nancy"}],"issued":{"date-parts":[["2012"]]}}},{"id":2055,"uris":["http://zotero.org/groups/4371185/items/VIU9CSHP"],"itemData":{"id":2055,"type":"article-journal","abstract":"Almost all modern buildings experience at least minor, and sometimes serious, water damage during their life span. Excess moisture in buildings becomes a critical  factor for mold (fungal) proliferation in nutrient-rich environments. As a result,  building occupants may be exposed to increased levels of microbial agents such as  fungal spores, cell fragments, cell wall components, or toxins. Such exposures may  result in various diseases and symptoms, both respiratory and non-respiratory.  Respiratory health complaints are common in damp buildings and have been more  thoroughly studied than non-respiratory complaints. Respiratory diseases and  symptoms which may be produced by exposure to indoor fungi include asthma  development, exacerbation of asthma, hypersensitivity pneumonitis, cough, wheeze,  dyspnea (shortness of breath), nasal and throat symptoms, and respiratory  infections. In addition to these illnesses, rhinosinusitis and sarcoidosis in  water-damaged building occupants are also drawing more scientific attention. In this  article, we explore the evidence for adverse effects of fungal exposure on  respiratory health in damp indoor environments and potential disease mechanisms  related to the exposure.","container-title":"Frontiers in bioscience (Elite edition)","DOI":"10.2741/e284","ISSN":"1945-0508 1945-0494","journalAbbreviation":"Front Biosci (Elite Ed)","language":"eng","note":"publisher-place: Singapore\nPMID: 21196349","page":"757-771","title":"Mold exposure and respiratory health in damp indoor environments.","volume":"3","author":[{"family":"Park","given":"Ju-Hyeong"},{"family":"Cox-Ganser","given":"Jean M."}],"issued":{"date-parts":[["2011",1,1]]}}}],"schema":"https://github.com/citation-style-language/schema/raw/master/csl-citation.json"} </w:instrText>
      </w:r>
      <w:r w:rsidRPr="00D03260">
        <w:fldChar w:fldCharType="separate"/>
      </w:r>
      <w:r w:rsidRPr="00D03260">
        <w:t>(Hurraß et al., 2017; National Institute for Occupational Safety and Health et al., 2012; Park &amp; Cox-Ganser, 2011)</w:t>
      </w:r>
      <w:r w:rsidRPr="00D03260">
        <w:fldChar w:fldCharType="end"/>
      </w:r>
      <w:r w:rsidRPr="00D03260">
        <w:t xml:space="preserve">. As granulomatous disease is generally linked with infection or reactions to foreign bodies, it has been discussed in the literature that sarcoidosis may represent a microbial-induced disease </w:t>
      </w:r>
      <w:r w:rsidRPr="00D03260">
        <w:fldChar w:fldCharType="begin"/>
      </w:r>
      <w:r w:rsidR="00217980" w:rsidRPr="00D03260">
        <w:instrText xml:space="preserve"> ADDIN ZOTERO_ITEM CSL_CITATION {"citationID":"h2wI80Oc","properties":{"formattedCitation":"(Hurra\\uc0\\u223{} et al., 2017)","plainCitation":"(Hurraß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schema":"https://github.com/citation-style-language/schema/raw/master/csl-citation.json"} </w:instrText>
      </w:r>
      <w:r w:rsidRPr="00D03260">
        <w:fldChar w:fldCharType="separate"/>
      </w:r>
      <w:r w:rsidRPr="00D03260">
        <w:t>(Hurraß et al., 2017)</w:t>
      </w:r>
      <w:r w:rsidRPr="00D03260">
        <w:fldChar w:fldCharType="end"/>
      </w:r>
      <w:r w:rsidRPr="00D03260">
        <w:t xml:space="preserve">. The National Institute for Occupational Safety and Health (NIOSH) at the CDC (NIOSH/CDC) noted the occupational causes of sarcoidosis had indicated there to be increasing evidence that sarcoidosis has multiple causes, including exposure to mould, especially in the presence of triggers of inflammation </w:t>
      </w:r>
      <w:r w:rsidRPr="00D03260">
        <w:fldChar w:fldCharType="begin"/>
      </w:r>
      <w:r w:rsidR="00217980" w:rsidRPr="00D03260">
        <w:instrText xml:space="preserve"> ADDIN ZOTERO_ITEM CSL_CITATION {"citationID":"Y4RZp2aY","properties":{"formattedCitation":"(Newman and Newman, 2012 in National Institute for Occupational Safety and Health et al., 2012)","plainCitation":"(Newman and Newman, 2012 in National Institute for Occupational Safety and Health et al., 2012)","noteIndex":0},"citationItems":[{"id":2153,"uris":["http://zotero.org/groups/4371185/items/QTNCQS83"],"itemData":{"id":2153,"type":"document","publisher":"Department of Health and Human Services, Centers for Disease Control and Prevention, National Institute for Occupational Safety and Health. Publication No 2013-102","source":"Publication No 2013-102","title":"Preventing occupational respiratory disease from exposures caused by dampness in office buildings, schools, and other nonindustrial buildings","author":[{"family":"National Institute for Occupational Safety and Health","given":""},{"family":"Kanwal","given":"Richard"},{"family":"Kreiss","given":"Kathleen"},{"family":"Martin","given":"Michelle"},{"family":"Sahakian","given":"Nancy"}],"issued":{"date-parts":[["2012"]]}},"prefix":"Newman and Newman, 2012 in"}],"schema":"https://github.com/citation-style-language/schema/raw/master/csl-citation.json"} </w:instrText>
      </w:r>
      <w:r w:rsidRPr="00D03260">
        <w:fldChar w:fldCharType="separate"/>
      </w:r>
      <w:r w:rsidRPr="00D03260">
        <w:t>(Newman and Newman, 2012 in National Institute for Occupational Safety and Health et al., 2012)</w:t>
      </w:r>
      <w:r w:rsidRPr="00D03260">
        <w:fldChar w:fldCharType="end"/>
      </w:r>
      <w:r w:rsidRPr="00D03260">
        <w:t>.</w:t>
      </w:r>
    </w:p>
    <w:p w14:paraId="5E95F6C0" w14:textId="16A1657D" w:rsidR="007D6334" w:rsidRPr="00D03260" w:rsidRDefault="007D6334" w:rsidP="007D6334">
      <w:r w:rsidRPr="00D03260">
        <w:t xml:space="preserve">The most recent guidance comes from the 2017 AWMF guideline and </w:t>
      </w:r>
      <w:r w:rsidRPr="00D03260">
        <w:rPr>
          <w:szCs w:val="22"/>
        </w:rPr>
        <w:t>the associated review,</w:t>
      </w:r>
      <w:r w:rsidRPr="00D03260">
        <w:rPr>
          <w:sz w:val="21"/>
          <w:szCs w:val="21"/>
        </w:rPr>
        <w:t xml:space="preserve"> </w:t>
      </w:r>
      <w:r w:rsidRPr="00D03260">
        <w:rPr>
          <w:szCs w:val="22"/>
        </w:rPr>
        <w:t>both of which</w:t>
      </w:r>
      <w:r w:rsidRPr="00D03260">
        <w:rPr>
          <w:sz w:val="21"/>
          <w:szCs w:val="21"/>
        </w:rPr>
        <w:t xml:space="preserve"> </w:t>
      </w:r>
      <w:r w:rsidRPr="00D03260">
        <w:t xml:space="preserve">advised there was inadequate or insufficient evidence for an association between sarcoidosis and moisture/mould damage </w:t>
      </w:r>
      <w:r w:rsidRPr="00D03260">
        <w:fldChar w:fldCharType="begin"/>
      </w:r>
      <w:r w:rsidR="00217980" w:rsidRPr="00D03260">
        <w:instrText xml:space="preserve"> ADDIN ZOTERO_ITEM CSL_CITATION {"citationID":"VP9xNTgN","properties":{"formattedCitation":"(Hurra\\uc0\\u223{} et al., 2017; Wiesm\\uc0\\u252{}ller et al., 2017)","plainCitation":"(Hurraß et al., 2017; Wiesmüller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(Hurraß et al., 2017; Wiesmüller et al., 2017)</w:t>
      </w:r>
      <w:r w:rsidRPr="00D03260">
        <w:fldChar w:fldCharType="end"/>
      </w:r>
      <w:r w:rsidR="00083283" w:rsidRPr="00D03260">
        <w:t>. This suggested</w:t>
      </w:r>
      <w:r w:rsidRPr="00D03260">
        <w:t xml:space="preserve"> only unreliable evidence that different forms of microbial inhalation exposure, including water damage, can increase the risk of developing sarcoidosis </w:t>
      </w:r>
      <w:r w:rsidRPr="00D03260">
        <w:fldChar w:fldCharType="begin"/>
      </w:r>
      <w:r w:rsidR="00217980" w:rsidRPr="00D03260">
        <w:instrText xml:space="preserve"> ADDIN ZOTERO_ITEM CSL_CITATION {"citationID":"kJa7yqQv","properties":{"formattedCitation":"(Wiesm\\uc0\\u252{}ller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As such, there is currently insufficient data to assume a causal link between the development or exacerbation of sarcoidosis and water damage or mould exposure </w:t>
      </w:r>
      <w:r w:rsidRPr="00D03260">
        <w:fldChar w:fldCharType="begin"/>
      </w:r>
      <w:r w:rsidR="00217980" w:rsidRPr="00D03260">
        <w:instrText xml:space="preserve"> ADDIN ZOTERO_ITEM CSL_CITATION {"citationID":"gqeON13y","properties":{"formattedCitation":"(Wiesm\\uc0\\u252{}ller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3A280F1F" w14:textId="2C9F1153" w:rsidR="007D6334" w:rsidRPr="00D03260" w:rsidRDefault="007D6334" w:rsidP="007D6334">
      <w:r w:rsidRPr="00D03260">
        <w:t xml:space="preserve">Given there is insufficient data to assume a causal link between the development and exacerbation of sarcoidosis and water-damage or mould exposure, the AWMF guideline advised no specific mould-related diagnostic work-up is indicated in sarcoidosis above and beyond the usual procedure </w:t>
      </w:r>
      <w:r w:rsidRPr="00D03260">
        <w:fldChar w:fldCharType="begin"/>
      </w:r>
      <w:r w:rsidR="00217980" w:rsidRPr="00D03260">
        <w:instrText xml:space="preserve"> ADDIN ZOTERO_ITEM CSL_CITATION {"citationID":"XWRqARjt","properties":{"formattedCitation":"(Wiesm\\uc0\\u252{}ller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2DD8FD44" w14:textId="41F5A6E3" w:rsidR="007D6334" w:rsidRPr="00D03260" w:rsidRDefault="007D6334" w:rsidP="007D6334">
      <w:pPr>
        <w:pStyle w:val="Heading2"/>
      </w:pPr>
      <w:bookmarkStart w:id="443" w:name="_Toc121329230"/>
      <w:bookmarkStart w:id="444" w:name="_Toc121329394"/>
      <w:bookmarkStart w:id="445" w:name="_Toc121834537"/>
      <w:bookmarkStart w:id="446" w:name="_Toc141885967"/>
      <w:r w:rsidRPr="00D03260">
        <w:t>Skin problems</w:t>
      </w:r>
      <w:bookmarkEnd w:id="443"/>
      <w:bookmarkEnd w:id="444"/>
      <w:bookmarkEnd w:id="445"/>
      <w:bookmarkEnd w:id="446"/>
    </w:p>
    <w:p w14:paraId="7878EDD8" w14:textId="374942FD" w:rsidR="007D6334" w:rsidRPr="00D03260" w:rsidRDefault="007D6334" w:rsidP="007D6334">
      <w:r w:rsidRPr="00D03260">
        <w:rPr>
          <w:rFonts w:eastAsiaTheme="minorHAnsi"/>
        </w:rPr>
        <w:t>The NCCEH listed skin symptoms as a health effect for which there was inadequate or insufficient evidence for an association with mould exposure or dampness in indoor</w:t>
      </w:r>
      <w:r w:rsidRPr="00D03260">
        <w:rPr>
          <w:rStyle w:val="BodyChar"/>
          <w:lang w:val="en-AU"/>
        </w:rPr>
        <w:t xml:space="preserve"> </w:t>
      </w:r>
      <w:r w:rsidRPr="00D03260">
        <w:rPr>
          <w:rFonts w:eastAsiaTheme="minorHAnsi"/>
        </w:rPr>
        <w:t xml:space="preserve">environments </w:t>
      </w:r>
      <w:r w:rsidRPr="00D03260">
        <w:rPr>
          <w:rFonts w:eastAsiaTheme="minorHAnsi"/>
        </w:rPr>
        <w:fldChar w:fldCharType="begin"/>
      </w:r>
      <w:r w:rsidR="00217980" w:rsidRPr="00D03260">
        <w:rPr>
          <w:rFonts w:eastAsiaTheme="minorHAnsi"/>
        </w:rPr>
        <w:instrText xml:space="preserve"> ADDIN ZOTERO_ITEM CSL_CITATION {"citationID":"qlO6KPYv","properties":{"formattedCitation":"(Palaty &amp; Shum, 2012)","plainCitation":"(Palaty &amp; Shum, 2012)","noteIndex":0},"citationItems":[{"id":2176,"uris":["http://zotero.org/groups/4371185/items/8UAC2VRS"],"itemData":{"id":2176,"type":"document","language":"English","publisher":"National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Environments","author":[{"family":"Palaty","given":"Chrystal"},{"family":"Shum","given":"Mona"}],"accessed":{"date-parts":[["2021",9,2]]},"issued":{"date-parts":[["2012",7]]}}}],"schema":"https://github.com/citation-style-language/schema/raw/master/csl-citation.json"} </w:instrText>
      </w:r>
      <w:r w:rsidRPr="00D03260">
        <w:rPr>
          <w:rFonts w:eastAsiaTheme="minorHAnsi"/>
        </w:rPr>
        <w:fldChar w:fldCharType="separate"/>
      </w:r>
      <w:r w:rsidRPr="00D03260">
        <w:rPr>
          <w:rFonts w:eastAsiaTheme="minorHAnsi"/>
        </w:rPr>
        <w:t>(Palaty &amp; Shum, 2012)</w:t>
      </w:r>
      <w:r w:rsidRPr="00D03260">
        <w:rPr>
          <w:rFonts w:eastAsiaTheme="minorHAnsi"/>
        </w:rPr>
        <w:fldChar w:fldCharType="end"/>
      </w:r>
      <w:r w:rsidRPr="00D03260">
        <w:t xml:space="preserve">. </w:t>
      </w:r>
      <w:r w:rsidRPr="00D03260">
        <w:rPr>
          <w:rFonts w:eastAsiaTheme="minorHAnsi"/>
        </w:rPr>
        <w:t xml:space="preserve">The WHO excluded effects related to skin on the basis that limited research had been reported </w:t>
      </w:r>
      <w:r w:rsidRPr="00D03260">
        <w:rPr>
          <w:rFonts w:eastAsiaTheme="minorHAnsi"/>
        </w:rPr>
        <w:fldChar w:fldCharType="begin"/>
      </w:r>
      <w:r w:rsidR="00217980" w:rsidRPr="00D03260">
        <w:rPr>
          <w:rFonts w:eastAsiaTheme="minorHAnsi"/>
        </w:rPr>
        <w:instrText xml:space="preserve"> ADDIN ZOTERO_ITEM CSL_CITATION {"citationID":"XIgvkd91","properties":{"formattedCitation":"(World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rPr>
          <w:rFonts w:eastAsiaTheme="minorHAnsi"/>
        </w:rPr>
        <w:fldChar w:fldCharType="separate"/>
      </w:r>
      <w:r w:rsidRPr="00D03260">
        <w:rPr>
          <w:rFonts w:eastAsiaTheme="minorHAnsi"/>
        </w:rPr>
        <w:t>(World Health Organization, 2009)</w:t>
      </w:r>
      <w:r w:rsidRPr="00D03260">
        <w:rPr>
          <w:rFonts w:eastAsiaTheme="minorHAnsi"/>
        </w:rPr>
        <w:fldChar w:fldCharType="end"/>
      </w:r>
      <w:r w:rsidRPr="00D03260">
        <w:rPr>
          <w:rFonts w:eastAsiaTheme="minorHAnsi"/>
        </w:rPr>
        <w:t xml:space="preserve">. </w:t>
      </w:r>
      <w:r w:rsidRPr="00D03260">
        <w:t xml:space="preserve">NICE’s evidence review reported evidence statements for facial skin symptoms; the committee found one low quality retrospective cohort study that had very serious risk of bias (RoB) </w:t>
      </w:r>
      <w:r w:rsidRPr="00D03260">
        <w:fldChar w:fldCharType="begin"/>
      </w:r>
      <w:r w:rsidR="00707A99" w:rsidRPr="00D03260">
        <w:instrText xml:space="preserve"> ADDIN ZOTERO_ITEM CSL_CITATION {"citationID":"HcFbtJxa","properties":{"formattedCitation":"(Engvall et al. 2001 in National Institute for Health and Care Excellence, 2020b)","plainCitation":"(Engvall et al. 2001 in National Institute for Health and Care Excellence, 2020b)","noteIndex":0},"citationItems":[{"id":2056,"uris":["http://zotero.org/groups/4371185/items/7T3KG6B7"],"itemData":{"id":2056,"type":"document","publisher":"National Institute for Health and Care Excellence","title":"Indoor air quality at home [2] Evidence review for exposure to pollutants and health outcomes NICE Guideline NG149 Evidence Review","author":[{"literal":"National Institute for Health and Care Excellence"}],"accessed":{"date-parts":[["2021",9,3]]},"issued":{"literal":"2020b"}},"prefix":"Engvall et al. 2001 in "}],"schema":"https://github.com/citation-style-language/schema/raw/master/csl-citation.json"} </w:instrText>
      </w:r>
      <w:r w:rsidRPr="00D03260">
        <w:fldChar w:fldCharType="separate"/>
      </w:r>
      <w:r w:rsidR="00707A99" w:rsidRPr="00D03260">
        <w:rPr>
          <w:rFonts w:cs="Arial"/>
        </w:rPr>
        <w:t>(Engvall et al. 2001 in National Institute for Health and Care Excellence, 2020b)</w:t>
      </w:r>
      <w:r w:rsidRPr="00D03260">
        <w:fldChar w:fldCharType="end"/>
      </w:r>
      <w:r w:rsidRPr="00D03260">
        <w:t>.</w:t>
      </w:r>
    </w:p>
    <w:p w14:paraId="524976FF" w14:textId="5F7BE0D6" w:rsidR="007D6334" w:rsidRPr="00D03260" w:rsidRDefault="007D6334" w:rsidP="007D6334">
      <w:pPr>
        <w:pStyle w:val="Heading2"/>
      </w:pPr>
      <w:bookmarkStart w:id="447" w:name="_Toc107998580"/>
      <w:bookmarkStart w:id="448" w:name="_Toc121329231"/>
      <w:bookmarkStart w:id="449" w:name="_Toc121329395"/>
      <w:bookmarkStart w:id="450" w:name="_Toc121834538"/>
      <w:bookmarkStart w:id="451" w:name="_Toc141885968"/>
      <w:r w:rsidRPr="00D03260">
        <w:t xml:space="preserve">Neuropsychological, </w:t>
      </w:r>
      <w:proofErr w:type="gramStart"/>
      <w:r w:rsidRPr="00D03260">
        <w:t>neuropsychiatric</w:t>
      </w:r>
      <w:proofErr w:type="gramEnd"/>
      <w:r w:rsidRPr="00D03260">
        <w:t xml:space="preserve"> and neurotoxic effects</w:t>
      </w:r>
      <w:bookmarkEnd w:id="447"/>
      <w:bookmarkEnd w:id="448"/>
      <w:bookmarkEnd w:id="449"/>
      <w:bookmarkEnd w:id="450"/>
      <w:bookmarkEnd w:id="451"/>
    </w:p>
    <w:p w14:paraId="6766F478" w14:textId="2987E1DC" w:rsidR="007D6334" w:rsidRPr="00D03260" w:rsidRDefault="007D6334" w:rsidP="007D6334">
      <w:r w:rsidRPr="00D03260">
        <w:t xml:space="preserve">The </w:t>
      </w:r>
      <w:r w:rsidR="00DA37B2" w:rsidRPr="00D03260">
        <w:t>House of Repre</w:t>
      </w:r>
      <w:r w:rsidR="0015464E" w:rsidRPr="00D03260">
        <w:t xml:space="preserve">sentatives Inquiry </w:t>
      </w:r>
      <w:r w:rsidRPr="00D03260">
        <w:t>Report</w:t>
      </w:r>
      <w:r w:rsidR="0015464E" w:rsidRPr="00D03260">
        <w:t xml:space="preserve"> on biotoxin-related illnesses</w:t>
      </w:r>
      <w:r w:rsidRPr="00D03260">
        <w:t xml:space="preserve"> stated that Australian patients who identified as having CIRS commonly described experiencing memory and concentration problems and disorientation </w:t>
      </w:r>
      <w:r w:rsidRPr="00D03260">
        <w:fldChar w:fldCharType="begin"/>
      </w:r>
      <w:r w:rsidR="00217980" w:rsidRPr="00D03260">
        <w:instrText xml:space="preserve"> ADDIN ZOTERO_ITEM CSL_CITATION {"citationID":"d1Yq9ryU","properties":{"formattedCitation":"(House of Representatives Standing Committee on Health, Aged Care and Sport, 2018)","plainCitation":"(House of Representatives Standing Committee on Health, Aged Care and Sport, 2018)","noteIndex":0},"citationItems":[{"id":2054,"uris":["http://zotero.org/groups/4371185/items/Z729ASVA"],"itemData":{"id":2054,"type":"report","language":"English","publisher":"Parliament of the Commonwealth of Australia","title":"Report on the Inquiry into Biotoxin-related Illnesses in Australia","author":[{"family":"House of Representatives Standing Committee on Health, Aged Care and Sport","given":""}],"issued":{"date-parts":[["2018",10]]}}}],"schema":"https://github.com/citation-style-language/schema/raw/master/csl-citation.json"} </w:instrText>
      </w:r>
      <w:r w:rsidRPr="00D03260">
        <w:fldChar w:fldCharType="separate"/>
      </w:r>
      <w:r w:rsidRPr="00D03260">
        <w:t>(House of Representatives Standing Committee on Health, Aged Care and Sport, 2018)</w:t>
      </w:r>
      <w:r w:rsidRPr="00D03260">
        <w:fldChar w:fldCharType="end"/>
      </w:r>
      <w:r w:rsidRPr="00D03260">
        <w:t xml:space="preserve">. Other symptoms experienced by patients with CIRS put forward by ACIIDS that are relevant to this section on nervous system effects include light sensitivity, confusion, numbness, tingling, tremors, temperature regulation or dysregulation problems, difficulty with focus/concentration, sweats (especially night sweats), and decreased assimilation of new knowledge </w:t>
      </w:r>
      <w:r w:rsidRPr="00D03260">
        <w:fldChar w:fldCharType="begin"/>
      </w:r>
      <w:r w:rsidR="00217980" w:rsidRPr="00D03260">
        <w:instrText xml:space="preserve"> ADDIN ZOTERO_ITEM CSL_CITATION {"citationID":"8tOsPyG4","properties":{"formattedCitation":"(Australian Chronic Infectious &amp; Inflammatory Disease Society, 2018)","plainCitation":"(Australian Chronic Infectious &amp; Inflammatory Disease Society, 2018)","noteIndex":0},"citationItems":[{"id":2155,"uris":["http://zotero.org/groups/4371185/items/7RJ3TN29"],"itemData":{"id":2155,"type":"document","title":"Australian Chronic Infectious &amp; Inflammatory Disease Society (ACIIDS) Submission to the Australian Parliament's Health, Aged Care and Sport Committee Inquiry into Biotoxin-related Illnesses in Australia","author":[{"family":"Australian Chronic Infectious &amp; Inflammatory Disease Society","given":""}],"issued":{"date-parts":[["2018"]]}}}],"schema":"https://github.com/citation-style-language/schema/raw/master/csl-citation.json"} </w:instrText>
      </w:r>
      <w:r w:rsidRPr="00D03260">
        <w:fldChar w:fldCharType="separate"/>
      </w:r>
      <w:r w:rsidRPr="00D03260">
        <w:t>(Australian Chronic Infectious &amp; Inflammatory Disease Society, 2018)</w:t>
      </w:r>
      <w:r w:rsidRPr="00D03260">
        <w:fldChar w:fldCharType="end"/>
      </w:r>
      <w:r w:rsidRPr="00D03260">
        <w:t>.</w:t>
      </w:r>
    </w:p>
    <w:p w14:paraId="73BD85A5" w14:textId="2A582072" w:rsidR="007D6334" w:rsidRPr="00D03260" w:rsidRDefault="007D6334" w:rsidP="007D6334">
      <w:r w:rsidRPr="00D03260">
        <w:t xml:space="preserve">Two guidelines, two international authority evidence reviews/reports and the review that is associated with the AWMF guideline concluded or advised that the level of evidence is inadequate or insufficient for an association between indoor mould or damp and neuropsychological, neuropsychiatric or neurotoxic effects </w:t>
      </w:r>
      <w:r w:rsidRPr="00D03260">
        <w:fldChar w:fldCharType="begin"/>
      </w:r>
      <w:r w:rsidR="00217980" w:rsidRPr="00D03260">
        <w:instrText xml:space="preserve"> ADDIN ZOTERO_ITEM CSL_CITATION {"citationID":"vvofA8XJ","properties":{"formattedCitation":"(Hurra\\uc0\\u223{} et al., 2017; National Institute for Occupational Safety and Health et al., 2012; Palaty &amp; Shum, 2012; Wiesm\\uc0\\u252{}ller et al., 2017; World Health Organization, 2009)","plainCitation":"(Hurraß et al., 2017; National Institute for Occupational Safety and Health et al., 2012; Palaty &amp; Shum, 2012; Wiesmüller et al., 2017; World Health Organization, 2009)","noteIndex":0},"citationItems":[{"id":2217,"uris":["http://zotero.org/groups/4371185/items/542KM3BH"],"itemData":{"id":2217,"type":"article-journal","abstract":"In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2153,"uris":["http://zotero.org/groups/4371185/items/QTNCQS83"],"itemData":{"id":2153,"type":"document","publisher":"Department of Health and Human Services, Centers for Disease Control and Prevention, National Institute for Occupational Safety and Health. Publication No 2013-102","source":"Publication No 2013-102","title":"Preventing occupational respiratory disease from exposures caused by dampness in office buildings, schools, and other nonindustrial buildings","author":[{"family":"National Institute for Occupational Safety and Health","given":""},{"family":"Kanwal","given":"Richard"},{"family":"Kreiss","given":"Kathleen"},{"family":"Martin","given":"Michelle"},{"family":"Sahakian","given":"Nancy"}],"issued":{"date-parts":[["2012"]]}}},{"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(Hurraß et al., 2017; National Institute for Occupational Safety and Health et al., 2012; Palaty &amp; Shum, 2012; Wiesmüller et al., 2017; World Health Organization, 2009)</w:t>
      </w:r>
      <w:r w:rsidRPr="00D03260">
        <w:fldChar w:fldCharType="end"/>
      </w:r>
      <w:r w:rsidRPr="00D03260">
        <w:t>.</w:t>
      </w:r>
    </w:p>
    <w:p w14:paraId="48BCF3EA" w14:textId="5C696076" w:rsidR="007D6334" w:rsidRPr="00D03260" w:rsidRDefault="007D6334" w:rsidP="007D6334">
      <w:r w:rsidRPr="00D03260">
        <w:t xml:space="preserve">The WHO advised that while health effects such as fatigue, headache and difficulties concentrating indicate that microbes or other agents present in damp buildings have neurological effects, no study has shown that people living in damp buildings who complain of nervous system symptoms are exposed to effective levels of mycotoxins </w:t>
      </w:r>
      <w:r w:rsidRPr="00D03260">
        <w:fldChar w:fldCharType="begin"/>
      </w:r>
      <w:r w:rsidR="00217980" w:rsidRPr="00D03260">
        <w:instrText xml:space="preserve"> ADDIN ZOTERO_ITEM CSL_CITATION {"citationID":"xjNwd8p2","properties":{"formattedCitation":"(World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 xml:space="preserve">. The AWMF guideline notes the specialist literature does not point to a consistent causal relationship between indoor toxin levels and neurotoxic effects; as such, evidence of a link is insufficient </w:t>
      </w:r>
      <w:r w:rsidRPr="00D03260">
        <w:fldChar w:fldCharType="begin"/>
      </w:r>
      <w:r w:rsidR="00217980" w:rsidRPr="00D03260">
        <w:instrText xml:space="preserve"> ADDIN ZOTERO_ITEM CSL_CITATION {"citationID":"H2SgxQf1","properties":{"formattedCitation":"(Wiesm\\uc0\\u252{}ller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Additionally, the AWMF guideline advised:</w:t>
      </w:r>
    </w:p>
    <w:p w14:paraId="13E64448" w14:textId="77777777" w:rsidR="007D6334" w:rsidRPr="00D03260" w:rsidRDefault="007D6334" w:rsidP="007D6334">
      <w:pPr>
        <w:pStyle w:val="ListBullet"/>
      </w:pPr>
      <w:r w:rsidRPr="00D03260">
        <w:t xml:space="preserve">only moulds that are potentially able to form toxins can be triggers of toxic reactions. Environmental and growth factors, above all the substrate, determine whether or not toxin formation occurs in individual </w:t>
      </w:r>
      <w:proofErr w:type="gramStart"/>
      <w:r w:rsidRPr="00D03260">
        <w:t>cases</w:t>
      </w:r>
      <w:proofErr w:type="gramEnd"/>
    </w:p>
    <w:p w14:paraId="03D643B2" w14:textId="0CB03171" w:rsidR="007D6334" w:rsidRPr="00D03260" w:rsidRDefault="007D6334" w:rsidP="007D6334">
      <w:pPr>
        <w:pStyle w:val="ListBullet"/>
      </w:pPr>
      <w:r w:rsidRPr="00D03260">
        <w:t xml:space="preserve">mould exposure can generally lead to MMI, odour effects and mood disorders. With indoor moisture/mould damage, all people can be affected by odour effects and or mood disorders; however, this is not a health hazard. </w:t>
      </w:r>
      <w:r w:rsidRPr="00D03260">
        <w:fldChar w:fldCharType="begin"/>
      </w:r>
      <w:r w:rsidR="00217980" w:rsidRPr="00D03260">
        <w:instrText xml:space="preserve"> ADDIN ZOTERO_ITEM CSL_CITATION {"citationID":"6Xdg9rxa","properties":{"formattedCitation":"(Wiesm\\uc0\\u252{}ller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More on odour effects is outlined in </w:t>
      </w:r>
      <w:r w:rsidR="000870FD" w:rsidRPr="00D03260">
        <w:t xml:space="preserve">the section </w:t>
      </w:r>
      <w:r w:rsidRPr="00D03260">
        <w:t>on ‘</w:t>
      </w:r>
      <w:hyperlink w:anchor="OdourEffects" w:history="1">
        <w:r w:rsidRPr="00D03260">
          <w:rPr>
            <w:rStyle w:val="Hyperlink"/>
          </w:rPr>
          <w:t>Odour effects</w:t>
        </w:r>
      </w:hyperlink>
      <w:r w:rsidRPr="00D03260">
        <w:t>’.</w:t>
      </w:r>
    </w:p>
    <w:p w14:paraId="4DEFA65B" w14:textId="79913360" w:rsidR="007D6334" w:rsidRPr="00D03260" w:rsidRDefault="007D6334" w:rsidP="007D6334">
      <w:r w:rsidRPr="00D03260">
        <w:t xml:space="preserve">The evidence review that accompanies the AWMF guideline advised that “there are no systematic reviews on this controversial topic available” </w:t>
      </w:r>
      <w:r w:rsidRPr="00D03260">
        <w:fldChar w:fldCharType="begin"/>
      </w:r>
      <w:r w:rsidR="00217980" w:rsidRPr="00D03260">
        <w:instrText xml:space="preserve"> ADDIN ZOTERO_ITEM CSL_CITATION {"citationID":"VH4DULzs","properties":{"formattedCitation":"(Hurra\\uc0\\u223{} et al., 2017, p. 313)","plainCitation":"(Hurraß et al., 2017, p. 313)","noteIndex":0},"citationItems":[{"id":2217,"uris":["http://zotero.org/groups/4371185/items/542KM3BH"],"itemData":{"id":2217,"type":"article-journal","abstract":"In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locator":"313"}],"schema":"https://github.com/citation-style-language/schema/raw/master/csl-citation.json"} </w:instrText>
      </w:r>
      <w:r w:rsidRPr="00D03260">
        <w:fldChar w:fldCharType="separate"/>
      </w:r>
      <w:r w:rsidRPr="00D03260">
        <w:t>(Hurraß et al., 2017, p. 313)</w:t>
      </w:r>
      <w:r w:rsidRPr="00D03260">
        <w:fldChar w:fldCharType="end"/>
      </w:r>
      <w:r w:rsidRPr="00D03260">
        <w:t xml:space="preserve">. On various occasions, exposure to toxin producing moulds (“toxic mould”) indoors has been associated with neurotoxic effects, and cognitive or emotional problems have been causally related to mycotoxins (“black TMS”) </w:t>
      </w:r>
      <w:r w:rsidRPr="00D03260">
        <w:fldChar w:fldCharType="begin"/>
      </w:r>
      <w:r w:rsidR="00217980" w:rsidRPr="00D03260">
        <w:instrText xml:space="preserve"> ADDIN ZOTERO_ITEM CSL_CITATION {"citationID":"KaLy7rsW","properties":{"formattedCitation":"(Baldo et al. 2002; Crago et al. 2003; Gordon et al. 1999; Gordon et al. 2004; and Singer 2011 in Hurra\\uc0\\u223{} et al., 2017)","plainCitation":"(Baldo et al. 2002; Crago et al. 2003; Gordon et al. 1999; Gordon et al. 2004; and Singer 2011 in 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prefix":"Baldo et al. 2002; Crago et al. 2003; Gordon et al. 1999; Gordon et al. 2004; and Singer 2011 in"}],"schema":"https://github.com/citation-style-language/schema/raw/master/csl-citation.json"} </w:instrText>
      </w:r>
      <w:r w:rsidRPr="00D03260">
        <w:fldChar w:fldCharType="separate"/>
      </w:r>
      <w:r w:rsidRPr="00D03260">
        <w:t>(Baldo et al. 2002; Crago et al. 2003; Gordon et al. 1999; Gordon et al. 2004; and Singer 2011 in Hurraß et al., 2017)</w:t>
      </w:r>
      <w:r w:rsidRPr="00D03260">
        <w:fldChar w:fldCharType="end"/>
      </w:r>
      <w:r w:rsidRPr="00D03260">
        <w:t xml:space="preserve"> and toxin detoxifying therapies have been propagated </w:t>
      </w:r>
      <w:r w:rsidRPr="00D03260">
        <w:fldChar w:fldCharType="begin"/>
      </w:r>
      <w:r w:rsidR="00217980" w:rsidRPr="00D03260">
        <w:instrText xml:space="preserve"> ADDIN ZOTERO_ITEM CSL_CITATION {"citationID":"3gXrQEp7","properties":{"formattedCitation":"(Hurra\\uc0\\u223{} et al., 2017)","plainCitation":"(Hurraß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schema":"https://github.com/citation-style-language/schema/raw/master/csl-citation.json"} </w:instrText>
      </w:r>
      <w:r w:rsidRPr="00D03260">
        <w:fldChar w:fldCharType="separate"/>
      </w:r>
      <w:r w:rsidRPr="00D03260">
        <w:t>(Hurraß et al., 2017)</w:t>
      </w:r>
      <w:r w:rsidRPr="00D03260">
        <w:fldChar w:fldCharType="end"/>
      </w:r>
      <w:r w:rsidRPr="00D03260">
        <w:t xml:space="preserve">. However, </w:t>
      </w:r>
      <w:r w:rsidRPr="00D03260">
        <w:rPr>
          <w:sz w:val="21"/>
          <w:szCs w:val="21"/>
        </w:rPr>
        <w:t xml:space="preserve">Hurraß et al. </w:t>
      </w:r>
      <w:r w:rsidRPr="00D03260">
        <w:t xml:space="preserve">advised these works were criticized because of methodological weaknesses </w:t>
      </w:r>
      <w:r w:rsidRPr="00D03260">
        <w:fldChar w:fldCharType="begin"/>
      </w:r>
      <w:r w:rsidR="00217980" w:rsidRPr="00D03260">
        <w:instrText xml:space="preserve"> ADDIN ZOTERO_ITEM CSL_CITATION {"citationID":"bhYXrY1r","properties":{"formattedCitation":"(McCaffrey &amp; Yantz 2005 in Hurra\\uc0\\u223{} et al., 2017)","plainCitation":"(McCaffrey &amp; Yantz 2005 in 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prefix":"McCaffrey &amp; Yantz 2005 in"}],"schema":"https://github.com/citation-style-language/schema/raw/master/csl-citation.json"} </w:instrText>
      </w:r>
      <w:r w:rsidRPr="00D03260">
        <w:fldChar w:fldCharType="separate"/>
      </w:r>
      <w:r w:rsidRPr="00D03260">
        <w:t>(McCaffrey &amp; Yantz 2005 in Hurraß et al., 2017)</w:t>
      </w:r>
      <w:r w:rsidRPr="00D03260">
        <w:fldChar w:fldCharType="end"/>
      </w:r>
      <w:r w:rsidRPr="00D03260">
        <w:t xml:space="preserve">. As such, and consistent with the WHO guideline information above, </w:t>
      </w:r>
      <w:r w:rsidRPr="00D03260">
        <w:rPr>
          <w:sz w:val="21"/>
          <w:szCs w:val="21"/>
        </w:rPr>
        <w:t xml:space="preserve">Hurraß </w:t>
      </w:r>
      <w:r w:rsidRPr="00D03260">
        <w:t xml:space="preserve">et al. advised that no consistent proof can be deduced from the literature that the toxin concentrations occurring indoors can cause neurotoxic effects </w:t>
      </w:r>
      <w:r w:rsidRPr="00D03260">
        <w:fldChar w:fldCharType="begin"/>
      </w:r>
      <w:r w:rsidR="00217980" w:rsidRPr="00D03260">
        <w:instrText xml:space="preserve"> ADDIN ZOTERO_ITEM CSL_CITATION {"citationID":"MoacJNQp","properties":{"formattedCitation":"(Bush et al. 2006;Chapman et al. 2003; Gordon et al. 2004; Gordon et al. 2006; Khalili et al. 2005; Lees-Haley 2003; and Terr 2009 in Hurra\\uc0\\u223{} et al., 2017)","plainCitation":"(Bush et al. 2006;Chapman et al. 2003; Gordon et al. 2004; Gordon et al. 2006; Khalili et al. 2005; Lees-Haley 2003; and Terr 2009 in 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prefix":"Bush et al. 2006;Chapman et al. 2003; Gordon et al. 2004; Gordon et al. 2006; Khalili et al. 2005; Lees-Haley 2003; and Terr 2009 in"}],"schema":"https://github.com/citation-style-language/schema/raw/master/csl-citation.json"} </w:instrText>
      </w:r>
      <w:r w:rsidRPr="00D03260">
        <w:fldChar w:fldCharType="separate"/>
      </w:r>
      <w:r w:rsidRPr="00D03260">
        <w:t>(Bush et al. 2006;Chapman et al. 2003; Gordon et al. 2004; Gordon et al. 2006; Khalili et al. 2005; Lees-Haley 2003; and Terr 2009 in Hurraß et al., 2017)</w:t>
      </w:r>
      <w:r w:rsidRPr="00D03260">
        <w:fldChar w:fldCharType="end"/>
      </w:r>
      <w:r w:rsidRPr="00D03260">
        <w:t>.</w:t>
      </w:r>
    </w:p>
    <w:p w14:paraId="7DCDCEB7" w14:textId="0E1BC4FF" w:rsidR="007D6334" w:rsidRPr="00D03260" w:rsidRDefault="007D6334" w:rsidP="007D6334">
      <w:r w:rsidRPr="00D03260">
        <w:t xml:space="preserve">The NCCEH listed neuropsychiatric symptoms as a health effect for which there is inadequate or insufficient evidence of an association with mould exposure or dampness in indoor environments, </w:t>
      </w:r>
      <w:r w:rsidRPr="00D03260">
        <w:fldChar w:fldCharType="begin"/>
      </w:r>
      <w:r w:rsidR="00217980" w:rsidRPr="00D03260">
        <w:instrText xml:space="preserve"> ADDIN ZOTERO_ITEM CSL_CITATION {"citationID":"ZGGkdzym","properties":{"formattedCitation":"(Palaty &amp; Shum, 2012)","plainCitation":"(Palaty &amp; Shum, 2012)","noteIndex":0},"citationItems":[{"id":2176,"uris":["http://zotero.org/groups/4371185/items/8UAC2VRS"],"itemData":{"id":2176,"type":"document","language":"English","publisher":"National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Environments","author":[{"family":"Palaty","given":"Chrystal"},{"family":"Shum","given":"Mona"}],"accessed":{"date-parts":[["2021",9,2]]},"issued":{"date-parts":[["2012",7]]}}}],"schema":"https://github.com/citation-style-language/schema/raw/master/csl-citation.json"} </w:instrText>
      </w:r>
      <w:r w:rsidRPr="00D03260">
        <w:fldChar w:fldCharType="separate"/>
      </w:r>
      <w:r w:rsidRPr="00D03260">
        <w:t>(Palaty &amp; Shum, 2012)</w:t>
      </w:r>
      <w:r w:rsidRPr="00D03260">
        <w:fldChar w:fldCharType="end"/>
      </w:r>
      <w:r w:rsidRPr="00D03260">
        <w:t xml:space="preserve">. The NIOSH/CDC also noted the evidence is limited for the possible health effects of mycotoxins in indoor environments, including neurological outcomes </w:t>
      </w:r>
      <w:r w:rsidRPr="00D03260">
        <w:fldChar w:fldCharType="begin"/>
      </w:r>
      <w:r w:rsidR="00217980" w:rsidRPr="00D03260">
        <w:instrText xml:space="preserve"> ADDIN ZOTERO_ITEM CSL_CITATION {"citationID":"r7uvZLCB","properties":{"formattedCitation":"(National Institute for Occupational Safety and Health et al., 2012)","plainCitation":"(National Institute for Occupational Safety and Health et al., 2012)","noteIndex":0},"citationItems":[{"id":2153,"uris":["http://zotero.org/groups/4371185/items/QTNCQS83"],"itemData":{"id":2153,"type":"document","publisher":"Department of Health and Human Services, Centers for Disease Control and Prevention, National Institute for Occupational Safety and Health. Publication No 2013-102","source":"Publication No 2013-102","title":"Preventing occupational respiratory disease from exposures caused by dampness in office buildings, schools, and other nonindustrial buildings","author":[{"family":"National Institute for Occupational Safety and Health","given":""},{"family":"Kanwal","given":"Richard"},{"family":"Kreiss","given":"Kathleen"},{"family":"Martin","given":"Michelle"},{"family":"Sahakian","given":"Nancy"}],"issued":{"date-parts":[["2012"]]}}}],"schema":"https://github.com/citation-style-language/schema/raw/master/csl-citation.json"} </w:instrText>
      </w:r>
      <w:r w:rsidRPr="00D03260">
        <w:fldChar w:fldCharType="separate"/>
      </w:r>
      <w:r w:rsidRPr="00D03260">
        <w:t>(National Institute for Occupational Safety and Health et al., 2012)</w:t>
      </w:r>
      <w:r w:rsidRPr="00D03260">
        <w:fldChar w:fldCharType="end"/>
      </w:r>
      <w:r w:rsidRPr="00D03260">
        <w:t>.</w:t>
      </w:r>
    </w:p>
    <w:p w14:paraId="5B8044A1" w14:textId="2D43DCBF" w:rsidR="007D6334" w:rsidRPr="00D03260" w:rsidRDefault="007D6334" w:rsidP="007D6334">
      <w:pPr>
        <w:pStyle w:val="Heading2"/>
      </w:pPr>
      <w:bookmarkStart w:id="452" w:name="_Toc121329232"/>
      <w:bookmarkStart w:id="453" w:name="_Toc121329396"/>
      <w:bookmarkStart w:id="454" w:name="_Toc121834539"/>
      <w:bookmarkStart w:id="455" w:name="_Toc141885969"/>
      <w:r w:rsidRPr="00D03260">
        <w:t>Sleep issues</w:t>
      </w:r>
      <w:bookmarkEnd w:id="452"/>
      <w:bookmarkEnd w:id="453"/>
      <w:bookmarkEnd w:id="454"/>
      <w:bookmarkEnd w:id="455"/>
    </w:p>
    <w:p w14:paraId="62D5C1F5" w14:textId="27A1852B" w:rsidR="007D6334" w:rsidRPr="00D03260" w:rsidRDefault="007D6334" w:rsidP="007D6334">
      <w:r w:rsidRPr="00D03260">
        <w:t xml:space="preserve">The WHO guideline excluded insomnia as a health outcome of exposure to indoor dampness and mould based on the limited reported research </w:t>
      </w:r>
      <w:r w:rsidRPr="00D03260">
        <w:fldChar w:fldCharType="begin"/>
      </w:r>
      <w:r w:rsidR="00217980" w:rsidRPr="00D03260">
        <w:instrText xml:space="preserve"> ADDIN ZOTERO_ITEM CSL_CITATION {"citationID":"nKVZV1jK","properties":{"formattedCitation":"(World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 xml:space="preserve">. NICE made evidence statements regarding sleep issues and exposure to visible damp or mould in the indoor environment from one prospective cohort study in 10-year-old children in Germany </w:t>
      </w:r>
      <w:r w:rsidRPr="00D03260">
        <w:fldChar w:fldCharType="begin"/>
      </w:r>
      <w:r w:rsidR="00707A99" w:rsidRPr="00D03260">
        <w:instrText xml:space="preserve"> ADDIN ZOTERO_ITEM CSL_CITATION {"citationID":"PwZ6eYUi","properties":{"formattedCitation":"(Tiesler et al. 2015 in National Institute for Health and Care Excellence, 2020b)","plainCitation":"(Tiesler et al. 2015 in National Institute for Health and Care Excellence, 2020b)","noteIndex":0},"citationItems":[{"id":2056,"uris":["http://zotero.org/groups/4371185/items/7T3KG6B7"],"itemData":{"id":2056,"type":"document","publisher":"National Institute for Health and Care Excellence","title":"Indoor air quality at home [2] Evidence review for exposure to pollutants and health outcomes NICE Guideline NG149 Evidence Review","author":[{"literal":"National Institute for Health and Care Excellence"}],"accessed":{"date-parts":[["2021",9,3]]},"issued":{"literal":"2020b"}},"prefix":"Tiesler et al. 2015 in "}],"schema":"https://github.com/citation-style-language/schema/raw/master/csl-citation.json"} </w:instrText>
      </w:r>
      <w:r w:rsidRPr="00D03260">
        <w:fldChar w:fldCharType="separate"/>
      </w:r>
      <w:r w:rsidR="00707A99" w:rsidRPr="00D03260">
        <w:rPr>
          <w:rFonts w:cs="Arial"/>
        </w:rPr>
        <w:t>(Tiesler et al. 2015 in National Institute for Health and Care Excellence, 2020b)</w:t>
      </w:r>
      <w:r w:rsidRPr="00D03260">
        <w:fldChar w:fldCharType="end"/>
      </w:r>
      <w:r w:rsidRPr="00D03260">
        <w:t>. The study was appraised as low quality by NICE. The reported outcomes from this study do not show a consistent positive association between exposure to visible damp or mould and sleep issues.</w:t>
      </w:r>
    </w:p>
    <w:p w14:paraId="3D7EBC4E" w14:textId="5B56E7C8" w:rsidR="007D6334" w:rsidRPr="00D03260" w:rsidRDefault="007D6334" w:rsidP="007D6334">
      <w:r w:rsidRPr="00D03260">
        <w:t>A study by Wang et al. analysed questionnaires at baseline and 10 years later from a cohort study of 11,318 adults enrolled in the Respiratory Health in Northern Europe (RHINE) study</w:t>
      </w:r>
      <w:r w:rsidR="00A04164" w:rsidRPr="00D03260">
        <w:t>. The study</w:t>
      </w:r>
      <w:r w:rsidRPr="00D03260">
        <w:t xml:space="preserve"> concluded that dampness and mould at home and work can increase the development of insomnia symptoms, snoring and excessive daytime sleepiness, especially with the combined exposure for both dampness and mould at home and at work </w:t>
      </w:r>
      <w:r w:rsidRPr="00D03260">
        <w:fldChar w:fldCharType="begin"/>
      </w:r>
      <w:r w:rsidR="00217980" w:rsidRPr="00D03260">
        <w:instrText xml:space="preserve"> ADDIN ZOTERO_ITEM CSL_CITATION {"citationID":"GGt6BNA4","properties":{"formattedCitation":"(Wang et al., 2020)","plainCitation":"(Wang et al., 2020)","noteIndex":0},"citationItems":[{"id":2073,"uris":["http://zotero.org/groups/4371185/items/P475G5R5"],"itemData":{"id":2073,"type":"article-journal","abstract":"AIM: To investigate whether exposure to dampness and mold at home and at work induce sleep disturbances and daytime sleepiness among adults. MATERIALS AND METHODS:  Associations between onset of sleep disturbances and dampness, mold and mold odor at  home and at work were investigated in a cohort of 11,318 adults from the population  in Iceland, Norway, Sweden, Denmark and Estonia. The participants answered a  questionnaire at baseline and 10 years later, with questions on sleep disturbances,  including difficulty initiating sleep (DIS), difficulty maintaining sleep (DMS),  early morning awakening (EMA), insomnia symptoms, snoring and excessive daytime  sleepiness (EDS). Multiple logistic regression models were applied to estimate  associations adjusting for potential confounders including gender, age, smoking  habit at baseline, change of smoking habit from baseline to follow up, BMI at  baseline, change of BMI from baseline to follow up, education level at follow up,  allergic rhinitis at baseline, doctor diagnosed asthma at baseline and chronic  bronchitis at baseline. RESULTS: Baseline floor dampness, visible mold and mold odor  at home increased onset of DIS, DMS, EMA, insomnia symptoms and snoring during  follow up (OR 1.29-1.87). Any sign of dampness at baseline increased onset of DIS  (OR 1.28, 95%CI 1.06-1.55), DMS (OR 1.17, 95%CI 1.02-1.34) and insomnia symptoms (OR  1.18, 95%CI 1.03-1.36). Dampness at home during follow up increased onset of DIS,  DMS, EMA, insomnia symptoms and EDS (OR 1.17-1.36). Dampness at work during follow  up increased onset of DIS, EMA, insomnia symptoms and EDS (OR 1.16-1.34). Combined  dampness at home and at work during follow up increased the risk of onset of DIS,  DMS, EMA, insomnia symptoms and EDS (OR 1.29-1.74). CONCLUSIONS: Dampness and mold  at home and at work can increase the development of insomnia symptoms, snoring and  EDS among adults.","container-title":"Environment international","DOI":"10.1016/j.envint.2020.105691","ISSN":"1873-6750 0160-4120","journalAbbreviation":"Environ Int","language":"eng","license":"Copyright © 2020 The Authors. Published by Elsevier Ltd.. All rights reserved.","note":"publisher-place: Netherlands\nPMID: 32272294","page":"105691","title":"Dampness and mold at home and at work and onset of insomnia symptoms, snoring and excessive daytime sleepiness.","volume":"139","author":[{"family":"Wang","given":"Juan"},{"family":"Janson","given":"Christer"},{"family":"Lindberg","given":"Eva"},{"family":"Holm","given":"Mathias"},{"family":"Gislason","given":"Thorarinn"},{"family":"Benediktsdóttir","given":"Bryndís"},{"family":"Johannessen","given":"Ane"},{"family":"Schlünssen","given":"Vivi"},{"family":"Jogi","given":"Rain"},{"family":"Franklin","given":"Karl A."},{"family":"Norbäck","given":"Dan"}],"issued":{"date-parts":[["2020",6]]}}}],"schema":"https://github.com/citation-style-language/schema/raw/master/csl-citation.json"} </w:instrText>
      </w:r>
      <w:r w:rsidRPr="00D03260">
        <w:fldChar w:fldCharType="separate"/>
      </w:r>
      <w:r w:rsidRPr="00D03260">
        <w:t>(Wang et al., 2020)</w:t>
      </w:r>
      <w:r w:rsidRPr="00D03260">
        <w:fldChar w:fldCharType="end"/>
      </w:r>
      <w:r w:rsidRPr="00D03260">
        <w:t xml:space="preserve">. The authors did note limitations including that the study was performed in a limited geographic area (Northern Europe), characterised by cold climate and lack of daylight in winter due to short days </w:t>
      </w:r>
      <w:r w:rsidRPr="00D03260">
        <w:fldChar w:fldCharType="begin"/>
      </w:r>
      <w:r w:rsidR="00217980" w:rsidRPr="00D03260">
        <w:instrText xml:space="preserve"> ADDIN ZOTERO_ITEM CSL_CITATION {"citationID":"O579ANnO","properties":{"formattedCitation":"(Wang et al., 2020)","plainCitation":"(Wang et al., 2020)","noteIndex":0},"citationItems":[{"id":2073,"uris":["http://zotero.org/groups/4371185/items/P475G5R5"],"itemData":{"id":2073,"type":"article-journal","abstract":"AIM: To investigate whether exposure to dampness and mold at home and at work induce sleep disturbances and daytime sleepiness among adults. MATERIALS AND METHODS:  Associations between onset of sleep disturbances and dampness, mold and mold odor at  home and at work were investigated in a cohort of 11,318 adults from the population  in Iceland, Norway, Sweden, Denmark and Estonia. The participants answered a  questionnaire at baseline and 10 years later, with questions on sleep disturbances,  including difficulty initiating sleep (DIS), difficulty maintaining sleep (DMS),  early morning awakening (EMA), insomnia symptoms, snoring and excessive daytime  sleepiness (EDS). Multiple logistic regression models were applied to estimate  associations adjusting for potential confounders including gender, age, smoking  habit at baseline, change of smoking habit from baseline to follow up, BMI at  baseline, change of BMI from baseline to follow up, education level at follow up,  allergic rhinitis at baseline, doctor diagnosed asthma at baseline and chronic  bronchitis at baseline. RESULTS: Baseline floor dampness, visible mold and mold odor  at home increased onset of DIS, DMS, EMA, insomnia symptoms and snoring during  follow up (OR 1.29-1.87). Any sign of dampness at baseline increased onset of DIS  (OR 1.28, 95%CI 1.06-1.55), DMS (OR 1.17, 95%CI 1.02-1.34) and insomnia symptoms (OR  1.18, 95%CI 1.03-1.36). Dampness at home during follow up increased onset of DIS,  DMS, EMA, insomnia symptoms and EDS (OR 1.17-1.36). Dampness at work during follow  up increased onset of DIS, EMA, insomnia symptoms and EDS (OR 1.16-1.34). Combined  dampness at home and at work during follow up increased the risk of onset of DIS,  DMS, EMA, insomnia symptoms and EDS (OR 1.29-1.74). CONCLUSIONS: Dampness and mold  at home and at work can increase the development of insomnia symptoms, snoring and  EDS among adults.","container-title":"Environment international","DOI":"10.1016/j.envint.2020.105691","ISSN":"1873-6750 0160-4120","journalAbbreviation":"Environ Int","language":"eng","license":"Copyright © 2020 The Authors. Published by Elsevier Ltd.. All rights reserved.","note":"publisher-place: Netherlands\nPMID: 32272294","page":"105691","title":"Dampness and mold at home and at work and onset of insomnia symptoms, snoring and excessive daytime sleepiness.","volume":"139","author":[{"family":"Wang","given":"Juan"},{"family":"Janson","given":"Christer"},{"family":"Lindberg","given":"Eva"},{"family":"Holm","given":"Mathias"},{"family":"Gislason","given":"Thorarinn"},{"family":"Benediktsdóttir","given":"Bryndís"},{"family":"Johannessen","given":"Ane"},{"family":"Schlünssen","given":"Vivi"},{"family":"Jogi","given":"Rain"},{"family":"Franklin","given":"Karl A."},{"family":"Norbäck","given":"Dan"}],"issued":{"date-parts":[["2020",6]]}}}],"schema":"https://github.com/citation-style-language/schema/raw/master/csl-citation.json"} </w:instrText>
      </w:r>
      <w:r w:rsidRPr="00D03260">
        <w:fldChar w:fldCharType="separate"/>
      </w:r>
      <w:r w:rsidRPr="00D03260">
        <w:t>(Wang et al., 2020)</w:t>
      </w:r>
      <w:r w:rsidRPr="00D03260">
        <w:fldChar w:fldCharType="end"/>
      </w:r>
      <w:r w:rsidRPr="00D03260">
        <w:t>. Therefore, this study may not be generalisable to the Australian setting.</w:t>
      </w:r>
    </w:p>
    <w:p w14:paraId="420AD02E" w14:textId="230BE236" w:rsidR="007D6334" w:rsidRPr="00D03260" w:rsidRDefault="007D6334" w:rsidP="007D6334">
      <w:pPr>
        <w:pStyle w:val="Heading2"/>
      </w:pPr>
      <w:bookmarkStart w:id="456" w:name="_Toc121329233"/>
      <w:bookmarkStart w:id="457" w:name="_Toc121329397"/>
      <w:bookmarkStart w:id="458" w:name="_Toc121834540"/>
      <w:bookmarkStart w:id="459" w:name="_Toc141885970"/>
      <w:r w:rsidRPr="00D03260">
        <w:t>Fatigue</w:t>
      </w:r>
      <w:bookmarkEnd w:id="456"/>
      <w:bookmarkEnd w:id="457"/>
      <w:bookmarkEnd w:id="458"/>
      <w:bookmarkEnd w:id="459"/>
    </w:p>
    <w:p w14:paraId="33E1585E" w14:textId="7C7CA366" w:rsidR="007D6334" w:rsidRPr="00D03260" w:rsidRDefault="007D6334" w:rsidP="007D6334">
      <w:r w:rsidRPr="00D03260">
        <w:t xml:space="preserve">The WHO excluded fatigue in its guideline based on limited research having been reported </w:t>
      </w:r>
      <w:r w:rsidRPr="00D03260">
        <w:fldChar w:fldCharType="begin"/>
      </w:r>
      <w:r w:rsidR="00217980" w:rsidRPr="00D03260">
        <w:instrText xml:space="preserve"> ADDIN ZOTERO_ITEM CSL_CITATION {"citationID":"6m8DFH7K","properties":{"formattedCitation":"(World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 xml:space="preserve">. The NCCEH included fatigue as a health effect for which there was inadequate or insufficient evidence </w:t>
      </w:r>
      <w:r w:rsidRPr="00D03260">
        <w:fldChar w:fldCharType="begin"/>
      </w:r>
      <w:r w:rsidR="00217980" w:rsidRPr="00D03260">
        <w:instrText xml:space="preserve"> ADDIN ZOTERO_ITEM CSL_CITATION {"citationID":"z0tm5sZY","properties":{"formattedCitation":"(Palaty &amp; Shum, 2012)","plainCitation":"(Palaty &amp; Shum, 2012)","noteIndex":0},"citationItems":[{"id":2176,"uris":["http://zotero.org/groups/4371185/items/8UAC2VRS"],"itemData":{"id":2176,"type":"document","language":"English","publisher":"National Collaborating Centre for Environmental Health","title":"Health Effects of Mould exposure or Dampness in Indoor Environments","author":[{"family":"Palaty","given":"Chrystal"},{"family":"Shum","given":"Mona"}],"accessed":{"date-parts":[["2021",9,2]]},"issued":{"date-parts":[["2012",7]]}}}],"schema":"https://github.com/citation-style-language/schema/raw/master/csl-citation.json"} </w:instrText>
      </w:r>
      <w:r w:rsidRPr="00D03260">
        <w:fldChar w:fldCharType="separate"/>
      </w:r>
      <w:r w:rsidRPr="00D03260">
        <w:t>(Palaty &amp; Shum, 2012)</w:t>
      </w:r>
      <w:r w:rsidRPr="00D03260">
        <w:fldChar w:fldCharType="end"/>
      </w:r>
      <w:r w:rsidRPr="00D03260">
        <w:t>.</w:t>
      </w:r>
    </w:p>
    <w:p w14:paraId="6707D7F3" w14:textId="3320C310" w:rsidR="007D6334" w:rsidRPr="00D03260" w:rsidRDefault="007D6334" w:rsidP="007D6334">
      <w:pPr>
        <w:pStyle w:val="Heading2"/>
      </w:pPr>
      <w:bookmarkStart w:id="460" w:name="_Toc121329234"/>
      <w:bookmarkStart w:id="461" w:name="_Toc121329398"/>
      <w:bookmarkStart w:id="462" w:name="_Toc121834541"/>
      <w:bookmarkStart w:id="463" w:name="_Toc141885971"/>
      <w:r w:rsidRPr="00D03260">
        <w:t>Mood disorders, non-specific symptoms, impairment of well-being, and odour effects</w:t>
      </w:r>
      <w:bookmarkEnd w:id="460"/>
      <w:bookmarkEnd w:id="461"/>
      <w:bookmarkEnd w:id="462"/>
      <w:bookmarkEnd w:id="463"/>
    </w:p>
    <w:p w14:paraId="32F48242" w14:textId="77777777" w:rsidR="007D6334" w:rsidRPr="00D03260" w:rsidRDefault="007D6334" w:rsidP="007D6334">
      <w:r w:rsidRPr="00D03260">
        <w:t>Many studies refer to mould odour as one of the exposures of interest when investigating health impacts from exposure to indoor mould or damp.</w:t>
      </w:r>
    </w:p>
    <w:p w14:paraId="6935F6EA" w14:textId="50BC0DF0" w:rsidR="007D6334" w:rsidRPr="00D03260" w:rsidRDefault="007D6334" w:rsidP="007D6334">
      <w:pPr>
        <w:pStyle w:val="Heading3"/>
      </w:pPr>
      <w:bookmarkStart w:id="464" w:name="OdourEffects"/>
      <w:bookmarkStart w:id="465" w:name="_Toc121329235"/>
      <w:bookmarkStart w:id="466" w:name="_Toc121329399"/>
      <w:bookmarkStart w:id="467" w:name="_Toc121834542"/>
      <w:bookmarkStart w:id="468" w:name="_Toc141885972"/>
      <w:bookmarkStart w:id="469" w:name="Section33121OdourEffects"/>
      <w:bookmarkEnd w:id="464"/>
      <w:r w:rsidRPr="00D03260">
        <w:t>Odour effects</w:t>
      </w:r>
      <w:bookmarkEnd w:id="465"/>
      <w:bookmarkEnd w:id="466"/>
      <w:bookmarkEnd w:id="467"/>
      <w:bookmarkEnd w:id="468"/>
    </w:p>
    <w:bookmarkEnd w:id="469"/>
    <w:p w14:paraId="564E6026" w14:textId="2FF04D2B" w:rsidR="007D6334" w:rsidRPr="00D03260" w:rsidRDefault="007D6334" w:rsidP="007D6334">
      <w:r w:rsidRPr="00D03260">
        <w:t xml:space="preserve">Environmental odours can affect health and wellbeing in various ways </w:t>
      </w:r>
      <w:r w:rsidRPr="00D03260">
        <w:fldChar w:fldCharType="begin"/>
      </w:r>
      <w:r w:rsidR="00217980" w:rsidRPr="00D03260">
        <w:instrText xml:space="preserve"> ADDIN ZOTERO_ITEM CSL_CITATION {"citationID":"a8WA7tEe","properties":{"formattedCitation":"(Wiesm\\uc0\\u252{}ller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Mould metabolites can cause relevant odours to be perceived </w:t>
      </w:r>
      <w:r w:rsidRPr="00D03260">
        <w:fldChar w:fldCharType="begin"/>
      </w:r>
      <w:r w:rsidR="00217980" w:rsidRPr="00D03260">
        <w:instrText xml:space="preserve"> ADDIN ZOTERO_ITEM CSL_CITATION {"citationID":"S5GFmBdO","properties":{"formattedCitation":"(Wiesm\\uc0\\u252{}ller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and the sensation of unpleasant odours can cause stress responses and non-specific somatic symptoms such as headache and nausea </w:t>
      </w:r>
      <w:r w:rsidRPr="00D03260">
        <w:fldChar w:fldCharType="begin"/>
      </w:r>
      <w:r w:rsidR="00217980" w:rsidRPr="00D03260">
        <w:instrText xml:space="preserve"> ADDIN ZOTERO_ITEM CSL_CITATION {"citationID":"KaeUwDlm","properties":{"formattedCitation":"(World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 xml:space="preserve">, as well as fatigue, lack of concentration and insomnia </w:t>
      </w:r>
      <w:r w:rsidRPr="00D03260">
        <w:fldChar w:fldCharType="begin"/>
      </w:r>
      <w:r w:rsidR="00217980" w:rsidRPr="00D03260">
        <w:instrText xml:space="preserve"> ADDIN ZOTERO_ITEM CSL_CITATION {"citationID":"7O1DBp66","properties":{"formattedCitation":"(Wiesm\\uc0\\u252{}ller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Regarding indoor moisture/mould damage, the AWMF guidelines advises, “everyone can be affected by odour effects and/or mood disorders[…] However, this is not a health hazard” </w:t>
      </w:r>
      <w:r w:rsidRPr="00D03260">
        <w:fldChar w:fldCharType="begin"/>
      </w:r>
      <w:r w:rsidR="00217980" w:rsidRPr="00D03260">
        <w:instrText xml:space="preserve"> ADDIN ZOTERO_ITEM CSL_CITATION {"citationID":"cQf6Thw8","properties":{"formattedCitation":"(Wiesm\\uc0\\u252{}ller et al., 2017, pp. 168\\uc0\\u8211{}169)","plainCitation":"(Wiesmüller et al., 2017, pp. 168–169)","noteIndex":0},"citationItems":[{"id":2051,"uris":["http://zotero.org/groups/4371185/items/QZ4VYG6U"],"itemData":{"id":2051,"type":"article-journal","container-title":"Allergo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locator":"168-169"}],"schema":"https://github.com/citation-style-language/schema/raw/master/csl-citation.json"} </w:instrText>
      </w:r>
      <w:r w:rsidRPr="00D03260">
        <w:fldChar w:fldCharType="separate"/>
      </w:r>
      <w:r w:rsidRPr="00D03260">
        <w:t>(Wiesmüller et al., 2017, pp. 168–169)</w:t>
      </w:r>
      <w:r w:rsidRPr="00D03260">
        <w:fldChar w:fldCharType="end"/>
      </w:r>
      <w:r w:rsidRPr="00D03260">
        <w:t xml:space="preserve">. Predisposing factors for odour effects can include context and adaptation effects, genetic and hormonal influences, and imprinting, whereas, predisposing factors for mood disorders may include anxiety, environmental concerns, condition and attribution, along with various diseases </w:t>
      </w:r>
      <w:r w:rsidRPr="00D03260">
        <w:fldChar w:fldCharType="begin"/>
      </w:r>
      <w:r w:rsidR="00217980" w:rsidRPr="00D03260">
        <w:instrText xml:space="preserve"> ADDIN ZOTERO_ITEM CSL_CITATION {"citationID":"sg8SvoTL","properties":{"formattedCitation":"(Wiesm\\uc0\\u252{}ller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17CB7649" w14:textId="216D94C0" w:rsidR="007D6334" w:rsidRPr="00D03260" w:rsidRDefault="007D6334" w:rsidP="007D6334">
      <w:r w:rsidRPr="00D03260">
        <w:t xml:space="preserve">The perception and cognitive appraisal of – and thus also sensitivity to – odours are subject to considerable inter-individual variability, with genetic and hormonal factors, as well as character, context and adaptation effects, playing a role </w:t>
      </w:r>
      <w:r w:rsidRPr="00D03260">
        <w:fldChar w:fldCharType="begin"/>
      </w:r>
      <w:r w:rsidR="00217980" w:rsidRPr="00D03260">
        <w:instrText xml:space="preserve"> ADDIN ZOTERO_ITEM CSL_CITATION {"citationID":"beKZnpDm","properties":{"formattedCitation":"(Wiesm\\uc0\\u252{}ller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7385983F" w14:textId="77777777" w:rsidR="007D6334" w:rsidRPr="00D03260" w:rsidRDefault="007D6334" w:rsidP="007D6334">
      <w:r w:rsidRPr="00D03260">
        <w:t>The AWMF guideline noted the following points about odours:</w:t>
      </w:r>
    </w:p>
    <w:p w14:paraId="672E9EE6" w14:textId="77777777" w:rsidR="007D6334" w:rsidRPr="00D03260" w:rsidRDefault="007D6334" w:rsidP="007D6334">
      <w:pPr>
        <w:pStyle w:val="ListBullet"/>
        <w:rPr>
          <w:color w:val="auto"/>
        </w:rPr>
      </w:pPr>
      <w:r w:rsidRPr="00D03260">
        <w:rPr>
          <w:color w:val="auto"/>
        </w:rPr>
        <w:t>It has not yet been elucidated whether biological signalling effects come from microbial volatile organic compounds (MVOCs) at the low μg/m</w:t>
      </w:r>
      <w:r w:rsidRPr="00D03260">
        <w:rPr>
          <w:color w:val="auto"/>
          <w:vertAlign w:val="superscript"/>
        </w:rPr>
        <w:t>3</w:t>
      </w:r>
      <w:r w:rsidRPr="00D03260">
        <w:rPr>
          <w:color w:val="auto"/>
        </w:rPr>
        <w:t>-range levels found indoors</w:t>
      </w:r>
    </w:p>
    <w:p w14:paraId="0292BAB2" w14:textId="77777777" w:rsidR="007D6334" w:rsidRPr="00D03260" w:rsidRDefault="007D6334" w:rsidP="007D6334">
      <w:pPr>
        <w:pStyle w:val="ListBullet"/>
        <w:rPr>
          <w:color w:val="auto"/>
        </w:rPr>
      </w:pPr>
      <w:r w:rsidRPr="00D03260">
        <w:rPr>
          <w:color w:val="auto"/>
        </w:rPr>
        <w:t>Olfactory–psychological coupling reactions with non-specific symptoms are possible in the case of cacosmia-related abnormalities; toxic reactions, on the other hand, are unlikely</w:t>
      </w:r>
    </w:p>
    <w:p w14:paraId="5210E9AC" w14:textId="77777777" w:rsidR="007D6334" w:rsidRPr="00D03260" w:rsidRDefault="007D6334" w:rsidP="007D6334">
      <w:pPr>
        <w:pStyle w:val="ListBullet"/>
        <w:rPr>
          <w:color w:val="auto"/>
        </w:rPr>
      </w:pPr>
      <w:r w:rsidRPr="00D03260">
        <w:rPr>
          <w:color w:val="auto"/>
        </w:rPr>
        <w:t>There are other sources of microbial volatile organic compound (MVOC) besides microbial sources (e.g., tobacco smoke, cooking, baking, roasting, pot plant soil, compost bin, etc.)</w:t>
      </w:r>
    </w:p>
    <w:p w14:paraId="6DE14F5D" w14:textId="77777777" w:rsidR="007D6334" w:rsidRPr="00D03260" w:rsidRDefault="007D6334" w:rsidP="007D6334">
      <w:pPr>
        <w:pStyle w:val="ListBullet"/>
        <w:rPr>
          <w:color w:val="auto"/>
        </w:rPr>
      </w:pPr>
      <w:r w:rsidRPr="00D03260">
        <w:rPr>
          <w:color w:val="auto"/>
        </w:rPr>
        <w:t>A distinction needs to be made between direct physiological effects; odour perception; odour pollution as an effect of the odour on an emotional level; and indirect physiological effects due to odour pollution and the resulting chronic stress.</w:t>
      </w:r>
    </w:p>
    <w:p w14:paraId="77AE987F" w14:textId="060CC889" w:rsidR="007D6334" w:rsidRPr="00D03260" w:rsidRDefault="007D6334" w:rsidP="007D6334">
      <w:r w:rsidRPr="00D03260">
        <w:t xml:space="preserve">In the reality of environmental health analysis, it is not always possible to distinguish between the health effects caused by odours via the above-mentioned mechanisms </w:t>
      </w:r>
      <w:r w:rsidRPr="00D03260">
        <w:fldChar w:fldCharType="begin"/>
      </w:r>
      <w:r w:rsidR="00217980" w:rsidRPr="00D03260">
        <w:instrText xml:space="preserve"> ADDIN ZOTERO_ITEM CSL_CITATION {"citationID":"4uvvi82e","properties":{"formattedCitation":"(Wiesm\\uc0\\u252{}ller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001D27C4" w14:textId="50B32E1E" w:rsidR="007D6334" w:rsidRPr="00D03260" w:rsidRDefault="007D6334" w:rsidP="007D6334">
      <w:r w:rsidRPr="00D03260">
        <w:t xml:space="preserve">Impairments of well-being play a major role in environment-associated disorders in general and in indoor-associated health disorders in particular, and that complaints are presented as impairment of mental, physical and social well-being and feeling of subjective impaired productivity </w:t>
      </w:r>
      <w:r w:rsidRPr="00D03260">
        <w:fldChar w:fldCharType="begin"/>
      </w:r>
      <w:r w:rsidR="00217980" w:rsidRPr="00D03260">
        <w:instrText xml:space="preserve"> ADDIN ZOTERO_ITEM CSL_CITATION {"citationID":"JoYT4oRO","properties":{"formattedCitation":"((Wiesm\\uc0\\u252{}ller et al. 2003 in Hurra\\uc0\\u223{} et al., 2017)","plainCitation":"((Wiesmüller et al. 2003 in 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prefix":"(Wiesmüller et al. 2003 in "}],"schema":"https://github.com/citation-style-language/schema/raw/master/csl-citation.json"} </w:instrText>
      </w:r>
      <w:r w:rsidRPr="00D03260">
        <w:fldChar w:fldCharType="separate"/>
      </w:r>
      <w:r w:rsidRPr="00D03260">
        <w:t>((Wiesmüller et al. 2003 in Hurraß et al., 2017)</w:t>
      </w:r>
      <w:r w:rsidRPr="00D03260">
        <w:fldChar w:fldCharType="end"/>
      </w:r>
      <w:r w:rsidRPr="00D03260">
        <w:t xml:space="preserve">. As an emotional experience, they can be described as annoyance reactions that include cognitive evaluation of specific environmental stimuli </w:t>
      </w:r>
      <w:r w:rsidRPr="00D03260">
        <w:fldChar w:fldCharType="begin"/>
      </w:r>
      <w:r w:rsidR="00217980" w:rsidRPr="00D03260">
        <w:instrText xml:space="preserve"> ADDIN ZOTERO_ITEM CSL_CITATION {"citationID":"ohd2tvMt","properties":{"formattedCitation":"(Wiesm\\uc0\\u252{}ller et al. 2003 in Hurra\\uc0\\u223{} et al., 2017)","plainCitation":"(Wiesmüller et al. 2003 in Hurraß et al., 2017)","noteIndex":0},"citationItems":[{"id":2217,"uris":["http://zotero.org/groups/4371185/items/542KM3BH"],"itemData":{"id":2217,"type":"article-journal","abstract":"In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prefix":"Wiesmüller et al. 2003 in"}],"schema":"https://github.com/citation-style-language/schema/raw/master/csl-citation.json"} </w:instrText>
      </w:r>
      <w:r w:rsidRPr="00D03260">
        <w:fldChar w:fldCharType="separate"/>
      </w:r>
      <w:r w:rsidRPr="00D03260">
        <w:t>(Wiesmüller et al. 2003 in Hurraß et al., 2017)</w:t>
      </w:r>
      <w:r w:rsidRPr="00D03260">
        <w:fldChar w:fldCharType="end"/>
      </w:r>
      <w:r w:rsidRPr="00D03260">
        <w:t>.</w:t>
      </w:r>
    </w:p>
    <w:p w14:paraId="798B45C5" w14:textId="0C4F322A" w:rsidR="007D6334" w:rsidRPr="00D03260" w:rsidRDefault="007D6334" w:rsidP="007D6334">
      <w:r w:rsidRPr="00D03260">
        <w:t xml:space="preserve">Although mood disorders as a health effect are possible, the AWMF guideline advised these are not mediated via toxicological mechanisms, but rather via conditioning, attribution (of links), or stress. Mood disorders can be understood as precursors to somatic dysfunction </w:t>
      </w:r>
      <w:r w:rsidRPr="00D03260">
        <w:fldChar w:fldCharType="begin"/>
      </w:r>
      <w:r w:rsidR="00217980" w:rsidRPr="00D03260">
        <w:instrText xml:space="preserve"> ADDIN ZOTERO_ITEM CSL_CITATION {"citationID":"M0jkJOdE","properties":{"formattedCitation":"(Wiesm\\uc0\\u252{}ller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w:t>
      </w:r>
    </w:p>
    <w:p w14:paraId="6F007FEA" w14:textId="36D5819A" w:rsidR="007D6334" w:rsidRPr="00D03260" w:rsidRDefault="007D6334" w:rsidP="007D6334">
      <w:pPr>
        <w:pStyle w:val="Heading3"/>
      </w:pPr>
      <w:bookmarkStart w:id="470" w:name="_Toc121329236"/>
      <w:bookmarkStart w:id="471" w:name="_Toc121329400"/>
      <w:bookmarkStart w:id="472" w:name="_Toc121834543"/>
      <w:bookmarkStart w:id="473" w:name="_Toc141885973"/>
      <w:r w:rsidRPr="00D03260">
        <w:t>Non-specific building related syndrome (NBRS-formally called SBS) and chemical intolerance</w:t>
      </w:r>
      <w:bookmarkEnd w:id="470"/>
      <w:bookmarkEnd w:id="471"/>
      <w:bookmarkEnd w:id="472"/>
      <w:bookmarkEnd w:id="473"/>
    </w:p>
    <w:p w14:paraId="01382B13" w14:textId="3FADAC4A" w:rsidR="007D6334" w:rsidRPr="00D03260" w:rsidRDefault="007D6334" w:rsidP="007D6334">
      <w:r w:rsidRPr="00D03260">
        <w:t xml:space="preserve">NBRS and chemical intolerance can, in severe cases lead to significant disability, poor quality of life, suffering of individuals and costly loss of productivity to society </w:t>
      </w:r>
      <w:r w:rsidRPr="00D03260">
        <w:fldChar w:fldCharType="begin"/>
      </w:r>
      <w:r w:rsidR="00217980" w:rsidRPr="00D03260">
        <w:instrText xml:space="preserve"> ADDIN ZOTERO_ITEM CSL_CITATION {"citationID":"zmD8tHIf","properties":{"formattedCitation":"(Nordin, 2020)","plainCitation":"(Nordin, 2020)","noteIndex":0},"citationItems":[{"id":2201,"uris":["http://zotero.org/groups/4371185/items/SM2GA43D"],"itemData":{"id":2201,"type":"article-journal","abstract":"Indoor air health problems of the type non-specific building-related symptoms (NBRS; formally called \"sick-building syndrome\") and chemical intolerance (CI; e.g. multiple chemical sensitivity) can in severe cases lead to significant disability and poor quality of life. Apart from suffering of the afflicted individuals, the productivity loss ascribed to environmental intolerances of this kind is very costly for society. Preventive measures and appropriate treatment call for understanding of the mechanism underlying NBRS and CI. Considerable similarities between NBRS and CI suggest that the two conditions at large share mechanisms. Since typical cases of these conditions cannot be explained by toxic exposure, the present objective is to describe underlying mechanisms of psychobiological nature for which there is well-developed theoretical ground and empirical support. Focus lies on the mechanisms neurogenic inflammation and neural sensitization. Apart from describing its basic mechanisms, neurogenic inflammation is reviewed in relation to NBRS and CI regarding neurogenic switching, activation of the autonomic nervous system and axon reflex as well as interaction effects between chemical irritants, allergens, and psychosocial stressors. In addition to describing various types of sensitization, empirical support for their role in NBRS and CI is reviewed. The mechanism classical conditioning, symptom misattribution and somatosensory amplification, and nocebo are also addressed. The review rounds off with a discussion on why only a subset of individuals exposed to these indoor environments develop NBRS and CI, and a discussion on integration of the presented mechanisms, accompanied by proposed hypotheses for future research.","container-title":"International Journal of Hygiene &amp; Environmental Health","DOI":"10.1016/j.ijheh.2020.113489","ISSN":"1438-4639","journalAbbreviation":"International Journal of Hygiene &amp; Environmental Health","note":"publisher-place: London,\npublisher: Elsevier GmbH, Urban &amp; Fischer Verlag","source":"EBSCOhost","title":"Mechanisms underlying nontoxic indoor air health problems: A review.","URL":"http://search.ebscohost.com/login.aspx?direct=true&amp;db=ccm&amp;AN=142771128&amp;site=ehost-live","volume":"226","author":[{"family":"Nordin","given":"Steven"}],"issued":{"date-parts":[["2020",5]]}}}],"schema":"https://github.com/citation-style-language/schema/raw/master/csl-citation.json"} </w:instrText>
      </w:r>
      <w:r w:rsidRPr="00D03260">
        <w:fldChar w:fldCharType="separate"/>
      </w:r>
      <w:r w:rsidRPr="00D03260">
        <w:t>(Nordin, 2020)</w:t>
      </w:r>
      <w:r w:rsidRPr="00D03260">
        <w:fldChar w:fldCharType="end"/>
      </w:r>
      <w:r w:rsidRPr="00D03260">
        <w:t xml:space="preserve">. Nordin noted NBRS and chemical intolerance are regarded as functional somatic syndromes and idiopathic environmental intolerances and that typical cases cannot be explained by toxic exposure. Furthermore, the multi-faceted similarities between NBRS and CI strongly favour the notion that the two conditions at large share underlying mechanisms. As such, preventive measures and appropriate treatment call for understanding of the mechanisms underlying NBRS and CI </w:t>
      </w:r>
      <w:r w:rsidRPr="00D03260">
        <w:fldChar w:fldCharType="begin"/>
      </w:r>
      <w:r w:rsidR="00217980" w:rsidRPr="00D03260">
        <w:instrText xml:space="preserve"> ADDIN ZOTERO_ITEM CSL_CITATION {"citationID":"VdPXOCUm","properties":{"formattedCitation":"(Nordin, 2020)","plainCitation":"(Nordin, 2020)","noteIndex":0},"citationItems":[{"id":2201,"uris":["http://zotero.org/groups/4371185/items/SM2GA43D"],"itemData":{"id":2201,"type":"article-journal","abstract":"Indoor air health problems of the type non-specific building-related symptoms (NBRS; formally called \"sick-building syndrome\") and chemical intolerance (CI; e.g. multiple chemical sensitivity) can in severe cases lead to significant disability and poor quality of life. Apart from suffering of the afflicted individuals, the productivity loss ascribed to environmental intolerances of this kind is very costly for society. Preventive measures and appropriate treatment call for understanding of the mechanism underlying NBRS and CI. Considerable similarities between NBRS and CI suggest that the two conditions at large share mechanisms. Since typical cases of these conditions cannot be explained by toxic exposure, the present objective is to describe underlying mechanisms of psychobiological nature for which there is well-developed theoretical ground and empirical support. Focus lies on the mechanisms neurogenic inflammation and neural sensitization. Apart from describing its basic mechanisms, neurogenic inflammation is reviewed in relation to NBRS and CI regarding neurogenic switching, activation of the autonomic nervous system and axon reflex as well as interaction effects between chemical irritants, allergens, and psychosocial stressors. In addition to describing various types of sensitization, empirical support for their role in NBRS and CI is reviewed. The mechanism classical conditioning, symptom misattribution and somatosensory amplification, and nocebo are also addressed. The review rounds off with a discussion on why only a subset of individuals exposed to these indoor environments develop NBRS and CI, and a discussion on integration of the presented mechanisms, accompanied by proposed hypotheses for future research.","container-title":"International Journal of Hygiene &amp; Environmental Health","DOI":"10.1016/j.ijheh.2020.113489","ISSN":"1438-4639","journalAbbreviation":"International Journal of Hygiene &amp; Environmental Health","note":"publisher-place: London,\npublisher: Elsevier GmbH, Urban &amp; Fischer Verlag","source":"EBSCOhost","title":"Mechanisms underlying nontoxic indoor air health problems: A review.","URL":"http://search.ebscohost.com/login.aspx?direct=true&amp;db=ccm&amp;AN=142771128&amp;site=ehost-live","volume":"226","author":[{"family":"Nordin","given":"Steven"}],"issued":{"date-parts":[["2020",5]]}}}],"schema":"https://github.com/citation-style-language/schema/raw/master/csl-citation.json"} </w:instrText>
      </w:r>
      <w:r w:rsidRPr="00D03260">
        <w:fldChar w:fldCharType="separate"/>
      </w:r>
      <w:r w:rsidRPr="00D03260">
        <w:t>(Nordin, 2020)</w:t>
      </w:r>
      <w:r w:rsidRPr="00D03260">
        <w:fldChar w:fldCharType="end"/>
      </w:r>
      <w:r w:rsidRPr="00D03260">
        <w:t>.</w:t>
      </w:r>
    </w:p>
    <w:p w14:paraId="62D91D24" w14:textId="5B5DBF7C" w:rsidR="007D6334" w:rsidRPr="00D03260" w:rsidRDefault="007D6334" w:rsidP="007D6334">
      <w:r w:rsidRPr="00D03260">
        <w:t xml:space="preserve">Nordin addressed the question about toxicity as an explanation of NBRS and chemical intolerance, noting, typical cases cannot be explained by toxicity since such criteria are not fulfilled, and only a subset of people from the general population or any given chemically exposed group develop these conditions </w:t>
      </w:r>
      <w:r w:rsidRPr="00D03260">
        <w:fldChar w:fldCharType="begin"/>
      </w:r>
      <w:r w:rsidR="00217980" w:rsidRPr="00D03260">
        <w:instrText xml:space="preserve"> ADDIN ZOTERO_ITEM CSL_CITATION {"citationID":"PTXa71JC","properties":{"formattedCitation":"(Nordin, 2020)","plainCitation":"(Nordin, 2020)","noteIndex":0},"citationItems":[{"id":2201,"uris":["http://zotero.org/groups/4371185/items/SM2GA43D"],"itemData":{"id":2201,"type":"article-journal","abstract":"Indoor air health problems of the type non-specific building-related symptoms (NBRS; formally called \"sick-building syndrome\") and chemical intolerance (CI; e.g. multiple chemical sensitivity) can in severe cases lead to significant disability and poor quality of life. Apart from suffering of the afflicted individuals, the productivity loss ascribed to environmental intolerances of this kind is very costly for society. Preventive measures and appropriate treatment call for understanding of the mechanism underlying NBRS and CI. Considerable similarities between NBRS and CI suggest that the two conditions at large share mechanisms. Since typical cases of these conditions cannot be explained by toxic exposure, the present objective is to describe underlying mechanisms of psychobiological nature for which there is well-developed theoretical ground and empirical support. Focus lies on the mechanisms neurogenic inflammation and neural sensitization. Apart from describing its basic mechanisms, neurogenic inflammation is reviewed in relation to NBRS and CI regarding neurogenic switching, activation of the autonomic nervous system and axon reflex as well as interaction effects between chemical irritants, allergens, and psychosocial stressors. In addition to describing various types of sensitization, empirical support for their role in NBRS and CI is reviewed. The mechanism classical conditioning, symptom misattribution and somatosensory amplification, and nocebo are also addressed. The review rounds off with a discussion on why only a subset of individuals exposed to these indoor environments develop NBRS and CI, and a discussion on integration of the presented mechanisms, accompanied by proposed hypotheses for future research.","container-title":"International Journal of Hygiene &amp; Environmental Health","DOI":"10.1016/j.ijheh.2020.113489","ISSN":"1438-4639","journalAbbreviation":"International Journal of Hygiene &amp; Environmental Health","note":"publisher-place: London,\npublisher: Elsevier GmbH, Urban &amp; Fischer Verlag","source":"EBSCOhost","title":"Mechanisms underlying nontoxic indoor air health problems: A review.","URL":"http://search.ebscohost.com/login.aspx?direct=true&amp;db=ccm&amp;AN=142771128&amp;site=ehost-live","volume":"226","author":[{"family":"Nordin","given":"Steven"}],"issued":{"date-parts":[["2020",5]]}}}],"schema":"https://github.com/citation-style-language/schema/raw/master/csl-citation.json"} </w:instrText>
      </w:r>
      <w:r w:rsidRPr="00D03260">
        <w:fldChar w:fldCharType="separate"/>
      </w:r>
      <w:r w:rsidRPr="00D03260">
        <w:t>(Nordin, 2020)</w:t>
      </w:r>
      <w:r w:rsidRPr="00D03260">
        <w:fldChar w:fldCharType="end"/>
      </w:r>
      <w:r w:rsidRPr="00D03260">
        <w:t xml:space="preserve">. He noted, as the WHO had done, that no study has shown that people living in damp buildings with nervous system symptoms are exposed to effective levels of </w:t>
      </w:r>
      <w:r w:rsidRPr="00D03260">
        <w:rPr>
          <w:i/>
          <w:iCs/>
        </w:rPr>
        <w:t>Stachybotrys</w:t>
      </w:r>
      <w:r w:rsidRPr="00D03260">
        <w:t xml:space="preserve"> or other mycotoxin-producing moulds.</w:t>
      </w:r>
    </w:p>
    <w:p w14:paraId="3E3FD27C" w14:textId="71BFCCDB" w:rsidR="007D6334" w:rsidRPr="00D03260" w:rsidRDefault="007D6334" w:rsidP="007D6334">
      <w:r w:rsidRPr="00D03260">
        <w:t xml:space="preserve">As the mechanisms underlying NBRS and CI are not attributable to toxicity, Nordin takes a biopsychosocial perspective through a ‘state-of-the-art’ review of neurogenic inflammation, neural sensitisation, classical conditioning, symptom misattribution and somatosensory amplification, and nocebo </w:t>
      </w:r>
      <w:proofErr w:type="gramStart"/>
      <w:r w:rsidRPr="00D03260">
        <w:t>with regard to</w:t>
      </w:r>
      <w:proofErr w:type="gramEnd"/>
      <w:r w:rsidRPr="00D03260">
        <w:t xml:space="preserve"> these environmental intolerances. Nordin noted these mechanisms also underlie various other types of functional somatic symptoms </w:t>
      </w:r>
      <w:r w:rsidRPr="00D03260">
        <w:fldChar w:fldCharType="begin"/>
      </w:r>
      <w:r w:rsidR="00217980" w:rsidRPr="00D03260">
        <w:instrText xml:space="preserve"> ADDIN ZOTERO_ITEM CSL_CITATION {"citationID":"NyEgoLTz","properties":{"formattedCitation":"(Nordin, 2020)","plainCitation":"(Nordin, 2020)","noteIndex":0},"citationItems":[{"id":2201,"uris":["http://zotero.org/groups/4371185/items/SM2GA43D"],"itemData":{"id":2201,"type":"article-journal","abstract":"Indoor air health problems of the type non-specific building-related symptoms (NBRS; formally called \"sick-building syndrome\") and chemical intolerance (CI; e.g. multiple chemical sensitivity) can in severe cases lead to significant disability and poor quality of life. Apart from suffering of the afflicted individuals, the productivity loss ascribed to environmental intolerances of this kind is very costly for society. Preventive measures and appropriate treatment call for understanding of the mechanism underlying NBRS and CI. Considerable similarities between NBRS and CI suggest that the two conditions at large share mechanisms. Since typical cases of these conditions cannot be explained by toxic exposure, the present objective is to describe underlying mechanisms of psychobiological nature for which there is well-developed theoretical ground and empirical support. Focus lies on the mechanisms neurogenic inflammation and neural sensitization. Apart from describing its basic mechanisms, neurogenic inflammation is reviewed in relation to NBRS and CI regarding neurogenic switching, activation of the autonomic nervous system and axon reflex as well as interaction effects between chemical irritants, allergens, and psychosocial stressors. In addition to describing various types of sensitization, empirical support for their role in NBRS and CI is reviewed. The mechanism classical conditioning, symptom misattribution and somatosensory amplification, and nocebo are also addressed. The review rounds off with a discussion on why only a subset of individuals exposed to these indoor environments develop NBRS and CI, and a discussion on integration of the presented mechanisms, accompanied by proposed hypotheses for future research.","container-title":"International Journal of Hygiene &amp; Environmental Health","DOI":"10.1016/j.ijheh.2020.113489","ISSN":"1438-4639","journalAbbreviation":"International Journal of Hygiene &amp; Environmental Health","note":"publisher-place: London,\npublisher: Elsevier GmbH, Urban &amp; Fischer Verlag","source":"EBSCOhost","title":"Mechanisms underlying nontoxic indoor air health problems: A review.","URL":"http://search.ebscohost.com/login.aspx?direct=true&amp;db=ccm&amp;AN=142771128&amp;site=ehost-live","volume":"226","author":[{"family":"Nordin","given":"Steven"}],"issued":{"date-parts":[["2020",5]]}}}],"schema":"https://github.com/citation-style-language/schema/raw/master/csl-citation.json"} </w:instrText>
      </w:r>
      <w:r w:rsidRPr="00D03260">
        <w:fldChar w:fldCharType="separate"/>
      </w:r>
      <w:r w:rsidRPr="00D03260">
        <w:t>(Nordin, 2020)</w:t>
      </w:r>
      <w:r w:rsidRPr="00D03260">
        <w:fldChar w:fldCharType="end"/>
      </w:r>
      <w:r w:rsidRPr="00D03260">
        <w:t>.</w:t>
      </w:r>
    </w:p>
    <w:p w14:paraId="317AAD46" w14:textId="3CF8CA81" w:rsidR="007D6334" w:rsidRPr="00D03260" w:rsidRDefault="007D6334" w:rsidP="007D6334">
      <w:pPr>
        <w:pStyle w:val="Heading2"/>
      </w:pPr>
      <w:bookmarkStart w:id="474" w:name="_Toc121329237"/>
      <w:bookmarkStart w:id="475" w:name="_Toc121329401"/>
      <w:bookmarkStart w:id="476" w:name="_Toc121834544"/>
      <w:bookmarkStart w:id="477" w:name="_Toc141885974"/>
      <w:r w:rsidRPr="00D03260">
        <w:t>Mycotoxicosis</w:t>
      </w:r>
      <w:bookmarkEnd w:id="474"/>
      <w:bookmarkEnd w:id="475"/>
      <w:bookmarkEnd w:id="476"/>
      <w:bookmarkEnd w:id="477"/>
    </w:p>
    <w:p w14:paraId="4A56222F" w14:textId="54CCDD2C" w:rsidR="007D6334" w:rsidRPr="00D03260" w:rsidRDefault="007D6334" w:rsidP="007D6334">
      <w:r w:rsidRPr="00D03260">
        <w:t xml:space="preserve">Mycotoxicosis describes the systemic effects (poisoning) caused by mycotoxins produced by moulds and have been well-documented and occur in humans and animals upon oral ingestion of contaminated foods </w:t>
      </w:r>
      <w:r w:rsidRPr="00D03260">
        <w:fldChar w:fldCharType="begin"/>
      </w:r>
      <w:r w:rsidR="00217980" w:rsidRPr="00D03260">
        <w:instrText xml:space="preserve"> ADDIN ZOTERO_ITEM CSL_CITATION {"citationID":"xRoF1heS","properties":{"formattedCitation":"(Borchers et al., 2017; Hurra\\uc0\\u223{} et al., 2017; Wiesm\\uc0\\u252{}ller et al., 2017)","plainCitation":"(Borchers et al., 2017; Hurraß et al., 2017; Wiesmüller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Eric"}],"issued":{"date-parts":[["2017"]]}}},{"id":2217,"uris":["http://zotero.org/groups/4371185/items/542KM3BH"],"itemData":{"id":2217,"type":"article-journal","abstract":"In April 2016, the German Society of Hygiene, Environmental Medicine and Preventative Medicine (Gesellschaft für Hygiene, Umweltmedizin und Präventivmedizin (GHUP)) together with other scientific medical societies, German and Austrian medical societies, physician unions and experts has provided an AWMF (Association of the Scientific Medical Societies) guideline 'Medical diagnostics for indoor mold exposure'. This guideline shall help physicians to advise and treat patients exposed indoors to mold. Indoor mold growth is a potential health risk, even without a quantitative and/or causal association between the occurrence of individual mold species and health effects. Apart from the allergic bronchopulmonary aspergillosis (ABPA) and the mycoses caused by mold, there is only sufficient evidence for the following associations between moisture/mold damages and different health effects: Allergic respiratory diseases, asthma (manifestation, progression, exacerbation), allergic rhinitis, exogenous allergic alveolitis and respiratory tract infections/bronchitis. In comparison to other environmental allergens, the sensitizing potential of molds is estimated to be low. Recent studies show a prevalence of sensitization of 3-10% in the total population of Europe. The evidence for associations to mucous membrane irritation and atopic eczema (manifestation, progression, exacerbation) is classified as limited or suspected. Inadequate or insufficient evidence for an association is given for COPD, acute idiopathic pulmonary hemorrhage in children, rheumatism/arthritis, sarcoidosis, and cancer. The risk of infections from indoor molds is low for healthy individuals. Only molds that are capable to form toxins can cause intoxications. The environmental and growth conditions and especially the substrate determine whether toxin formation occurs, but indoor air concentrations are always very low. In the case of indoor moisture/mold damages, everyone can be affected by odor effects and/or impairment of well-being. Predisposing factors for odor effects can be given by genetic and hormonal influences, imprinting, context and adaptation effects. Predisposing factors for impairment of well-being are environmental concerns, anxieties, conditioning and attributions as well as a variety of diseases. Risk groups that must be protected are patients with immunosuppression and with mucoviscidosis (cystic fibrosis) with regard to infections and individuals with mucoviscidosis and asthma with regard to allergies. If an association between mold exposure and health effects is suspected, the medical diagnosis includes medical history, physical examination, conventional allergy diagnosis, and if indicated, provocation tests. For the treatment of mold infections, it is referred to the AWMF guidelines for diagnosis and treatment of invasive Aspergillus infections. Regarding mycotoxins, there are currently no validated test methods that could be used in clinical diagnostics. From the perspective of preventive medicine, it is important that mold damages cannot be tolerated in indoor environments.","container-title":"International Journal of Hygiene &amp; Environmental Health","DOI":"10.1016/j.ijheh.2016.11.012","ISSN":"1438-4639","issue":"2B","journalAbbreviation":"International Journal of Hygiene &amp; Environmental Health","note":"publisher-place: London,\npublisher: Elsevier GmbH, Urban &amp; Fischer Verlag","page":"305-328","source":"EBSCOhost","title":"Medical diagnostics for indoor mold exposure.","volume":"220","author":[{"family":"Hurraß","given":"Julia"},{"family":"Heinzow","given":"Birger"},{"family":"Aurbach","given":"Ute"},{"family":"Bergmann","given":"Karl-Christian"},{"family":"Bufe","given":"Albrecht"},{"family":"Buzina","given":"Walter"},{"family":"Cornely","given":"Oliver A."},{"family":"Engelhart","given":"Steffen"},{"family":"Fischer","given":"Guido"},{"family":"Gabrio","given":"Thomas"},{"family":"Heinz","given":"Werner"},{"family":"Herr","given":"Caroline E.W."},{"family":"Kleine-Tebbe","given":"Jörg"},{"family":"Klimek","given":"Ludger"},{"family":"Köberle","given":"Martin"},{"family":"Lichtnecker","given":"Herbert"},{"family":"Lob-Corzilius","given":"Thomas"},{"family":"Merget","given":"Rolf"},{"family":"Mülleneisen","given":"Norbert"},{"family":"Nowak","given":"Dennis"}],"issued":{"date-parts":[["2017",4]]}}},{"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(Borchers et al., 2017; Hurraß et al., 2017; Wiesmüller et al., 2017)</w:t>
      </w:r>
      <w:r w:rsidRPr="00D03260">
        <w:fldChar w:fldCharType="end"/>
      </w:r>
      <w:r w:rsidRPr="00D03260">
        <w:t xml:space="preserve">. In 2009, the WHO advised that while mycotoxins can induce a wide range of adverse health effects in both animals and human beings, the evidence that they play a role in health problems related to indoor air is “extremely weak” </w:t>
      </w:r>
      <w:r w:rsidRPr="00D03260">
        <w:fldChar w:fldCharType="begin"/>
      </w:r>
      <w:r w:rsidR="00217980" w:rsidRPr="00D03260">
        <w:instrText xml:space="preserve"> ADDIN ZOTERO_ITEM CSL_CITATION {"citationID":"t0cQVBx1","properties":{"formattedCitation":"(World Health Organization, 2009, p. 81)","plainCitation":"(World Health Organization, 2009, p. 81)","noteIndex":0},"citationItems":[{"id":2180,"uris":["http://zotero.org/groups/4371185/items/T4A7D2R4"],"itemData":{"id":2180,"type":"report","abstract":"Microbial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Organization","given":""}],"contributor":[{"family":"Rosen","given":"J"}],"accessed":{"date-parts":[["2021",8,20]]},"issued":{"date-parts":[["2009"]]}},"locator":"81"}],"schema":"https://github.com/citation-style-language/schema/raw/master/csl-citation.json"} </w:instrText>
      </w:r>
      <w:r w:rsidRPr="00D03260">
        <w:fldChar w:fldCharType="separate"/>
      </w:r>
      <w:r w:rsidRPr="00D03260">
        <w:t>(World Health Organization, 2009, p. 81)</w:t>
      </w:r>
      <w:r w:rsidRPr="00D03260">
        <w:fldChar w:fldCharType="end"/>
      </w:r>
      <w:r w:rsidRPr="00D03260">
        <w:t xml:space="preserve">. </w:t>
      </w:r>
    </w:p>
    <w:p w14:paraId="656A310D" w14:textId="77777777" w:rsidR="007D6334" w:rsidRPr="00D03260" w:rsidRDefault="007D6334" w:rsidP="007D6334">
      <w:r w:rsidRPr="00D03260">
        <w:t>Of mycotoxicosis, the 2017 AWMF guideline stated:</w:t>
      </w:r>
    </w:p>
    <w:p w14:paraId="35E8A09B" w14:textId="2955D881" w:rsidR="007D6334" w:rsidRPr="00D03260" w:rsidRDefault="007D6334" w:rsidP="007D6334">
      <w:pPr>
        <w:pStyle w:val="Quote"/>
      </w:pPr>
      <w:r w:rsidRPr="00D03260">
        <w:t xml:space="preserve">There is no reliable knowledge to date of indoor airborne mycotoxin poisoning. It also remains to be established whether mycotoxin levels in indoor air are relevant in terms of a systemic toxicological risk. According to the findings available to date, this does not appear to be the case. </w:t>
      </w:r>
      <w:r w:rsidRPr="00D03260">
        <w:rPr>
          <w:i w:val="0"/>
          <w:iCs w:val="0"/>
        </w:rPr>
        <w:fldChar w:fldCharType="begin"/>
      </w:r>
      <w:r w:rsidR="00217980" w:rsidRPr="00D03260">
        <w:rPr>
          <w:i w:val="0"/>
          <w:iCs w:val="0"/>
        </w:rPr>
        <w:instrText xml:space="preserve"> ADDIN ZOTERO_ITEM CSL_CITATION {"citationID":"SRXUTAFO","properties":{"formattedCitation":"(Wiesm\\uc0\\u252{}ller et al., 2017, p. 178)","plainCitation":"(Wiesmüller et al., 2017, p. 178)","noteIndex":0},"citationItems":[{"id":2051,"uris":["http://zotero.org/groups/4371185/items/QZ4VYG6U"],"itemData":{"id":2051,"type":"article-journal","container-title":"Allergo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locator":"178"}],"schema":"https://github.com/citation-style-language/schema/raw/master/csl-citation.json"} </w:instrText>
      </w:r>
      <w:r w:rsidRPr="00D03260">
        <w:rPr>
          <w:i w:val="0"/>
          <w:iCs w:val="0"/>
        </w:rPr>
        <w:fldChar w:fldCharType="separate"/>
      </w:r>
      <w:r w:rsidRPr="00D03260">
        <w:rPr>
          <w:i w:val="0"/>
          <w:iCs w:val="0"/>
        </w:rPr>
        <w:t>(Wiesmüller et al., 2017, p. 178)</w:t>
      </w:r>
      <w:r w:rsidRPr="00D03260">
        <w:rPr>
          <w:i w:val="0"/>
          <w:iCs w:val="0"/>
        </w:rPr>
        <w:fldChar w:fldCharType="end"/>
      </w:r>
    </w:p>
    <w:p w14:paraId="38662ED4" w14:textId="11DF11ED" w:rsidR="007D6334" w:rsidRPr="00D03260" w:rsidRDefault="007D6334" w:rsidP="007D6334">
      <w:r w:rsidRPr="00D03260">
        <w:t xml:space="preserve">Of mycotoxins, the AWMF guideline advised that numerous mould genera, (e.g., </w:t>
      </w:r>
      <w:r w:rsidRPr="00D03260">
        <w:rPr>
          <w:i/>
          <w:iCs/>
        </w:rPr>
        <w:t>Penicillium, Aspergillus, Alternaria, Fusarium, Stachybotrys</w:t>
      </w:r>
      <w:r w:rsidRPr="00D03260">
        <w:t xml:space="preserve">) produce mycotoxins, with mycotoxin production depending on the species, and environmental factors, such as moisture levels, substrate composition, potential for hydrogen (pH) value, nutrient competition and light wavelength </w:t>
      </w:r>
      <w:r w:rsidRPr="00D03260">
        <w:fldChar w:fldCharType="begin"/>
      </w:r>
      <w:r w:rsidR="00217980" w:rsidRPr="00D03260">
        <w:instrText xml:space="preserve"> ADDIN ZOTERO_ITEM CSL_CITATION {"citationID":"SozRQaG4","properties":{"formattedCitation":"(Fischer et al. 2006 in Wiesm\\uc0\\u252{}ller et al., 2017)","plainCitation":"(Fischer et al. 2006 in 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Peter"},{"family":"Steiß","given":"Jens-Oliver"},{"family":"Szewszyk","given":"Regine"},{"family":"Thomas","given":"Peter"},{"family":"Valtanen","given":"Kerttu"},{"family":"Hurraß","given":"Julia"}],"issued":{"date-parts":[["2017",8]]}},"prefix":"Fischer et al. 2006 in "}],"schema":"https://github.com/citation-style-language/schema/raw/master/csl-citation.json"} </w:instrText>
      </w:r>
      <w:r w:rsidRPr="00D03260">
        <w:fldChar w:fldCharType="separate"/>
      </w:r>
      <w:r w:rsidRPr="00D03260">
        <w:t>(Fischer et al. 2006 in Wiesmüller et al., 2017)</w:t>
      </w:r>
      <w:r w:rsidRPr="00D03260">
        <w:fldChar w:fldCharType="end"/>
      </w:r>
      <w:r w:rsidRPr="00D03260">
        <w:t xml:space="preserve">. Mycotoxins are not volatile and are found in the air bound to spores, cell fragments and other particles and are generally only found at levels relevant to health in foods and animal feed that have been colonised by moulds </w:t>
      </w:r>
      <w:r w:rsidRPr="00D03260">
        <w:fldChar w:fldCharType="begin"/>
      </w:r>
      <w:r w:rsidR="00217980" w:rsidRPr="00D03260">
        <w:instrText xml:space="preserve"> ADDIN ZOTERO_ITEM CSL_CITATION {"citationID":"ArZdpQ8S","properties":{"formattedCitation":"(Wiesm\\uc0\\u252{}ller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Pr="00D03260">
        <w:t xml:space="preserve">. The available data indicate the level of most airborne mycotoxins found indoors do not exhibit an acute toxic effect </w:t>
      </w:r>
      <w:r w:rsidRPr="00D03260">
        <w:fldChar w:fldCharType="begin"/>
      </w:r>
      <w:r w:rsidR="00217980" w:rsidRPr="00D03260">
        <w:instrText xml:space="preserve"> ADDIN ZOTERO_ITEM CSL_CITATION {"citationID":"p73eTQ7R","properties":{"formattedCitation":"(Wiesm\\uc0\\u252{}ller et al., 2017)","plainCitation":"(Wiesmüller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schema":"https://github.com/citation-style-language/schema/raw/master/csl-citation.json"} </w:instrText>
      </w:r>
      <w:r w:rsidRPr="00D03260">
        <w:fldChar w:fldCharType="separate"/>
      </w:r>
      <w:r w:rsidRPr="00D03260">
        <w:t>(Wiesmüller et al., 2017)</w:t>
      </w:r>
      <w:r w:rsidRPr="00D03260">
        <w:fldChar w:fldCharType="end"/>
      </w:r>
      <w:r w:rsidR="00B12A45" w:rsidRPr="00D03260">
        <w:t>.</w:t>
      </w:r>
      <w:r w:rsidRPr="00D03260">
        <w:t xml:space="preserve"> The AWMF advises evidence indicates that as a general rule, mycotoxins produced by indoor-relevant moulds can be detected in extremely low concentrations (parts per trillion) in house dust </w:t>
      </w:r>
      <w:r w:rsidRPr="00D03260">
        <w:fldChar w:fldCharType="begin"/>
      </w:r>
      <w:r w:rsidR="00217980" w:rsidRPr="00D03260">
        <w:instrText xml:space="preserve"> ADDIN ZOTERO_ITEM CSL_CITATION {"citationID":"U30Li3TS","properties":{"formattedCitation":"(Bloom et al. 2009 in Wiesm\\uc0\\u252{}ller et al., 2017)","plainCitation":"(Bloom et al. 2009 in Wiesmüller et al., 2017)","noteIndex":0},"citationItems":[{"id":2051,"uris":["http://zotero.org/groups/4371185/items/QZ4VYG6U"],"itemData":{"id":2051,"type":"article-journal","container-title":"Allergo Journal International","DOI":"10.1007/s40629-017-0013-3","ISSN":"2197-0378","issue":"5","journalAbbreviation":"Allergo J Int","language":"en","page":"168-193","source":"DOI.org (Crossref)","title":"Abridged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(ÖGMM)","title-short":"Abridged version of the AWMF guideline for the medical clinical diagnostics of indoor mould exposure","volume":"26","author":[{"family":"Wiesmüller","given":"Gerhard A."},{"family":"Heinzow","given":"Birger"},{"family":"Aurbach","given":"Ute"},{"family":"Bergmann","given":"Karl-Christian"},{"family":"Bufe","given":"Albrecht"},{"family":"Buzina","given":"Walter"},{"family":"Cornely","given":"Oliver A."},{"family":"Engelhart","given":"Steffen"},{"family":"Fischer","given":"Guido"},{"family":"Gabrio","given":"Thomas"},{"family":"Heinz","given":"Werner"},{"family":"Herr","given":"Caroline E. W."},{"family":"Kleine-Tebbe","given":"Jörg"},{"family":"Klimek","given":"Ludger"},{"family":"Köberle","given":"Martin"},{"family":"Lichtnecker","given":"Herbert"},{"family":"Lob-Corzilius","given":"Thomas"},{"family":"Merget","given":"Rolf"},{"family":"Mülleneisen","given":"Norbert"},{"family":"Nowak","given":"Dennis"},{"family":"Rabe","given":"Uta"},{"family":"Raulf","given":"Monika"},{"family":"Seidl","given":"Hans Peter"},{"family":"Steiß","given":"Jens-Oliver"},{"family":"Szewszyk","given":"Regine"},{"family":"Thomas","given":"Peter"},{"family":"Valtanen","given":"Kerttu"},{"family":"Hurraß","given":"Julia"}],"issued":{"date-parts":[["2017",8]]}},"prefix":"Bloom et al. 2009 in "}],"schema":"https://github.com/citation-style-language/schema/raw/master/csl-citation.json"} </w:instrText>
      </w:r>
      <w:r w:rsidRPr="00D03260">
        <w:fldChar w:fldCharType="separate"/>
      </w:r>
      <w:r w:rsidRPr="00D03260">
        <w:t>(Bloom et al. 2009 in Wiesmüller et al., 2017)</w:t>
      </w:r>
      <w:r w:rsidRPr="00D03260">
        <w:fldChar w:fldCharType="end"/>
      </w:r>
      <w:r w:rsidRPr="00D03260">
        <w:t>, bioaerosols and building materials.</w:t>
      </w:r>
    </w:p>
    <w:p w14:paraId="431F50A9" w14:textId="2804AF54" w:rsidR="007D6334" w:rsidRPr="00D03260" w:rsidRDefault="007D6334" w:rsidP="007D6334">
      <w:pPr>
        <w:pStyle w:val="Heading3"/>
      </w:pPr>
      <w:bookmarkStart w:id="478" w:name="Section33131ConcernsAboutUnvalidatedTes"/>
      <w:bookmarkStart w:id="479" w:name="_Toc121329238"/>
      <w:bookmarkStart w:id="480" w:name="_Toc121329402"/>
      <w:bookmarkStart w:id="481" w:name="_Toc121834545"/>
      <w:bookmarkStart w:id="482" w:name="_Toc141885975"/>
      <w:bookmarkEnd w:id="478"/>
      <w:r w:rsidRPr="00D03260">
        <w:t>Concerns about unvalidated tests and testing to detect mycotoxins in humans</w:t>
      </w:r>
      <w:bookmarkEnd w:id="479"/>
      <w:bookmarkEnd w:id="480"/>
      <w:bookmarkEnd w:id="481"/>
      <w:bookmarkEnd w:id="482"/>
    </w:p>
    <w:p w14:paraId="23662E7A" w14:textId="6FC25C6A" w:rsidR="007D6334" w:rsidRPr="00D03260" w:rsidRDefault="007D6334" w:rsidP="007D6334">
      <w:r w:rsidRPr="00D03260">
        <w:t xml:space="preserve">Several authors highlighted the issue of unvalidated tests and testing being used in humans to detect mycotoxins (Chang &amp; Gershwin, 2019; Larenas-Linnemann et al., 2016; Rudert &amp; Portnoy, 2017). Outside of occupational settings almost all reports of fungal toxins in buildings have been based on methods that have not been validated for this purpose and tests that claim to measure trichothecenes in human sera or urine have not been proven to be analytically reliable (Larenas-Linnemann et al., 2016; Rudert &amp; Portnoy, 2017). Chang and Gershwin </w:t>
      </w:r>
      <w:r w:rsidR="00083283" w:rsidRPr="00D03260">
        <w:t xml:space="preserve">further </w:t>
      </w:r>
      <w:r w:rsidR="001647BE" w:rsidRPr="00D03260">
        <w:t>explained that</w:t>
      </w:r>
      <w:r w:rsidRPr="00D03260">
        <w:t xml:space="preserve"> recently </w:t>
      </w:r>
      <w:proofErr w:type="gramStart"/>
      <w:r w:rsidRPr="00D03260">
        <w:t>a number of</w:t>
      </w:r>
      <w:proofErr w:type="gramEnd"/>
      <w:r w:rsidRPr="00D03260">
        <w:t xml:space="preserve"> laboratories they described as ‘</w:t>
      </w:r>
      <w:r w:rsidR="00B04991" w:rsidRPr="00D03260">
        <w:t>disreputable</w:t>
      </w:r>
      <w:r w:rsidRPr="00D03260">
        <w:t>’ have been adapting the methodology for testing mycotoxins in pig urine to human patients in an attempt to link mycotoxins in the urine with a variety of diseases, such as autoimmune diseases or to explain vague symptoms reported by patients (Chang &amp; Gershwin, 2019).</w:t>
      </w:r>
    </w:p>
    <w:p w14:paraId="2211B1F3" w14:textId="77777777" w:rsidR="007D6334" w:rsidRPr="00D03260" w:rsidRDefault="007D6334" w:rsidP="007D6334">
      <w:r w:rsidRPr="00D03260">
        <w:t xml:space="preserve">There are no FDA-approved urine tests for mycotoxins and low levels of so-called “mycotoxins” that are normally found in foods (Chang &amp; Gershwin, 2019). </w:t>
      </w:r>
    </w:p>
    <w:p w14:paraId="1BE47086" w14:textId="182C4E3B" w:rsidR="007D6334" w:rsidRPr="00D03260" w:rsidRDefault="007D6334" w:rsidP="007D6334">
      <w:r w:rsidRPr="00D03260">
        <w:t xml:space="preserve">For more information, see </w:t>
      </w:r>
      <w:hyperlink w:anchor="Section46DiagnosticTestsThatAreNotRecomm" w:history="1">
        <w:r w:rsidR="00BC3B2C" w:rsidRPr="00D03260">
          <w:rPr>
            <w:rStyle w:val="Hyperlink"/>
          </w:rPr>
          <w:t>s</w:t>
        </w:r>
        <w:r w:rsidRPr="00D03260">
          <w:rPr>
            <w:rStyle w:val="Hyperlink"/>
          </w:rPr>
          <w:t>ection 4.6</w:t>
        </w:r>
      </w:hyperlink>
      <w:r w:rsidRPr="00D03260">
        <w:t xml:space="preserve"> (on ‘Diagnostic tests that are not recommended by international mainstream medical guidance’), and </w:t>
      </w:r>
      <w:hyperlink w:anchor="Section462MycotoxinsInSerum" w:history="1">
        <w:r w:rsidR="00677674" w:rsidRPr="00D03260">
          <w:rPr>
            <w:rStyle w:val="Hyperlink"/>
          </w:rPr>
          <w:t>s</w:t>
        </w:r>
        <w:r w:rsidRPr="00D03260">
          <w:rPr>
            <w:rStyle w:val="Hyperlink"/>
          </w:rPr>
          <w:t>ection 4.6.2</w:t>
        </w:r>
      </w:hyperlink>
      <w:r w:rsidRPr="00D03260">
        <w:t>, (on ‘Mycotoxins in serum’).</w:t>
      </w:r>
    </w:p>
    <w:p w14:paraId="25BD95D4" w14:textId="1744E792" w:rsidR="007D6334" w:rsidRPr="00D03260" w:rsidRDefault="007D6334" w:rsidP="007D6334">
      <w:pPr>
        <w:pStyle w:val="Heading2"/>
      </w:pPr>
      <w:bookmarkStart w:id="483" w:name="Section3314SBSandTMS"/>
      <w:bookmarkStart w:id="484" w:name="_Toc121329239"/>
      <w:bookmarkStart w:id="485" w:name="_Toc121329403"/>
      <w:bookmarkStart w:id="486" w:name="_Toc121834546"/>
      <w:bookmarkStart w:id="487" w:name="_Toc141885976"/>
      <w:bookmarkEnd w:id="483"/>
      <w:r w:rsidRPr="00D03260">
        <w:t>SBS and TMS</w:t>
      </w:r>
      <w:bookmarkEnd w:id="484"/>
      <w:bookmarkEnd w:id="485"/>
      <w:bookmarkEnd w:id="486"/>
      <w:bookmarkEnd w:id="487"/>
    </w:p>
    <w:p w14:paraId="7529B4FD" w14:textId="65BE446F" w:rsidR="007D6334" w:rsidRPr="00D03260" w:rsidRDefault="007D6334" w:rsidP="007D6334">
      <w:r w:rsidRPr="00D03260">
        <w:t xml:space="preserve">SBS and TMS are noted as controversial topics in the literature. ‘Toxic mold syndrome’ or ‘toxic mold’ are terms that are now frequently used as being synonymous with SBS </w:t>
      </w:r>
      <w:r w:rsidRPr="00D03260">
        <w:fldChar w:fldCharType="begin"/>
      </w:r>
      <w:r w:rsidR="00217980" w:rsidRPr="00D03260">
        <w:instrText xml:space="preserve"> ADDIN ZOTERO_ITEM CSL_CITATION {"citationID":"YsmMdJFo","properties":{"formattedCitation":"(Borchers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Pr="00D03260">
        <w:fldChar w:fldCharType="separate"/>
      </w:r>
      <w:r w:rsidRPr="00D03260">
        <w:t>(Borchers et al., 2017)</w:t>
      </w:r>
      <w:r w:rsidRPr="00D03260">
        <w:fldChar w:fldCharType="end"/>
      </w:r>
      <w:r w:rsidRPr="00D03260">
        <w:t xml:space="preserve">. This topic is particularly relevant to CIRS as TMSA also reported to the Inquiry that CIRS-WDB was previously referred to as SBS </w:t>
      </w:r>
      <w:r w:rsidRPr="00D03260">
        <w:fldChar w:fldCharType="begin"/>
      </w:r>
      <w:r w:rsidR="00217980" w:rsidRPr="00D03260">
        <w:instrText xml:space="preserve"> ADDIN ZOTERO_ITEM CSL_CITATION {"citationID":"2QI7IOu6","properties":{"formattedCitation":"(Toxic Mould Support Australia, 2018)","plainCitation":"(Toxic Mould Support Australia, 2018)","noteIndex":0},"citationItems":[{"id":2041,"uris":["http://zotero.org/groups/4371185/items/VP32FHAA"],"itemData":{"id":2041,"type":"document","title":"Toxic Mould Support Australia Submission to Australian Parliament's Health, Aged Care and Sport Committee Inquiry into Biotoxin-related Illnesses in Australia","author":[{"family":"Toxic Mould Support Australia","given":""}],"issued":{"date-parts":[["2018"]]}}}],"schema":"https://github.com/citation-style-language/schema/raw/master/csl-citation.json"} </w:instrText>
      </w:r>
      <w:r w:rsidRPr="00D03260">
        <w:fldChar w:fldCharType="separate"/>
      </w:r>
      <w:r w:rsidRPr="00D03260">
        <w:t>(Toxic Mould Support Australia, 2018)</w:t>
      </w:r>
      <w:r w:rsidRPr="00D03260">
        <w:fldChar w:fldCharType="end"/>
      </w:r>
      <w:r w:rsidRPr="00D03260">
        <w:t>.</w:t>
      </w:r>
    </w:p>
    <w:p w14:paraId="5C1138FB" w14:textId="0287ADEF" w:rsidR="007D6334" w:rsidRPr="00D03260" w:rsidRDefault="007D6334" w:rsidP="007D6334">
      <w:r w:rsidRPr="00D03260">
        <w:t xml:space="preserve">The WHO excluded SBS in its review of health effects on the basis that limited research had been reported </w:t>
      </w:r>
      <w:r w:rsidRPr="00D03260">
        <w:fldChar w:fldCharType="begin"/>
      </w:r>
      <w:r w:rsidR="00217980" w:rsidRPr="00D03260">
        <w:instrText xml:space="preserve"> ADDIN ZOTERO_ITEM CSL_CITATION {"citationID":"Pz4xtv5u","properties":{"formattedCitation":"(World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 xml:space="preserve">. Several pieces of literature covered SBS or TMS, with four recent reviews concluding or advising there to be no scientific evidence to support claims, </w:t>
      </w:r>
      <w:r w:rsidR="00F41ECF" w:rsidRPr="00D03260">
        <w:t>(</w:t>
      </w:r>
      <w:r w:rsidRPr="00D03260">
        <w:t>or the claims are unproven</w:t>
      </w:r>
      <w:r w:rsidR="00F41ECF" w:rsidRPr="00D03260">
        <w:t>)</w:t>
      </w:r>
      <w:r w:rsidRPr="00D03260">
        <w:t xml:space="preserve">, that these syndromes associated with vague and subjective symptoms are caused by exposure to mycotoxins or visible black mould in buildings </w:t>
      </w:r>
      <w:r w:rsidRPr="00D03260">
        <w:fldChar w:fldCharType="begin"/>
      </w:r>
      <w:r w:rsidR="00217980" w:rsidRPr="00D03260">
        <w:instrText xml:space="preserve"> ADDIN ZOTERO_ITEM CSL_CITATION {"citationID":"iTQeMM1Z","properties":{"formattedCitation":"(Borchers et al., 2017; Chang &amp; Gershwin, 2019; Larenas-Linnemann et al., 2016; Rudert &amp; Portnoy, 2017)","plainCitation":"(Borchers et al., 2017; Chang &amp; Gershwin, 2019; Larenas-Linnemann et al., 2016; Rudert &amp; Portnoy,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id":2215,"uris":["http://zotero.org/groups/4371185/items/KZPBUU5L"],"itemData":{"id":2215,"type":"article-journal","abstract":"Introduction: fungi produce substances that contain pathogen-associated molecular patterns (pamps) and damage-associated molecular patterns (damps) which bind to pattern recognition receptors, stimulating innate immune responses in humans. they also produce allergens that induce production of specific ige. Areas covered: In this review we cover both innate and adaptive immune responses to fungi. Some fungal products can activate both innate and adaptive responses and in doing so, cause an intense and complex health effects. Methods of testing for fungal allergy and evidence for clinical treatment including environmental control are also discussed. In addition, we describe controversial issues including the role of Stachybotrys and mycotoxins in adverse health effects. Expert commentary: Concerns about long-term exposure to fungi have led some patients, attorneys and fungus advocates to promote fears about a condition that has been termed toxic mold syndrome. This syndrome is associated with vague symptoms and is believed to be due to exposure to mycotoxins, though this connection has not been proven. Ultimately, more precise methods are needed to measure both fungal exposure and the resulting health effects. Once that such methods become available, much of the speculation will be replaced by knowledge.","container-title":"Expert Review of Clinical Immunology","DOI":"10.1080/1744666X.2017.1324298","ISSN":"1744-8409","issue":"8","journalAbbreviation":"Expert Rev. Clin. Immunol.","language":"English","page":"823-835","title":"Mold allergy: is it real and what do we do about it?","volume":"13","author":[{"family":"Rudert","given":"A."},{"family":"Portnoy","given":"J."}],"issued":{"date-parts":[["2017"]]}}}],"schema":"https://github.com/citation-style-language/schema/raw/master/csl-citation.json"} </w:instrText>
      </w:r>
      <w:r w:rsidRPr="00D03260">
        <w:fldChar w:fldCharType="separate"/>
      </w:r>
      <w:r w:rsidRPr="00D03260">
        <w:t>(Borchers et al., 2017; Chang &amp; Gershwin, 2019; Larenas-Linnemann et al., 2016; Rudert &amp; Portnoy, 2017)</w:t>
      </w:r>
      <w:r w:rsidRPr="00D03260">
        <w:fldChar w:fldCharType="end"/>
      </w:r>
      <w:r w:rsidRPr="00D03260">
        <w:t xml:space="preserve">. Furthermore, these reviews note the media coverage, “media hype”, “mass hysteria” and litigation that sits around SBS. One of these reviews was a clinical commentary review by Larenas-Linnemann et al. </w:t>
      </w:r>
      <w:r w:rsidRPr="00D03260">
        <w:fldChar w:fldCharType="begin"/>
      </w:r>
      <w:r w:rsidR="00217980" w:rsidRPr="00D03260">
        <w:instrText xml:space="preserve"> ADDIN ZOTERO_ITEM CSL_CITATION {"citationID":"wKGBGVHX","properties":{"formattedCitation":"(2016)","plainCitation":"(2016)","noteIndex":0},"citationItems":[{"id":2143,"uris":["http://zotero.org/groups/4371185/items/Z3TX9P6Y"],"itemData":{"id":2143,"type":"article-journal","abstract":"Fungus-sensitized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uppress-author":true}],"schema":"https://github.com/citation-style-language/schema/raw/master/csl-citation.json"} </w:instrText>
      </w:r>
      <w:r w:rsidRPr="00D03260">
        <w:fldChar w:fldCharType="separate"/>
      </w:r>
      <w:r w:rsidRPr="00D03260">
        <w:rPr>
          <w:rFonts w:cs="Arial"/>
        </w:rPr>
        <w:t>(2016)</w:t>
      </w:r>
      <w:r w:rsidRPr="00D03260">
        <w:fldChar w:fldCharType="end"/>
      </w:r>
      <w:r w:rsidRPr="00D03260">
        <w:t xml:space="preserve"> on behalf of the Environmental Allergens Group of the AAAAI, published in the</w:t>
      </w:r>
      <w:r w:rsidRPr="00D03260">
        <w:rPr>
          <w:i/>
          <w:iCs/>
        </w:rPr>
        <w:t xml:space="preserve"> Journal of Allergy and Clinical Immunology: In Practice</w:t>
      </w:r>
      <w:r w:rsidRPr="00D03260">
        <w:t xml:space="preserve"> (impact factor</w:t>
      </w:r>
      <w:r w:rsidRPr="00D03260" w:rsidDel="00686DC5">
        <w:t xml:space="preserve"> </w:t>
      </w:r>
      <w:r w:rsidRPr="00D03260">
        <w:t>(IF): 14.110). Additionally, the clinical commentary review has a Category 1 CME credit.</w:t>
      </w:r>
    </w:p>
    <w:p w14:paraId="1BC3E4C1" w14:textId="1F8CF115" w:rsidR="007D6334" w:rsidRPr="00D03260" w:rsidRDefault="007D6334" w:rsidP="007D6334">
      <w:r w:rsidRPr="00D03260">
        <w:t xml:space="preserve">Borchers et al. noted the long list of poorly defined health effects that some have complained are secondary to mould exposure, but asserted these observations are flawed, they lack controls, and are non-specific and lack medical plausibility </w:t>
      </w:r>
      <w:r w:rsidRPr="00D03260">
        <w:fldChar w:fldCharType="begin"/>
      </w:r>
      <w:r w:rsidR="00217980" w:rsidRPr="00D03260">
        <w:instrText xml:space="preserve"> ADDIN ZOTERO_ITEM CSL_CITATION {"citationID":"0J9pHoIa","properties":{"formattedCitation":"(Borchers et al., 2017)","plainCitation":"(Borchers et al., 2017)","noteIndex":0},"citationItems":[{"id":2127,"uris":["http://zotero.org/groups/4371185/items/SH7Q7R7H"],"itemData":{"id":2127,"type":"article-journal","container-title":"Clinical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Eric"}],"issued":{"date-parts":[["2017"]]}}}],"schema":"https://github.com/citation-style-language/schema/raw/master/csl-citation.json"} </w:instrText>
      </w:r>
      <w:r w:rsidRPr="00D03260">
        <w:fldChar w:fldCharType="separate"/>
      </w:r>
      <w:r w:rsidRPr="00D03260">
        <w:t>(Borchers et al., 2017)</w:t>
      </w:r>
      <w:r w:rsidRPr="00D03260">
        <w:fldChar w:fldCharType="end"/>
      </w:r>
      <w:r w:rsidRPr="00D03260">
        <w:t xml:space="preserve">. The presence of </w:t>
      </w:r>
      <w:r w:rsidRPr="00D03260">
        <w:rPr>
          <w:i/>
          <w:iCs/>
        </w:rPr>
        <w:t>S. chartarum</w:t>
      </w:r>
      <w:r w:rsidRPr="00D03260">
        <w:t xml:space="preserve"> in indoor air samples generally means that a building has or had significant moisture problems </w:t>
      </w:r>
      <w:r w:rsidRPr="00D03260">
        <w:fldChar w:fldCharType="begin"/>
      </w:r>
      <w:r w:rsidR="00217980" w:rsidRPr="00D03260">
        <w:instrText xml:space="preserve"> ADDIN ZOTERO_ITEM CSL_CITATION {"citationID":"gs2bTajL","properties":{"formattedCitation":"(Larenas-Linnemann et al., 2016)","plainCitation":"(Larenas-Linnemann et al., 2016)","noteIndex":0},"citationItems":[{"id":2143,"uris":["http://zotero.org/groups/4371185/items/Z3TX9P6Y"],"itemData":{"id":2143,"type":"article-journal","abstract":"Fungus-sensitized patients usually present with symptoms that are similar to symptoms presented by those who are sensitized to other aeroallergens. Therefore, diagnosis and management should follow the same pathways used for patients with allergic conditions in general. The physician should consider that a relationship between fungal exposure and symptoms is not necessarily caused by an IgE-mediated mechanism, even when specific fungal IgE is detected. Until recently, IgE-mediated allergy has been documented only for a limited number of fungi. We propose a series of questions to be used to identify symptoms that occur in situations with high fungal exposure and a limited skin-prick-test panel (Alternaria, Cladosporium, Penicillium, Aspergillus, Candida) that can be amplified only in cases of high suspicion of other fungal exposure (eg, postfloods). We also review in vitro testing for fungi-specific IgE. Treatment includes environmental control, medical management, and, when appropriate, specific immunotherapy. Low-quality evidence exists supporting the use of subcutaneous immunotherapy for Alternaria to treat allergic rhinitis and asthma, and very low quality evidence supports the use of subcutaneous immunotherapy for Cladosporium and sublingual immunotherapy for Alternaria. As is the case for many allergens, evidence for immunotherapy with other fungal extracts is lacking. The so-called toxic mold syndrome is also briefly discussed.","container-title":"Journal of Allergy and Clinical Immunology: In Practice","DOI":"10.1016/j.jaip.2015.10.015","ISSN":"2213-2198","issue":"3","language":"English","page":"405-414","title":"Clinical evaluation and management of patients with suspected fungus sensitivity","volume":"4","author":[{"family":"Larenas-Linnemann","given":"D."},{"family":"Baxi","given":"S."},{"family":"Phipatanakul","given":"W."},{"family":"Portnoy","given":"J.M."},{"family":"Barnes","given":"C."},{"family":"Grimes","given":"C."},{"family":"Horner","given":"W.E."},{"family":"Kennedy","given":"K."},{"family":"Levetin","given":"E."},{"family":"Miller","given":"J.D."},{"family":"Scott","given":"J."},{"family":"Williams","given":"P.B."}],"issued":{"date-parts":[["2016"]]}}}],"schema":"https://github.com/citation-style-language/schema/raw/master/csl-citation.json"} </w:instrText>
      </w:r>
      <w:r w:rsidRPr="00D03260">
        <w:fldChar w:fldCharType="separate"/>
      </w:r>
      <w:r w:rsidRPr="00D03260">
        <w:t>(Larenas-Linnemann et al., 2016)</w:t>
      </w:r>
      <w:r w:rsidRPr="00D03260">
        <w:fldChar w:fldCharType="end"/>
      </w:r>
      <w:r w:rsidRPr="00D03260">
        <w:t xml:space="preserve">. The primary species blamed for the release of mycotoxins in SBS was </w:t>
      </w:r>
      <w:r w:rsidRPr="00D03260">
        <w:rPr>
          <w:i/>
          <w:iCs/>
        </w:rPr>
        <w:t>S. chartarum</w:t>
      </w:r>
      <w:r w:rsidRPr="00D03260">
        <w:t xml:space="preserve">. However only 30–40% of its strains produce mycotoxins which include macrolytic trichothecenes, satratoxins G and H </w:t>
      </w:r>
      <w:r w:rsidRPr="00D03260">
        <w:fldChar w:fldCharType="begin"/>
      </w:r>
      <w:r w:rsidR="00217980" w:rsidRPr="00D03260">
        <w:instrText xml:space="preserve"> ADDIN ZOTERO_ITEM CSL_CITATION {"citationID":"OdPCj4oQ","properties":{"formattedCitation":"(Borchers et al., 2017; Chang &amp; Gershwin, 2019)","plainCitation":"(Borchers et al., 2017; Chang &amp; Gershwin, 2019)","noteIndex":0},"citationItems":[{"id":2127,"uris":["http://zotero.org/groups/4371185/items/SH7Q7R7H"],"itemData":{"id":2127,"type":"article-journal","container-title":"Clinical reviews in allergy &amp; immunology","ISSN":"1559-0267","issue":"3","journalAbbreviation":"Clinical reviews in allergy &amp; immunology","note":"publisher: Springer","page":"305-322","title":"Mold and human health: A reality check","volume":"52","author":[{"family":"Borchers","given":"Andrea T"},{"family":"Chang","given":"Christopher"},{"family":"Gershwin","given":"M Eric"}],"issued":{"date-parts":[["2017"]]}}},{"id":2208,"uris":["http://zotero.org/groups/4371185/items/SJXHQ6D7"],"itemData":{"id":2208,"type":"article-journal","abstract":"In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Eric"}],"issued":{"date-parts":[["2019",12]]}}}],"schema":"https://github.com/citation-style-language/schema/raw/master/csl-citation.json"} </w:instrText>
      </w:r>
      <w:r w:rsidRPr="00D03260">
        <w:fldChar w:fldCharType="separate"/>
      </w:r>
      <w:r w:rsidRPr="00D03260">
        <w:t>(Borchers et al., 2017; Chang &amp; Gershwin, 2019)</w:t>
      </w:r>
      <w:r w:rsidRPr="00D03260">
        <w:fldChar w:fldCharType="end"/>
      </w:r>
      <w:r w:rsidRPr="00D03260">
        <w:t>. When these chemicals are detected in air, the amounts have been found to be widely variable, although typically in the range of 0.25 to 0.43 ng/m</w:t>
      </w:r>
      <w:r w:rsidRPr="00D03260">
        <w:rPr>
          <w:vertAlign w:val="superscript"/>
        </w:rPr>
        <w:t>3</w:t>
      </w:r>
      <w:r w:rsidRPr="00D03260">
        <w:t xml:space="preserve">, and in dust sampled for mycotoxins, the amount is less than one to 43 pg/mg of dust </w:t>
      </w:r>
      <w:r w:rsidRPr="00D03260">
        <w:fldChar w:fldCharType="begin"/>
      </w:r>
      <w:r w:rsidR="00217980" w:rsidRPr="00D03260">
        <w:instrText xml:space="preserve"> ADDIN ZOTERO_ITEM CSL_CITATION {"citationID":"SH8mXA5I","properties":{"formattedCitation":"(Chang &amp; Gershwin, 2019)","plainCitation":"(Chang &amp; Gershwin, 2019)","noteIndex":0},"citationItems":[{"id":2208,"uris":["http://zotero.org/groups/4371185/items/SJXHQ6D7"],"itemData":{"id":2208,"type":"article-journal","abstract":"In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Eric"}],"issued":{"date-parts":[["2019",12]]}}}],"schema":"https://github.com/citation-style-language/schema/raw/master/csl-citation.json"} </w:instrText>
      </w:r>
      <w:r w:rsidRPr="00D03260">
        <w:fldChar w:fldCharType="separate"/>
      </w:r>
      <w:r w:rsidRPr="00D03260">
        <w:t>(Chang &amp; Gershwin, 2019)</w:t>
      </w:r>
      <w:r w:rsidRPr="00D03260">
        <w:fldChar w:fldCharType="end"/>
      </w:r>
      <w:r w:rsidRPr="00D03260">
        <w:t xml:space="preserve">. As such, at these concentrations, studies have shown that an individual breathing normally in such an environment for eight hours would inhale only 0.72 and 1.2 ng of satratoxins G and H respectively which is far less than the amount humans are exposed to in their normal daily activities </w:t>
      </w:r>
      <w:r w:rsidRPr="00D03260">
        <w:fldChar w:fldCharType="begin"/>
      </w:r>
      <w:r w:rsidR="00217980" w:rsidRPr="00D03260">
        <w:instrText xml:space="preserve"> ADDIN ZOTERO_ITEM CSL_CITATION {"citationID":"rDzn605t","properties":{"formattedCitation":"(Chang &amp; Gershwin, 2019)","plainCitation":"(Chang &amp; Gershwin, 2019)","noteIndex":0},"citationItems":[{"id":2208,"uris":["http://zotero.org/groups/4371185/items/SJXHQ6D7"],"itemData":{"id":2208,"type":"article-journal","abstract":"In recent years, mold has been blamed for many symptoms or a constellation of symptoms. These symptoms are usually vague and subjective and difficult or impossible to measure or quantify. Moreover, there is no scientific evidence that mold has anything to do with these symptoms. In particular, the concept of toxic mold syndrome has permeated the public consciousness, and mycotoxins have falsely been associated with autoimmune diseases and a variety of other conditions. In fact, there is no evidence that the presence of mycotoxins in the air is enough to cause any disease known to man. Molds legitimately can cause allergies and can be a trigger for asthma. Certain specific molds such as Aspergillus can be a cause of hypersensitivity pneumonitis. In immunocompromised hosts, both dermatologic and systemic infections can result from various fungi and can be associated with significant morbidity or even mortality. However, the existence of toxic mold syndrome has been disproven, despite the numerous disreputable practices such as testing homes for mold spores, measuring “mycotoxins” in the urine, and testing patients for IgG to mold. In truth, none of these techniques have been validated, nor do they have any relevance to any clinical disease. All that these tests that are being performed by laboratories of disrepute does is to further propagate misinformation and inflict unnecessary and often exorbitant costs on patients desperate for a clinical diagnosis, right or wrong, for their constellation of maladies.","archive_location":"2313487115","container-title":"Clinical Reviews in Allergy &amp; Immunology","DOI":"10.1007/s12016-019-08767-4","ISSN":"10800549","issue":"3","language":"English","note":"publisher-place: Totowa\npublisher: Springer Nature B.V.","page":"449-455","title":"The myth of mycotoxins and mold injury","volume":"57","author":[{"family":"Chang","given":"Christopher"},{"family":"Gershwin","given":"M Eric"}],"issued":{"date-parts":[["2019",12]]}}}],"schema":"https://github.com/citation-style-language/schema/raw/master/csl-citation.json"} </w:instrText>
      </w:r>
      <w:r w:rsidRPr="00D03260">
        <w:fldChar w:fldCharType="separate"/>
      </w:r>
      <w:r w:rsidRPr="00D03260">
        <w:t>(Chang &amp; Gershwin, 2019)</w:t>
      </w:r>
      <w:r w:rsidRPr="00D03260">
        <w:fldChar w:fldCharType="end"/>
      </w:r>
      <w:r w:rsidRPr="00D03260">
        <w:t>.</w:t>
      </w:r>
    </w:p>
    <w:p w14:paraId="452B8559" w14:textId="3974A89E" w:rsidR="007D6334" w:rsidRPr="00D03260" w:rsidRDefault="007D6334" w:rsidP="007D6334">
      <w:pPr>
        <w:pStyle w:val="Heading2"/>
      </w:pPr>
      <w:bookmarkStart w:id="488" w:name="Section3315CIRS"/>
      <w:bookmarkStart w:id="489" w:name="_Toc121329240"/>
      <w:bookmarkStart w:id="490" w:name="_Toc121329404"/>
      <w:bookmarkStart w:id="491" w:name="_Toc121834547"/>
      <w:bookmarkStart w:id="492" w:name="_Toc141885977"/>
      <w:bookmarkEnd w:id="488"/>
      <w:r w:rsidRPr="00D03260">
        <w:t>CIRS</w:t>
      </w:r>
      <w:bookmarkEnd w:id="489"/>
      <w:bookmarkEnd w:id="490"/>
      <w:bookmarkEnd w:id="491"/>
      <w:bookmarkEnd w:id="492"/>
    </w:p>
    <w:p w14:paraId="753B33E7" w14:textId="6C897B14" w:rsidR="00900F42" w:rsidRPr="00D03260" w:rsidRDefault="0086232F" w:rsidP="007D6334">
      <w:r w:rsidRPr="00D03260">
        <w:t xml:space="preserve">None of the international guidelines, or numerous international authority or medical professional association evidence reviews included in the </w:t>
      </w:r>
      <w:r w:rsidR="00042355" w:rsidRPr="00D03260">
        <w:t>e</w:t>
      </w:r>
      <w:r w:rsidRPr="00D03260">
        <w:t xml:space="preserve">vidence </w:t>
      </w:r>
      <w:r w:rsidR="00042355" w:rsidRPr="00D03260">
        <w:t>e</w:t>
      </w:r>
      <w:r w:rsidRPr="00D03260">
        <w:t>valuation that underpins this Clinical Pathway mentioned CIRS or Chronic Inflammatory Response Syndrome – Water-Damaged Buildings (CIRS-WDB) as a possible health effect from exposure to indoor damp or mould. As such, CIRS or CIRS-WBD has been categorised in this Clinical Pathway as a syndrome or health effect for which there is insufficient or inadequate evidence of an association with exposure to indoor damp or mould.</w:t>
      </w:r>
    </w:p>
    <w:p w14:paraId="31A77AE1" w14:textId="6D7D7945" w:rsidR="007D6334" w:rsidRPr="00D03260" w:rsidRDefault="007D6334" w:rsidP="007D6334">
      <w:r w:rsidRPr="00D03260">
        <w:t>See</w:t>
      </w:r>
      <w:r w:rsidR="00671947" w:rsidRPr="00D03260">
        <w:t xml:space="preserve"> </w:t>
      </w:r>
      <w:hyperlink w:anchor="AppendixECIRS" w:history="1">
        <w:r w:rsidR="00671947" w:rsidRPr="00D03260">
          <w:rPr>
            <w:rStyle w:val="Hyperlink"/>
          </w:rPr>
          <w:t xml:space="preserve">Appendix </w:t>
        </w:r>
        <w:r w:rsidR="00FF2AB3" w:rsidRPr="00D03260">
          <w:rPr>
            <w:rStyle w:val="Hyperlink"/>
          </w:rPr>
          <w:t>E</w:t>
        </w:r>
      </w:hyperlink>
      <w:r w:rsidRPr="00D03260">
        <w:t xml:space="preserve">, </w:t>
      </w:r>
      <w:r w:rsidR="000E085C" w:rsidRPr="00D03260">
        <w:t>(</w:t>
      </w:r>
      <w:r w:rsidRPr="00D03260">
        <w:t>on ‘Chronic Inflammatory Response Syndrome (CIRS)’</w:t>
      </w:r>
      <w:r w:rsidR="000E085C" w:rsidRPr="00D03260">
        <w:t>)</w:t>
      </w:r>
      <w:r w:rsidRPr="00D03260">
        <w:t xml:space="preserve">, </w:t>
      </w:r>
      <w:r w:rsidR="00FF2AB3" w:rsidRPr="00D03260">
        <w:t xml:space="preserve">and </w:t>
      </w:r>
      <w:hyperlink w:anchor="AppendixFPotentialSideEffectsOfPharmaceu" w:history="1">
        <w:r w:rsidR="00FF2AB3" w:rsidRPr="00D03260">
          <w:rPr>
            <w:rStyle w:val="Hyperlink"/>
          </w:rPr>
          <w:t>Appendix F</w:t>
        </w:r>
      </w:hyperlink>
      <w:r w:rsidR="00FF2AB3" w:rsidRPr="00D03260">
        <w:t xml:space="preserve"> </w:t>
      </w:r>
      <w:r w:rsidR="000E085C" w:rsidRPr="00D03260">
        <w:t>(</w:t>
      </w:r>
      <w:r w:rsidR="00FF2AB3" w:rsidRPr="00D03260">
        <w:t xml:space="preserve">on </w:t>
      </w:r>
      <w:r w:rsidR="00711F29" w:rsidRPr="00D03260">
        <w:t>‘</w:t>
      </w:r>
      <w:r w:rsidR="00FF2AB3" w:rsidRPr="00D03260">
        <w:t>Pote</w:t>
      </w:r>
      <w:r w:rsidR="003742B9" w:rsidRPr="00D03260">
        <w:t xml:space="preserve">ntial side effects of pharmaceuticals used in the </w:t>
      </w:r>
      <w:r w:rsidR="002F3ECD" w:rsidRPr="00D03260">
        <w:t>treatment of CIRS</w:t>
      </w:r>
      <w:r w:rsidR="000E085C" w:rsidRPr="00D03260">
        <w:t>),</w:t>
      </w:r>
      <w:r w:rsidR="00410F65" w:rsidRPr="00D03260">
        <w:t xml:space="preserve"> for </w:t>
      </w:r>
      <w:r w:rsidR="00711F29" w:rsidRPr="00D03260">
        <w:t xml:space="preserve">further relevant </w:t>
      </w:r>
      <w:r w:rsidR="0086232F" w:rsidRPr="00D03260">
        <w:t>information</w:t>
      </w:r>
      <w:r w:rsidR="00711F29" w:rsidRPr="00D03260">
        <w:t>.</w:t>
      </w:r>
    </w:p>
    <w:p w14:paraId="65C3FC09" w14:textId="50231735" w:rsidR="00CB44DA" w:rsidRPr="00D03260" w:rsidRDefault="00CB44DA" w:rsidP="00876C83">
      <w:r w:rsidRPr="00D03260">
        <w:br w:type="page"/>
      </w:r>
    </w:p>
    <w:p w14:paraId="2661397C" w14:textId="6A416FF2" w:rsidR="00CB44DA" w:rsidRPr="00D03260" w:rsidRDefault="00CB44DA" w:rsidP="00CB44DA">
      <w:pPr>
        <w:pStyle w:val="Heading1"/>
      </w:pPr>
      <w:bookmarkStart w:id="493" w:name="AppendixDenHealthFactsheetOnPotentialHea"/>
      <w:bookmarkStart w:id="494" w:name="_Toc121329241"/>
      <w:bookmarkStart w:id="495" w:name="_Toc141885978"/>
      <w:bookmarkEnd w:id="493"/>
      <w:r w:rsidRPr="00D03260">
        <w:t>Appendix D:</w:t>
      </w:r>
      <w:r w:rsidR="00181592" w:rsidRPr="00D03260">
        <w:t xml:space="preserve"> enHealth factsheet on Potential health effects of mould in the environment</w:t>
      </w:r>
      <w:bookmarkEnd w:id="494"/>
      <w:bookmarkEnd w:id="495"/>
    </w:p>
    <w:p w14:paraId="5812748B" w14:textId="47A22733" w:rsidR="00CB44DA" w:rsidRPr="00D03260" w:rsidRDefault="006F4493" w:rsidP="00876C83">
      <w:r w:rsidRPr="00D03260">
        <w:rPr>
          <w:noProof/>
        </w:rPr>
        <w:drawing>
          <wp:inline distT="0" distB="0" distL="0" distR="0" wp14:anchorId="3AFC209D" wp14:editId="6B43B288">
            <wp:extent cx="5759450" cy="977900"/>
            <wp:effectExtent l="0" t="0" r="0" b="0"/>
            <wp:docPr id="21" name="Picture 21" descr="Environmental Health Standing Committee (enHealth) of the Australian Health Protection Principal Committe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nvironmental Health Standing Committee (enHealth) of the Australian Health Protection Principal Committee logo.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977900"/>
                    </a:xfrm>
                    <a:prstGeom prst="rect">
                      <a:avLst/>
                    </a:prstGeom>
                    <a:noFill/>
                    <a:ln>
                      <a:noFill/>
                    </a:ln>
                  </pic:spPr>
                </pic:pic>
              </a:graphicData>
            </a:graphic>
          </wp:inline>
        </w:drawing>
      </w:r>
    </w:p>
    <w:p w14:paraId="32E27BEE" w14:textId="77777777" w:rsidR="00A5692F" w:rsidRPr="00D03260" w:rsidRDefault="00A5692F" w:rsidP="00A5692F">
      <w:pPr>
        <w:widowControl w:val="0"/>
        <w:autoSpaceDE w:val="0"/>
        <w:autoSpaceDN w:val="0"/>
        <w:spacing w:before="253" w:after="0" w:line="240" w:lineRule="auto"/>
        <w:ind w:left="100"/>
        <w:outlineLvl w:val="0"/>
        <w:rPr>
          <w:rFonts w:ascii="Cambria" w:eastAsia="Cambria" w:hAnsi="Cambria" w:cs="Cambria"/>
          <w:b/>
          <w:bCs/>
          <w:color w:val="auto"/>
          <w:sz w:val="28"/>
          <w:szCs w:val="28"/>
        </w:rPr>
      </w:pPr>
      <w:bookmarkStart w:id="496" w:name="What_is_mould?"/>
      <w:bookmarkStart w:id="497" w:name="_Toc121329242"/>
      <w:bookmarkStart w:id="498" w:name="_Toc121329406"/>
      <w:bookmarkStart w:id="499" w:name="_Toc121834549"/>
      <w:bookmarkStart w:id="500" w:name="_Toc141885979"/>
      <w:bookmarkStart w:id="501" w:name="_Hlk120797779"/>
      <w:bookmarkEnd w:id="496"/>
      <w:r w:rsidRPr="00D03260">
        <w:rPr>
          <w:rFonts w:ascii="Cambria" w:eastAsia="Cambria" w:hAnsi="Cambria" w:cs="Cambria"/>
          <w:b/>
          <w:bCs/>
          <w:color w:val="365F91"/>
          <w:sz w:val="28"/>
          <w:szCs w:val="28"/>
        </w:rPr>
        <w:t>What</w:t>
      </w:r>
      <w:r w:rsidRPr="00D03260">
        <w:rPr>
          <w:rFonts w:ascii="Cambria" w:eastAsia="Cambria" w:hAnsi="Cambria" w:cs="Cambria"/>
          <w:b/>
          <w:bCs/>
          <w:color w:val="365F91"/>
          <w:spacing w:val="-2"/>
          <w:sz w:val="28"/>
          <w:szCs w:val="28"/>
        </w:rPr>
        <w:t xml:space="preserve"> </w:t>
      </w:r>
      <w:r w:rsidRPr="00D03260">
        <w:rPr>
          <w:rFonts w:ascii="Cambria" w:eastAsia="Cambria" w:hAnsi="Cambria" w:cs="Cambria"/>
          <w:b/>
          <w:bCs/>
          <w:color w:val="365F91"/>
          <w:sz w:val="28"/>
          <w:szCs w:val="28"/>
        </w:rPr>
        <w:t>is</w:t>
      </w:r>
      <w:r w:rsidRPr="00D03260">
        <w:rPr>
          <w:rFonts w:ascii="Cambria" w:eastAsia="Cambria" w:hAnsi="Cambria" w:cs="Cambria"/>
          <w:b/>
          <w:bCs/>
          <w:color w:val="365F91"/>
          <w:spacing w:val="-1"/>
          <w:sz w:val="28"/>
          <w:szCs w:val="28"/>
        </w:rPr>
        <w:t xml:space="preserve"> </w:t>
      </w:r>
      <w:r w:rsidRPr="00D03260">
        <w:rPr>
          <w:rFonts w:ascii="Cambria" w:eastAsia="Cambria" w:hAnsi="Cambria" w:cs="Cambria"/>
          <w:b/>
          <w:bCs/>
          <w:color w:val="365F91"/>
          <w:spacing w:val="-2"/>
          <w:sz w:val="28"/>
          <w:szCs w:val="28"/>
        </w:rPr>
        <w:t>mould?</w:t>
      </w:r>
      <w:bookmarkEnd w:id="497"/>
      <w:bookmarkEnd w:id="498"/>
      <w:bookmarkEnd w:id="499"/>
      <w:bookmarkEnd w:id="500"/>
    </w:p>
    <w:p w14:paraId="35B91E9F" w14:textId="77777777" w:rsidR="00A5692F" w:rsidRPr="00D03260" w:rsidRDefault="00A5692F" w:rsidP="00A5692F">
      <w:pPr>
        <w:widowControl w:val="0"/>
        <w:autoSpaceDE w:val="0"/>
        <w:autoSpaceDN w:val="0"/>
        <w:spacing w:before="0" w:after="0" w:line="240" w:lineRule="auto"/>
        <w:rPr>
          <w:rFonts w:ascii="Cambria" w:hAnsi="Times New Roman"/>
          <w:b/>
          <w:color w:val="auto"/>
          <w:sz w:val="28"/>
        </w:rPr>
      </w:pPr>
    </w:p>
    <w:p w14:paraId="19D88657" w14:textId="77777777" w:rsidR="00A5692F" w:rsidRPr="00D03260" w:rsidRDefault="00A5692F" w:rsidP="00A5692F">
      <w:pPr>
        <w:widowControl w:val="0"/>
        <w:autoSpaceDE w:val="0"/>
        <w:autoSpaceDN w:val="0"/>
        <w:spacing w:before="0" w:after="0" w:line="240" w:lineRule="auto"/>
        <w:ind w:left="100" w:right="197"/>
        <w:rPr>
          <w:rFonts w:ascii="Times New Roman" w:hAnsi="Times New Roman"/>
          <w:color w:val="auto"/>
          <w:sz w:val="24"/>
        </w:rPr>
      </w:pPr>
      <w:r w:rsidRPr="00D03260">
        <w:rPr>
          <w:rFonts w:ascii="Times New Roman" w:hAnsi="Times New Roman"/>
          <w:color w:val="auto"/>
          <w:sz w:val="24"/>
        </w:rPr>
        <w:t>Mould is a type of fungus that grows in moist or humid places. It occurs naturally in the environment and can be found almost anywhere, including in garden composts and on decaying</w:t>
      </w:r>
      <w:r w:rsidRPr="00D03260">
        <w:rPr>
          <w:rFonts w:ascii="Times New Roman" w:hAnsi="Times New Roman"/>
          <w:color w:val="auto"/>
          <w:spacing w:val="-3"/>
          <w:sz w:val="24"/>
        </w:rPr>
        <w:t xml:space="preserve"> </w:t>
      </w:r>
      <w:r w:rsidRPr="00D03260">
        <w:rPr>
          <w:rFonts w:ascii="Times New Roman" w:hAnsi="Times New Roman"/>
          <w:color w:val="auto"/>
          <w:sz w:val="24"/>
        </w:rPr>
        <w:t>or</w:t>
      </w:r>
      <w:r w:rsidRPr="00D03260">
        <w:rPr>
          <w:rFonts w:ascii="Times New Roman" w:hAnsi="Times New Roman"/>
          <w:color w:val="auto"/>
          <w:spacing w:val="-4"/>
          <w:sz w:val="24"/>
        </w:rPr>
        <w:t xml:space="preserve"> </w:t>
      </w:r>
      <w:r w:rsidRPr="00D03260">
        <w:rPr>
          <w:rFonts w:ascii="Times New Roman" w:hAnsi="Times New Roman"/>
          <w:color w:val="auto"/>
          <w:sz w:val="24"/>
        </w:rPr>
        <w:t>damp</w:t>
      </w:r>
      <w:r w:rsidRPr="00D03260">
        <w:rPr>
          <w:rFonts w:ascii="Times New Roman" w:hAnsi="Times New Roman"/>
          <w:color w:val="auto"/>
          <w:spacing w:val="-3"/>
          <w:sz w:val="24"/>
        </w:rPr>
        <w:t xml:space="preserve"> </w:t>
      </w:r>
      <w:r w:rsidRPr="00D03260">
        <w:rPr>
          <w:rFonts w:ascii="Times New Roman" w:hAnsi="Times New Roman"/>
          <w:color w:val="auto"/>
          <w:sz w:val="24"/>
        </w:rPr>
        <w:t>organic</w:t>
      </w:r>
      <w:r w:rsidRPr="00D03260">
        <w:rPr>
          <w:rFonts w:ascii="Times New Roman" w:hAnsi="Times New Roman"/>
          <w:color w:val="auto"/>
          <w:spacing w:val="-4"/>
          <w:sz w:val="24"/>
        </w:rPr>
        <w:t xml:space="preserve"> </w:t>
      </w:r>
      <w:r w:rsidRPr="00D03260">
        <w:rPr>
          <w:rFonts w:ascii="Times New Roman" w:hAnsi="Times New Roman"/>
          <w:color w:val="auto"/>
          <w:sz w:val="24"/>
        </w:rPr>
        <w:t>material,</w:t>
      </w:r>
      <w:r w:rsidRPr="00D03260">
        <w:rPr>
          <w:rFonts w:ascii="Times New Roman" w:hAnsi="Times New Roman"/>
          <w:color w:val="auto"/>
          <w:spacing w:val="-3"/>
          <w:sz w:val="24"/>
        </w:rPr>
        <w:t xml:space="preserve"> </w:t>
      </w:r>
      <w:r w:rsidRPr="00D03260">
        <w:rPr>
          <w:rFonts w:ascii="Times New Roman" w:hAnsi="Times New Roman"/>
          <w:color w:val="auto"/>
          <w:sz w:val="24"/>
        </w:rPr>
        <w:t>and</w:t>
      </w:r>
      <w:r w:rsidRPr="00D03260">
        <w:rPr>
          <w:rFonts w:ascii="Times New Roman" w:hAnsi="Times New Roman"/>
          <w:color w:val="auto"/>
          <w:spacing w:val="-1"/>
          <w:sz w:val="24"/>
        </w:rPr>
        <w:t xml:space="preserve"> </w:t>
      </w:r>
      <w:r w:rsidRPr="00D03260">
        <w:rPr>
          <w:rFonts w:ascii="Times New Roman" w:hAnsi="Times New Roman"/>
          <w:color w:val="auto"/>
          <w:sz w:val="24"/>
        </w:rPr>
        <w:t>food.</w:t>
      </w:r>
      <w:r w:rsidRPr="00D03260">
        <w:rPr>
          <w:rFonts w:ascii="Times New Roman" w:hAnsi="Times New Roman"/>
          <w:color w:val="auto"/>
          <w:spacing w:val="-1"/>
          <w:sz w:val="24"/>
        </w:rPr>
        <w:t xml:space="preserve"> </w:t>
      </w:r>
      <w:r w:rsidRPr="00D03260">
        <w:rPr>
          <w:rFonts w:ascii="Times New Roman" w:hAnsi="Times New Roman"/>
          <w:color w:val="auto"/>
          <w:sz w:val="24"/>
        </w:rPr>
        <w:t>Indoors,</w:t>
      </w:r>
      <w:r w:rsidRPr="00D03260">
        <w:rPr>
          <w:rFonts w:ascii="Times New Roman" w:hAnsi="Times New Roman"/>
          <w:color w:val="auto"/>
          <w:spacing w:val="-3"/>
          <w:sz w:val="24"/>
        </w:rPr>
        <w:t xml:space="preserve"> </w:t>
      </w:r>
      <w:r w:rsidRPr="00D03260">
        <w:rPr>
          <w:rFonts w:ascii="Times New Roman" w:hAnsi="Times New Roman"/>
          <w:color w:val="auto"/>
          <w:sz w:val="24"/>
        </w:rPr>
        <w:t>mould</w:t>
      </w:r>
      <w:r w:rsidRPr="00D03260">
        <w:rPr>
          <w:rFonts w:ascii="Times New Roman" w:hAnsi="Times New Roman"/>
          <w:color w:val="auto"/>
          <w:spacing w:val="-3"/>
          <w:sz w:val="24"/>
        </w:rPr>
        <w:t xml:space="preserve"> </w:t>
      </w:r>
      <w:r w:rsidRPr="00D03260">
        <w:rPr>
          <w:rFonts w:ascii="Times New Roman" w:hAnsi="Times New Roman"/>
          <w:color w:val="auto"/>
          <w:sz w:val="24"/>
        </w:rPr>
        <w:t>grows</w:t>
      </w:r>
      <w:r w:rsidRPr="00D03260">
        <w:rPr>
          <w:rFonts w:ascii="Times New Roman" w:hAnsi="Times New Roman"/>
          <w:color w:val="auto"/>
          <w:spacing w:val="-3"/>
          <w:sz w:val="24"/>
        </w:rPr>
        <w:t xml:space="preserve"> </w:t>
      </w:r>
      <w:r w:rsidRPr="00D03260">
        <w:rPr>
          <w:rFonts w:ascii="Times New Roman" w:hAnsi="Times New Roman"/>
          <w:color w:val="auto"/>
          <w:sz w:val="24"/>
        </w:rPr>
        <w:t>best</w:t>
      </w:r>
      <w:r w:rsidRPr="00D03260">
        <w:rPr>
          <w:rFonts w:ascii="Times New Roman" w:hAnsi="Times New Roman"/>
          <w:color w:val="auto"/>
          <w:spacing w:val="-3"/>
          <w:sz w:val="24"/>
        </w:rPr>
        <w:t xml:space="preserve"> </w:t>
      </w:r>
      <w:r w:rsidRPr="00D03260">
        <w:rPr>
          <w:rFonts w:ascii="Times New Roman" w:hAnsi="Times New Roman"/>
          <w:color w:val="auto"/>
          <w:sz w:val="24"/>
        </w:rPr>
        <w:t>in</w:t>
      </w:r>
      <w:r w:rsidRPr="00D03260">
        <w:rPr>
          <w:rFonts w:ascii="Times New Roman" w:hAnsi="Times New Roman"/>
          <w:color w:val="auto"/>
          <w:spacing w:val="-3"/>
          <w:sz w:val="24"/>
        </w:rPr>
        <w:t xml:space="preserve"> </w:t>
      </w:r>
      <w:r w:rsidRPr="00D03260">
        <w:rPr>
          <w:rFonts w:ascii="Times New Roman" w:hAnsi="Times New Roman"/>
          <w:color w:val="auto"/>
          <w:sz w:val="24"/>
        </w:rPr>
        <w:t>damp</w:t>
      </w:r>
      <w:r w:rsidRPr="00D03260">
        <w:rPr>
          <w:rFonts w:ascii="Times New Roman" w:hAnsi="Times New Roman"/>
          <w:color w:val="auto"/>
          <w:spacing w:val="-3"/>
          <w:sz w:val="24"/>
        </w:rPr>
        <w:t xml:space="preserve"> </w:t>
      </w:r>
      <w:r w:rsidRPr="00D03260">
        <w:rPr>
          <w:rFonts w:ascii="Times New Roman" w:hAnsi="Times New Roman"/>
          <w:color w:val="auto"/>
          <w:sz w:val="24"/>
        </w:rPr>
        <w:t>and</w:t>
      </w:r>
      <w:r w:rsidRPr="00D03260">
        <w:rPr>
          <w:rFonts w:ascii="Times New Roman" w:hAnsi="Times New Roman"/>
          <w:color w:val="auto"/>
          <w:spacing w:val="-3"/>
          <w:sz w:val="24"/>
        </w:rPr>
        <w:t xml:space="preserve"> </w:t>
      </w:r>
      <w:r w:rsidRPr="00D03260">
        <w:rPr>
          <w:rFonts w:ascii="Times New Roman" w:hAnsi="Times New Roman"/>
          <w:color w:val="auto"/>
          <w:sz w:val="24"/>
        </w:rPr>
        <w:t>poorly ventilated</w:t>
      </w:r>
      <w:r w:rsidRPr="00D03260">
        <w:rPr>
          <w:rFonts w:ascii="Times New Roman" w:hAnsi="Times New Roman"/>
          <w:color w:val="auto"/>
          <w:spacing w:val="-1"/>
          <w:sz w:val="24"/>
        </w:rPr>
        <w:t xml:space="preserve"> </w:t>
      </w:r>
      <w:r w:rsidRPr="00D03260">
        <w:rPr>
          <w:rFonts w:ascii="Times New Roman" w:hAnsi="Times New Roman"/>
          <w:color w:val="auto"/>
          <w:sz w:val="24"/>
        </w:rPr>
        <w:t>areas,</w:t>
      </w:r>
      <w:r w:rsidRPr="00D03260">
        <w:rPr>
          <w:rFonts w:ascii="Times New Roman" w:hAnsi="Times New Roman"/>
          <w:color w:val="auto"/>
          <w:spacing w:val="-1"/>
          <w:sz w:val="24"/>
        </w:rPr>
        <w:t xml:space="preserve"> </w:t>
      </w:r>
      <w:r w:rsidRPr="00D03260">
        <w:rPr>
          <w:rFonts w:ascii="Times New Roman" w:hAnsi="Times New Roman"/>
          <w:color w:val="auto"/>
          <w:sz w:val="24"/>
        </w:rPr>
        <w:t>typically</w:t>
      </w:r>
      <w:r w:rsidRPr="00D03260">
        <w:rPr>
          <w:rFonts w:ascii="Times New Roman" w:hAnsi="Times New Roman"/>
          <w:color w:val="auto"/>
          <w:spacing w:val="-1"/>
          <w:sz w:val="24"/>
        </w:rPr>
        <w:t xml:space="preserve"> </w:t>
      </w:r>
      <w:r w:rsidRPr="00D03260">
        <w:rPr>
          <w:rFonts w:ascii="Times New Roman" w:hAnsi="Times New Roman"/>
          <w:color w:val="auto"/>
          <w:sz w:val="24"/>
        </w:rPr>
        <w:t>on</w:t>
      </w:r>
      <w:r w:rsidRPr="00D03260">
        <w:rPr>
          <w:rFonts w:ascii="Times New Roman" w:hAnsi="Times New Roman"/>
          <w:color w:val="auto"/>
          <w:spacing w:val="-1"/>
          <w:sz w:val="24"/>
        </w:rPr>
        <w:t xml:space="preserve"> </w:t>
      </w:r>
      <w:r w:rsidRPr="00D03260">
        <w:rPr>
          <w:rFonts w:ascii="Times New Roman" w:hAnsi="Times New Roman"/>
          <w:color w:val="auto"/>
          <w:sz w:val="24"/>
        </w:rPr>
        <w:t>wood,</w:t>
      </w:r>
      <w:r w:rsidRPr="00D03260">
        <w:rPr>
          <w:rFonts w:ascii="Times New Roman" w:hAnsi="Times New Roman"/>
          <w:color w:val="auto"/>
          <w:spacing w:val="-1"/>
          <w:sz w:val="24"/>
        </w:rPr>
        <w:t xml:space="preserve"> </w:t>
      </w:r>
      <w:r w:rsidRPr="00D03260">
        <w:rPr>
          <w:rFonts w:ascii="Times New Roman" w:hAnsi="Times New Roman"/>
          <w:color w:val="auto"/>
          <w:sz w:val="24"/>
        </w:rPr>
        <w:t>plasterboard, tile</w:t>
      </w:r>
      <w:r w:rsidRPr="00D03260">
        <w:rPr>
          <w:rFonts w:ascii="Times New Roman" w:hAnsi="Times New Roman"/>
          <w:color w:val="auto"/>
          <w:spacing w:val="-2"/>
          <w:sz w:val="24"/>
        </w:rPr>
        <w:t xml:space="preserve"> </w:t>
      </w:r>
      <w:r w:rsidRPr="00D03260">
        <w:rPr>
          <w:rFonts w:ascii="Times New Roman" w:hAnsi="Times New Roman"/>
          <w:color w:val="auto"/>
          <w:sz w:val="24"/>
        </w:rPr>
        <w:t>grout</w:t>
      </w:r>
      <w:r w:rsidRPr="00D03260">
        <w:rPr>
          <w:rFonts w:ascii="Times New Roman" w:hAnsi="Times New Roman"/>
          <w:color w:val="auto"/>
          <w:spacing w:val="-1"/>
          <w:sz w:val="24"/>
        </w:rPr>
        <w:t xml:space="preserve"> </w:t>
      </w:r>
      <w:r w:rsidRPr="00D03260">
        <w:rPr>
          <w:rFonts w:ascii="Times New Roman" w:hAnsi="Times New Roman"/>
          <w:color w:val="auto"/>
          <w:sz w:val="24"/>
        </w:rPr>
        <w:t>and</w:t>
      </w:r>
      <w:r w:rsidRPr="00D03260">
        <w:rPr>
          <w:rFonts w:ascii="Times New Roman" w:hAnsi="Times New Roman"/>
          <w:color w:val="auto"/>
          <w:spacing w:val="-1"/>
          <w:sz w:val="24"/>
        </w:rPr>
        <w:t xml:space="preserve"> </w:t>
      </w:r>
      <w:r w:rsidRPr="00D03260">
        <w:rPr>
          <w:rFonts w:ascii="Times New Roman" w:hAnsi="Times New Roman"/>
          <w:color w:val="auto"/>
          <w:sz w:val="24"/>
        </w:rPr>
        <w:t>furnishings.</w:t>
      </w:r>
      <w:r w:rsidRPr="00D03260">
        <w:rPr>
          <w:rFonts w:ascii="Times New Roman" w:hAnsi="Times New Roman"/>
          <w:color w:val="auto"/>
          <w:spacing w:val="-1"/>
          <w:sz w:val="24"/>
        </w:rPr>
        <w:t xml:space="preserve"> </w:t>
      </w:r>
      <w:r w:rsidRPr="00D03260">
        <w:rPr>
          <w:rFonts w:ascii="Times New Roman" w:hAnsi="Times New Roman"/>
          <w:color w:val="auto"/>
          <w:sz w:val="24"/>
        </w:rPr>
        <w:t>Common</w:t>
      </w:r>
      <w:r w:rsidRPr="00D03260">
        <w:rPr>
          <w:rFonts w:ascii="Times New Roman" w:hAnsi="Times New Roman"/>
          <w:color w:val="auto"/>
          <w:spacing w:val="-1"/>
          <w:sz w:val="24"/>
        </w:rPr>
        <w:t xml:space="preserve"> </w:t>
      </w:r>
      <w:r w:rsidRPr="00D03260">
        <w:rPr>
          <w:rFonts w:ascii="Times New Roman" w:hAnsi="Times New Roman"/>
          <w:color w:val="auto"/>
          <w:sz w:val="24"/>
        </w:rPr>
        <w:t>causes of mould growth indoors include:</w:t>
      </w:r>
    </w:p>
    <w:p w14:paraId="22A68383" w14:textId="77777777" w:rsidR="00A5692F" w:rsidRPr="00D03260" w:rsidRDefault="00A5692F" w:rsidP="00A5692F">
      <w:pPr>
        <w:widowControl w:val="0"/>
        <w:autoSpaceDE w:val="0"/>
        <w:autoSpaceDN w:val="0"/>
        <w:spacing w:before="7" w:after="0" w:line="240" w:lineRule="auto"/>
        <w:rPr>
          <w:rFonts w:ascii="Times New Roman" w:hAnsi="Times New Roman"/>
          <w:color w:val="auto"/>
          <w:sz w:val="24"/>
        </w:rPr>
      </w:pPr>
    </w:p>
    <w:p w14:paraId="690FEC23" w14:textId="77777777" w:rsidR="00A5692F" w:rsidRPr="00D03260" w:rsidRDefault="00A5692F" w:rsidP="00A5692F">
      <w:pPr>
        <w:widowControl w:val="0"/>
        <w:numPr>
          <w:ilvl w:val="0"/>
          <w:numId w:val="87"/>
        </w:numPr>
        <w:tabs>
          <w:tab w:val="left" w:pos="819"/>
          <w:tab w:val="left" w:pos="820"/>
        </w:tabs>
        <w:autoSpaceDE w:val="0"/>
        <w:autoSpaceDN w:val="0"/>
        <w:spacing w:before="0" w:after="0" w:line="240" w:lineRule="auto"/>
        <w:rPr>
          <w:rFonts w:ascii="Times New Roman" w:hAnsi="Times New Roman"/>
          <w:color w:val="auto"/>
          <w:sz w:val="24"/>
          <w:szCs w:val="22"/>
        </w:rPr>
      </w:pPr>
      <w:r w:rsidRPr="00D03260">
        <w:rPr>
          <w:rFonts w:ascii="Times New Roman" w:hAnsi="Times New Roman"/>
          <w:color w:val="auto"/>
          <w:sz w:val="24"/>
          <w:szCs w:val="22"/>
        </w:rPr>
        <w:t>leaking</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roofs</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and</w:t>
      </w:r>
      <w:r w:rsidRPr="00D03260">
        <w:rPr>
          <w:rFonts w:ascii="Times New Roman" w:hAnsi="Times New Roman"/>
          <w:color w:val="auto"/>
          <w:spacing w:val="1"/>
          <w:sz w:val="24"/>
          <w:szCs w:val="22"/>
        </w:rPr>
        <w:t xml:space="preserve"> </w:t>
      </w:r>
      <w:r w:rsidRPr="00D03260">
        <w:rPr>
          <w:rFonts w:ascii="Times New Roman" w:hAnsi="Times New Roman"/>
          <w:color w:val="auto"/>
          <w:spacing w:val="-2"/>
          <w:sz w:val="24"/>
          <w:szCs w:val="22"/>
        </w:rPr>
        <w:t>walls,</w:t>
      </w:r>
    </w:p>
    <w:p w14:paraId="22E2F9B8" w14:textId="77777777" w:rsidR="00A5692F" w:rsidRPr="00D03260" w:rsidRDefault="00A5692F" w:rsidP="00A5692F">
      <w:pPr>
        <w:widowControl w:val="0"/>
        <w:numPr>
          <w:ilvl w:val="0"/>
          <w:numId w:val="87"/>
        </w:numPr>
        <w:tabs>
          <w:tab w:val="left" w:pos="819"/>
          <w:tab w:val="left" w:pos="820"/>
        </w:tabs>
        <w:autoSpaceDE w:val="0"/>
        <w:autoSpaceDN w:val="0"/>
        <w:spacing w:before="40" w:after="0" w:line="240" w:lineRule="auto"/>
        <w:ind w:hanging="361"/>
        <w:rPr>
          <w:rFonts w:ascii="Times New Roman" w:hAnsi="Times New Roman"/>
          <w:color w:val="auto"/>
          <w:sz w:val="24"/>
          <w:szCs w:val="22"/>
        </w:rPr>
      </w:pPr>
      <w:r w:rsidRPr="00D03260">
        <w:rPr>
          <w:rFonts w:ascii="Times New Roman" w:hAnsi="Times New Roman"/>
          <w:color w:val="auto"/>
          <w:sz w:val="24"/>
          <w:szCs w:val="22"/>
        </w:rPr>
        <w:t>faulty</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plumbing,</w:t>
      </w:r>
      <w:r w:rsidRPr="00D03260">
        <w:rPr>
          <w:rFonts w:ascii="Times New Roman" w:hAnsi="Times New Roman"/>
          <w:color w:val="auto"/>
          <w:spacing w:val="-1"/>
          <w:sz w:val="24"/>
          <w:szCs w:val="22"/>
        </w:rPr>
        <w:t xml:space="preserve"> </w:t>
      </w:r>
      <w:r w:rsidRPr="00D03260">
        <w:rPr>
          <w:rFonts w:ascii="Times New Roman" w:hAnsi="Times New Roman"/>
          <w:color w:val="auto"/>
          <w:spacing w:val="-5"/>
          <w:sz w:val="24"/>
          <w:szCs w:val="22"/>
        </w:rPr>
        <w:t>and</w:t>
      </w:r>
    </w:p>
    <w:p w14:paraId="7892DD1C" w14:textId="77777777" w:rsidR="00A5692F" w:rsidRPr="00D03260" w:rsidRDefault="00A5692F" w:rsidP="00A5692F">
      <w:pPr>
        <w:widowControl w:val="0"/>
        <w:numPr>
          <w:ilvl w:val="0"/>
          <w:numId w:val="87"/>
        </w:numPr>
        <w:tabs>
          <w:tab w:val="left" w:pos="819"/>
          <w:tab w:val="left" w:pos="820"/>
        </w:tabs>
        <w:autoSpaceDE w:val="0"/>
        <w:autoSpaceDN w:val="0"/>
        <w:spacing w:before="42" w:after="0" w:line="240" w:lineRule="auto"/>
        <w:rPr>
          <w:rFonts w:ascii="Times New Roman" w:hAnsi="Times New Roman"/>
          <w:color w:val="auto"/>
          <w:sz w:val="24"/>
          <w:szCs w:val="22"/>
        </w:rPr>
      </w:pPr>
      <w:r w:rsidRPr="00D03260">
        <w:rPr>
          <w:rFonts w:ascii="Times New Roman" w:hAnsi="Times New Roman"/>
          <w:color w:val="auto"/>
          <w:spacing w:val="-2"/>
          <w:sz w:val="24"/>
          <w:szCs w:val="22"/>
        </w:rPr>
        <w:t>condensation.</w:t>
      </w:r>
    </w:p>
    <w:p w14:paraId="35397023" w14:textId="77777777" w:rsidR="00A5692F" w:rsidRPr="00D03260" w:rsidRDefault="00A5692F" w:rsidP="00A5692F">
      <w:pPr>
        <w:widowControl w:val="0"/>
        <w:autoSpaceDE w:val="0"/>
        <w:autoSpaceDN w:val="0"/>
        <w:spacing w:before="237" w:after="0" w:line="278" w:lineRule="auto"/>
        <w:ind w:left="100"/>
        <w:rPr>
          <w:rFonts w:ascii="Times New Roman" w:hAnsi="Times New Roman"/>
          <w:color w:val="auto"/>
          <w:sz w:val="24"/>
        </w:rPr>
      </w:pPr>
      <w:r w:rsidRPr="00D03260">
        <w:rPr>
          <w:rFonts w:ascii="Times New Roman" w:hAnsi="Times New Roman"/>
          <w:color w:val="auto"/>
          <w:sz w:val="24"/>
        </w:rPr>
        <w:t>To</w:t>
      </w:r>
      <w:r w:rsidRPr="00D03260">
        <w:rPr>
          <w:rFonts w:ascii="Times New Roman" w:hAnsi="Times New Roman"/>
          <w:color w:val="auto"/>
          <w:spacing w:val="-3"/>
          <w:sz w:val="24"/>
        </w:rPr>
        <w:t xml:space="preserve"> </w:t>
      </w:r>
      <w:r w:rsidRPr="00D03260">
        <w:rPr>
          <w:rFonts w:ascii="Times New Roman" w:hAnsi="Times New Roman"/>
          <w:color w:val="auto"/>
          <w:sz w:val="24"/>
        </w:rPr>
        <w:t>reproduce,</w:t>
      </w:r>
      <w:r w:rsidRPr="00D03260">
        <w:rPr>
          <w:rFonts w:ascii="Times New Roman" w:hAnsi="Times New Roman"/>
          <w:color w:val="auto"/>
          <w:spacing w:val="-3"/>
          <w:sz w:val="24"/>
        </w:rPr>
        <w:t xml:space="preserve"> </w:t>
      </w:r>
      <w:r w:rsidRPr="00D03260">
        <w:rPr>
          <w:rFonts w:ascii="Times New Roman" w:hAnsi="Times New Roman"/>
          <w:color w:val="auto"/>
          <w:sz w:val="24"/>
        </w:rPr>
        <w:t>mould</w:t>
      </w:r>
      <w:r w:rsidRPr="00D03260">
        <w:rPr>
          <w:rFonts w:ascii="Times New Roman" w:hAnsi="Times New Roman"/>
          <w:color w:val="auto"/>
          <w:spacing w:val="-3"/>
          <w:sz w:val="24"/>
        </w:rPr>
        <w:t xml:space="preserve"> </w:t>
      </w:r>
      <w:r w:rsidRPr="00D03260">
        <w:rPr>
          <w:rFonts w:ascii="Times New Roman" w:hAnsi="Times New Roman"/>
          <w:color w:val="auto"/>
          <w:sz w:val="24"/>
        </w:rPr>
        <w:t>produces</w:t>
      </w:r>
      <w:r w:rsidRPr="00D03260">
        <w:rPr>
          <w:rFonts w:ascii="Times New Roman" w:hAnsi="Times New Roman"/>
          <w:color w:val="auto"/>
          <w:spacing w:val="-3"/>
          <w:sz w:val="24"/>
        </w:rPr>
        <w:t xml:space="preserve"> </w:t>
      </w:r>
      <w:r w:rsidRPr="00D03260">
        <w:rPr>
          <w:rFonts w:ascii="Times New Roman" w:hAnsi="Times New Roman"/>
          <w:color w:val="auto"/>
          <w:sz w:val="24"/>
        </w:rPr>
        <w:t>tiny</w:t>
      </w:r>
      <w:r w:rsidRPr="00D03260">
        <w:rPr>
          <w:rFonts w:ascii="Times New Roman" w:hAnsi="Times New Roman"/>
          <w:color w:val="auto"/>
          <w:spacing w:val="-3"/>
          <w:sz w:val="24"/>
        </w:rPr>
        <w:t xml:space="preserve"> </w:t>
      </w:r>
      <w:r w:rsidRPr="00D03260">
        <w:rPr>
          <w:rFonts w:ascii="Times New Roman" w:hAnsi="Times New Roman"/>
          <w:color w:val="auto"/>
          <w:sz w:val="24"/>
        </w:rPr>
        <w:t>particles</w:t>
      </w:r>
      <w:r w:rsidRPr="00D03260">
        <w:rPr>
          <w:rFonts w:ascii="Times New Roman" w:hAnsi="Times New Roman"/>
          <w:color w:val="auto"/>
          <w:spacing w:val="-3"/>
          <w:sz w:val="24"/>
        </w:rPr>
        <w:t xml:space="preserve"> </w:t>
      </w:r>
      <w:r w:rsidRPr="00D03260">
        <w:rPr>
          <w:rFonts w:ascii="Times New Roman" w:hAnsi="Times New Roman"/>
          <w:color w:val="auto"/>
          <w:sz w:val="24"/>
        </w:rPr>
        <w:t>called</w:t>
      </w:r>
      <w:r w:rsidRPr="00D03260">
        <w:rPr>
          <w:rFonts w:ascii="Times New Roman" w:hAnsi="Times New Roman"/>
          <w:color w:val="auto"/>
          <w:spacing w:val="-3"/>
          <w:sz w:val="24"/>
        </w:rPr>
        <w:t xml:space="preserve"> </w:t>
      </w:r>
      <w:r w:rsidRPr="00D03260">
        <w:rPr>
          <w:rFonts w:ascii="Times New Roman" w:hAnsi="Times New Roman"/>
          <w:color w:val="auto"/>
          <w:sz w:val="24"/>
        </w:rPr>
        <w:t>spores.</w:t>
      </w:r>
      <w:r w:rsidRPr="00D03260">
        <w:rPr>
          <w:rFonts w:ascii="Times New Roman" w:hAnsi="Times New Roman"/>
          <w:color w:val="auto"/>
          <w:spacing w:val="-3"/>
          <w:sz w:val="24"/>
        </w:rPr>
        <w:t xml:space="preserve"> </w:t>
      </w:r>
      <w:r w:rsidRPr="00D03260">
        <w:rPr>
          <w:rFonts w:ascii="Times New Roman" w:hAnsi="Times New Roman"/>
          <w:color w:val="auto"/>
          <w:sz w:val="24"/>
        </w:rPr>
        <w:t>These</w:t>
      </w:r>
      <w:r w:rsidRPr="00D03260">
        <w:rPr>
          <w:rFonts w:ascii="Times New Roman" w:hAnsi="Times New Roman"/>
          <w:color w:val="auto"/>
          <w:spacing w:val="-4"/>
          <w:sz w:val="24"/>
        </w:rPr>
        <w:t xml:space="preserve"> </w:t>
      </w:r>
      <w:r w:rsidRPr="00D03260">
        <w:rPr>
          <w:rFonts w:ascii="Times New Roman" w:hAnsi="Times New Roman"/>
          <w:color w:val="auto"/>
          <w:sz w:val="24"/>
        </w:rPr>
        <w:t>spores</w:t>
      </w:r>
      <w:r w:rsidRPr="00D03260">
        <w:rPr>
          <w:rFonts w:ascii="Times New Roman" w:hAnsi="Times New Roman"/>
          <w:color w:val="auto"/>
          <w:spacing w:val="-3"/>
          <w:sz w:val="24"/>
        </w:rPr>
        <w:t xml:space="preserve"> </w:t>
      </w:r>
      <w:r w:rsidRPr="00D03260">
        <w:rPr>
          <w:rFonts w:ascii="Times New Roman" w:hAnsi="Times New Roman"/>
          <w:color w:val="auto"/>
          <w:sz w:val="24"/>
        </w:rPr>
        <w:t>travel</w:t>
      </w:r>
      <w:r w:rsidRPr="00D03260">
        <w:rPr>
          <w:rFonts w:ascii="Times New Roman" w:hAnsi="Times New Roman"/>
          <w:color w:val="auto"/>
          <w:spacing w:val="-3"/>
          <w:sz w:val="24"/>
        </w:rPr>
        <w:t xml:space="preserve"> </w:t>
      </w:r>
      <w:r w:rsidRPr="00D03260">
        <w:rPr>
          <w:rFonts w:ascii="Times New Roman" w:hAnsi="Times New Roman"/>
          <w:color w:val="auto"/>
          <w:sz w:val="24"/>
        </w:rPr>
        <w:t>easily</w:t>
      </w:r>
      <w:r w:rsidRPr="00D03260">
        <w:rPr>
          <w:rFonts w:ascii="Times New Roman" w:hAnsi="Times New Roman"/>
          <w:color w:val="auto"/>
          <w:spacing w:val="-3"/>
          <w:sz w:val="24"/>
        </w:rPr>
        <w:t xml:space="preserve"> </w:t>
      </w:r>
      <w:r w:rsidRPr="00D03260">
        <w:rPr>
          <w:rFonts w:ascii="Times New Roman" w:hAnsi="Times New Roman"/>
          <w:color w:val="auto"/>
          <w:sz w:val="24"/>
        </w:rPr>
        <w:t>through the air and may begin to grow and spread when they land on damp surfaces.</w:t>
      </w:r>
    </w:p>
    <w:p w14:paraId="778FB705" w14:textId="77777777" w:rsidR="00A5692F" w:rsidRPr="00D03260" w:rsidRDefault="00A5692F" w:rsidP="00A5692F">
      <w:pPr>
        <w:widowControl w:val="0"/>
        <w:autoSpaceDE w:val="0"/>
        <w:autoSpaceDN w:val="0"/>
        <w:spacing w:before="194" w:after="0"/>
        <w:ind w:left="100" w:right="197"/>
        <w:rPr>
          <w:rFonts w:ascii="Times New Roman" w:hAnsi="Times New Roman"/>
          <w:color w:val="auto"/>
          <w:sz w:val="24"/>
        </w:rPr>
      </w:pPr>
      <w:r w:rsidRPr="00D03260">
        <w:rPr>
          <w:rFonts w:ascii="Times New Roman" w:hAnsi="Times New Roman"/>
          <w:color w:val="auto"/>
          <w:sz w:val="24"/>
        </w:rPr>
        <w:t xml:space="preserve">Mould is not always easy to recognise. It often looks like ‘fuzz’ or may appear to be a stain, </w:t>
      </w:r>
      <w:proofErr w:type="gramStart"/>
      <w:r w:rsidRPr="00D03260">
        <w:rPr>
          <w:rFonts w:ascii="Times New Roman" w:hAnsi="Times New Roman"/>
          <w:color w:val="auto"/>
          <w:sz w:val="24"/>
        </w:rPr>
        <w:t>smudge</w:t>
      </w:r>
      <w:proofErr w:type="gramEnd"/>
      <w:r w:rsidRPr="00D03260">
        <w:rPr>
          <w:rFonts w:ascii="Times New Roman" w:hAnsi="Times New Roman"/>
          <w:color w:val="auto"/>
          <w:sz w:val="24"/>
        </w:rPr>
        <w:t xml:space="preserve"> or discoloration. The most common moulds are black, </w:t>
      </w:r>
      <w:proofErr w:type="gramStart"/>
      <w:r w:rsidRPr="00D03260">
        <w:rPr>
          <w:rFonts w:ascii="Times New Roman" w:hAnsi="Times New Roman"/>
          <w:color w:val="auto"/>
          <w:sz w:val="24"/>
        </w:rPr>
        <w:t>green</w:t>
      </w:r>
      <w:proofErr w:type="gramEnd"/>
      <w:r w:rsidRPr="00D03260">
        <w:rPr>
          <w:rFonts w:ascii="Times New Roman" w:hAnsi="Times New Roman"/>
          <w:color w:val="auto"/>
          <w:sz w:val="24"/>
        </w:rPr>
        <w:t xml:space="preserve"> or white. However, mould</w:t>
      </w:r>
      <w:r w:rsidRPr="00D03260">
        <w:rPr>
          <w:rFonts w:ascii="Times New Roman" w:hAnsi="Times New Roman"/>
          <w:color w:val="auto"/>
          <w:spacing w:val="-3"/>
          <w:sz w:val="24"/>
        </w:rPr>
        <w:t xml:space="preserve"> </w:t>
      </w:r>
      <w:r w:rsidRPr="00D03260">
        <w:rPr>
          <w:rFonts w:ascii="Times New Roman" w:hAnsi="Times New Roman"/>
          <w:color w:val="auto"/>
          <w:sz w:val="24"/>
        </w:rPr>
        <w:t>can</w:t>
      </w:r>
      <w:r w:rsidRPr="00D03260">
        <w:rPr>
          <w:rFonts w:ascii="Times New Roman" w:hAnsi="Times New Roman"/>
          <w:color w:val="auto"/>
          <w:spacing w:val="-3"/>
          <w:sz w:val="24"/>
        </w:rPr>
        <w:t xml:space="preserve"> </w:t>
      </w:r>
      <w:r w:rsidRPr="00D03260">
        <w:rPr>
          <w:rFonts w:ascii="Times New Roman" w:hAnsi="Times New Roman"/>
          <w:color w:val="auto"/>
          <w:sz w:val="24"/>
        </w:rPr>
        <w:t>be</w:t>
      </w:r>
      <w:r w:rsidRPr="00D03260">
        <w:rPr>
          <w:rFonts w:ascii="Times New Roman" w:hAnsi="Times New Roman"/>
          <w:color w:val="auto"/>
          <w:spacing w:val="-4"/>
          <w:sz w:val="24"/>
        </w:rPr>
        <w:t xml:space="preserve"> </w:t>
      </w:r>
      <w:r w:rsidRPr="00D03260">
        <w:rPr>
          <w:rFonts w:ascii="Times New Roman" w:hAnsi="Times New Roman"/>
          <w:color w:val="auto"/>
          <w:sz w:val="24"/>
        </w:rPr>
        <w:t>many</w:t>
      </w:r>
      <w:r w:rsidRPr="00D03260">
        <w:rPr>
          <w:rFonts w:ascii="Times New Roman" w:hAnsi="Times New Roman"/>
          <w:color w:val="auto"/>
          <w:spacing w:val="-3"/>
          <w:sz w:val="24"/>
        </w:rPr>
        <w:t xml:space="preserve"> </w:t>
      </w:r>
      <w:r w:rsidRPr="00D03260">
        <w:rPr>
          <w:rFonts w:ascii="Times New Roman" w:hAnsi="Times New Roman"/>
          <w:color w:val="auto"/>
          <w:sz w:val="24"/>
        </w:rPr>
        <w:t>other</w:t>
      </w:r>
      <w:r w:rsidRPr="00D03260">
        <w:rPr>
          <w:rFonts w:ascii="Times New Roman" w:hAnsi="Times New Roman"/>
          <w:color w:val="auto"/>
          <w:spacing w:val="-2"/>
          <w:sz w:val="24"/>
        </w:rPr>
        <w:t xml:space="preserve"> </w:t>
      </w:r>
      <w:r w:rsidRPr="00D03260">
        <w:rPr>
          <w:rFonts w:ascii="Times New Roman" w:hAnsi="Times New Roman"/>
          <w:color w:val="auto"/>
          <w:sz w:val="24"/>
        </w:rPr>
        <w:t>colours,</w:t>
      </w:r>
      <w:r w:rsidRPr="00D03260">
        <w:rPr>
          <w:rFonts w:ascii="Times New Roman" w:hAnsi="Times New Roman"/>
          <w:color w:val="auto"/>
          <w:spacing w:val="-3"/>
          <w:sz w:val="24"/>
        </w:rPr>
        <w:t xml:space="preserve"> </w:t>
      </w:r>
      <w:r w:rsidRPr="00D03260">
        <w:rPr>
          <w:rFonts w:ascii="Times New Roman" w:hAnsi="Times New Roman"/>
          <w:color w:val="auto"/>
          <w:sz w:val="24"/>
        </w:rPr>
        <w:t>ranging</w:t>
      </w:r>
      <w:r w:rsidRPr="00D03260">
        <w:rPr>
          <w:rFonts w:ascii="Times New Roman" w:hAnsi="Times New Roman"/>
          <w:color w:val="auto"/>
          <w:spacing w:val="-3"/>
          <w:sz w:val="24"/>
        </w:rPr>
        <w:t xml:space="preserve"> </w:t>
      </w:r>
      <w:r w:rsidRPr="00D03260">
        <w:rPr>
          <w:rFonts w:ascii="Times New Roman" w:hAnsi="Times New Roman"/>
          <w:color w:val="auto"/>
          <w:sz w:val="24"/>
        </w:rPr>
        <w:t>from</w:t>
      </w:r>
      <w:r w:rsidRPr="00D03260">
        <w:rPr>
          <w:rFonts w:ascii="Times New Roman" w:hAnsi="Times New Roman"/>
          <w:color w:val="auto"/>
          <w:spacing w:val="-3"/>
          <w:sz w:val="24"/>
        </w:rPr>
        <w:t xml:space="preserve"> </w:t>
      </w:r>
      <w:r w:rsidRPr="00D03260">
        <w:rPr>
          <w:rFonts w:ascii="Times New Roman" w:hAnsi="Times New Roman"/>
          <w:color w:val="auto"/>
          <w:sz w:val="24"/>
        </w:rPr>
        <w:t>grey</w:t>
      </w:r>
      <w:r w:rsidRPr="00D03260">
        <w:rPr>
          <w:rFonts w:ascii="Times New Roman" w:hAnsi="Times New Roman"/>
          <w:color w:val="auto"/>
          <w:spacing w:val="-3"/>
          <w:sz w:val="24"/>
        </w:rPr>
        <w:t xml:space="preserve"> </w:t>
      </w:r>
      <w:r w:rsidRPr="00D03260">
        <w:rPr>
          <w:rFonts w:ascii="Times New Roman" w:hAnsi="Times New Roman"/>
          <w:color w:val="auto"/>
          <w:sz w:val="24"/>
        </w:rPr>
        <w:t>to</w:t>
      </w:r>
      <w:r w:rsidRPr="00D03260">
        <w:rPr>
          <w:rFonts w:ascii="Times New Roman" w:hAnsi="Times New Roman"/>
          <w:color w:val="auto"/>
          <w:spacing w:val="-3"/>
          <w:sz w:val="24"/>
        </w:rPr>
        <w:t xml:space="preserve"> </w:t>
      </w:r>
      <w:r w:rsidRPr="00D03260">
        <w:rPr>
          <w:rFonts w:ascii="Times New Roman" w:hAnsi="Times New Roman"/>
          <w:color w:val="auto"/>
          <w:sz w:val="24"/>
        </w:rPr>
        <w:t>orange</w:t>
      </w:r>
      <w:r w:rsidRPr="00D03260">
        <w:rPr>
          <w:rFonts w:ascii="Times New Roman" w:hAnsi="Times New Roman"/>
          <w:color w:val="auto"/>
          <w:spacing w:val="-4"/>
          <w:sz w:val="24"/>
        </w:rPr>
        <w:t xml:space="preserve"> </w:t>
      </w:r>
      <w:r w:rsidRPr="00D03260">
        <w:rPr>
          <w:rFonts w:ascii="Times New Roman" w:hAnsi="Times New Roman"/>
          <w:color w:val="auto"/>
          <w:sz w:val="24"/>
        </w:rPr>
        <w:t>to</w:t>
      </w:r>
      <w:r w:rsidRPr="00D03260">
        <w:rPr>
          <w:rFonts w:ascii="Times New Roman" w:hAnsi="Times New Roman"/>
          <w:color w:val="auto"/>
          <w:spacing w:val="-3"/>
          <w:sz w:val="24"/>
        </w:rPr>
        <w:t xml:space="preserve"> </w:t>
      </w:r>
      <w:r w:rsidRPr="00D03260">
        <w:rPr>
          <w:rFonts w:ascii="Times New Roman" w:hAnsi="Times New Roman"/>
          <w:color w:val="auto"/>
          <w:sz w:val="24"/>
        </w:rPr>
        <w:t>brown</w:t>
      </w:r>
      <w:r w:rsidRPr="00D03260">
        <w:rPr>
          <w:rFonts w:ascii="Times New Roman" w:hAnsi="Times New Roman"/>
          <w:color w:val="auto"/>
          <w:spacing w:val="-3"/>
          <w:sz w:val="24"/>
        </w:rPr>
        <w:t xml:space="preserve"> </w:t>
      </w:r>
      <w:r w:rsidRPr="00D03260">
        <w:rPr>
          <w:rFonts w:ascii="Times New Roman" w:hAnsi="Times New Roman"/>
          <w:color w:val="auto"/>
          <w:sz w:val="24"/>
        </w:rPr>
        <w:t>and</w:t>
      </w:r>
      <w:r w:rsidRPr="00D03260">
        <w:rPr>
          <w:rFonts w:ascii="Times New Roman" w:hAnsi="Times New Roman"/>
          <w:color w:val="auto"/>
          <w:spacing w:val="-3"/>
          <w:sz w:val="24"/>
        </w:rPr>
        <w:t xml:space="preserve"> </w:t>
      </w:r>
      <w:r w:rsidRPr="00D03260">
        <w:rPr>
          <w:rFonts w:ascii="Times New Roman" w:hAnsi="Times New Roman"/>
          <w:color w:val="auto"/>
          <w:sz w:val="24"/>
        </w:rPr>
        <w:t>can</w:t>
      </w:r>
      <w:r w:rsidRPr="00D03260">
        <w:rPr>
          <w:rFonts w:ascii="Times New Roman" w:hAnsi="Times New Roman"/>
          <w:color w:val="auto"/>
          <w:spacing w:val="-3"/>
          <w:sz w:val="24"/>
        </w:rPr>
        <w:t xml:space="preserve"> </w:t>
      </w:r>
      <w:r w:rsidRPr="00D03260">
        <w:rPr>
          <w:rFonts w:ascii="Times New Roman" w:hAnsi="Times New Roman"/>
          <w:color w:val="auto"/>
          <w:sz w:val="24"/>
        </w:rPr>
        <w:t>also</w:t>
      </w:r>
      <w:r w:rsidRPr="00D03260">
        <w:rPr>
          <w:rFonts w:ascii="Times New Roman" w:hAnsi="Times New Roman"/>
          <w:color w:val="auto"/>
          <w:spacing w:val="-3"/>
          <w:sz w:val="24"/>
        </w:rPr>
        <w:t xml:space="preserve"> </w:t>
      </w:r>
      <w:r w:rsidRPr="00D03260">
        <w:rPr>
          <w:rFonts w:ascii="Times New Roman" w:hAnsi="Times New Roman"/>
          <w:color w:val="auto"/>
          <w:sz w:val="24"/>
        </w:rPr>
        <w:t>change colour depending on its age or life-stage.</w:t>
      </w:r>
    </w:p>
    <w:p w14:paraId="5F6D1F85" w14:textId="77777777" w:rsidR="00A5692F" w:rsidRPr="00D03260" w:rsidRDefault="00A5692F" w:rsidP="00A5692F">
      <w:pPr>
        <w:widowControl w:val="0"/>
        <w:autoSpaceDE w:val="0"/>
        <w:autoSpaceDN w:val="0"/>
        <w:spacing w:before="0" w:after="0" w:line="240" w:lineRule="auto"/>
        <w:rPr>
          <w:rFonts w:ascii="Times New Roman" w:hAnsi="Times New Roman"/>
          <w:color w:val="auto"/>
          <w:sz w:val="26"/>
        </w:rPr>
      </w:pPr>
    </w:p>
    <w:p w14:paraId="785F0FF3" w14:textId="77777777" w:rsidR="00A5692F" w:rsidRPr="00D03260" w:rsidRDefault="00A5692F" w:rsidP="00A5692F">
      <w:pPr>
        <w:widowControl w:val="0"/>
        <w:autoSpaceDE w:val="0"/>
        <w:autoSpaceDN w:val="0"/>
        <w:spacing w:before="183" w:after="0" w:line="240" w:lineRule="auto"/>
        <w:ind w:left="100"/>
        <w:outlineLvl w:val="0"/>
        <w:rPr>
          <w:rFonts w:ascii="Cambria" w:eastAsia="Cambria" w:hAnsi="Cambria" w:cs="Cambria"/>
          <w:b/>
          <w:bCs/>
          <w:color w:val="auto"/>
          <w:sz w:val="28"/>
          <w:szCs w:val="28"/>
        </w:rPr>
      </w:pPr>
      <w:bookmarkStart w:id="502" w:name="How_am_I_exposed_to_mould?"/>
      <w:bookmarkStart w:id="503" w:name="_Toc121329243"/>
      <w:bookmarkStart w:id="504" w:name="_Toc121329407"/>
      <w:bookmarkStart w:id="505" w:name="_Toc121834550"/>
      <w:bookmarkStart w:id="506" w:name="_Toc141885980"/>
      <w:bookmarkEnd w:id="502"/>
      <w:r w:rsidRPr="00D03260">
        <w:rPr>
          <w:rFonts w:ascii="Cambria" w:eastAsia="Cambria" w:hAnsi="Cambria" w:cs="Cambria"/>
          <w:b/>
          <w:bCs/>
          <w:color w:val="365F91"/>
          <w:sz w:val="28"/>
          <w:szCs w:val="28"/>
        </w:rPr>
        <w:t>How</w:t>
      </w:r>
      <w:r w:rsidRPr="00D03260">
        <w:rPr>
          <w:rFonts w:ascii="Cambria" w:eastAsia="Cambria" w:hAnsi="Cambria" w:cs="Cambria"/>
          <w:b/>
          <w:bCs/>
          <w:color w:val="365F91"/>
          <w:spacing w:val="-3"/>
          <w:sz w:val="28"/>
          <w:szCs w:val="28"/>
        </w:rPr>
        <w:t xml:space="preserve"> </w:t>
      </w:r>
      <w:r w:rsidRPr="00D03260">
        <w:rPr>
          <w:rFonts w:ascii="Cambria" w:eastAsia="Cambria" w:hAnsi="Cambria" w:cs="Cambria"/>
          <w:b/>
          <w:bCs/>
          <w:color w:val="365F91"/>
          <w:sz w:val="28"/>
          <w:szCs w:val="28"/>
        </w:rPr>
        <w:t>am</w:t>
      </w:r>
      <w:r w:rsidRPr="00D03260">
        <w:rPr>
          <w:rFonts w:ascii="Cambria" w:eastAsia="Cambria" w:hAnsi="Cambria" w:cs="Cambria"/>
          <w:b/>
          <w:bCs/>
          <w:color w:val="365F91"/>
          <w:spacing w:val="-5"/>
          <w:sz w:val="28"/>
          <w:szCs w:val="28"/>
        </w:rPr>
        <w:t xml:space="preserve"> </w:t>
      </w:r>
      <w:r w:rsidRPr="00D03260">
        <w:rPr>
          <w:rFonts w:ascii="Cambria" w:eastAsia="Cambria" w:hAnsi="Cambria" w:cs="Cambria"/>
          <w:b/>
          <w:bCs/>
          <w:color w:val="365F91"/>
          <w:sz w:val="28"/>
          <w:szCs w:val="28"/>
        </w:rPr>
        <w:t>I</w:t>
      </w:r>
      <w:r w:rsidRPr="00D03260">
        <w:rPr>
          <w:rFonts w:ascii="Cambria" w:eastAsia="Cambria" w:hAnsi="Cambria" w:cs="Cambria"/>
          <w:b/>
          <w:bCs/>
          <w:color w:val="365F91"/>
          <w:spacing w:val="-1"/>
          <w:sz w:val="28"/>
          <w:szCs w:val="28"/>
        </w:rPr>
        <w:t xml:space="preserve"> </w:t>
      </w:r>
      <w:r w:rsidRPr="00D03260">
        <w:rPr>
          <w:rFonts w:ascii="Cambria" w:eastAsia="Cambria" w:hAnsi="Cambria" w:cs="Cambria"/>
          <w:b/>
          <w:bCs/>
          <w:color w:val="365F91"/>
          <w:sz w:val="28"/>
          <w:szCs w:val="28"/>
        </w:rPr>
        <w:t>exposed</w:t>
      </w:r>
      <w:r w:rsidRPr="00D03260">
        <w:rPr>
          <w:rFonts w:ascii="Cambria" w:eastAsia="Cambria" w:hAnsi="Cambria" w:cs="Cambria"/>
          <w:b/>
          <w:bCs/>
          <w:color w:val="365F91"/>
          <w:spacing w:val="-4"/>
          <w:sz w:val="28"/>
          <w:szCs w:val="28"/>
        </w:rPr>
        <w:t xml:space="preserve"> </w:t>
      </w:r>
      <w:r w:rsidRPr="00D03260">
        <w:rPr>
          <w:rFonts w:ascii="Cambria" w:eastAsia="Cambria" w:hAnsi="Cambria" w:cs="Cambria"/>
          <w:b/>
          <w:bCs/>
          <w:color w:val="365F91"/>
          <w:sz w:val="28"/>
          <w:szCs w:val="28"/>
        </w:rPr>
        <w:t>to</w:t>
      </w:r>
      <w:r w:rsidRPr="00D03260">
        <w:rPr>
          <w:rFonts w:ascii="Cambria" w:eastAsia="Cambria" w:hAnsi="Cambria" w:cs="Cambria"/>
          <w:b/>
          <w:bCs/>
          <w:color w:val="365F91"/>
          <w:spacing w:val="-1"/>
          <w:sz w:val="28"/>
          <w:szCs w:val="28"/>
        </w:rPr>
        <w:t xml:space="preserve"> </w:t>
      </w:r>
      <w:r w:rsidRPr="00D03260">
        <w:rPr>
          <w:rFonts w:ascii="Cambria" w:eastAsia="Cambria" w:hAnsi="Cambria" w:cs="Cambria"/>
          <w:b/>
          <w:bCs/>
          <w:color w:val="365F91"/>
          <w:spacing w:val="-2"/>
          <w:sz w:val="28"/>
          <w:szCs w:val="28"/>
        </w:rPr>
        <w:t>mould?</w:t>
      </w:r>
      <w:bookmarkEnd w:id="503"/>
      <w:bookmarkEnd w:id="504"/>
      <w:bookmarkEnd w:id="505"/>
      <w:bookmarkEnd w:id="506"/>
    </w:p>
    <w:p w14:paraId="71F3C6EC" w14:textId="77777777" w:rsidR="00A5692F" w:rsidRPr="00D03260" w:rsidRDefault="00A5692F" w:rsidP="00A5692F">
      <w:pPr>
        <w:widowControl w:val="0"/>
        <w:autoSpaceDE w:val="0"/>
        <w:autoSpaceDN w:val="0"/>
        <w:spacing w:before="0" w:after="0" w:line="240" w:lineRule="auto"/>
        <w:rPr>
          <w:rFonts w:ascii="Cambria" w:hAnsi="Times New Roman"/>
          <w:b/>
          <w:color w:val="auto"/>
          <w:sz w:val="28"/>
        </w:rPr>
      </w:pPr>
    </w:p>
    <w:p w14:paraId="3023506F" w14:textId="77777777" w:rsidR="00A5692F" w:rsidRPr="00D03260" w:rsidRDefault="00A5692F" w:rsidP="00A5692F">
      <w:pPr>
        <w:widowControl w:val="0"/>
        <w:autoSpaceDE w:val="0"/>
        <w:autoSpaceDN w:val="0"/>
        <w:spacing w:before="0" w:after="0" w:line="240" w:lineRule="auto"/>
        <w:ind w:left="100"/>
        <w:rPr>
          <w:rFonts w:ascii="Times New Roman" w:hAnsi="Times New Roman"/>
          <w:color w:val="auto"/>
          <w:sz w:val="24"/>
        </w:rPr>
      </w:pPr>
      <w:r w:rsidRPr="00D03260">
        <w:rPr>
          <w:rFonts w:ascii="Times New Roman" w:hAnsi="Times New Roman"/>
          <w:color w:val="auto"/>
          <w:sz w:val="24"/>
        </w:rPr>
        <w:t>Mould</w:t>
      </w:r>
      <w:r w:rsidRPr="00D03260">
        <w:rPr>
          <w:rFonts w:ascii="Times New Roman" w:hAnsi="Times New Roman"/>
          <w:color w:val="auto"/>
          <w:spacing w:val="-3"/>
          <w:sz w:val="24"/>
        </w:rPr>
        <w:t xml:space="preserve"> </w:t>
      </w:r>
      <w:r w:rsidRPr="00D03260">
        <w:rPr>
          <w:rFonts w:ascii="Times New Roman" w:hAnsi="Times New Roman"/>
          <w:color w:val="auto"/>
          <w:sz w:val="24"/>
        </w:rPr>
        <w:t>spores</w:t>
      </w:r>
      <w:r w:rsidRPr="00D03260">
        <w:rPr>
          <w:rFonts w:ascii="Times New Roman" w:hAnsi="Times New Roman"/>
          <w:color w:val="auto"/>
          <w:spacing w:val="-3"/>
          <w:sz w:val="24"/>
        </w:rPr>
        <w:t xml:space="preserve"> </w:t>
      </w:r>
      <w:r w:rsidRPr="00D03260">
        <w:rPr>
          <w:rFonts w:ascii="Times New Roman" w:hAnsi="Times New Roman"/>
          <w:color w:val="auto"/>
          <w:sz w:val="24"/>
        </w:rPr>
        <w:t>and</w:t>
      </w:r>
      <w:r w:rsidRPr="00D03260">
        <w:rPr>
          <w:rFonts w:ascii="Times New Roman" w:hAnsi="Times New Roman"/>
          <w:color w:val="auto"/>
          <w:spacing w:val="-3"/>
          <w:sz w:val="24"/>
        </w:rPr>
        <w:t xml:space="preserve"> </w:t>
      </w:r>
      <w:r w:rsidRPr="00D03260">
        <w:rPr>
          <w:rFonts w:ascii="Times New Roman" w:hAnsi="Times New Roman"/>
          <w:color w:val="auto"/>
          <w:sz w:val="24"/>
        </w:rPr>
        <w:t>fragments</w:t>
      </w:r>
      <w:r w:rsidRPr="00D03260">
        <w:rPr>
          <w:rFonts w:ascii="Times New Roman" w:hAnsi="Times New Roman"/>
          <w:color w:val="auto"/>
          <w:spacing w:val="-3"/>
          <w:sz w:val="24"/>
        </w:rPr>
        <w:t xml:space="preserve"> </w:t>
      </w:r>
      <w:r w:rsidRPr="00D03260">
        <w:rPr>
          <w:rFonts w:ascii="Times New Roman" w:hAnsi="Times New Roman"/>
          <w:color w:val="auto"/>
          <w:sz w:val="24"/>
        </w:rPr>
        <w:t>exist</w:t>
      </w:r>
      <w:r w:rsidRPr="00D03260">
        <w:rPr>
          <w:rFonts w:ascii="Times New Roman" w:hAnsi="Times New Roman"/>
          <w:color w:val="auto"/>
          <w:spacing w:val="-3"/>
          <w:sz w:val="24"/>
        </w:rPr>
        <w:t xml:space="preserve"> </w:t>
      </w:r>
      <w:r w:rsidRPr="00D03260">
        <w:rPr>
          <w:rFonts w:ascii="Times New Roman" w:hAnsi="Times New Roman"/>
          <w:color w:val="auto"/>
          <w:sz w:val="24"/>
        </w:rPr>
        <w:t>naturally</w:t>
      </w:r>
      <w:r w:rsidRPr="00D03260">
        <w:rPr>
          <w:rFonts w:ascii="Times New Roman" w:hAnsi="Times New Roman"/>
          <w:color w:val="auto"/>
          <w:spacing w:val="-3"/>
          <w:sz w:val="24"/>
        </w:rPr>
        <w:t xml:space="preserve"> </w:t>
      </w:r>
      <w:r w:rsidRPr="00D03260">
        <w:rPr>
          <w:rFonts w:ascii="Times New Roman" w:hAnsi="Times New Roman"/>
          <w:color w:val="auto"/>
          <w:sz w:val="24"/>
        </w:rPr>
        <w:t>in</w:t>
      </w:r>
      <w:r w:rsidRPr="00D03260">
        <w:rPr>
          <w:rFonts w:ascii="Times New Roman" w:hAnsi="Times New Roman"/>
          <w:color w:val="auto"/>
          <w:spacing w:val="-3"/>
          <w:sz w:val="24"/>
        </w:rPr>
        <w:t xml:space="preserve"> </w:t>
      </w:r>
      <w:r w:rsidRPr="00D03260">
        <w:rPr>
          <w:rFonts w:ascii="Times New Roman" w:hAnsi="Times New Roman"/>
          <w:color w:val="auto"/>
          <w:sz w:val="24"/>
        </w:rPr>
        <w:t>the</w:t>
      </w:r>
      <w:r w:rsidRPr="00D03260">
        <w:rPr>
          <w:rFonts w:ascii="Times New Roman" w:hAnsi="Times New Roman"/>
          <w:color w:val="auto"/>
          <w:spacing w:val="-4"/>
          <w:sz w:val="24"/>
        </w:rPr>
        <w:t xml:space="preserve"> </w:t>
      </w:r>
      <w:r w:rsidRPr="00D03260">
        <w:rPr>
          <w:rFonts w:ascii="Times New Roman" w:hAnsi="Times New Roman"/>
          <w:color w:val="auto"/>
          <w:sz w:val="24"/>
        </w:rPr>
        <w:t>air</w:t>
      </w:r>
      <w:r w:rsidRPr="00D03260">
        <w:rPr>
          <w:rFonts w:ascii="Times New Roman" w:hAnsi="Times New Roman"/>
          <w:color w:val="auto"/>
          <w:spacing w:val="-4"/>
          <w:sz w:val="24"/>
        </w:rPr>
        <w:t xml:space="preserve"> </w:t>
      </w:r>
      <w:r w:rsidRPr="00D03260">
        <w:rPr>
          <w:rFonts w:ascii="Times New Roman" w:hAnsi="Times New Roman"/>
          <w:color w:val="auto"/>
          <w:sz w:val="24"/>
        </w:rPr>
        <w:t>we</w:t>
      </w:r>
      <w:r w:rsidRPr="00D03260">
        <w:rPr>
          <w:rFonts w:ascii="Times New Roman" w:hAnsi="Times New Roman"/>
          <w:color w:val="auto"/>
          <w:spacing w:val="-4"/>
          <w:sz w:val="24"/>
        </w:rPr>
        <w:t xml:space="preserve"> </w:t>
      </w:r>
      <w:r w:rsidRPr="00D03260">
        <w:rPr>
          <w:rFonts w:ascii="Times New Roman" w:hAnsi="Times New Roman"/>
          <w:color w:val="auto"/>
          <w:sz w:val="24"/>
        </w:rPr>
        <w:t>breathe.</w:t>
      </w:r>
      <w:r w:rsidRPr="00D03260">
        <w:rPr>
          <w:rFonts w:ascii="Times New Roman" w:hAnsi="Times New Roman"/>
          <w:color w:val="auto"/>
          <w:spacing w:val="-3"/>
          <w:sz w:val="24"/>
        </w:rPr>
        <w:t xml:space="preserve"> </w:t>
      </w:r>
      <w:r w:rsidRPr="00D03260">
        <w:rPr>
          <w:rFonts w:ascii="Times New Roman" w:hAnsi="Times New Roman"/>
          <w:color w:val="auto"/>
          <w:sz w:val="24"/>
        </w:rPr>
        <w:t>The</w:t>
      </w:r>
      <w:r w:rsidRPr="00D03260">
        <w:rPr>
          <w:rFonts w:ascii="Times New Roman" w:hAnsi="Times New Roman"/>
          <w:color w:val="auto"/>
          <w:spacing w:val="-4"/>
          <w:sz w:val="24"/>
        </w:rPr>
        <w:t xml:space="preserve"> </w:t>
      </w:r>
      <w:r w:rsidRPr="00D03260">
        <w:rPr>
          <w:rFonts w:ascii="Times New Roman" w:hAnsi="Times New Roman"/>
          <w:color w:val="auto"/>
          <w:sz w:val="24"/>
        </w:rPr>
        <w:t>amount</w:t>
      </w:r>
      <w:r w:rsidRPr="00D03260">
        <w:rPr>
          <w:rFonts w:ascii="Times New Roman" w:hAnsi="Times New Roman"/>
          <w:color w:val="auto"/>
          <w:spacing w:val="-3"/>
          <w:sz w:val="24"/>
        </w:rPr>
        <w:t xml:space="preserve"> </w:t>
      </w:r>
      <w:r w:rsidRPr="00D03260">
        <w:rPr>
          <w:rFonts w:ascii="Times New Roman" w:hAnsi="Times New Roman"/>
          <w:color w:val="auto"/>
          <w:sz w:val="24"/>
        </w:rPr>
        <w:t>that</w:t>
      </w:r>
      <w:r w:rsidRPr="00D03260">
        <w:rPr>
          <w:rFonts w:ascii="Times New Roman" w:hAnsi="Times New Roman"/>
          <w:color w:val="auto"/>
          <w:spacing w:val="-3"/>
          <w:sz w:val="24"/>
        </w:rPr>
        <w:t xml:space="preserve"> </w:t>
      </w:r>
      <w:r w:rsidRPr="00D03260">
        <w:rPr>
          <w:rFonts w:ascii="Times New Roman" w:hAnsi="Times New Roman"/>
          <w:color w:val="auto"/>
          <w:sz w:val="24"/>
        </w:rPr>
        <w:t>people</w:t>
      </w:r>
      <w:r w:rsidRPr="00D03260">
        <w:rPr>
          <w:rFonts w:ascii="Times New Roman" w:hAnsi="Times New Roman"/>
          <w:color w:val="auto"/>
          <w:spacing w:val="-5"/>
          <w:sz w:val="24"/>
        </w:rPr>
        <w:t xml:space="preserve"> </w:t>
      </w:r>
      <w:r w:rsidRPr="00D03260">
        <w:rPr>
          <w:rFonts w:ascii="Times New Roman" w:hAnsi="Times New Roman"/>
          <w:color w:val="auto"/>
          <w:sz w:val="24"/>
        </w:rPr>
        <w:t>are exposed to depends on various factors including the season, surrounding land, wind, and people’s activities / actions both indoors and outdoors.</w:t>
      </w:r>
    </w:p>
    <w:p w14:paraId="55D1802C" w14:textId="77777777" w:rsidR="00A5692F" w:rsidRPr="00D03260" w:rsidRDefault="00A5692F" w:rsidP="00A5692F">
      <w:pPr>
        <w:widowControl w:val="0"/>
        <w:autoSpaceDE w:val="0"/>
        <w:autoSpaceDN w:val="0"/>
        <w:spacing w:before="4" w:after="0" w:line="240" w:lineRule="auto"/>
        <w:rPr>
          <w:rFonts w:ascii="Times New Roman" w:hAnsi="Times New Roman"/>
          <w:color w:val="auto"/>
          <w:sz w:val="24"/>
        </w:rPr>
      </w:pPr>
    </w:p>
    <w:p w14:paraId="612F0D9F" w14:textId="77777777" w:rsidR="00A5692F" w:rsidRPr="00D03260" w:rsidRDefault="00A5692F" w:rsidP="00A5692F">
      <w:pPr>
        <w:widowControl w:val="0"/>
        <w:autoSpaceDE w:val="0"/>
        <w:autoSpaceDN w:val="0"/>
        <w:spacing w:before="1" w:after="0" w:line="240" w:lineRule="auto"/>
        <w:ind w:left="100"/>
        <w:rPr>
          <w:rFonts w:ascii="Times New Roman" w:hAnsi="Times New Roman"/>
          <w:color w:val="auto"/>
          <w:sz w:val="24"/>
        </w:rPr>
      </w:pPr>
      <w:r w:rsidRPr="00D03260">
        <w:rPr>
          <w:rFonts w:ascii="Times New Roman" w:hAnsi="Times New Roman"/>
          <w:color w:val="auto"/>
          <w:sz w:val="24"/>
        </w:rPr>
        <w:t>Mould</w:t>
      </w:r>
      <w:r w:rsidRPr="00D03260">
        <w:rPr>
          <w:rFonts w:ascii="Times New Roman" w:hAnsi="Times New Roman"/>
          <w:color w:val="auto"/>
          <w:spacing w:val="-3"/>
          <w:sz w:val="24"/>
        </w:rPr>
        <w:t xml:space="preserve"> </w:t>
      </w:r>
      <w:r w:rsidRPr="00D03260">
        <w:rPr>
          <w:rFonts w:ascii="Times New Roman" w:hAnsi="Times New Roman"/>
          <w:color w:val="auto"/>
          <w:sz w:val="24"/>
        </w:rPr>
        <w:t>primarily</w:t>
      </w:r>
      <w:r w:rsidRPr="00D03260">
        <w:rPr>
          <w:rFonts w:ascii="Times New Roman" w:hAnsi="Times New Roman"/>
          <w:color w:val="auto"/>
          <w:spacing w:val="-1"/>
          <w:sz w:val="24"/>
        </w:rPr>
        <w:t xml:space="preserve"> </w:t>
      </w:r>
      <w:r w:rsidRPr="00D03260">
        <w:rPr>
          <w:rFonts w:ascii="Times New Roman" w:hAnsi="Times New Roman"/>
          <w:color w:val="auto"/>
          <w:sz w:val="24"/>
        </w:rPr>
        <w:t>enters</w:t>
      </w:r>
      <w:r w:rsidRPr="00D03260">
        <w:rPr>
          <w:rFonts w:ascii="Times New Roman" w:hAnsi="Times New Roman"/>
          <w:color w:val="auto"/>
          <w:spacing w:val="-1"/>
          <w:sz w:val="24"/>
        </w:rPr>
        <w:t xml:space="preserve"> </w:t>
      </w:r>
      <w:r w:rsidRPr="00D03260">
        <w:rPr>
          <w:rFonts w:ascii="Times New Roman" w:hAnsi="Times New Roman"/>
          <w:color w:val="auto"/>
          <w:sz w:val="24"/>
        </w:rPr>
        <w:t>your</w:t>
      </w:r>
      <w:r w:rsidRPr="00D03260">
        <w:rPr>
          <w:rFonts w:ascii="Times New Roman" w:hAnsi="Times New Roman"/>
          <w:color w:val="auto"/>
          <w:spacing w:val="-2"/>
          <w:sz w:val="24"/>
        </w:rPr>
        <w:t xml:space="preserve"> </w:t>
      </w:r>
      <w:r w:rsidRPr="00D03260">
        <w:rPr>
          <w:rFonts w:ascii="Times New Roman" w:hAnsi="Times New Roman"/>
          <w:color w:val="auto"/>
          <w:sz w:val="24"/>
        </w:rPr>
        <w:t>body</w:t>
      </w:r>
      <w:r w:rsidRPr="00D03260">
        <w:rPr>
          <w:rFonts w:ascii="Times New Roman" w:hAnsi="Times New Roman"/>
          <w:color w:val="auto"/>
          <w:spacing w:val="-1"/>
          <w:sz w:val="24"/>
        </w:rPr>
        <w:t xml:space="preserve"> </w:t>
      </w:r>
      <w:r w:rsidRPr="00D03260">
        <w:rPr>
          <w:rFonts w:ascii="Times New Roman" w:hAnsi="Times New Roman"/>
          <w:color w:val="auto"/>
          <w:sz w:val="24"/>
        </w:rPr>
        <w:t>through</w:t>
      </w:r>
      <w:r w:rsidRPr="00D03260">
        <w:rPr>
          <w:rFonts w:ascii="Times New Roman" w:hAnsi="Times New Roman"/>
          <w:color w:val="auto"/>
          <w:spacing w:val="-1"/>
          <w:sz w:val="24"/>
        </w:rPr>
        <w:t xml:space="preserve"> </w:t>
      </w:r>
      <w:r w:rsidRPr="00D03260">
        <w:rPr>
          <w:rFonts w:ascii="Times New Roman" w:hAnsi="Times New Roman"/>
          <w:color w:val="auto"/>
          <w:sz w:val="24"/>
        </w:rPr>
        <w:t>breathing</w:t>
      </w:r>
      <w:r w:rsidRPr="00D03260">
        <w:rPr>
          <w:rFonts w:ascii="Times New Roman" w:hAnsi="Times New Roman"/>
          <w:color w:val="auto"/>
          <w:spacing w:val="-1"/>
          <w:sz w:val="24"/>
        </w:rPr>
        <w:t xml:space="preserve"> </w:t>
      </w:r>
      <w:r w:rsidRPr="00D03260">
        <w:rPr>
          <w:rFonts w:ascii="Times New Roman" w:hAnsi="Times New Roman"/>
          <w:color w:val="auto"/>
          <w:sz w:val="24"/>
        </w:rPr>
        <w:t xml:space="preserve">and </w:t>
      </w:r>
      <w:r w:rsidRPr="00D03260">
        <w:rPr>
          <w:rFonts w:ascii="Times New Roman" w:hAnsi="Times New Roman"/>
          <w:color w:val="auto"/>
          <w:spacing w:val="-2"/>
          <w:sz w:val="24"/>
        </w:rPr>
        <w:t>swallowing.</w:t>
      </w:r>
    </w:p>
    <w:p w14:paraId="652A6D58" w14:textId="77777777" w:rsidR="00A5692F" w:rsidRPr="00D03260" w:rsidRDefault="00A5692F" w:rsidP="00A5692F">
      <w:pPr>
        <w:widowControl w:val="0"/>
        <w:autoSpaceDE w:val="0"/>
        <w:autoSpaceDN w:val="0"/>
        <w:spacing w:before="2" w:after="0" w:line="240" w:lineRule="auto"/>
        <w:rPr>
          <w:rFonts w:ascii="Times New Roman" w:hAnsi="Times New Roman"/>
          <w:color w:val="auto"/>
          <w:sz w:val="24"/>
        </w:rPr>
      </w:pPr>
    </w:p>
    <w:p w14:paraId="27B1A7FB" w14:textId="77777777" w:rsidR="00A5692F" w:rsidRPr="00D03260" w:rsidRDefault="00A5692F" w:rsidP="00A5692F">
      <w:pPr>
        <w:widowControl w:val="0"/>
        <w:autoSpaceDE w:val="0"/>
        <w:autoSpaceDN w:val="0"/>
        <w:spacing w:before="0" w:after="0" w:line="240" w:lineRule="auto"/>
        <w:ind w:left="100" w:right="877"/>
        <w:jc w:val="both"/>
        <w:rPr>
          <w:rFonts w:ascii="Times New Roman" w:hAnsi="Times New Roman"/>
          <w:color w:val="auto"/>
          <w:sz w:val="24"/>
        </w:rPr>
      </w:pPr>
      <w:r w:rsidRPr="00D03260">
        <w:rPr>
          <w:rFonts w:ascii="Times New Roman" w:hAnsi="Times New Roman"/>
          <w:color w:val="auto"/>
          <w:sz w:val="24"/>
        </w:rPr>
        <w:t>Some</w:t>
      </w:r>
      <w:r w:rsidRPr="00D03260">
        <w:rPr>
          <w:rFonts w:ascii="Times New Roman" w:hAnsi="Times New Roman"/>
          <w:color w:val="auto"/>
          <w:spacing w:val="-5"/>
          <w:sz w:val="24"/>
        </w:rPr>
        <w:t xml:space="preserve"> </w:t>
      </w:r>
      <w:r w:rsidRPr="00D03260">
        <w:rPr>
          <w:rFonts w:ascii="Times New Roman" w:hAnsi="Times New Roman"/>
          <w:color w:val="auto"/>
          <w:sz w:val="24"/>
        </w:rPr>
        <w:t>moulds</w:t>
      </w:r>
      <w:r w:rsidRPr="00D03260">
        <w:rPr>
          <w:rFonts w:ascii="Times New Roman" w:hAnsi="Times New Roman"/>
          <w:color w:val="auto"/>
          <w:spacing w:val="-4"/>
          <w:sz w:val="24"/>
        </w:rPr>
        <w:t xml:space="preserve"> </w:t>
      </w:r>
      <w:r w:rsidRPr="00D03260">
        <w:rPr>
          <w:rFonts w:ascii="Times New Roman" w:hAnsi="Times New Roman"/>
          <w:color w:val="auto"/>
          <w:sz w:val="24"/>
        </w:rPr>
        <w:t>produce</w:t>
      </w:r>
      <w:r w:rsidRPr="00D03260">
        <w:rPr>
          <w:rFonts w:ascii="Times New Roman" w:hAnsi="Times New Roman"/>
          <w:color w:val="auto"/>
          <w:spacing w:val="-5"/>
          <w:sz w:val="24"/>
        </w:rPr>
        <w:t xml:space="preserve"> </w:t>
      </w:r>
      <w:r w:rsidRPr="00D03260">
        <w:rPr>
          <w:rFonts w:ascii="Times New Roman" w:hAnsi="Times New Roman"/>
          <w:color w:val="auto"/>
          <w:sz w:val="24"/>
        </w:rPr>
        <w:t>toxins</w:t>
      </w:r>
      <w:r w:rsidRPr="00D03260">
        <w:rPr>
          <w:rFonts w:ascii="Times New Roman" w:hAnsi="Times New Roman"/>
          <w:color w:val="auto"/>
          <w:spacing w:val="-4"/>
          <w:sz w:val="24"/>
        </w:rPr>
        <w:t xml:space="preserve"> </w:t>
      </w:r>
      <w:r w:rsidRPr="00D03260">
        <w:rPr>
          <w:rFonts w:ascii="Times New Roman" w:hAnsi="Times New Roman"/>
          <w:color w:val="auto"/>
          <w:sz w:val="24"/>
        </w:rPr>
        <w:t>(mycotoxins).</w:t>
      </w:r>
      <w:r w:rsidRPr="00D03260">
        <w:rPr>
          <w:rFonts w:ascii="Times New Roman" w:hAnsi="Times New Roman"/>
          <w:color w:val="auto"/>
          <w:spacing w:val="-4"/>
          <w:sz w:val="24"/>
        </w:rPr>
        <w:t xml:space="preserve"> </w:t>
      </w:r>
      <w:r w:rsidRPr="00D03260">
        <w:rPr>
          <w:rFonts w:ascii="Times New Roman" w:hAnsi="Times New Roman"/>
          <w:color w:val="auto"/>
          <w:sz w:val="24"/>
        </w:rPr>
        <w:t>People</w:t>
      </w:r>
      <w:r w:rsidRPr="00D03260">
        <w:rPr>
          <w:rFonts w:ascii="Times New Roman" w:hAnsi="Times New Roman"/>
          <w:color w:val="auto"/>
          <w:spacing w:val="-5"/>
          <w:sz w:val="24"/>
        </w:rPr>
        <w:t xml:space="preserve"> </w:t>
      </w:r>
      <w:r w:rsidRPr="00D03260">
        <w:rPr>
          <w:rFonts w:ascii="Times New Roman" w:hAnsi="Times New Roman"/>
          <w:color w:val="auto"/>
          <w:sz w:val="24"/>
        </w:rPr>
        <w:t>are</w:t>
      </w:r>
      <w:r w:rsidRPr="00D03260">
        <w:rPr>
          <w:rFonts w:ascii="Times New Roman" w:hAnsi="Times New Roman"/>
          <w:color w:val="auto"/>
          <w:spacing w:val="-5"/>
          <w:sz w:val="24"/>
        </w:rPr>
        <w:t xml:space="preserve"> </w:t>
      </w:r>
      <w:r w:rsidRPr="00D03260">
        <w:rPr>
          <w:rFonts w:ascii="Times New Roman" w:hAnsi="Times New Roman"/>
          <w:color w:val="auto"/>
          <w:sz w:val="24"/>
        </w:rPr>
        <w:t>mostly</w:t>
      </w:r>
      <w:r w:rsidRPr="00D03260">
        <w:rPr>
          <w:rFonts w:ascii="Times New Roman" w:hAnsi="Times New Roman"/>
          <w:color w:val="auto"/>
          <w:spacing w:val="-4"/>
          <w:sz w:val="24"/>
        </w:rPr>
        <w:t xml:space="preserve"> </w:t>
      </w:r>
      <w:r w:rsidRPr="00D03260">
        <w:rPr>
          <w:rFonts w:ascii="Times New Roman" w:hAnsi="Times New Roman"/>
          <w:color w:val="auto"/>
          <w:sz w:val="24"/>
        </w:rPr>
        <w:t>exposed</w:t>
      </w:r>
      <w:r w:rsidRPr="00D03260">
        <w:rPr>
          <w:rFonts w:ascii="Times New Roman" w:hAnsi="Times New Roman"/>
          <w:color w:val="auto"/>
          <w:spacing w:val="-4"/>
          <w:sz w:val="24"/>
        </w:rPr>
        <w:t xml:space="preserve"> </w:t>
      </w:r>
      <w:r w:rsidRPr="00D03260">
        <w:rPr>
          <w:rFonts w:ascii="Times New Roman" w:hAnsi="Times New Roman"/>
          <w:color w:val="auto"/>
          <w:sz w:val="24"/>
        </w:rPr>
        <w:t>to</w:t>
      </w:r>
      <w:r w:rsidRPr="00D03260">
        <w:rPr>
          <w:rFonts w:ascii="Times New Roman" w:hAnsi="Times New Roman"/>
          <w:color w:val="auto"/>
          <w:spacing w:val="-2"/>
          <w:sz w:val="24"/>
        </w:rPr>
        <w:t xml:space="preserve"> </w:t>
      </w:r>
      <w:r w:rsidRPr="00D03260">
        <w:rPr>
          <w:rFonts w:ascii="Times New Roman" w:hAnsi="Times New Roman"/>
          <w:color w:val="auto"/>
          <w:sz w:val="24"/>
        </w:rPr>
        <w:t>mycotoxins through</w:t>
      </w:r>
      <w:r w:rsidRPr="00D03260">
        <w:rPr>
          <w:rFonts w:ascii="Times New Roman" w:hAnsi="Times New Roman"/>
          <w:color w:val="auto"/>
          <w:spacing w:val="-4"/>
          <w:sz w:val="24"/>
        </w:rPr>
        <w:t xml:space="preserve"> </w:t>
      </w:r>
      <w:r w:rsidRPr="00D03260">
        <w:rPr>
          <w:rFonts w:ascii="Times New Roman" w:hAnsi="Times New Roman"/>
          <w:color w:val="auto"/>
          <w:sz w:val="24"/>
        </w:rPr>
        <w:t>eating</w:t>
      </w:r>
      <w:r w:rsidRPr="00D03260">
        <w:rPr>
          <w:rFonts w:ascii="Times New Roman" w:hAnsi="Times New Roman"/>
          <w:color w:val="auto"/>
          <w:spacing w:val="-4"/>
          <w:sz w:val="24"/>
        </w:rPr>
        <w:t xml:space="preserve"> </w:t>
      </w:r>
      <w:r w:rsidRPr="00D03260">
        <w:rPr>
          <w:rFonts w:ascii="Times New Roman" w:hAnsi="Times New Roman"/>
          <w:color w:val="auto"/>
          <w:sz w:val="24"/>
        </w:rPr>
        <w:t>contaminated</w:t>
      </w:r>
      <w:r w:rsidRPr="00D03260">
        <w:rPr>
          <w:rFonts w:ascii="Times New Roman" w:hAnsi="Times New Roman"/>
          <w:color w:val="auto"/>
          <w:spacing w:val="-4"/>
          <w:sz w:val="24"/>
        </w:rPr>
        <w:t xml:space="preserve"> </w:t>
      </w:r>
      <w:r w:rsidRPr="00D03260">
        <w:rPr>
          <w:rFonts w:ascii="Times New Roman" w:hAnsi="Times New Roman"/>
          <w:color w:val="auto"/>
          <w:sz w:val="24"/>
        </w:rPr>
        <w:t>food.</w:t>
      </w:r>
      <w:r w:rsidRPr="00D03260">
        <w:rPr>
          <w:rFonts w:ascii="Times New Roman" w:hAnsi="Times New Roman"/>
          <w:color w:val="auto"/>
          <w:spacing w:val="-4"/>
          <w:sz w:val="24"/>
        </w:rPr>
        <w:t xml:space="preserve"> </w:t>
      </w:r>
      <w:r w:rsidRPr="00D03260">
        <w:rPr>
          <w:rFonts w:ascii="Times New Roman" w:hAnsi="Times New Roman"/>
          <w:color w:val="auto"/>
          <w:sz w:val="24"/>
        </w:rPr>
        <w:t>Australia</w:t>
      </w:r>
      <w:r w:rsidRPr="00D03260">
        <w:rPr>
          <w:rFonts w:ascii="Times New Roman" w:hAnsi="Times New Roman"/>
          <w:color w:val="auto"/>
          <w:spacing w:val="-4"/>
          <w:sz w:val="24"/>
        </w:rPr>
        <w:t xml:space="preserve"> </w:t>
      </w:r>
      <w:r w:rsidRPr="00D03260">
        <w:rPr>
          <w:rFonts w:ascii="Times New Roman" w:hAnsi="Times New Roman"/>
          <w:color w:val="auto"/>
          <w:sz w:val="24"/>
        </w:rPr>
        <w:t>minimises</w:t>
      </w:r>
      <w:r w:rsidRPr="00D03260">
        <w:rPr>
          <w:rFonts w:ascii="Times New Roman" w:hAnsi="Times New Roman"/>
          <w:color w:val="auto"/>
          <w:spacing w:val="-4"/>
          <w:sz w:val="24"/>
        </w:rPr>
        <w:t xml:space="preserve"> </w:t>
      </w:r>
      <w:r w:rsidRPr="00D03260">
        <w:rPr>
          <w:rFonts w:ascii="Times New Roman" w:hAnsi="Times New Roman"/>
          <w:color w:val="auto"/>
          <w:sz w:val="24"/>
        </w:rPr>
        <w:t>exposure</w:t>
      </w:r>
      <w:r w:rsidRPr="00D03260">
        <w:rPr>
          <w:rFonts w:ascii="Times New Roman" w:hAnsi="Times New Roman"/>
          <w:color w:val="auto"/>
          <w:spacing w:val="-4"/>
          <w:sz w:val="24"/>
        </w:rPr>
        <w:t xml:space="preserve"> </w:t>
      </w:r>
      <w:r w:rsidRPr="00D03260">
        <w:rPr>
          <w:rFonts w:ascii="Times New Roman" w:hAnsi="Times New Roman"/>
          <w:color w:val="auto"/>
          <w:sz w:val="24"/>
        </w:rPr>
        <w:t>to</w:t>
      </w:r>
      <w:r w:rsidRPr="00D03260">
        <w:rPr>
          <w:rFonts w:ascii="Times New Roman" w:hAnsi="Times New Roman"/>
          <w:color w:val="auto"/>
          <w:spacing w:val="-4"/>
          <w:sz w:val="24"/>
        </w:rPr>
        <w:t xml:space="preserve"> </w:t>
      </w:r>
      <w:r w:rsidRPr="00D03260">
        <w:rPr>
          <w:rFonts w:ascii="Times New Roman" w:hAnsi="Times New Roman"/>
          <w:color w:val="auto"/>
          <w:sz w:val="24"/>
        </w:rPr>
        <w:t>mycotoxins</w:t>
      </w:r>
      <w:r w:rsidRPr="00D03260">
        <w:rPr>
          <w:rFonts w:ascii="Times New Roman" w:hAnsi="Times New Roman"/>
          <w:color w:val="auto"/>
          <w:spacing w:val="-4"/>
          <w:sz w:val="24"/>
        </w:rPr>
        <w:t xml:space="preserve"> </w:t>
      </w:r>
      <w:r w:rsidRPr="00D03260">
        <w:rPr>
          <w:rFonts w:ascii="Times New Roman" w:hAnsi="Times New Roman"/>
          <w:color w:val="auto"/>
          <w:sz w:val="24"/>
        </w:rPr>
        <w:t>in</w:t>
      </w:r>
      <w:r w:rsidRPr="00D03260">
        <w:rPr>
          <w:rFonts w:ascii="Times New Roman" w:hAnsi="Times New Roman"/>
          <w:color w:val="auto"/>
          <w:spacing w:val="-4"/>
          <w:sz w:val="24"/>
        </w:rPr>
        <w:t xml:space="preserve"> </w:t>
      </w:r>
      <w:r w:rsidRPr="00D03260">
        <w:rPr>
          <w:rFonts w:ascii="Times New Roman" w:hAnsi="Times New Roman"/>
          <w:color w:val="auto"/>
          <w:sz w:val="24"/>
        </w:rPr>
        <w:t>the community by maintaining a hygienic food supply chain.</w:t>
      </w:r>
    </w:p>
    <w:p w14:paraId="658607F2" w14:textId="6F3E66FF" w:rsidR="00A5692F" w:rsidRPr="00D03260" w:rsidRDefault="00A5692F" w:rsidP="00A5692F">
      <w:pPr>
        <w:widowControl w:val="0"/>
        <w:autoSpaceDE w:val="0"/>
        <w:autoSpaceDN w:val="0"/>
        <w:spacing w:before="0" w:after="0" w:line="240" w:lineRule="auto"/>
        <w:rPr>
          <w:rFonts w:ascii="Times New Roman" w:hAnsi="Times New Roman"/>
          <w:color w:val="auto"/>
          <w:sz w:val="26"/>
        </w:rPr>
      </w:pPr>
      <w:r w:rsidRPr="00D03260">
        <w:rPr>
          <w:rFonts w:ascii="Times New Roman" w:hAnsi="Times New Roman"/>
          <w:color w:val="auto"/>
          <w:sz w:val="26"/>
        </w:rPr>
        <w:br w:type="page"/>
      </w:r>
    </w:p>
    <w:p w14:paraId="61EBBEDB" w14:textId="76A31F3B" w:rsidR="00A5692F" w:rsidRPr="00D03260" w:rsidRDefault="00512A02" w:rsidP="00A5692F">
      <w:pPr>
        <w:widowControl w:val="0"/>
        <w:autoSpaceDE w:val="0"/>
        <w:autoSpaceDN w:val="0"/>
        <w:spacing w:before="182" w:after="0" w:line="240" w:lineRule="auto"/>
        <w:ind w:left="100"/>
        <w:outlineLvl w:val="0"/>
        <w:rPr>
          <w:rFonts w:ascii="Cambria" w:eastAsia="Cambria" w:hAnsi="Cambria" w:cs="Cambria"/>
          <w:b/>
          <w:bCs/>
          <w:color w:val="auto"/>
          <w:sz w:val="28"/>
          <w:szCs w:val="28"/>
        </w:rPr>
      </w:pPr>
      <w:bookmarkStart w:id="507" w:name="How_can_mould_affect_my_health?"/>
      <w:bookmarkStart w:id="508" w:name="_Toc121329244"/>
      <w:bookmarkStart w:id="509" w:name="_Toc121329408"/>
      <w:bookmarkStart w:id="510" w:name="_Toc121834551"/>
      <w:bookmarkStart w:id="511" w:name="_Toc141885981"/>
      <w:bookmarkEnd w:id="507"/>
      <w:r w:rsidRPr="00D03260">
        <w:rPr>
          <w:noProof/>
        </w:rPr>
        <w:drawing>
          <wp:inline distT="0" distB="0" distL="0" distR="0" wp14:anchorId="6AF1FFF6" wp14:editId="68B18EA5">
            <wp:extent cx="5759450" cy="977900"/>
            <wp:effectExtent l="0" t="0" r="0" b="0"/>
            <wp:docPr id="1" name="Picture 1" descr="Environmental Health Standing Committee (enHealth) of the Australian Health Protection Principal Committe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vironmental Health Standing Committee (enHealth) of the Australian Health Protection Principal Committee logo.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977900"/>
                    </a:xfrm>
                    <a:prstGeom prst="rect">
                      <a:avLst/>
                    </a:prstGeom>
                    <a:noFill/>
                    <a:ln>
                      <a:noFill/>
                    </a:ln>
                  </pic:spPr>
                </pic:pic>
              </a:graphicData>
            </a:graphic>
          </wp:inline>
        </w:drawing>
      </w:r>
      <w:r w:rsidR="00A5692F" w:rsidRPr="00D03260">
        <w:rPr>
          <w:rFonts w:ascii="Cambria" w:eastAsia="Cambria" w:hAnsi="Cambria" w:cs="Cambria"/>
          <w:b/>
          <w:bCs/>
          <w:color w:val="365F91"/>
          <w:sz w:val="28"/>
          <w:szCs w:val="28"/>
        </w:rPr>
        <w:t>How</w:t>
      </w:r>
      <w:r w:rsidR="00A5692F" w:rsidRPr="00D03260">
        <w:rPr>
          <w:rFonts w:ascii="Cambria" w:eastAsia="Cambria" w:hAnsi="Cambria" w:cs="Cambria"/>
          <w:b/>
          <w:bCs/>
          <w:color w:val="365F91"/>
          <w:spacing w:val="-4"/>
          <w:sz w:val="28"/>
          <w:szCs w:val="28"/>
        </w:rPr>
        <w:t xml:space="preserve"> </w:t>
      </w:r>
      <w:r w:rsidR="00A5692F" w:rsidRPr="00D03260">
        <w:rPr>
          <w:rFonts w:ascii="Cambria" w:eastAsia="Cambria" w:hAnsi="Cambria" w:cs="Cambria"/>
          <w:b/>
          <w:bCs/>
          <w:color w:val="365F91"/>
          <w:sz w:val="28"/>
          <w:szCs w:val="28"/>
        </w:rPr>
        <w:t>can</w:t>
      </w:r>
      <w:r w:rsidR="00A5692F" w:rsidRPr="00D03260">
        <w:rPr>
          <w:rFonts w:ascii="Cambria" w:eastAsia="Cambria" w:hAnsi="Cambria" w:cs="Cambria"/>
          <w:b/>
          <w:bCs/>
          <w:color w:val="365F91"/>
          <w:spacing w:val="-2"/>
          <w:sz w:val="28"/>
          <w:szCs w:val="28"/>
        </w:rPr>
        <w:t xml:space="preserve"> </w:t>
      </w:r>
      <w:r w:rsidR="00A5692F" w:rsidRPr="00D03260">
        <w:rPr>
          <w:rFonts w:ascii="Cambria" w:eastAsia="Cambria" w:hAnsi="Cambria" w:cs="Cambria"/>
          <w:b/>
          <w:bCs/>
          <w:color w:val="365F91"/>
          <w:sz w:val="28"/>
          <w:szCs w:val="28"/>
        </w:rPr>
        <w:t>mould</w:t>
      </w:r>
      <w:r w:rsidR="00A5692F" w:rsidRPr="00D03260">
        <w:rPr>
          <w:rFonts w:ascii="Cambria" w:eastAsia="Cambria" w:hAnsi="Cambria" w:cs="Cambria"/>
          <w:b/>
          <w:bCs/>
          <w:color w:val="365F91"/>
          <w:spacing w:val="-5"/>
          <w:sz w:val="28"/>
          <w:szCs w:val="28"/>
        </w:rPr>
        <w:t xml:space="preserve"> </w:t>
      </w:r>
      <w:r w:rsidR="00A5692F" w:rsidRPr="00D03260">
        <w:rPr>
          <w:rFonts w:ascii="Cambria" w:eastAsia="Cambria" w:hAnsi="Cambria" w:cs="Cambria"/>
          <w:b/>
          <w:bCs/>
          <w:color w:val="365F91"/>
          <w:sz w:val="28"/>
          <w:szCs w:val="28"/>
        </w:rPr>
        <w:t>affect</w:t>
      </w:r>
      <w:r w:rsidR="00A5692F" w:rsidRPr="00D03260">
        <w:rPr>
          <w:rFonts w:ascii="Cambria" w:eastAsia="Cambria" w:hAnsi="Cambria" w:cs="Cambria"/>
          <w:b/>
          <w:bCs/>
          <w:color w:val="365F91"/>
          <w:spacing w:val="-2"/>
          <w:sz w:val="28"/>
          <w:szCs w:val="28"/>
        </w:rPr>
        <w:t xml:space="preserve"> </w:t>
      </w:r>
      <w:r w:rsidR="00A5692F" w:rsidRPr="00D03260">
        <w:rPr>
          <w:rFonts w:ascii="Cambria" w:eastAsia="Cambria" w:hAnsi="Cambria" w:cs="Cambria"/>
          <w:b/>
          <w:bCs/>
          <w:color w:val="365F91"/>
          <w:sz w:val="28"/>
          <w:szCs w:val="28"/>
        </w:rPr>
        <w:t>my</w:t>
      </w:r>
      <w:r w:rsidR="00A5692F" w:rsidRPr="00D03260">
        <w:rPr>
          <w:rFonts w:ascii="Cambria" w:eastAsia="Cambria" w:hAnsi="Cambria" w:cs="Cambria"/>
          <w:b/>
          <w:bCs/>
          <w:color w:val="365F91"/>
          <w:spacing w:val="-4"/>
          <w:sz w:val="28"/>
          <w:szCs w:val="28"/>
        </w:rPr>
        <w:t xml:space="preserve"> </w:t>
      </w:r>
      <w:r w:rsidR="00A5692F" w:rsidRPr="00D03260">
        <w:rPr>
          <w:rFonts w:ascii="Cambria" w:eastAsia="Cambria" w:hAnsi="Cambria" w:cs="Cambria"/>
          <w:b/>
          <w:bCs/>
          <w:color w:val="365F91"/>
          <w:spacing w:val="-2"/>
          <w:sz w:val="28"/>
          <w:szCs w:val="28"/>
        </w:rPr>
        <w:t>health?</w:t>
      </w:r>
      <w:bookmarkEnd w:id="508"/>
      <w:bookmarkEnd w:id="509"/>
      <w:bookmarkEnd w:id="510"/>
      <w:bookmarkEnd w:id="511"/>
    </w:p>
    <w:p w14:paraId="2C05BFA3" w14:textId="77777777" w:rsidR="00A5692F" w:rsidRPr="00D03260" w:rsidRDefault="00A5692F" w:rsidP="00A5692F">
      <w:pPr>
        <w:widowControl w:val="0"/>
        <w:autoSpaceDE w:val="0"/>
        <w:autoSpaceDN w:val="0"/>
        <w:spacing w:before="0" w:after="0" w:line="240" w:lineRule="auto"/>
        <w:rPr>
          <w:rFonts w:ascii="Cambria" w:hAnsi="Times New Roman"/>
          <w:b/>
          <w:color w:val="auto"/>
          <w:sz w:val="28"/>
        </w:rPr>
      </w:pPr>
    </w:p>
    <w:p w14:paraId="73958F27" w14:textId="77777777" w:rsidR="00A5692F" w:rsidRPr="00D03260" w:rsidRDefault="00A5692F" w:rsidP="00A5692F">
      <w:pPr>
        <w:widowControl w:val="0"/>
        <w:autoSpaceDE w:val="0"/>
        <w:autoSpaceDN w:val="0"/>
        <w:spacing w:before="0" w:after="0" w:line="240" w:lineRule="auto"/>
        <w:ind w:left="100"/>
        <w:rPr>
          <w:rFonts w:ascii="Times New Roman" w:hAnsi="Times New Roman"/>
          <w:color w:val="auto"/>
          <w:sz w:val="24"/>
        </w:rPr>
      </w:pPr>
      <w:r w:rsidRPr="00D03260">
        <w:rPr>
          <w:rFonts w:ascii="Times New Roman" w:hAnsi="Times New Roman"/>
          <w:color w:val="auto"/>
          <w:sz w:val="24"/>
        </w:rPr>
        <w:t>Breathing</w:t>
      </w:r>
      <w:r w:rsidRPr="00D03260">
        <w:rPr>
          <w:rFonts w:ascii="Times New Roman" w:hAnsi="Times New Roman"/>
          <w:color w:val="auto"/>
          <w:spacing w:val="-4"/>
          <w:sz w:val="24"/>
        </w:rPr>
        <w:t xml:space="preserve"> </w:t>
      </w:r>
      <w:r w:rsidRPr="00D03260">
        <w:rPr>
          <w:rFonts w:ascii="Times New Roman" w:hAnsi="Times New Roman"/>
          <w:color w:val="auto"/>
          <w:sz w:val="24"/>
        </w:rPr>
        <w:t>in</w:t>
      </w:r>
      <w:r w:rsidRPr="00D03260">
        <w:rPr>
          <w:rFonts w:ascii="Times New Roman" w:hAnsi="Times New Roman"/>
          <w:color w:val="auto"/>
          <w:spacing w:val="-4"/>
          <w:sz w:val="24"/>
        </w:rPr>
        <w:t xml:space="preserve"> </w:t>
      </w:r>
      <w:r w:rsidRPr="00D03260">
        <w:rPr>
          <w:rFonts w:ascii="Times New Roman" w:hAnsi="Times New Roman"/>
          <w:color w:val="auto"/>
          <w:sz w:val="24"/>
        </w:rPr>
        <w:t>mould</w:t>
      </w:r>
      <w:r w:rsidRPr="00D03260">
        <w:rPr>
          <w:rFonts w:ascii="Times New Roman" w:hAnsi="Times New Roman"/>
          <w:color w:val="auto"/>
          <w:spacing w:val="-4"/>
          <w:sz w:val="24"/>
        </w:rPr>
        <w:t xml:space="preserve"> </w:t>
      </w:r>
      <w:r w:rsidRPr="00D03260">
        <w:rPr>
          <w:rFonts w:ascii="Times New Roman" w:hAnsi="Times New Roman"/>
          <w:color w:val="auto"/>
          <w:sz w:val="24"/>
        </w:rPr>
        <w:t>spores</w:t>
      </w:r>
      <w:r w:rsidRPr="00D03260">
        <w:rPr>
          <w:rFonts w:ascii="Times New Roman" w:hAnsi="Times New Roman"/>
          <w:color w:val="auto"/>
          <w:spacing w:val="-4"/>
          <w:sz w:val="24"/>
        </w:rPr>
        <w:t xml:space="preserve"> </w:t>
      </w:r>
      <w:r w:rsidRPr="00D03260">
        <w:rPr>
          <w:rFonts w:ascii="Times New Roman" w:hAnsi="Times New Roman"/>
          <w:color w:val="auto"/>
          <w:sz w:val="24"/>
        </w:rPr>
        <w:t>and</w:t>
      </w:r>
      <w:r w:rsidRPr="00D03260">
        <w:rPr>
          <w:rFonts w:ascii="Times New Roman" w:hAnsi="Times New Roman"/>
          <w:color w:val="auto"/>
          <w:spacing w:val="-4"/>
          <w:sz w:val="24"/>
        </w:rPr>
        <w:t xml:space="preserve"> </w:t>
      </w:r>
      <w:r w:rsidRPr="00D03260">
        <w:rPr>
          <w:rFonts w:ascii="Times New Roman" w:hAnsi="Times New Roman"/>
          <w:color w:val="auto"/>
          <w:sz w:val="24"/>
        </w:rPr>
        <w:t>fragments</w:t>
      </w:r>
      <w:r w:rsidRPr="00D03260">
        <w:rPr>
          <w:rFonts w:ascii="Times New Roman" w:hAnsi="Times New Roman"/>
          <w:color w:val="auto"/>
          <w:spacing w:val="-2"/>
          <w:sz w:val="24"/>
        </w:rPr>
        <w:t xml:space="preserve"> </w:t>
      </w:r>
      <w:r w:rsidRPr="00D03260">
        <w:rPr>
          <w:rFonts w:ascii="Times New Roman" w:hAnsi="Times New Roman"/>
          <w:color w:val="auto"/>
          <w:sz w:val="24"/>
        </w:rPr>
        <w:t>can</w:t>
      </w:r>
      <w:r w:rsidRPr="00D03260">
        <w:rPr>
          <w:rFonts w:ascii="Times New Roman" w:hAnsi="Times New Roman"/>
          <w:color w:val="auto"/>
          <w:spacing w:val="-4"/>
          <w:sz w:val="24"/>
        </w:rPr>
        <w:t xml:space="preserve"> </w:t>
      </w:r>
      <w:r w:rsidRPr="00D03260">
        <w:rPr>
          <w:rFonts w:ascii="Times New Roman" w:hAnsi="Times New Roman"/>
          <w:color w:val="auto"/>
          <w:sz w:val="24"/>
        </w:rPr>
        <w:t>trigger</w:t>
      </w:r>
      <w:r w:rsidRPr="00D03260">
        <w:rPr>
          <w:rFonts w:ascii="Times New Roman" w:hAnsi="Times New Roman"/>
          <w:color w:val="auto"/>
          <w:spacing w:val="-5"/>
          <w:sz w:val="24"/>
        </w:rPr>
        <w:t xml:space="preserve"> </w:t>
      </w:r>
      <w:r w:rsidRPr="00D03260">
        <w:rPr>
          <w:rFonts w:ascii="Times New Roman" w:hAnsi="Times New Roman"/>
          <w:color w:val="auto"/>
          <w:sz w:val="24"/>
        </w:rPr>
        <w:t>nasal</w:t>
      </w:r>
      <w:r w:rsidRPr="00D03260">
        <w:rPr>
          <w:rFonts w:ascii="Times New Roman" w:hAnsi="Times New Roman"/>
          <w:color w:val="auto"/>
          <w:spacing w:val="-2"/>
          <w:sz w:val="24"/>
        </w:rPr>
        <w:t xml:space="preserve"> </w:t>
      </w:r>
      <w:r w:rsidRPr="00D03260">
        <w:rPr>
          <w:rFonts w:ascii="Times New Roman" w:hAnsi="Times New Roman"/>
          <w:color w:val="auto"/>
          <w:sz w:val="24"/>
        </w:rPr>
        <w:t>congestion,</w:t>
      </w:r>
      <w:r w:rsidRPr="00D03260">
        <w:rPr>
          <w:rFonts w:ascii="Times New Roman" w:hAnsi="Times New Roman"/>
          <w:color w:val="auto"/>
          <w:spacing w:val="-4"/>
          <w:sz w:val="24"/>
        </w:rPr>
        <w:t xml:space="preserve"> </w:t>
      </w:r>
      <w:r w:rsidRPr="00D03260">
        <w:rPr>
          <w:rFonts w:ascii="Times New Roman" w:hAnsi="Times New Roman"/>
          <w:color w:val="auto"/>
          <w:sz w:val="24"/>
        </w:rPr>
        <w:t>sneezing,</w:t>
      </w:r>
      <w:r w:rsidRPr="00D03260">
        <w:rPr>
          <w:rFonts w:ascii="Times New Roman" w:hAnsi="Times New Roman"/>
          <w:color w:val="auto"/>
          <w:spacing w:val="-4"/>
          <w:sz w:val="24"/>
        </w:rPr>
        <w:t xml:space="preserve"> </w:t>
      </w:r>
      <w:proofErr w:type="gramStart"/>
      <w:r w:rsidRPr="00D03260">
        <w:rPr>
          <w:rFonts w:ascii="Times New Roman" w:hAnsi="Times New Roman"/>
          <w:color w:val="auto"/>
          <w:sz w:val="24"/>
        </w:rPr>
        <w:t>coughing</w:t>
      </w:r>
      <w:proofErr w:type="gramEnd"/>
      <w:r w:rsidRPr="00D03260">
        <w:rPr>
          <w:rFonts w:ascii="Times New Roman" w:hAnsi="Times New Roman"/>
          <w:color w:val="auto"/>
          <w:spacing w:val="-4"/>
          <w:sz w:val="24"/>
        </w:rPr>
        <w:t xml:space="preserve"> </w:t>
      </w:r>
      <w:r w:rsidRPr="00D03260">
        <w:rPr>
          <w:rFonts w:ascii="Times New Roman" w:hAnsi="Times New Roman"/>
          <w:color w:val="auto"/>
          <w:sz w:val="24"/>
        </w:rPr>
        <w:t>or wheezing, and respiratory infections. It can also worsen asthma and allergic conditions.</w:t>
      </w:r>
    </w:p>
    <w:p w14:paraId="4BA1BB2F" w14:textId="77777777" w:rsidR="00A5692F" w:rsidRPr="00D03260" w:rsidRDefault="00A5692F" w:rsidP="00A5692F">
      <w:pPr>
        <w:widowControl w:val="0"/>
        <w:autoSpaceDE w:val="0"/>
        <w:autoSpaceDN w:val="0"/>
        <w:spacing w:before="0" w:after="0" w:line="240" w:lineRule="auto"/>
        <w:ind w:left="100"/>
        <w:jc w:val="both"/>
        <w:rPr>
          <w:rFonts w:ascii="Times New Roman" w:hAnsi="Times New Roman"/>
          <w:color w:val="auto"/>
          <w:sz w:val="24"/>
        </w:rPr>
      </w:pPr>
      <w:r w:rsidRPr="00D03260">
        <w:rPr>
          <w:rFonts w:ascii="Times New Roman" w:hAnsi="Times New Roman"/>
          <w:color w:val="auto"/>
          <w:sz w:val="24"/>
        </w:rPr>
        <w:t>Contact</w:t>
      </w:r>
      <w:r w:rsidRPr="00D03260">
        <w:rPr>
          <w:rFonts w:ascii="Times New Roman" w:hAnsi="Times New Roman"/>
          <w:color w:val="auto"/>
          <w:spacing w:val="-4"/>
          <w:sz w:val="24"/>
        </w:rPr>
        <w:t xml:space="preserve"> </w:t>
      </w:r>
      <w:r w:rsidRPr="00D03260">
        <w:rPr>
          <w:rFonts w:ascii="Times New Roman" w:hAnsi="Times New Roman"/>
          <w:color w:val="auto"/>
          <w:sz w:val="24"/>
        </w:rPr>
        <w:t>with</w:t>
      </w:r>
      <w:r w:rsidRPr="00D03260">
        <w:rPr>
          <w:rFonts w:ascii="Times New Roman" w:hAnsi="Times New Roman"/>
          <w:color w:val="auto"/>
          <w:spacing w:val="-1"/>
          <w:sz w:val="24"/>
        </w:rPr>
        <w:t xml:space="preserve"> </w:t>
      </w:r>
      <w:r w:rsidRPr="00D03260">
        <w:rPr>
          <w:rFonts w:ascii="Times New Roman" w:hAnsi="Times New Roman"/>
          <w:color w:val="auto"/>
          <w:sz w:val="24"/>
        </w:rPr>
        <w:t>mould</w:t>
      </w:r>
      <w:r w:rsidRPr="00D03260">
        <w:rPr>
          <w:rFonts w:ascii="Times New Roman" w:hAnsi="Times New Roman"/>
          <w:color w:val="auto"/>
          <w:spacing w:val="-2"/>
          <w:sz w:val="24"/>
        </w:rPr>
        <w:t xml:space="preserve"> </w:t>
      </w:r>
      <w:r w:rsidRPr="00D03260">
        <w:rPr>
          <w:rFonts w:ascii="Times New Roman" w:hAnsi="Times New Roman"/>
          <w:color w:val="auto"/>
          <w:sz w:val="24"/>
        </w:rPr>
        <w:t>can</w:t>
      </w:r>
      <w:r w:rsidRPr="00D03260">
        <w:rPr>
          <w:rFonts w:ascii="Times New Roman" w:hAnsi="Times New Roman"/>
          <w:color w:val="auto"/>
          <w:spacing w:val="-1"/>
          <w:sz w:val="24"/>
        </w:rPr>
        <w:t xml:space="preserve"> </w:t>
      </w:r>
      <w:r w:rsidRPr="00D03260">
        <w:rPr>
          <w:rFonts w:ascii="Times New Roman" w:hAnsi="Times New Roman"/>
          <w:color w:val="auto"/>
          <w:sz w:val="24"/>
        </w:rPr>
        <w:t>also</w:t>
      </w:r>
      <w:r w:rsidRPr="00D03260">
        <w:rPr>
          <w:rFonts w:ascii="Times New Roman" w:hAnsi="Times New Roman"/>
          <w:color w:val="auto"/>
          <w:spacing w:val="-2"/>
          <w:sz w:val="24"/>
        </w:rPr>
        <w:t xml:space="preserve"> </w:t>
      </w:r>
      <w:r w:rsidRPr="00D03260">
        <w:rPr>
          <w:rFonts w:ascii="Times New Roman" w:hAnsi="Times New Roman"/>
          <w:color w:val="auto"/>
          <w:sz w:val="24"/>
        </w:rPr>
        <w:t>irritate</w:t>
      </w:r>
      <w:r w:rsidRPr="00D03260">
        <w:rPr>
          <w:rFonts w:ascii="Times New Roman" w:hAnsi="Times New Roman"/>
          <w:color w:val="auto"/>
          <w:spacing w:val="-2"/>
          <w:sz w:val="24"/>
        </w:rPr>
        <w:t xml:space="preserve"> </w:t>
      </w:r>
      <w:r w:rsidRPr="00D03260">
        <w:rPr>
          <w:rFonts w:ascii="Times New Roman" w:hAnsi="Times New Roman"/>
          <w:color w:val="auto"/>
          <w:sz w:val="24"/>
        </w:rPr>
        <w:t>eyes and</w:t>
      </w:r>
      <w:r w:rsidRPr="00D03260">
        <w:rPr>
          <w:rFonts w:ascii="Times New Roman" w:hAnsi="Times New Roman"/>
          <w:color w:val="auto"/>
          <w:spacing w:val="-1"/>
          <w:sz w:val="24"/>
        </w:rPr>
        <w:t xml:space="preserve"> </w:t>
      </w:r>
      <w:r w:rsidRPr="00D03260">
        <w:rPr>
          <w:rFonts w:ascii="Times New Roman" w:hAnsi="Times New Roman"/>
          <w:color w:val="auto"/>
          <w:spacing w:val="-2"/>
          <w:sz w:val="24"/>
        </w:rPr>
        <w:t>skin.</w:t>
      </w:r>
    </w:p>
    <w:p w14:paraId="1696E932" w14:textId="77777777" w:rsidR="00A5692F" w:rsidRPr="00D03260" w:rsidRDefault="00A5692F" w:rsidP="00A5692F">
      <w:pPr>
        <w:widowControl w:val="0"/>
        <w:autoSpaceDE w:val="0"/>
        <w:autoSpaceDN w:val="0"/>
        <w:spacing w:before="5" w:after="0" w:line="240" w:lineRule="auto"/>
        <w:rPr>
          <w:rFonts w:ascii="Times New Roman" w:hAnsi="Times New Roman"/>
          <w:color w:val="auto"/>
          <w:sz w:val="24"/>
        </w:rPr>
      </w:pPr>
    </w:p>
    <w:p w14:paraId="367CE4F4" w14:textId="77777777" w:rsidR="00A5692F" w:rsidRPr="00D03260" w:rsidRDefault="00A5692F" w:rsidP="00A5692F">
      <w:pPr>
        <w:widowControl w:val="0"/>
        <w:autoSpaceDE w:val="0"/>
        <w:autoSpaceDN w:val="0"/>
        <w:spacing w:before="0" w:after="0" w:line="240" w:lineRule="auto"/>
        <w:ind w:left="100"/>
        <w:rPr>
          <w:rFonts w:ascii="Times New Roman" w:hAnsi="Times New Roman"/>
          <w:color w:val="auto"/>
          <w:sz w:val="24"/>
        </w:rPr>
      </w:pPr>
      <w:r w:rsidRPr="00D03260">
        <w:rPr>
          <w:rFonts w:ascii="Times New Roman" w:hAnsi="Times New Roman"/>
          <w:color w:val="auto"/>
          <w:sz w:val="24"/>
        </w:rPr>
        <w:t xml:space="preserve">People who are more likely to experience these symptoms include those with weakened immune systems, allergies, severe </w:t>
      </w:r>
      <w:proofErr w:type="gramStart"/>
      <w:r w:rsidRPr="00D03260">
        <w:rPr>
          <w:rFonts w:ascii="Times New Roman" w:hAnsi="Times New Roman"/>
          <w:color w:val="auto"/>
          <w:sz w:val="24"/>
        </w:rPr>
        <w:t>asthma</w:t>
      </w:r>
      <w:proofErr w:type="gramEnd"/>
      <w:r w:rsidRPr="00D03260">
        <w:rPr>
          <w:rFonts w:ascii="Times New Roman" w:hAnsi="Times New Roman"/>
          <w:color w:val="auto"/>
          <w:sz w:val="24"/>
        </w:rPr>
        <w:t xml:space="preserve"> or lung diseases. These people are also more susceptible</w:t>
      </w:r>
      <w:r w:rsidRPr="00D03260">
        <w:rPr>
          <w:rFonts w:ascii="Times New Roman" w:hAnsi="Times New Roman"/>
          <w:color w:val="auto"/>
          <w:spacing w:val="-4"/>
          <w:sz w:val="24"/>
        </w:rPr>
        <w:t xml:space="preserve"> </w:t>
      </w:r>
      <w:r w:rsidRPr="00D03260">
        <w:rPr>
          <w:rFonts w:ascii="Times New Roman" w:hAnsi="Times New Roman"/>
          <w:color w:val="auto"/>
          <w:sz w:val="24"/>
        </w:rPr>
        <w:t>to</w:t>
      </w:r>
      <w:r w:rsidRPr="00D03260">
        <w:rPr>
          <w:rFonts w:ascii="Times New Roman" w:hAnsi="Times New Roman"/>
          <w:color w:val="auto"/>
          <w:spacing w:val="-3"/>
          <w:sz w:val="24"/>
        </w:rPr>
        <w:t xml:space="preserve"> </w:t>
      </w:r>
      <w:r w:rsidRPr="00D03260">
        <w:rPr>
          <w:rFonts w:ascii="Times New Roman" w:hAnsi="Times New Roman"/>
          <w:color w:val="auto"/>
          <w:sz w:val="24"/>
        </w:rPr>
        <w:t>other</w:t>
      </w:r>
      <w:r w:rsidRPr="00D03260">
        <w:rPr>
          <w:rFonts w:ascii="Times New Roman" w:hAnsi="Times New Roman"/>
          <w:color w:val="auto"/>
          <w:spacing w:val="-4"/>
          <w:sz w:val="24"/>
        </w:rPr>
        <w:t xml:space="preserve"> </w:t>
      </w:r>
      <w:r w:rsidRPr="00D03260">
        <w:rPr>
          <w:rFonts w:ascii="Times New Roman" w:hAnsi="Times New Roman"/>
          <w:color w:val="auto"/>
          <w:sz w:val="24"/>
        </w:rPr>
        <w:t>serious</w:t>
      </w:r>
      <w:r w:rsidRPr="00D03260">
        <w:rPr>
          <w:rFonts w:ascii="Times New Roman" w:hAnsi="Times New Roman"/>
          <w:color w:val="auto"/>
          <w:spacing w:val="-3"/>
          <w:sz w:val="24"/>
        </w:rPr>
        <w:t xml:space="preserve"> </w:t>
      </w:r>
      <w:r w:rsidRPr="00D03260">
        <w:rPr>
          <w:rFonts w:ascii="Times New Roman" w:hAnsi="Times New Roman"/>
          <w:color w:val="auto"/>
          <w:sz w:val="24"/>
        </w:rPr>
        <w:t>health</w:t>
      </w:r>
      <w:r w:rsidRPr="00D03260">
        <w:rPr>
          <w:rFonts w:ascii="Times New Roman" w:hAnsi="Times New Roman"/>
          <w:color w:val="auto"/>
          <w:spacing w:val="-3"/>
          <w:sz w:val="24"/>
        </w:rPr>
        <w:t xml:space="preserve"> </w:t>
      </w:r>
      <w:r w:rsidRPr="00D03260">
        <w:rPr>
          <w:rFonts w:ascii="Times New Roman" w:hAnsi="Times New Roman"/>
          <w:color w:val="auto"/>
          <w:sz w:val="24"/>
        </w:rPr>
        <w:t>effects,</w:t>
      </w:r>
      <w:r w:rsidRPr="00D03260">
        <w:rPr>
          <w:rFonts w:ascii="Times New Roman" w:hAnsi="Times New Roman"/>
          <w:color w:val="auto"/>
          <w:spacing w:val="-3"/>
          <w:sz w:val="24"/>
        </w:rPr>
        <w:t xml:space="preserve"> </w:t>
      </w:r>
      <w:r w:rsidRPr="00D03260">
        <w:rPr>
          <w:rFonts w:ascii="Times New Roman" w:hAnsi="Times New Roman"/>
          <w:color w:val="auto"/>
          <w:sz w:val="24"/>
        </w:rPr>
        <w:t>such</w:t>
      </w:r>
      <w:r w:rsidRPr="00D03260">
        <w:rPr>
          <w:rFonts w:ascii="Times New Roman" w:hAnsi="Times New Roman"/>
          <w:color w:val="auto"/>
          <w:spacing w:val="-3"/>
          <w:sz w:val="24"/>
        </w:rPr>
        <w:t xml:space="preserve"> </w:t>
      </w:r>
      <w:r w:rsidRPr="00D03260">
        <w:rPr>
          <w:rFonts w:ascii="Times New Roman" w:hAnsi="Times New Roman"/>
          <w:color w:val="auto"/>
          <w:sz w:val="24"/>
        </w:rPr>
        <w:t>as</w:t>
      </w:r>
      <w:r w:rsidRPr="00D03260">
        <w:rPr>
          <w:rFonts w:ascii="Times New Roman" w:hAnsi="Times New Roman"/>
          <w:color w:val="auto"/>
          <w:spacing w:val="-1"/>
          <w:sz w:val="24"/>
        </w:rPr>
        <w:t xml:space="preserve"> </w:t>
      </w:r>
      <w:r w:rsidRPr="00D03260">
        <w:rPr>
          <w:rFonts w:ascii="Times New Roman" w:hAnsi="Times New Roman"/>
          <w:color w:val="auto"/>
          <w:sz w:val="24"/>
        </w:rPr>
        <w:t>the</w:t>
      </w:r>
      <w:r w:rsidRPr="00D03260">
        <w:rPr>
          <w:rFonts w:ascii="Times New Roman" w:hAnsi="Times New Roman"/>
          <w:color w:val="auto"/>
          <w:spacing w:val="-4"/>
          <w:sz w:val="24"/>
        </w:rPr>
        <w:t xml:space="preserve"> </w:t>
      </w:r>
      <w:r w:rsidRPr="00D03260">
        <w:rPr>
          <w:rFonts w:ascii="Times New Roman" w:hAnsi="Times New Roman"/>
          <w:color w:val="auto"/>
          <w:sz w:val="24"/>
        </w:rPr>
        <w:t>lung</w:t>
      </w:r>
      <w:r w:rsidRPr="00D03260">
        <w:rPr>
          <w:rFonts w:ascii="Times New Roman" w:hAnsi="Times New Roman"/>
          <w:color w:val="auto"/>
          <w:spacing w:val="-3"/>
          <w:sz w:val="24"/>
        </w:rPr>
        <w:t xml:space="preserve"> </w:t>
      </w:r>
      <w:r w:rsidRPr="00D03260">
        <w:rPr>
          <w:rFonts w:ascii="Times New Roman" w:hAnsi="Times New Roman"/>
          <w:color w:val="auto"/>
          <w:sz w:val="24"/>
        </w:rPr>
        <w:t>condition</w:t>
      </w:r>
      <w:r w:rsidRPr="00D03260">
        <w:rPr>
          <w:rFonts w:ascii="Times New Roman" w:hAnsi="Times New Roman"/>
          <w:color w:val="auto"/>
          <w:spacing w:val="-3"/>
          <w:sz w:val="24"/>
        </w:rPr>
        <w:t xml:space="preserve"> </w:t>
      </w:r>
      <w:r w:rsidRPr="00D03260">
        <w:rPr>
          <w:rFonts w:ascii="Times New Roman" w:hAnsi="Times New Roman"/>
          <w:color w:val="auto"/>
          <w:sz w:val="24"/>
        </w:rPr>
        <w:t>aspergillosis</w:t>
      </w:r>
      <w:r w:rsidRPr="00D03260">
        <w:rPr>
          <w:rFonts w:ascii="Times New Roman" w:hAnsi="Times New Roman"/>
          <w:color w:val="auto"/>
          <w:spacing w:val="-3"/>
          <w:sz w:val="24"/>
        </w:rPr>
        <w:t xml:space="preserve"> </w:t>
      </w:r>
      <w:r w:rsidRPr="00D03260">
        <w:rPr>
          <w:rFonts w:ascii="Times New Roman" w:hAnsi="Times New Roman"/>
          <w:color w:val="auto"/>
          <w:sz w:val="24"/>
        </w:rPr>
        <w:t xml:space="preserve">(‘Farmer’s </w:t>
      </w:r>
      <w:r w:rsidRPr="00D03260">
        <w:rPr>
          <w:rFonts w:ascii="Times New Roman" w:hAnsi="Times New Roman"/>
          <w:color w:val="auto"/>
          <w:spacing w:val="-2"/>
          <w:sz w:val="24"/>
        </w:rPr>
        <w:t>lung’).</w:t>
      </w:r>
    </w:p>
    <w:p w14:paraId="1752F2EE" w14:textId="77777777" w:rsidR="00A5692F" w:rsidRPr="00D03260" w:rsidRDefault="00A5692F" w:rsidP="00A5692F">
      <w:pPr>
        <w:widowControl w:val="0"/>
        <w:autoSpaceDE w:val="0"/>
        <w:autoSpaceDN w:val="0"/>
        <w:spacing w:before="2" w:after="0" w:line="240" w:lineRule="auto"/>
        <w:ind w:left="100" w:right="316"/>
        <w:jc w:val="both"/>
        <w:rPr>
          <w:rFonts w:ascii="Times New Roman" w:hAnsi="Times New Roman"/>
          <w:color w:val="auto"/>
          <w:sz w:val="24"/>
        </w:rPr>
      </w:pPr>
    </w:p>
    <w:p w14:paraId="673528C1" w14:textId="456A3A7F" w:rsidR="00A5692F" w:rsidRPr="00D03260" w:rsidRDefault="00A5692F" w:rsidP="00A5692F">
      <w:pPr>
        <w:widowControl w:val="0"/>
        <w:autoSpaceDE w:val="0"/>
        <w:autoSpaceDN w:val="0"/>
        <w:spacing w:before="2" w:after="0" w:line="240" w:lineRule="auto"/>
        <w:ind w:left="100" w:right="316"/>
        <w:jc w:val="both"/>
        <w:rPr>
          <w:rFonts w:ascii="Times New Roman" w:hAnsi="Times New Roman"/>
          <w:color w:val="auto"/>
          <w:sz w:val="24"/>
        </w:rPr>
      </w:pPr>
      <w:r w:rsidRPr="00D03260">
        <w:rPr>
          <w:rFonts w:ascii="Times New Roman" w:hAnsi="Times New Roman"/>
          <w:color w:val="auto"/>
          <w:sz w:val="24"/>
        </w:rPr>
        <w:t>There</w:t>
      </w:r>
      <w:r w:rsidRPr="00D03260">
        <w:rPr>
          <w:rFonts w:ascii="Times New Roman" w:hAnsi="Times New Roman"/>
          <w:color w:val="auto"/>
          <w:spacing w:val="-4"/>
          <w:sz w:val="24"/>
        </w:rPr>
        <w:t xml:space="preserve"> </w:t>
      </w:r>
      <w:r w:rsidRPr="00D03260">
        <w:rPr>
          <w:rFonts w:ascii="Times New Roman" w:hAnsi="Times New Roman"/>
          <w:color w:val="auto"/>
          <w:sz w:val="24"/>
        </w:rPr>
        <w:t>is</w:t>
      </w:r>
      <w:r w:rsidRPr="00D03260">
        <w:rPr>
          <w:rFonts w:ascii="Times New Roman" w:hAnsi="Times New Roman"/>
          <w:color w:val="auto"/>
          <w:spacing w:val="-3"/>
          <w:sz w:val="24"/>
        </w:rPr>
        <w:t xml:space="preserve"> </w:t>
      </w:r>
      <w:r w:rsidRPr="00D03260">
        <w:rPr>
          <w:rFonts w:ascii="Times New Roman" w:hAnsi="Times New Roman"/>
          <w:color w:val="auto"/>
          <w:sz w:val="24"/>
        </w:rPr>
        <w:t>no</w:t>
      </w:r>
      <w:r w:rsidRPr="00D03260">
        <w:rPr>
          <w:rFonts w:ascii="Times New Roman" w:hAnsi="Times New Roman"/>
          <w:color w:val="auto"/>
          <w:spacing w:val="-3"/>
          <w:sz w:val="24"/>
        </w:rPr>
        <w:t xml:space="preserve"> </w:t>
      </w:r>
      <w:r w:rsidRPr="00D03260">
        <w:rPr>
          <w:rFonts w:ascii="Times New Roman" w:hAnsi="Times New Roman"/>
          <w:color w:val="auto"/>
          <w:sz w:val="24"/>
        </w:rPr>
        <w:t>exposure</w:t>
      </w:r>
      <w:r w:rsidRPr="00D03260">
        <w:rPr>
          <w:rFonts w:ascii="Times New Roman" w:hAnsi="Times New Roman"/>
          <w:color w:val="auto"/>
          <w:spacing w:val="-4"/>
          <w:sz w:val="24"/>
        </w:rPr>
        <w:t xml:space="preserve"> </w:t>
      </w:r>
      <w:r w:rsidRPr="00D03260">
        <w:rPr>
          <w:rFonts w:ascii="Times New Roman" w:hAnsi="Times New Roman"/>
          <w:color w:val="auto"/>
          <w:sz w:val="24"/>
        </w:rPr>
        <w:t>limit</w:t>
      </w:r>
      <w:r w:rsidRPr="00D03260">
        <w:rPr>
          <w:rFonts w:ascii="Times New Roman" w:hAnsi="Times New Roman"/>
          <w:color w:val="auto"/>
          <w:spacing w:val="-3"/>
          <w:sz w:val="24"/>
        </w:rPr>
        <w:t xml:space="preserve"> </w:t>
      </w:r>
      <w:r w:rsidRPr="00D03260">
        <w:rPr>
          <w:rFonts w:ascii="Times New Roman" w:hAnsi="Times New Roman"/>
          <w:color w:val="auto"/>
          <w:sz w:val="24"/>
        </w:rPr>
        <w:t>or</w:t>
      </w:r>
      <w:r w:rsidRPr="00D03260">
        <w:rPr>
          <w:rFonts w:ascii="Times New Roman" w:hAnsi="Times New Roman"/>
          <w:color w:val="auto"/>
          <w:spacing w:val="-4"/>
          <w:sz w:val="24"/>
        </w:rPr>
        <w:t xml:space="preserve"> </w:t>
      </w:r>
      <w:r w:rsidRPr="00D03260">
        <w:rPr>
          <w:rFonts w:ascii="Times New Roman" w:hAnsi="Times New Roman"/>
          <w:color w:val="auto"/>
          <w:sz w:val="24"/>
        </w:rPr>
        <w:t>health</w:t>
      </w:r>
      <w:r w:rsidRPr="00D03260">
        <w:rPr>
          <w:rFonts w:ascii="Times New Roman" w:hAnsi="Times New Roman"/>
          <w:color w:val="auto"/>
          <w:spacing w:val="-3"/>
          <w:sz w:val="24"/>
        </w:rPr>
        <w:t xml:space="preserve"> </w:t>
      </w:r>
      <w:r w:rsidRPr="00D03260">
        <w:rPr>
          <w:rFonts w:ascii="Times New Roman" w:hAnsi="Times New Roman"/>
          <w:color w:val="auto"/>
          <w:sz w:val="24"/>
        </w:rPr>
        <w:t>guideline</w:t>
      </w:r>
      <w:r w:rsidRPr="00D03260">
        <w:rPr>
          <w:rFonts w:ascii="Times New Roman" w:hAnsi="Times New Roman"/>
          <w:color w:val="auto"/>
          <w:spacing w:val="-4"/>
          <w:sz w:val="24"/>
        </w:rPr>
        <w:t xml:space="preserve"> </w:t>
      </w:r>
      <w:r w:rsidRPr="00D03260">
        <w:rPr>
          <w:rFonts w:ascii="Times New Roman" w:hAnsi="Times New Roman"/>
          <w:color w:val="auto"/>
          <w:sz w:val="24"/>
        </w:rPr>
        <w:t>value</w:t>
      </w:r>
      <w:r w:rsidRPr="00D03260">
        <w:rPr>
          <w:rFonts w:ascii="Times New Roman" w:hAnsi="Times New Roman"/>
          <w:color w:val="auto"/>
          <w:spacing w:val="-4"/>
          <w:sz w:val="24"/>
        </w:rPr>
        <w:t xml:space="preserve"> </w:t>
      </w:r>
      <w:r w:rsidRPr="00D03260">
        <w:rPr>
          <w:rFonts w:ascii="Times New Roman" w:hAnsi="Times New Roman"/>
          <w:color w:val="auto"/>
          <w:sz w:val="24"/>
        </w:rPr>
        <w:t>for</w:t>
      </w:r>
      <w:r w:rsidRPr="00D03260">
        <w:rPr>
          <w:rFonts w:ascii="Times New Roman" w:hAnsi="Times New Roman"/>
          <w:color w:val="auto"/>
          <w:spacing w:val="-4"/>
          <w:sz w:val="24"/>
        </w:rPr>
        <w:t xml:space="preserve"> </w:t>
      </w:r>
      <w:r w:rsidRPr="00D03260">
        <w:rPr>
          <w:rFonts w:ascii="Times New Roman" w:hAnsi="Times New Roman"/>
          <w:color w:val="auto"/>
          <w:sz w:val="24"/>
        </w:rPr>
        <w:t>exposure</w:t>
      </w:r>
      <w:r w:rsidRPr="00D03260">
        <w:rPr>
          <w:rFonts w:ascii="Times New Roman" w:hAnsi="Times New Roman"/>
          <w:color w:val="auto"/>
          <w:spacing w:val="-4"/>
          <w:sz w:val="24"/>
        </w:rPr>
        <w:t xml:space="preserve"> </w:t>
      </w:r>
      <w:r w:rsidRPr="00D03260">
        <w:rPr>
          <w:rFonts w:ascii="Times New Roman" w:hAnsi="Times New Roman"/>
          <w:color w:val="auto"/>
          <w:sz w:val="24"/>
        </w:rPr>
        <w:t>to</w:t>
      </w:r>
      <w:r w:rsidRPr="00D03260">
        <w:rPr>
          <w:rFonts w:ascii="Times New Roman" w:hAnsi="Times New Roman"/>
          <w:color w:val="auto"/>
          <w:spacing w:val="-3"/>
          <w:sz w:val="24"/>
        </w:rPr>
        <w:t xml:space="preserve"> </w:t>
      </w:r>
      <w:r w:rsidRPr="00D03260">
        <w:rPr>
          <w:rFonts w:ascii="Times New Roman" w:hAnsi="Times New Roman"/>
          <w:color w:val="auto"/>
          <w:sz w:val="24"/>
        </w:rPr>
        <w:t>mould.</w:t>
      </w:r>
      <w:r w:rsidRPr="00D03260">
        <w:rPr>
          <w:rFonts w:ascii="Times New Roman" w:hAnsi="Times New Roman"/>
          <w:color w:val="auto"/>
          <w:spacing w:val="-3"/>
          <w:sz w:val="24"/>
        </w:rPr>
        <w:t xml:space="preserve"> </w:t>
      </w:r>
      <w:r w:rsidRPr="00D03260">
        <w:rPr>
          <w:rFonts w:ascii="Times New Roman" w:hAnsi="Times New Roman"/>
          <w:color w:val="auto"/>
          <w:sz w:val="24"/>
        </w:rPr>
        <w:t>Where</w:t>
      </w:r>
      <w:r w:rsidRPr="00D03260">
        <w:rPr>
          <w:rFonts w:ascii="Times New Roman" w:hAnsi="Times New Roman"/>
          <w:color w:val="auto"/>
          <w:spacing w:val="-4"/>
          <w:sz w:val="24"/>
        </w:rPr>
        <w:t xml:space="preserve"> </w:t>
      </w:r>
      <w:r w:rsidRPr="00D03260">
        <w:rPr>
          <w:rFonts w:ascii="Times New Roman" w:hAnsi="Times New Roman"/>
          <w:color w:val="auto"/>
          <w:sz w:val="24"/>
        </w:rPr>
        <w:t>possible, exposure to mould should be minimised – this is</w:t>
      </w:r>
      <w:r w:rsidRPr="00D03260">
        <w:rPr>
          <w:rFonts w:ascii="Times New Roman" w:hAnsi="Times New Roman"/>
          <w:color w:val="auto"/>
          <w:spacing w:val="-1"/>
          <w:sz w:val="24"/>
        </w:rPr>
        <w:t xml:space="preserve"> </w:t>
      </w:r>
      <w:r w:rsidRPr="00D03260">
        <w:rPr>
          <w:rFonts w:ascii="Times New Roman" w:hAnsi="Times New Roman"/>
          <w:color w:val="auto"/>
          <w:sz w:val="24"/>
        </w:rPr>
        <w:t>particularly recommended for people who are more sensitive to mould exposure.</w:t>
      </w:r>
    </w:p>
    <w:p w14:paraId="7D696387" w14:textId="77777777" w:rsidR="00A5692F" w:rsidRPr="00D03260" w:rsidRDefault="00A5692F" w:rsidP="00A5692F">
      <w:pPr>
        <w:widowControl w:val="0"/>
        <w:autoSpaceDE w:val="0"/>
        <w:autoSpaceDN w:val="0"/>
        <w:spacing w:before="5" w:after="0" w:line="240" w:lineRule="auto"/>
        <w:rPr>
          <w:rFonts w:ascii="Times New Roman" w:hAnsi="Times New Roman"/>
          <w:color w:val="auto"/>
          <w:sz w:val="24"/>
        </w:rPr>
      </w:pPr>
    </w:p>
    <w:p w14:paraId="4F1C3611" w14:textId="77777777" w:rsidR="00A5692F" w:rsidRPr="00D03260" w:rsidRDefault="00A5692F" w:rsidP="00A5692F">
      <w:pPr>
        <w:widowControl w:val="0"/>
        <w:autoSpaceDE w:val="0"/>
        <w:autoSpaceDN w:val="0"/>
        <w:spacing w:before="0" w:after="0" w:line="240" w:lineRule="auto"/>
        <w:ind w:left="100" w:right="303"/>
        <w:jc w:val="both"/>
        <w:rPr>
          <w:rFonts w:ascii="Times New Roman" w:hAnsi="Times New Roman"/>
          <w:color w:val="auto"/>
          <w:sz w:val="24"/>
        </w:rPr>
      </w:pPr>
      <w:r w:rsidRPr="00D03260">
        <w:rPr>
          <w:rFonts w:ascii="Times New Roman" w:hAnsi="Times New Roman"/>
          <w:color w:val="auto"/>
          <w:sz w:val="24"/>
        </w:rPr>
        <w:t>If</w:t>
      </w:r>
      <w:r w:rsidRPr="00D03260">
        <w:rPr>
          <w:rFonts w:ascii="Times New Roman" w:hAnsi="Times New Roman"/>
          <w:color w:val="auto"/>
          <w:spacing w:val="-4"/>
          <w:sz w:val="24"/>
        </w:rPr>
        <w:t xml:space="preserve"> </w:t>
      </w:r>
      <w:r w:rsidRPr="00D03260">
        <w:rPr>
          <w:rFonts w:ascii="Times New Roman" w:hAnsi="Times New Roman"/>
          <w:color w:val="auto"/>
          <w:sz w:val="24"/>
        </w:rPr>
        <w:t>you</w:t>
      </w:r>
      <w:r w:rsidRPr="00D03260">
        <w:rPr>
          <w:rFonts w:ascii="Times New Roman" w:hAnsi="Times New Roman"/>
          <w:color w:val="auto"/>
          <w:spacing w:val="-3"/>
          <w:sz w:val="24"/>
        </w:rPr>
        <w:t xml:space="preserve"> </w:t>
      </w:r>
      <w:r w:rsidRPr="00D03260">
        <w:rPr>
          <w:rFonts w:ascii="Times New Roman" w:hAnsi="Times New Roman"/>
          <w:color w:val="auto"/>
          <w:sz w:val="24"/>
        </w:rPr>
        <w:t>are</w:t>
      </w:r>
      <w:r w:rsidRPr="00D03260">
        <w:rPr>
          <w:rFonts w:ascii="Times New Roman" w:hAnsi="Times New Roman"/>
          <w:color w:val="auto"/>
          <w:spacing w:val="-4"/>
          <w:sz w:val="24"/>
        </w:rPr>
        <w:t xml:space="preserve"> </w:t>
      </w:r>
      <w:r w:rsidRPr="00D03260">
        <w:rPr>
          <w:rFonts w:ascii="Times New Roman" w:hAnsi="Times New Roman"/>
          <w:color w:val="auto"/>
          <w:sz w:val="24"/>
        </w:rPr>
        <w:t>concerned</w:t>
      </w:r>
      <w:r w:rsidRPr="00D03260">
        <w:rPr>
          <w:rFonts w:ascii="Times New Roman" w:hAnsi="Times New Roman"/>
          <w:color w:val="auto"/>
          <w:spacing w:val="-3"/>
          <w:sz w:val="24"/>
        </w:rPr>
        <w:t xml:space="preserve"> </w:t>
      </w:r>
      <w:r w:rsidRPr="00D03260">
        <w:rPr>
          <w:rFonts w:ascii="Times New Roman" w:hAnsi="Times New Roman"/>
          <w:color w:val="auto"/>
          <w:sz w:val="24"/>
        </w:rPr>
        <w:t>about</w:t>
      </w:r>
      <w:r w:rsidRPr="00D03260">
        <w:rPr>
          <w:rFonts w:ascii="Times New Roman" w:hAnsi="Times New Roman"/>
          <w:color w:val="auto"/>
          <w:spacing w:val="-3"/>
          <w:sz w:val="24"/>
        </w:rPr>
        <w:t xml:space="preserve"> </w:t>
      </w:r>
      <w:r w:rsidRPr="00D03260">
        <w:rPr>
          <w:rFonts w:ascii="Times New Roman" w:hAnsi="Times New Roman"/>
          <w:color w:val="auto"/>
          <w:sz w:val="24"/>
        </w:rPr>
        <w:t>any</w:t>
      </w:r>
      <w:r w:rsidRPr="00D03260">
        <w:rPr>
          <w:rFonts w:ascii="Times New Roman" w:hAnsi="Times New Roman"/>
          <w:color w:val="auto"/>
          <w:spacing w:val="-3"/>
          <w:sz w:val="24"/>
        </w:rPr>
        <w:t xml:space="preserve"> </w:t>
      </w:r>
      <w:r w:rsidRPr="00D03260">
        <w:rPr>
          <w:rFonts w:ascii="Times New Roman" w:hAnsi="Times New Roman"/>
          <w:color w:val="auto"/>
          <w:sz w:val="24"/>
        </w:rPr>
        <w:t>symptoms</w:t>
      </w:r>
      <w:r w:rsidRPr="00D03260">
        <w:rPr>
          <w:rFonts w:ascii="Times New Roman" w:hAnsi="Times New Roman"/>
          <w:color w:val="auto"/>
          <w:spacing w:val="-3"/>
          <w:sz w:val="24"/>
        </w:rPr>
        <w:t xml:space="preserve"> </w:t>
      </w:r>
      <w:r w:rsidRPr="00D03260">
        <w:rPr>
          <w:rFonts w:ascii="Times New Roman" w:hAnsi="Times New Roman"/>
          <w:color w:val="auto"/>
          <w:sz w:val="24"/>
        </w:rPr>
        <w:t>you</w:t>
      </w:r>
      <w:r w:rsidRPr="00D03260">
        <w:rPr>
          <w:rFonts w:ascii="Times New Roman" w:hAnsi="Times New Roman"/>
          <w:color w:val="auto"/>
          <w:spacing w:val="-3"/>
          <w:sz w:val="24"/>
        </w:rPr>
        <w:t xml:space="preserve"> </w:t>
      </w:r>
      <w:r w:rsidRPr="00D03260">
        <w:rPr>
          <w:rFonts w:ascii="Times New Roman" w:hAnsi="Times New Roman"/>
          <w:color w:val="auto"/>
          <w:sz w:val="24"/>
        </w:rPr>
        <w:t>are</w:t>
      </w:r>
      <w:r w:rsidRPr="00D03260">
        <w:rPr>
          <w:rFonts w:ascii="Times New Roman" w:hAnsi="Times New Roman"/>
          <w:color w:val="auto"/>
          <w:spacing w:val="-4"/>
          <w:sz w:val="24"/>
        </w:rPr>
        <w:t xml:space="preserve"> </w:t>
      </w:r>
      <w:r w:rsidRPr="00D03260">
        <w:rPr>
          <w:rFonts w:ascii="Times New Roman" w:hAnsi="Times New Roman"/>
          <w:color w:val="auto"/>
          <w:sz w:val="24"/>
        </w:rPr>
        <w:t>experiencing,</w:t>
      </w:r>
      <w:r w:rsidRPr="00D03260">
        <w:rPr>
          <w:rFonts w:ascii="Times New Roman" w:hAnsi="Times New Roman"/>
          <w:color w:val="auto"/>
          <w:spacing w:val="-3"/>
          <w:sz w:val="24"/>
        </w:rPr>
        <w:t xml:space="preserve"> </w:t>
      </w:r>
      <w:r w:rsidRPr="00D03260">
        <w:rPr>
          <w:rFonts w:ascii="Times New Roman" w:hAnsi="Times New Roman"/>
          <w:color w:val="auto"/>
          <w:sz w:val="24"/>
        </w:rPr>
        <w:t>seek</w:t>
      </w:r>
      <w:r w:rsidRPr="00D03260">
        <w:rPr>
          <w:rFonts w:ascii="Times New Roman" w:hAnsi="Times New Roman"/>
          <w:color w:val="auto"/>
          <w:spacing w:val="-3"/>
          <w:sz w:val="24"/>
        </w:rPr>
        <w:t xml:space="preserve"> </w:t>
      </w:r>
      <w:r w:rsidRPr="00D03260">
        <w:rPr>
          <w:rFonts w:ascii="Times New Roman" w:hAnsi="Times New Roman"/>
          <w:color w:val="auto"/>
          <w:sz w:val="24"/>
        </w:rPr>
        <w:t>medical</w:t>
      </w:r>
      <w:r w:rsidRPr="00D03260">
        <w:rPr>
          <w:rFonts w:ascii="Times New Roman" w:hAnsi="Times New Roman"/>
          <w:color w:val="auto"/>
          <w:spacing w:val="-3"/>
          <w:sz w:val="24"/>
        </w:rPr>
        <w:t xml:space="preserve"> </w:t>
      </w:r>
      <w:r w:rsidRPr="00D03260">
        <w:rPr>
          <w:rFonts w:ascii="Times New Roman" w:hAnsi="Times New Roman"/>
          <w:color w:val="auto"/>
          <w:sz w:val="24"/>
        </w:rPr>
        <w:t>advice.</w:t>
      </w:r>
      <w:r w:rsidRPr="00D03260">
        <w:rPr>
          <w:rFonts w:ascii="Times New Roman" w:hAnsi="Times New Roman"/>
          <w:color w:val="auto"/>
          <w:spacing w:val="-1"/>
          <w:sz w:val="24"/>
        </w:rPr>
        <w:t xml:space="preserve"> </w:t>
      </w:r>
      <w:r w:rsidRPr="00D03260">
        <w:rPr>
          <w:rFonts w:ascii="Times New Roman" w:hAnsi="Times New Roman"/>
          <w:color w:val="auto"/>
          <w:sz w:val="24"/>
        </w:rPr>
        <w:t>In</w:t>
      </w:r>
      <w:r w:rsidRPr="00D03260">
        <w:rPr>
          <w:rFonts w:ascii="Times New Roman" w:hAnsi="Times New Roman"/>
          <w:color w:val="auto"/>
          <w:spacing w:val="-3"/>
          <w:sz w:val="24"/>
        </w:rPr>
        <w:t xml:space="preserve"> </w:t>
      </w:r>
      <w:r w:rsidRPr="00D03260">
        <w:rPr>
          <w:rFonts w:ascii="Times New Roman" w:hAnsi="Times New Roman"/>
          <w:color w:val="auto"/>
          <w:sz w:val="24"/>
        </w:rPr>
        <w:t>the case of a life-threatening emergency, phone 000.</w:t>
      </w:r>
    </w:p>
    <w:p w14:paraId="0853061E" w14:textId="77777777" w:rsidR="00A5692F" w:rsidRPr="00D03260" w:rsidRDefault="00A5692F" w:rsidP="00A5692F">
      <w:pPr>
        <w:widowControl w:val="0"/>
        <w:autoSpaceDE w:val="0"/>
        <w:autoSpaceDN w:val="0"/>
        <w:spacing w:before="0" w:after="0" w:line="240" w:lineRule="auto"/>
        <w:rPr>
          <w:rFonts w:ascii="Times New Roman" w:hAnsi="Times New Roman"/>
          <w:color w:val="auto"/>
          <w:sz w:val="26"/>
        </w:rPr>
      </w:pPr>
    </w:p>
    <w:p w14:paraId="741E5B80" w14:textId="77777777" w:rsidR="00A5692F" w:rsidRPr="00D03260" w:rsidRDefault="00A5692F" w:rsidP="00A5692F">
      <w:pPr>
        <w:widowControl w:val="0"/>
        <w:autoSpaceDE w:val="0"/>
        <w:autoSpaceDN w:val="0"/>
        <w:spacing w:before="180" w:after="0" w:line="240" w:lineRule="auto"/>
        <w:ind w:left="100"/>
        <w:jc w:val="both"/>
        <w:outlineLvl w:val="0"/>
        <w:rPr>
          <w:rFonts w:ascii="Cambria" w:eastAsia="Cambria" w:hAnsi="Cambria" w:cs="Cambria"/>
          <w:b/>
          <w:bCs/>
          <w:color w:val="auto"/>
          <w:sz w:val="28"/>
          <w:szCs w:val="28"/>
        </w:rPr>
      </w:pPr>
      <w:bookmarkStart w:id="512" w:name="How_do_I_minimise_my_exposure_to_mould?"/>
      <w:bookmarkStart w:id="513" w:name="_Toc121329245"/>
      <w:bookmarkStart w:id="514" w:name="_Toc121329409"/>
      <w:bookmarkStart w:id="515" w:name="_Toc121834552"/>
      <w:bookmarkStart w:id="516" w:name="_Toc141885982"/>
      <w:bookmarkEnd w:id="512"/>
      <w:r w:rsidRPr="00D03260">
        <w:rPr>
          <w:rFonts w:ascii="Cambria" w:eastAsia="Cambria" w:hAnsi="Cambria" w:cs="Cambria"/>
          <w:b/>
          <w:bCs/>
          <w:color w:val="365F91"/>
          <w:sz w:val="28"/>
          <w:szCs w:val="28"/>
        </w:rPr>
        <w:t>How</w:t>
      </w:r>
      <w:r w:rsidRPr="00D03260">
        <w:rPr>
          <w:rFonts w:ascii="Cambria" w:eastAsia="Cambria" w:hAnsi="Cambria" w:cs="Cambria"/>
          <w:b/>
          <w:bCs/>
          <w:color w:val="365F91"/>
          <w:spacing w:val="-4"/>
          <w:sz w:val="28"/>
          <w:szCs w:val="28"/>
        </w:rPr>
        <w:t xml:space="preserve"> </w:t>
      </w:r>
      <w:r w:rsidRPr="00D03260">
        <w:rPr>
          <w:rFonts w:ascii="Cambria" w:eastAsia="Cambria" w:hAnsi="Cambria" w:cs="Cambria"/>
          <w:b/>
          <w:bCs/>
          <w:color w:val="365F91"/>
          <w:sz w:val="28"/>
          <w:szCs w:val="28"/>
        </w:rPr>
        <w:t>do</w:t>
      </w:r>
      <w:r w:rsidRPr="00D03260">
        <w:rPr>
          <w:rFonts w:ascii="Cambria" w:eastAsia="Cambria" w:hAnsi="Cambria" w:cs="Cambria"/>
          <w:b/>
          <w:bCs/>
          <w:color w:val="365F91"/>
          <w:spacing w:val="-4"/>
          <w:sz w:val="28"/>
          <w:szCs w:val="28"/>
        </w:rPr>
        <w:t xml:space="preserve"> </w:t>
      </w:r>
      <w:r w:rsidRPr="00D03260">
        <w:rPr>
          <w:rFonts w:ascii="Cambria" w:eastAsia="Cambria" w:hAnsi="Cambria" w:cs="Cambria"/>
          <w:b/>
          <w:bCs/>
          <w:color w:val="365F91"/>
          <w:sz w:val="28"/>
          <w:szCs w:val="28"/>
        </w:rPr>
        <w:t>I</w:t>
      </w:r>
      <w:r w:rsidRPr="00D03260">
        <w:rPr>
          <w:rFonts w:ascii="Cambria" w:eastAsia="Cambria" w:hAnsi="Cambria" w:cs="Cambria"/>
          <w:b/>
          <w:bCs/>
          <w:color w:val="365F91"/>
          <w:spacing w:val="-2"/>
          <w:sz w:val="28"/>
          <w:szCs w:val="28"/>
        </w:rPr>
        <w:t xml:space="preserve"> </w:t>
      </w:r>
      <w:r w:rsidRPr="00D03260">
        <w:rPr>
          <w:rFonts w:ascii="Cambria" w:eastAsia="Cambria" w:hAnsi="Cambria" w:cs="Cambria"/>
          <w:b/>
          <w:bCs/>
          <w:color w:val="365F91"/>
          <w:sz w:val="28"/>
          <w:szCs w:val="28"/>
        </w:rPr>
        <w:t>minimise</w:t>
      </w:r>
      <w:r w:rsidRPr="00D03260">
        <w:rPr>
          <w:rFonts w:ascii="Cambria" w:eastAsia="Cambria" w:hAnsi="Cambria" w:cs="Cambria"/>
          <w:b/>
          <w:bCs/>
          <w:color w:val="365F91"/>
          <w:spacing w:val="-5"/>
          <w:sz w:val="28"/>
          <w:szCs w:val="28"/>
        </w:rPr>
        <w:t xml:space="preserve"> </w:t>
      </w:r>
      <w:r w:rsidRPr="00D03260">
        <w:rPr>
          <w:rFonts w:ascii="Cambria" w:eastAsia="Cambria" w:hAnsi="Cambria" w:cs="Cambria"/>
          <w:b/>
          <w:bCs/>
          <w:color w:val="365F91"/>
          <w:sz w:val="28"/>
          <w:szCs w:val="28"/>
        </w:rPr>
        <w:t>my</w:t>
      </w:r>
      <w:r w:rsidRPr="00D03260">
        <w:rPr>
          <w:rFonts w:ascii="Cambria" w:eastAsia="Cambria" w:hAnsi="Cambria" w:cs="Cambria"/>
          <w:b/>
          <w:bCs/>
          <w:color w:val="365F91"/>
          <w:spacing w:val="-3"/>
          <w:sz w:val="28"/>
          <w:szCs w:val="28"/>
        </w:rPr>
        <w:t xml:space="preserve"> </w:t>
      </w:r>
      <w:r w:rsidRPr="00D03260">
        <w:rPr>
          <w:rFonts w:ascii="Cambria" w:eastAsia="Cambria" w:hAnsi="Cambria" w:cs="Cambria"/>
          <w:b/>
          <w:bCs/>
          <w:color w:val="365F91"/>
          <w:sz w:val="28"/>
          <w:szCs w:val="28"/>
        </w:rPr>
        <w:t>exposure</w:t>
      </w:r>
      <w:r w:rsidRPr="00D03260">
        <w:rPr>
          <w:rFonts w:ascii="Cambria" w:eastAsia="Cambria" w:hAnsi="Cambria" w:cs="Cambria"/>
          <w:b/>
          <w:bCs/>
          <w:color w:val="365F91"/>
          <w:spacing w:val="-3"/>
          <w:sz w:val="28"/>
          <w:szCs w:val="28"/>
        </w:rPr>
        <w:t xml:space="preserve"> </w:t>
      </w:r>
      <w:r w:rsidRPr="00D03260">
        <w:rPr>
          <w:rFonts w:ascii="Cambria" w:eastAsia="Cambria" w:hAnsi="Cambria" w:cs="Cambria"/>
          <w:b/>
          <w:bCs/>
          <w:color w:val="365F91"/>
          <w:sz w:val="28"/>
          <w:szCs w:val="28"/>
        </w:rPr>
        <w:t>to</w:t>
      </w:r>
      <w:r w:rsidRPr="00D03260">
        <w:rPr>
          <w:rFonts w:ascii="Cambria" w:eastAsia="Cambria" w:hAnsi="Cambria" w:cs="Cambria"/>
          <w:b/>
          <w:bCs/>
          <w:color w:val="365F91"/>
          <w:spacing w:val="-1"/>
          <w:sz w:val="28"/>
          <w:szCs w:val="28"/>
        </w:rPr>
        <w:t xml:space="preserve"> </w:t>
      </w:r>
      <w:r w:rsidRPr="00D03260">
        <w:rPr>
          <w:rFonts w:ascii="Cambria" w:eastAsia="Cambria" w:hAnsi="Cambria" w:cs="Cambria"/>
          <w:b/>
          <w:bCs/>
          <w:color w:val="365F91"/>
          <w:spacing w:val="-2"/>
          <w:sz w:val="28"/>
          <w:szCs w:val="28"/>
        </w:rPr>
        <w:t>mould?</w:t>
      </w:r>
      <w:bookmarkEnd w:id="513"/>
      <w:bookmarkEnd w:id="514"/>
      <w:bookmarkEnd w:id="515"/>
      <w:bookmarkEnd w:id="516"/>
    </w:p>
    <w:p w14:paraId="4BA93CF4" w14:textId="77777777" w:rsidR="00A5692F" w:rsidRPr="00D03260" w:rsidRDefault="00A5692F" w:rsidP="00A5692F">
      <w:pPr>
        <w:widowControl w:val="0"/>
        <w:autoSpaceDE w:val="0"/>
        <w:autoSpaceDN w:val="0"/>
        <w:spacing w:before="2" w:after="0" w:line="240" w:lineRule="auto"/>
        <w:rPr>
          <w:rFonts w:ascii="Cambria" w:hAnsi="Times New Roman"/>
          <w:b/>
          <w:color w:val="auto"/>
          <w:sz w:val="28"/>
        </w:rPr>
      </w:pPr>
    </w:p>
    <w:p w14:paraId="3694356E" w14:textId="77777777" w:rsidR="00A5692F" w:rsidRPr="00D03260" w:rsidRDefault="00A5692F" w:rsidP="00A5692F">
      <w:pPr>
        <w:widowControl w:val="0"/>
        <w:autoSpaceDE w:val="0"/>
        <w:autoSpaceDN w:val="0"/>
        <w:spacing w:before="0" w:after="0" w:line="240" w:lineRule="auto"/>
        <w:ind w:left="100"/>
        <w:rPr>
          <w:rFonts w:ascii="Times New Roman" w:hAnsi="Times New Roman"/>
          <w:color w:val="auto"/>
          <w:sz w:val="24"/>
        </w:rPr>
      </w:pPr>
      <w:r w:rsidRPr="00D03260">
        <w:rPr>
          <w:rFonts w:ascii="Times New Roman" w:hAnsi="Times New Roman"/>
          <w:color w:val="auto"/>
          <w:sz w:val="24"/>
        </w:rPr>
        <w:t>Although</w:t>
      </w:r>
      <w:r w:rsidRPr="00D03260">
        <w:rPr>
          <w:rFonts w:ascii="Times New Roman" w:hAnsi="Times New Roman"/>
          <w:color w:val="auto"/>
          <w:spacing w:val="-3"/>
          <w:sz w:val="24"/>
        </w:rPr>
        <w:t xml:space="preserve"> </w:t>
      </w:r>
      <w:r w:rsidRPr="00D03260">
        <w:rPr>
          <w:rFonts w:ascii="Times New Roman" w:hAnsi="Times New Roman"/>
          <w:color w:val="auto"/>
          <w:sz w:val="24"/>
        </w:rPr>
        <w:t>mould</w:t>
      </w:r>
      <w:r w:rsidRPr="00D03260">
        <w:rPr>
          <w:rFonts w:ascii="Times New Roman" w:hAnsi="Times New Roman"/>
          <w:color w:val="auto"/>
          <w:spacing w:val="-3"/>
          <w:sz w:val="24"/>
        </w:rPr>
        <w:t xml:space="preserve"> </w:t>
      </w:r>
      <w:r w:rsidRPr="00D03260">
        <w:rPr>
          <w:rFonts w:ascii="Times New Roman" w:hAnsi="Times New Roman"/>
          <w:color w:val="auto"/>
          <w:sz w:val="24"/>
        </w:rPr>
        <w:t>naturally</w:t>
      </w:r>
      <w:r w:rsidRPr="00D03260">
        <w:rPr>
          <w:rFonts w:ascii="Times New Roman" w:hAnsi="Times New Roman"/>
          <w:color w:val="auto"/>
          <w:spacing w:val="-3"/>
          <w:sz w:val="24"/>
        </w:rPr>
        <w:t xml:space="preserve"> </w:t>
      </w:r>
      <w:r w:rsidRPr="00D03260">
        <w:rPr>
          <w:rFonts w:ascii="Times New Roman" w:hAnsi="Times New Roman"/>
          <w:color w:val="auto"/>
          <w:sz w:val="24"/>
        </w:rPr>
        <w:t>occurs</w:t>
      </w:r>
      <w:r w:rsidRPr="00D03260">
        <w:rPr>
          <w:rFonts w:ascii="Times New Roman" w:hAnsi="Times New Roman"/>
          <w:color w:val="auto"/>
          <w:spacing w:val="-3"/>
          <w:sz w:val="24"/>
        </w:rPr>
        <w:t xml:space="preserve"> </w:t>
      </w:r>
      <w:r w:rsidRPr="00D03260">
        <w:rPr>
          <w:rFonts w:ascii="Times New Roman" w:hAnsi="Times New Roman"/>
          <w:color w:val="auto"/>
          <w:sz w:val="24"/>
        </w:rPr>
        <w:t>in</w:t>
      </w:r>
      <w:r w:rsidRPr="00D03260">
        <w:rPr>
          <w:rFonts w:ascii="Times New Roman" w:hAnsi="Times New Roman"/>
          <w:color w:val="auto"/>
          <w:spacing w:val="-3"/>
          <w:sz w:val="24"/>
        </w:rPr>
        <w:t xml:space="preserve"> </w:t>
      </w:r>
      <w:r w:rsidRPr="00D03260">
        <w:rPr>
          <w:rFonts w:ascii="Times New Roman" w:hAnsi="Times New Roman"/>
          <w:color w:val="auto"/>
          <w:sz w:val="24"/>
        </w:rPr>
        <w:t>the</w:t>
      </w:r>
      <w:r w:rsidRPr="00D03260">
        <w:rPr>
          <w:rFonts w:ascii="Times New Roman" w:hAnsi="Times New Roman"/>
          <w:color w:val="auto"/>
          <w:spacing w:val="-4"/>
          <w:sz w:val="24"/>
        </w:rPr>
        <w:t xml:space="preserve"> </w:t>
      </w:r>
      <w:r w:rsidRPr="00D03260">
        <w:rPr>
          <w:rFonts w:ascii="Times New Roman" w:hAnsi="Times New Roman"/>
          <w:color w:val="auto"/>
          <w:sz w:val="24"/>
        </w:rPr>
        <w:t>environment</w:t>
      </w:r>
      <w:r w:rsidRPr="00D03260">
        <w:rPr>
          <w:rFonts w:ascii="Times New Roman" w:hAnsi="Times New Roman"/>
          <w:color w:val="auto"/>
          <w:spacing w:val="-3"/>
          <w:sz w:val="24"/>
        </w:rPr>
        <w:t xml:space="preserve"> </w:t>
      </w:r>
      <w:r w:rsidRPr="00D03260">
        <w:rPr>
          <w:rFonts w:ascii="Times New Roman" w:hAnsi="Times New Roman"/>
          <w:color w:val="auto"/>
          <w:sz w:val="24"/>
        </w:rPr>
        <w:t>and</w:t>
      </w:r>
      <w:r w:rsidRPr="00D03260">
        <w:rPr>
          <w:rFonts w:ascii="Times New Roman" w:hAnsi="Times New Roman"/>
          <w:color w:val="auto"/>
          <w:spacing w:val="-3"/>
          <w:sz w:val="24"/>
        </w:rPr>
        <w:t xml:space="preserve"> </w:t>
      </w:r>
      <w:r w:rsidRPr="00D03260">
        <w:rPr>
          <w:rFonts w:ascii="Times New Roman" w:hAnsi="Times New Roman"/>
          <w:color w:val="auto"/>
          <w:sz w:val="24"/>
        </w:rPr>
        <w:t>can</w:t>
      </w:r>
      <w:r w:rsidRPr="00D03260">
        <w:rPr>
          <w:rFonts w:ascii="Times New Roman" w:hAnsi="Times New Roman"/>
          <w:color w:val="auto"/>
          <w:spacing w:val="-3"/>
          <w:sz w:val="24"/>
        </w:rPr>
        <w:t xml:space="preserve"> </w:t>
      </w:r>
      <w:r w:rsidRPr="00D03260">
        <w:rPr>
          <w:rFonts w:ascii="Times New Roman" w:hAnsi="Times New Roman"/>
          <w:color w:val="auto"/>
          <w:sz w:val="24"/>
        </w:rPr>
        <w:t>be</w:t>
      </w:r>
      <w:r w:rsidRPr="00D03260">
        <w:rPr>
          <w:rFonts w:ascii="Times New Roman" w:hAnsi="Times New Roman"/>
          <w:color w:val="auto"/>
          <w:spacing w:val="-4"/>
          <w:sz w:val="24"/>
        </w:rPr>
        <w:t xml:space="preserve"> </w:t>
      </w:r>
      <w:r w:rsidRPr="00D03260">
        <w:rPr>
          <w:rFonts w:ascii="Times New Roman" w:hAnsi="Times New Roman"/>
          <w:color w:val="auto"/>
          <w:sz w:val="24"/>
        </w:rPr>
        <w:t>found</w:t>
      </w:r>
      <w:r w:rsidRPr="00D03260">
        <w:rPr>
          <w:rFonts w:ascii="Times New Roman" w:hAnsi="Times New Roman"/>
          <w:color w:val="auto"/>
          <w:spacing w:val="-3"/>
          <w:sz w:val="24"/>
        </w:rPr>
        <w:t xml:space="preserve"> </w:t>
      </w:r>
      <w:r w:rsidRPr="00D03260">
        <w:rPr>
          <w:rFonts w:ascii="Times New Roman" w:hAnsi="Times New Roman"/>
          <w:color w:val="auto"/>
          <w:sz w:val="24"/>
        </w:rPr>
        <w:t>almost</w:t>
      </w:r>
      <w:r w:rsidRPr="00D03260">
        <w:rPr>
          <w:rFonts w:ascii="Times New Roman" w:hAnsi="Times New Roman"/>
          <w:color w:val="auto"/>
          <w:spacing w:val="-3"/>
          <w:sz w:val="24"/>
        </w:rPr>
        <w:t xml:space="preserve"> </w:t>
      </w:r>
      <w:r w:rsidRPr="00D03260">
        <w:rPr>
          <w:rFonts w:ascii="Times New Roman" w:hAnsi="Times New Roman"/>
          <w:color w:val="auto"/>
          <w:sz w:val="24"/>
        </w:rPr>
        <w:t>anywhere,</w:t>
      </w:r>
      <w:r w:rsidRPr="00D03260">
        <w:rPr>
          <w:rFonts w:ascii="Times New Roman" w:hAnsi="Times New Roman"/>
          <w:color w:val="auto"/>
          <w:spacing w:val="-3"/>
          <w:sz w:val="24"/>
        </w:rPr>
        <w:t xml:space="preserve"> </w:t>
      </w:r>
      <w:r w:rsidRPr="00D03260">
        <w:rPr>
          <w:rFonts w:ascii="Times New Roman" w:hAnsi="Times New Roman"/>
          <w:color w:val="auto"/>
          <w:sz w:val="24"/>
        </w:rPr>
        <w:t>it needs damp surfaces and moisture to grow. You can reduce your exposure through simple measures, however there is no practical way to eliminate all exposure to mould. These measures include:</w:t>
      </w:r>
    </w:p>
    <w:p w14:paraId="6ED2A02A" w14:textId="77777777" w:rsidR="00A5692F" w:rsidRPr="00D03260" w:rsidRDefault="00A5692F" w:rsidP="00A5692F">
      <w:pPr>
        <w:widowControl w:val="0"/>
        <w:autoSpaceDE w:val="0"/>
        <w:autoSpaceDN w:val="0"/>
        <w:spacing w:before="3" w:after="0" w:line="240" w:lineRule="auto"/>
        <w:rPr>
          <w:rFonts w:ascii="Times New Roman" w:hAnsi="Times New Roman"/>
          <w:color w:val="auto"/>
          <w:sz w:val="24"/>
        </w:rPr>
      </w:pPr>
    </w:p>
    <w:p w14:paraId="215757FB" w14:textId="77777777" w:rsidR="00A5692F" w:rsidRPr="00D03260" w:rsidRDefault="00A5692F" w:rsidP="00A5692F">
      <w:pPr>
        <w:widowControl w:val="0"/>
        <w:autoSpaceDE w:val="0"/>
        <w:autoSpaceDN w:val="0"/>
        <w:spacing w:before="0" w:after="0" w:line="240" w:lineRule="auto"/>
        <w:ind w:left="100"/>
        <w:outlineLvl w:val="1"/>
        <w:rPr>
          <w:rFonts w:ascii="Times New Roman" w:hAnsi="Times New Roman"/>
          <w:b/>
          <w:bCs/>
          <w:color w:val="auto"/>
          <w:sz w:val="24"/>
        </w:rPr>
      </w:pPr>
      <w:bookmarkStart w:id="517" w:name="_Toc121329246"/>
      <w:bookmarkStart w:id="518" w:name="_Toc121329410"/>
      <w:bookmarkStart w:id="519" w:name="_Toc121834553"/>
      <w:bookmarkStart w:id="520" w:name="_Toc141885983"/>
      <w:r w:rsidRPr="00D03260">
        <w:rPr>
          <w:rFonts w:ascii="Times New Roman" w:hAnsi="Times New Roman"/>
          <w:b/>
          <w:bCs/>
          <w:color w:val="auto"/>
          <w:spacing w:val="-2"/>
          <w:sz w:val="24"/>
        </w:rPr>
        <w:t>Indoors</w:t>
      </w:r>
      <w:bookmarkEnd w:id="517"/>
      <w:bookmarkEnd w:id="518"/>
      <w:bookmarkEnd w:id="519"/>
      <w:bookmarkEnd w:id="520"/>
    </w:p>
    <w:p w14:paraId="2ED7013D" w14:textId="77777777" w:rsidR="00A5692F" w:rsidRPr="00D03260" w:rsidRDefault="00A5692F" w:rsidP="00A5692F">
      <w:pPr>
        <w:widowControl w:val="0"/>
        <w:autoSpaceDE w:val="0"/>
        <w:autoSpaceDN w:val="0"/>
        <w:spacing w:before="4" w:after="0" w:line="240" w:lineRule="auto"/>
        <w:rPr>
          <w:rFonts w:ascii="Times New Roman" w:hAnsi="Times New Roman"/>
          <w:b/>
          <w:color w:val="auto"/>
          <w:sz w:val="24"/>
        </w:rPr>
      </w:pPr>
    </w:p>
    <w:p w14:paraId="09575ED3" w14:textId="77777777" w:rsidR="00A5692F" w:rsidRPr="00D03260" w:rsidRDefault="00A5692F" w:rsidP="00A5692F">
      <w:pPr>
        <w:widowControl w:val="0"/>
        <w:numPr>
          <w:ilvl w:val="0"/>
          <w:numId w:val="87"/>
        </w:numPr>
        <w:tabs>
          <w:tab w:val="left" w:pos="819"/>
          <w:tab w:val="left" w:pos="820"/>
        </w:tabs>
        <w:autoSpaceDE w:val="0"/>
        <w:autoSpaceDN w:val="0"/>
        <w:spacing w:before="0" w:after="0" w:line="240" w:lineRule="auto"/>
        <w:ind w:right="329"/>
        <w:rPr>
          <w:rFonts w:ascii="Times New Roman" w:hAnsi="Times New Roman"/>
          <w:color w:val="auto"/>
          <w:sz w:val="24"/>
          <w:szCs w:val="22"/>
        </w:rPr>
      </w:pPr>
      <w:r w:rsidRPr="00D03260">
        <w:rPr>
          <w:rFonts w:ascii="Times New Roman" w:hAnsi="Times New Roman"/>
          <w:color w:val="auto"/>
          <w:sz w:val="24"/>
          <w:szCs w:val="22"/>
        </w:rPr>
        <w:t>Prevent</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moisture</w:t>
      </w:r>
      <w:r w:rsidRPr="00D03260">
        <w:rPr>
          <w:rFonts w:ascii="Times New Roman" w:hAnsi="Times New Roman"/>
          <w:color w:val="auto"/>
          <w:spacing w:val="-4"/>
          <w:sz w:val="24"/>
          <w:szCs w:val="22"/>
        </w:rPr>
        <w:t xml:space="preserve"> </w:t>
      </w:r>
      <w:r w:rsidRPr="00D03260">
        <w:rPr>
          <w:rFonts w:ascii="Times New Roman" w:hAnsi="Times New Roman"/>
          <w:color w:val="auto"/>
          <w:sz w:val="24"/>
          <w:szCs w:val="22"/>
        </w:rPr>
        <w:t>and</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dampness</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and</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ensure</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adequate</w:t>
      </w:r>
      <w:r w:rsidRPr="00D03260">
        <w:rPr>
          <w:rFonts w:ascii="Times New Roman" w:hAnsi="Times New Roman"/>
          <w:color w:val="auto"/>
          <w:spacing w:val="-4"/>
          <w:sz w:val="24"/>
          <w:szCs w:val="22"/>
        </w:rPr>
        <w:t xml:space="preserve"> </w:t>
      </w:r>
      <w:r w:rsidRPr="00D03260">
        <w:rPr>
          <w:rFonts w:ascii="Times New Roman" w:hAnsi="Times New Roman"/>
          <w:color w:val="auto"/>
          <w:sz w:val="24"/>
          <w:szCs w:val="22"/>
        </w:rPr>
        <w:t>ventilation.</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This</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will</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minimise current and future mould growth.</w:t>
      </w:r>
    </w:p>
    <w:p w14:paraId="77DD7A13" w14:textId="77777777" w:rsidR="00A5692F" w:rsidRPr="00D03260" w:rsidRDefault="00A5692F" w:rsidP="00A5692F">
      <w:pPr>
        <w:widowControl w:val="0"/>
        <w:numPr>
          <w:ilvl w:val="0"/>
          <w:numId w:val="87"/>
        </w:numPr>
        <w:tabs>
          <w:tab w:val="left" w:pos="819"/>
          <w:tab w:val="left" w:pos="820"/>
        </w:tabs>
        <w:autoSpaceDE w:val="0"/>
        <w:autoSpaceDN w:val="0"/>
        <w:spacing w:before="0" w:after="0" w:line="292" w:lineRule="exact"/>
        <w:rPr>
          <w:rFonts w:ascii="Times New Roman" w:hAnsi="Times New Roman"/>
          <w:color w:val="auto"/>
          <w:sz w:val="24"/>
          <w:szCs w:val="22"/>
        </w:rPr>
      </w:pPr>
      <w:r w:rsidRPr="00D03260">
        <w:rPr>
          <w:rFonts w:ascii="Times New Roman" w:hAnsi="Times New Roman"/>
          <w:color w:val="auto"/>
          <w:sz w:val="24"/>
          <w:szCs w:val="22"/>
        </w:rPr>
        <w:t>Fix</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leaky</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plumbing,</w:t>
      </w:r>
      <w:r w:rsidRPr="00D03260">
        <w:rPr>
          <w:rFonts w:ascii="Times New Roman" w:hAnsi="Times New Roman"/>
          <w:color w:val="auto"/>
          <w:spacing w:val="-1"/>
          <w:sz w:val="24"/>
          <w:szCs w:val="22"/>
        </w:rPr>
        <w:t xml:space="preserve"> </w:t>
      </w:r>
      <w:proofErr w:type="gramStart"/>
      <w:r w:rsidRPr="00D03260">
        <w:rPr>
          <w:rFonts w:ascii="Times New Roman" w:hAnsi="Times New Roman"/>
          <w:color w:val="auto"/>
          <w:sz w:val="24"/>
          <w:szCs w:val="22"/>
        </w:rPr>
        <w:t>roofs</w:t>
      </w:r>
      <w:proofErr w:type="gramEnd"/>
      <w:r w:rsidRPr="00D03260">
        <w:rPr>
          <w:rFonts w:ascii="Times New Roman" w:hAnsi="Times New Roman"/>
          <w:color w:val="auto"/>
          <w:sz w:val="24"/>
          <w:szCs w:val="22"/>
        </w:rPr>
        <w:t xml:space="preserve"> or</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other</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 xml:space="preserve">building </w:t>
      </w:r>
      <w:r w:rsidRPr="00D03260">
        <w:rPr>
          <w:rFonts w:ascii="Times New Roman" w:hAnsi="Times New Roman"/>
          <w:color w:val="auto"/>
          <w:spacing w:val="-2"/>
          <w:sz w:val="24"/>
          <w:szCs w:val="22"/>
        </w:rPr>
        <w:t>faults.</w:t>
      </w:r>
    </w:p>
    <w:p w14:paraId="06A1184D" w14:textId="77777777" w:rsidR="00A5692F" w:rsidRPr="00D03260" w:rsidRDefault="00A5692F" w:rsidP="00A5692F">
      <w:pPr>
        <w:widowControl w:val="0"/>
        <w:numPr>
          <w:ilvl w:val="0"/>
          <w:numId w:val="87"/>
        </w:numPr>
        <w:tabs>
          <w:tab w:val="left" w:pos="819"/>
          <w:tab w:val="left" w:pos="820"/>
        </w:tabs>
        <w:autoSpaceDE w:val="0"/>
        <w:autoSpaceDN w:val="0"/>
        <w:spacing w:before="0" w:after="0" w:line="293" w:lineRule="exact"/>
        <w:rPr>
          <w:rFonts w:ascii="Times New Roman" w:hAnsi="Times New Roman"/>
          <w:color w:val="auto"/>
          <w:sz w:val="24"/>
          <w:szCs w:val="22"/>
        </w:rPr>
      </w:pPr>
      <w:r w:rsidRPr="00D03260">
        <w:rPr>
          <w:rFonts w:ascii="Times New Roman" w:hAnsi="Times New Roman"/>
          <w:color w:val="auto"/>
          <w:sz w:val="24"/>
          <w:szCs w:val="22"/>
        </w:rPr>
        <w:t>Clear</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and</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maintain</w:t>
      </w:r>
      <w:r w:rsidRPr="00D03260">
        <w:rPr>
          <w:rFonts w:ascii="Times New Roman" w:hAnsi="Times New Roman"/>
          <w:color w:val="auto"/>
          <w:spacing w:val="-1"/>
          <w:sz w:val="24"/>
          <w:szCs w:val="22"/>
        </w:rPr>
        <w:t xml:space="preserve"> </w:t>
      </w:r>
      <w:r w:rsidRPr="00D03260">
        <w:rPr>
          <w:rFonts w:ascii="Times New Roman" w:hAnsi="Times New Roman"/>
          <w:color w:val="auto"/>
          <w:spacing w:val="-2"/>
          <w:sz w:val="24"/>
          <w:szCs w:val="22"/>
        </w:rPr>
        <w:t>gutters.</w:t>
      </w:r>
    </w:p>
    <w:p w14:paraId="6D2DFCF0" w14:textId="77777777" w:rsidR="00A5692F" w:rsidRPr="00D03260" w:rsidRDefault="00A5692F" w:rsidP="00A5692F">
      <w:pPr>
        <w:widowControl w:val="0"/>
        <w:numPr>
          <w:ilvl w:val="0"/>
          <w:numId w:val="87"/>
        </w:numPr>
        <w:tabs>
          <w:tab w:val="left" w:pos="819"/>
          <w:tab w:val="left" w:pos="820"/>
        </w:tabs>
        <w:autoSpaceDE w:val="0"/>
        <w:autoSpaceDN w:val="0"/>
        <w:spacing w:before="1" w:after="0" w:line="240" w:lineRule="auto"/>
        <w:rPr>
          <w:rFonts w:ascii="Times New Roman" w:hAnsi="Times New Roman"/>
          <w:color w:val="auto"/>
          <w:sz w:val="24"/>
          <w:szCs w:val="22"/>
        </w:rPr>
      </w:pPr>
      <w:r w:rsidRPr="00D03260">
        <w:rPr>
          <w:rFonts w:ascii="Times New Roman" w:hAnsi="Times New Roman"/>
          <w:color w:val="auto"/>
          <w:sz w:val="24"/>
          <w:szCs w:val="22"/>
        </w:rPr>
        <w:t>Reduce</w:t>
      </w:r>
      <w:r w:rsidRPr="00D03260">
        <w:rPr>
          <w:rFonts w:ascii="Times New Roman" w:hAnsi="Times New Roman"/>
          <w:color w:val="auto"/>
          <w:spacing w:val="-5"/>
          <w:sz w:val="24"/>
          <w:szCs w:val="22"/>
        </w:rPr>
        <w:t xml:space="preserve"> </w:t>
      </w:r>
      <w:r w:rsidRPr="00D03260">
        <w:rPr>
          <w:rFonts w:ascii="Times New Roman" w:hAnsi="Times New Roman"/>
          <w:color w:val="auto"/>
          <w:sz w:val="24"/>
          <w:szCs w:val="22"/>
        </w:rPr>
        <w:t>and</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remove condensation</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(e.g.</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use exhaust</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fans</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and</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wipe</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up</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excess</w:t>
      </w:r>
      <w:r w:rsidRPr="00D03260">
        <w:rPr>
          <w:rFonts w:ascii="Times New Roman" w:hAnsi="Times New Roman"/>
          <w:color w:val="auto"/>
          <w:spacing w:val="1"/>
          <w:sz w:val="24"/>
          <w:szCs w:val="22"/>
        </w:rPr>
        <w:t xml:space="preserve"> </w:t>
      </w:r>
      <w:r w:rsidRPr="00D03260">
        <w:rPr>
          <w:rFonts w:ascii="Times New Roman" w:hAnsi="Times New Roman"/>
          <w:color w:val="auto"/>
          <w:spacing w:val="-2"/>
          <w:sz w:val="24"/>
          <w:szCs w:val="22"/>
        </w:rPr>
        <w:t>water).</w:t>
      </w:r>
    </w:p>
    <w:p w14:paraId="184D8185" w14:textId="77777777" w:rsidR="00A5692F" w:rsidRPr="00D03260" w:rsidRDefault="00A5692F" w:rsidP="00A5692F">
      <w:pPr>
        <w:widowControl w:val="0"/>
        <w:autoSpaceDE w:val="0"/>
        <w:autoSpaceDN w:val="0"/>
        <w:spacing w:before="2" w:after="0" w:line="240" w:lineRule="auto"/>
        <w:rPr>
          <w:rFonts w:ascii="Times New Roman" w:hAnsi="Times New Roman"/>
          <w:color w:val="auto"/>
          <w:sz w:val="24"/>
        </w:rPr>
      </w:pPr>
    </w:p>
    <w:p w14:paraId="706E8861" w14:textId="7AC7DFF4" w:rsidR="00512A02" w:rsidRPr="00D03260" w:rsidRDefault="00A5692F" w:rsidP="00A5692F">
      <w:pPr>
        <w:widowControl w:val="0"/>
        <w:autoSpaceDE w:val="0"/>
        <w:autoSpaceDN w:val="0"/>
        <w:spacing w:before="0" w:after="0" w:line="240" w:lineRule="auto"/>
        <w:ind w:left="100" w:right="197"/>
        <w:rPr>
          <w:rFonts w:ascii="Times New Roman" w:hAnsi="Times New Roman"/>
          <w:color w:val="auto"/>
          <w:spacing w:val="-2"/>
          <w:sz w:val="24"/>
        </w:rPr>
      </w:pPr>
      <w:r w:rsidRPr="00D03260">
        <w:rPr>
          <w:rFonts w:ascii="Times New Roman" w:hAnsi="Times New Roman"/>
          <w:color w:val="auto"/>
          <w:sz w:val="24"/>
        </w:rPr>
        <w:t>Homes</w:t>
      </w:r>
      <w:r w:rsidRPr="00D03260">
        <w:rPr>
          <w:rFonts w:ascii="Times New Roman" w:hAnsi="Times New Roman"/>
          <w:color w:val="auto"/>
          <w:spacing w:val="-3"/>
          <w:sz w:val="24"/>
        </w:rPr>
        <w:t xml:space="preserve"> </w:t>
      </w:r>
      <w:r w:rsidRPr="00D03260">
        <w:rPr>
          <w:rFonts w:ascii="Times New Roman" w:hAnsi="Times New Roman"/>
          <w:color w:val="auto"/>
          <w:sz w:val="24"/>
        </w:rPr>
        <w:t>with</w:t>
      </w:r>
      <w:r w:rsidRPr="00D03260">
        <w:rPr>
          <w:rFonts w:ascii="Times New Roman" w:hAnsi="Times New Roman"/>
          <w:color w:val="auto"/>
          <w:spacing w:val="-3"/>
          <w:sz w:val="24"/>
        </w:rPr>
        <w:t xml:space="preserve"> </w:t>
      </w:r>
      <w:r w:rsidRPr="00D03260">
        <w:rPr>
          <w:rFonts w:ascii="Times New Roman" w:hAnsi="Times New Roman"/>
          <w:color w:val="auto"/>
          <w:sz w:val="24"/>
        </w:rPr>
        <w:t>inadequate</w:t>
      </w:r>
      <w:r w:rsidRPr="00D03260">
        <w:rPr>
          <w:rFonts w:ascii="Times New Roman" w:hAnsi="Times New Roman"/>
          <w:color w:val="auto"/>
          <w:spacing w:val="-4"/>
          <w:sz w:val="24"/>
        </w:rPr>
        <w:t xml:space="preserve"> </w:t>
      </w:r>
      <w:r w:rsidRPr="00D03260">
        <w:rPr>
          <w:rFonts w:ascii="Times New Roman" w:hAnsi="Times New Roman"/>
          <w:color w:val="auto"/>
          <w:sz w:val="24"/>
        </w:rPr>
        <w:t>ventilation</w:t>
      </w:r>
      <w:r w:rsidRPr="00D03260">
        <w:rPr>
          <w:rFonts w:ascii="Times New Roman" w:hAnsi="Times New Roman"/>
          <w:color w:val="auto"/>
          <w:spacing w:val="-3"/>
          <w:sz w:val="24"/>
        </w:rPr>
        <w:t xml:space="preserve"> </w:t>
      </w:r>
      <w:r w:rsidRPr="00D03260">
        <w:rPr>
          <w:rFonts w:ascii="Times New Roman" w:hAnsi="Times New Roman"/>
          <w:color w:val="auto"/>
          <w:sz w:val="24"/>
        </w:rPr>
        <w:t>resulting</w:t>
      </w:r>
      <w:r w:rsidRPr="00D03260">
        <w:rPr>
          <w:rFonts w:ascii="Times New Roman" w:hAnsi="Times New Roman"/>
          <w:color w:val="auto"/>
          <w:spacing w:val="-3"/>
          <w:sz w:val="24"/>
        </w:rPr>
        <w:t xml:space="preserve"> </w:t>
      </w:r>
      <w:r w:rsidRPr="00D03260">
        <w:rPr>
          <w:rFonts w:ascii="Times New Roman" w:hAnsi="Times New Roman"/>
          <w:color w:val="auto"/>
          <w:sz w:val="24"/>
        </w:rPr>
        <w:t>from</w:t>
      </w:r>
      <w:r w:rsidRPr="00D03260">
        <w:rPr>
          <w:rFonts w:ascii="Times New Roman" w:hAnsi="Times New Roman"/>
          <w:color w:val="auto"/>
          <w:spacing w:val="-3"/>
          <w:sz w:val="24"/>
        </w:rPr>
        <w:t xml:space="preserve"> </w:t>
      </w:r>
      <w:r w:rsidRPr="00D03260">
        <w:rPr>
          <w:rFonts w:ascii="Times New Roman" w:hAnsi="Times New Roman"/>
          <w:color w:val="auto"/>
          <w:sz w:val="24"/>
        </w:rPr>
        <w:t>poor</w:t>
      </w:r>
      <w:r w:rsidRPr="00D03260">
        <w:rPr>
          <w:rFonts w:ascii="Times New Roman" w:hAnsi="Times New Roman"/>
          <w:color w:val="auto"/>
          <w:spacing w:val="-4"/>
          <w:sz w:val="24"/>
        </w:rPr>
        <w:t xml:space="preserve"> </w:t>
      </w:r>
      <w:r w:rsidRPr="00D03260">
        <w:rPr>
          <w:rFonts w:ascii="Times New Roman" w:hAnsi="Times New Roman"/>
          <w:color w:val="auto"/>
          <w:sz w:val="24"/>
        </w:rPr>
        <w:t>design,</w:t>
      </w:r>
      <w:r w:rsidRPr="00D03260">
        <w:rPr>
          <w:rFonts w:ascii="Times New Roman" w:hAnsi="Times New Roman"/>
          <w:color w:val="auto"/>
          <w:spacing w:val="-3"/>
          <w:sz w:val="24"/>
        </w:rPr>
        <w:t xml:space="preserve"> </w:t>
      </w:r>
      <w:r w:rsidRPr="00D03260">
        <w:rPr>
          <w:rFonts w:ascii="Times New Roman" w:hAnsi="Times New Roman"/>
          <w:color w:val="auto"/>
          <w:sz w:val="24"/>
        </w:rPr>
        <w:t>modifications</w:t>
      </w:r>
      <w:r w:rsidRPr="00D03260">
        <w:rPr>
          <w:rFonts w:ascii="Times New Roman" w:hAnsi="Times New Roman"/>
          <w:color w:val="auto"/>
          <w:spacing w:val="-3"/>
          <w:sz w:val="24"/>
        </w:rPr>
        <w:t xml:space="preserve"> </w:t>
      </w:r>
      <w:r w:rsidRPr="00D03260">
        <w:rPr>
          <w:rFonts w:ascii="Times New Roman" w:hAnsi="Times New Roman"/>
          <w:color w:val="auto"/>
          <w:sz w:val="24"/>
        </w:rPr>
        <w:t>or</w:t>
      </w:r>
      <w:r w:rsidRPr="00D03260">
        <w:rPr>
          <w:rFonts w:ascii="Times New Roman" w:hAnsi="Times New Roman"/>
          <w:color w:val="auto"/>
          <w:spacing w:val="-4"/>
          <w:sz w:val="24"/>
        </w:rPr>
        <w:t xml:space="preserve"> </w:t>
      </w:r>
      <w:r w:rsidRPr="00D03260">
        <w:rPr>
          <w:rFonts w:ascii="Times New Roman" w:hAnsi="Times New Roman"/>
          <w:color w:val="auto"/>
          <w:sz w:val="24"/>
        </w:rPr>
        <w:t>lack</w:t>
      </w:r>
      <w:r w:rsidRPr="00D03260">
        <w:rPr>
          <w:rFonts w:ascii="Times New Roman" w:hAnsi="Times New Roman"/>
          <w:color w:val="auto"/>
          <w:spacing w:val="-3"/>
          <w:sz w:val="24"/>
        </w:rPr>
        <w:t xml:space="preserve"> </w:t>
      </w:r>
      <w:r w:rsidRPr="00D03260">
        <w:rPr>
          <w:rFonts w:ascii="Times New Roman" w:hAnsi="Times New Roman"/>
          <w:color w:val="auto"/>
          <w:sz w:val="24"/>
        </w:rPr>
        <w:t>of maintenance</w:t>
      </w:r>
      <w:r w:rsidRPr="00D03260">
        <w:rPr>
          <w:rFonts w:ascii="Times New Roman" w:hAnsi="Times New Roman"/>
          <w:color w:val="auto"/>
          <w:spacing w:val="-4"/>
          <w:sz w:val="24"/>
        </w:rPr>
        <w:t xml:space="preserve"> </w:t>
      </w:r>
      <w:r w:rsidRPr="00D03260">
        <w:rPr>
          <w:rFonts w:ascii="Times New Roman" w:hAnsi="Times New Roman"/>
          <w:color w:val="auto"/>
          <w:sz w:val="24"/>
        </w:rPr>
        <w:t>may</w:t>
      </w:r>
      <w:r w:rsidRPr="00D03260">
        <w:rPr>
          <w:rFonts w:ascii="Times New Roman" w:hAnsi="Times New Roman"/>
          <w:color w:val="auto"/>
          <w:spacing w:val="-1"/>
          <w:sz w:val="24"/>
        </w:rPr>
        <w:t xml:space="preserve"> </w:t>
      </w:r>
      <w:r w:rsidRPr="00D03260">
        <w:rPr>
          <w:rFonts w:ascii="Times New Roman" w:hAnsi="Times New Roman"/>
          <w:color w:val="auto"/>
          <w:sz w:val="24"/>
        </w:rPr>
        <w:t>be</w:t>
      </w:r>
      <w:r w:rsidRPr="00D03260">
        <w:rPr>
          <w:rFonts w:ascii="Times New Roman" w:hAnsi="Times New Roman"/>
          <w:color w:val="auto"/>
          <w:spacing w:val="-4"/>
          <w:sz w:val="24"/>
        </w:rPr>
        <w:t xml:space="preserve"> </w:t>
      </w:r>
      <w:r w:rsidRPr="00D03260">
        <w:rPr>
          <w:rFonts w:ascii="Times New Roman" w:hAnsi="Times New Roman"/>
          <w:color w:val="auto"/>
          <w:sz w:val="24"/>
        </w:rPr>
        <w:t>more</w:t>
      </w:r>
      <w:r w:rsidRPr="00D03260">
        <w:rPr>
          <w:rFonts w:ascii="Times New Roman" w:hAnsi="Times New Roman"/>
          <w:color w:val="auto"/>
          <w:spacing w:val="-4"/>
          <w:sz w:val="24"/>
        </w:rPr>
        <w:t xml:space="preserve"> </w:t>
      </w:r>
      <w:r w:rsidRPr="00D03260">
        <w:rPr>
          <w:rFonts w:ascii="Times New Roman" w:hAnsi="Times New Roman"/>
          <w:color w:val="auto"/>
          <w:sz w:val="24"/>
        </w:rPr>
        <w:t>prone</w:t>
      </w:r>
      <w:r w:rsidRPr="00D03260">
        <w:rPr>
          <w:rFonts w:ascii="Times New Roman" w:hAnsi="Times New Roman"/>
          <w:color w:val="auto"/>
          <w:spacing w:val="-4"/>
          <w:sz w:val="24"/>
        </w:rPr>
        <w:t xml:space="preserve"> </w:t>
      </w:r>
      <w:r w:rsidRPr="00D03260">
        <w:rPr>
          <w:rFonts w:ascii="Times New Roman" w:hAnsi="Times New Roman"/>
          <w:color w:val="auto"/>
          <w:sz w:val="24"/>
        </w:rPr>
        <w:t>to</w:t>
      </w:r>
      <w:r w:rsidRPr="00D03260">
        <w:rPr>
          <w:rFonts w:ascii="Times New Roman" w:hAnsi="Times New Roman"/>
          <w:color w:val="auto"/>
          <w:spacing w:val="-3"/>
          <w:sz w:val="24"/>
        </w:rPr>
        <w:t xml:space="preserve"> </w:t>
      </w:r>
      <w:r w:rsidRPr="00D03260">
        <w:rPr>
          <w:rFonts w:ascii="Times New Roman" w:hAnsi="Times New Roman"/>
          <w:color w:val="auto"/>
          <w:sz w:val="24"/>
        </w:rPr>
        <w:t>developing</w:t>
      </w:r>
      <w:r w:rsidRPr="00D03260">
        <w:rPr>
          <w:rFonts w:ascii="Times New Roman" w:hAnsi="Times New Roman"/>
          <w:color w:val="auto"/>
          <w:spacing w:val="-3"/>
          <w:sz w:val="24"/>
        </w:rPr>
        <w:t xml:space="preserve"> </w:t>
      </w:r>
      <w:r w:rsidRPr="00D03260">
        <w:rPr>
          <w:rFonts w:ascii="Times New Roman" w:hAnsi="Times New Roman"/>
          <w:color w:val="auto"/>
          <w:sz w:val="24"/>
        </w:rPr>
        <w:t>mould.</w:t>
      </w:r>
      <w:r w:rsidRPr="00D03260">
        <w:rPr>
          <w:rFonts w:ascii="Times New Roman" w:hAnsi="Times New Roman"/>
          <w:color w:val="auto"/>
          <w:spacing w:val="-3"/>
          <w:sz w:val="24"/>
        </w:rPr>
        <w:t xml:space="preserve"> </w:t>
      </w:r>
      <w:r w:rsidRPr="00D03260">
        <w:rPr>
          <w:rFonts w:ascii="Times New Roman" w:hAnsi="Times New Roman"/>
          <w:color w:val="auto"/>
          <w:sz w:val="24"/>
        </w:rPr>
        <w:t>The</w:t>
      </w:r>
      <w:r w:rsidRPr="00D03260">
        <w:rPr>
          <w:rFonts w:ascii="Times New Roman" w:hAnsi="Times New Roman"/>
          <w:color w:val="auto"/>
          <w:spacing w:val="-4"/>
          <w:sz w:val="24"/>
        </w:rPr>
        <w:t xml:space="preserve"> </w:t>
      </w:r>
      <w:r w:rsidRPr="00D03260">
        <w:rPr>
          <w:rFonts w:ascii="Times New Roman" w:hAnsi="Times New Roman"/>
          <w:color w:val="auto"/>
          <w:sz w:val="24"/>
        </w:rPr>
        <w:t>cheapest</w:t>
      </w:r>
      <w:r w:rsidRPr="00D03260">
        <w:rPr>
          <w:rFonts w:ascii="Times New Roman" w:hAnsi="Times New Roman"/>
          <w:color w:val="auto"/>
          <w:spacing w:val="-3"/>
          <w:sz w:val="24"/>
        </w:rPr>
        <w:t xml:space="preserve"> </w:t>
      </w:r>
      <w:r w:rsidRPr="00D03260">
        <w:rPr>
          <w:rFonts w:ascii="Times New Roman" w:hAnsi="Times New Roman"/>
          <w:color w:val="auto"/>
          <w:sz w:val="24"/>
        </w:rPr>
        <w:t>and</w:t>
      </w:r>
      <w:r w:rsidRPr="00D03260">
        <w:rPr>
          <w:rFonts w:ascii="Times New Roman" w:hAnsi="Times New Roman"/>
          <w:color w:val="auto"/>
          <w:spacing w:val="-3"/>
          <w:sz w:val="24"/>
        </w:rPr>
        <w:t xml:space="preserve"> </w:t>
      </w:r>
      <w:r w:rsidRPr="00D03260">
        <w:rPr>
          <w:rFonts w:ascii="Times New Roman" w:hAnsi="Times New Roman"/>
          <w:color w:val="auto"/>
          <w:sz w:val="24"/>
        </w:rPr>
        <w:t>easiest</w:t>
      </w:r>
      <w:r w:rsidRPr="00D03260">
        <w:rPr>
          <w:rFonts w:ascii="Times New Roman" w:hAnsi="Times New Roman"/>
          <w:color w:val="auto"/>
          <w:spacing w:val="-3"/>
          <w:sz w:val="24"/>
        </w:rPr>
        <w:t xml:space="preserve"> </w:t>
      </w:r>
      <w:r w:rsidRPr="00D03260">
        <w:rPr>
          <w:rFonts w:ascii="Times New Roman" w:hAnsi="Times New Roman"/>
          <w:color w:val="auto"/>
          <w:sz w:val="24"/>
        </w:rPr>
        <w:t>way</w:t>
      </w:r>
      <w:r w:rsidRPr="00D03260">
        <w:rPr>
          <w:rFonts w:ascii="Times New Roman" w:hAnsi="Times New Roman"/>
          <w:color w:val="auto"/>
          <w:spacing w:val="-3"/>
          <w:sz w:val="24"/>
        </w:rPr>
        <w:t xml:space="preserve"> </w:t>
      </w:r>
      <w:r w:rsidRPr="00D03260">
        <w:rPr>
          <w:rFonts w:ascii="Times New Roman" w:hAnsi="Times New Roman"/>
          <w:color w:val="auto"/>
          <w:sz w:val="24"/>
        </w:rPr>
        <w:t xml:space="preserve">of reducing indoor moisture and humidity is by ventilating a room by opening a door or </w:t>
      </w:r>
      <w:r w:rsidRPr="00D03260">
        <w:rPr>
          <w:rFonts w:ascii="Times New Roman" w:hAnsi="Times New Roman"/>
          <w:color w:val="auto"/>
          <w:spacing w:val="-2"/>
          <w:sz w:val="24"/>
        </w:rPr>
        <w:t>window.</w:t>
      </w:r>
      <w:r w:rsidR="00512A02" w:rsidRPr="00D03260">
        <w:rPr>
          <w:rFonts w:ascii="Times New Roman" w:hAnsi="Times New Roman"/>
          <w:color w:val="auto"/>
          <w:spacing w:val="-2"/>
          <w:sz w:val="24"/>
        </w:rPr>
        <w:br w:type="page"/>
      </w:r>
    </w:p>
    <w:p w14:paraId="63DBEB6A" w14:textId="178F6AE6" w:rsidR="00A5692F" w:rsidRPr="00D03260" w:rsidRDefault="00512A02" w:rsidP="00A5692F">
      <w:pPr>
        <w:widowControl w:val="0"/>
        <w:autoSpaceDE w:val="0"/>
        <w:autoSpaceDN w:val="0"/>
        <w:spacing w:before="0" w:after="0" w:line="240" w:lineRule="auto"/>
        <w:ind w:left="100"/>
        <w:outlineLvl w:val="1"/>
        <w:rPr>
          <w:rFonts w:ascii="Times New Roman" w:hAnsi="Times New Roman"/>
          <w:b/>
          <w:bCs/>
          <w:color w:val="auto"/>
          <w:sz w:val="24"/>
        </w:rPr>
      </w:pPr>
      <w:bookmarkStart w:id="521" w:name="_Toc121329247"/>
      <w:bookmarkStart w:id="522" w:name="_Toc121329411"/>
      <w:bookmarkStart w:id="523" w:name="_Toc121834554"/>
      <w:bookmarkStart w:id="524" w:name="_Toc141885984"/>
      <w:r w:rsidRPr="00D03260">
        <w:rPr>
          <w:noProof/>
        </w:rPr>
        <w:drawing>
          <wp:inline distT="0" distB="0" distL="0" distR="0" wp14:anchorId="7404B784" wp14:editId="4973F1B6">
            <wp:extent cx="5759450" cy="977900"/>
            <wp:effectExtent l="0" t="0" r="0" b="0"/>
            <wp:docPr id="2" name="Picture 2" descr="Environmental Health Standing Committee (enHealth) of the Australian Health Protection Principal Committe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nvironmental Health Standing Committee (enHealth) of the Australian Health Protection Principal Committee logo.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977900"/>
                    </a:xfrm>
                    <a:prstGeom prst="rect">
                      <a:avLst/>
                    </a:prstGeom>
                    <a:noFill/>
                    <a:ln>
                      <a:noFill/>
                    </a:ln>
                  </pic:spPr>
                </pic:pic>
              </a:graphicData>
            </a:graphic>
          </wp:inline>
        </w:drawing>
      </w:r>
      <w:r w:rsidR="00A5692F" w:rsidRPr="00D03260">
        <w:rPr>
          <w:rFonts w:ascii="Times New Roman" w:hAnsi="Times New Roman"/>
          <w:b/>
          <w:bCs/>
          <w:color w:val="auto"/>
          <w:spacing w:val="-4"/>
          <w:sz w:val="24"/>
        </w:rPr>
        <w:t>Food</w:t>
      </w:r>
      <w:bookmarkEnd w:id="521"/>
      <w:bookmarkEnd w:id="522"/>
      <w:bookmarkEnd w:id="523"/>
      <w:bookmarkEnd w:id="524"/>
    </w:p>
    <w:p w14:paraId="06E32744" w14:textId="77777777" w:rsidR="00A5692F" w:rsidRPr="00D03260" w:rsidRDefault="00A5692F" w:rsidP="00A5692F">
      <w:pPr>
        <w:widowControl w:val="0"/>
        <w:autoSpaceDE w:val="0"/>
        <w:autoSpaceDN w:val="0"/>
        <w:spacing w:before="4" w:after="0" w:line="240" w:lineRule="auto"/>
        <w:rPr>
          <w:rFonts w:ascii="Times New Roman" w:hAnsi="Times New Roman"/>
          <w:b/>
          <w:color w:val="auto"/>
          <w:sz w:val="24"/>
        </w:rPr>
      </w:pPr>
    </w:p>
    <w:p w14:paraId="53660271" w14:textId="77777777" w:rsidR="00A5692F" w:rsidRPr="00D03260" w:rsidRDefault="00A5692F" w:rsidP="00A5692F">
      <w:pPr>
        <w:widowControl w:val="0"/>
        <w:numPr>
          <w:ilvl w:val="0"/>
          <w:numId w:val="87"/>
        </w:numPr>
        <w:tabs>
          <w:tab w:val="left" w:pos="819"/>
          <w:tab w:val="left" w:pos="820"/>
        </w:tabs>
        <w:autoSpaceDE w:val="0"/>
        <w:autoSpaceDN w:val="0"/>
        <w:spacing w:before="0" w:after="0" w:line="293" w:lineRule="exact"/>
        <w:rPr>
          <w:rFonts w:ascii="Times New Roman" w:hAnsi="Times New Roman"/>
          <w:color w:val="auto"/>
          <w:sz w:val="24"/>
          <w:szCs w:val="22"/>
        </w:rPr>
      </w:pPr>
      <w:r w:rsidRPr="00D03260">
        <w:rPr>
          <w:rFonts w:ascii="Times New Roman" w:hAnsi="Times New Roman"/>
          <w:color w:val="auto"/>
          <w:sz w:val="24"/>
          <w:szCs w:val="22"/>
        </w:rPr>
        <w:t>Throw</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away</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foods that</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have</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become</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 xml:space="preserve">visibly </w:t>
      </w:r>
      <w:r w:rsidRPr="00D03260">
        <w:rPr>
          <w:rFonts w:ascii="Times New Roman" w:hAnsi="Times New Roman"/>
          <w:color w:val="auto"/>
          <w:spacing w:val="-2"/>
          <w:sz w:val="24"/>
          <w:szCs w:val="22"/>
        </w:rPr>
        <w:t>mouldy.</w:t>
      </w:r>
    </w:p>
    <w:p w14:paraId="0B787F5F" w14:textId="32F3E686" w:rsidR="00A5692F" w:rsidRPr="00D03260" w:rsidRDefault="00A5692F" w:rsidP="00A5692F">
      <w:pPr>
        <w:widowControl w:val="0"/>
        <w:numPr>
          <w:ilvl w:val="0"/>
          <w:numId w:val="87"/>
        </w:numPr>
        <w:tabs>
          <w:tab w:val="left" w:pos="819"/>
          <w:tab w:val="left" w:pos="820"/>
        </w:tabs>
        <w:autoSpaceDE w:val="0"/>
        <w:autoSpaceDN w:val="0"/>
        <w:spacing w:before="0" w:after="0" w:line="240" w:lineRule="auto"/>
        <w:ind w:right="363"/>
        <w:rPr>
          <w:rFonts w:ascii="Times New Roman" w:hAnsi="Times New Roman"/>
          <w:color w:val="auto"/>
          <w:sz w:val="24"/>
          <w:szCs w:val="22"/>
        </w:rPr>
      </w:pPr>
      <w:r w:rsidRPr="00D03260">
        <w:rPr>
          <w:rFonts w:ascii="Times New Roman" w:hAnsi="Times New Roman"/>
          <w:color w:val="auto"/>
          <w:sz w:val="24"/>
          <w:szCs w:val="22"/>
        </w:rPr>
        <w:t>Adequately</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clean</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the</w:t>
      </w:r>
      <w:r w:rsidRPr="00D03260">
        <w:rPr>
          <w:rFonts w:ascii="Times New Roman" w:hAnsi="Times New Roman"/>
          <w:color w:val="auto"/>
          <w:spacing w:val="-4"/>
          <w:sz w:val="24"/>
          <w:szCs w:val="22"/>
        </w:rPr>
        <w:t xml:space="preserve"> </w:t>
      </w:r>
      <w:r w:rsidRPr="00D03260">
        <w:rPr>
          <w:rFonts w:ascii="Times New Roman" w:hAnsi="Times New Roman"/>
          <w:color w:val="auto"/>
          <w:sz w:val="24"/>
          <w:szCs w:val="22"/>
        </w:rPr>
        <w:t>surface</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area</w:t>
      </w:r>
      <w:r w:rsidRPr="00D03260">
        <w:rPr>
          <w:rFonts w:ascii="Times New Roman" w:hAnsi="Times New Roman"/>
          <w:color w:val="auto"/>
          <w:spacing w:val="-4"/>
          <w:sz w:val="24"/>
          <w:szCs w:val="22"/>
        </w:rPr>
        <w:t xml:space="preserve"> </w:t>
      </w:r>
      <w:r w:rsidRPr="00D03260">
        <w:rPr>
          <w:rFonts w:ascii="Times New Roman" w:hAnsi="Times New Roman"/>
          <w:color w:val="auto"/>
          <w:sz w:val="24"/>
          <w:szCs w:val="22"/>
        </w:rPr>
        <w:t>on</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which</w:t>
      </w:r>
      <w:r w:rsidRPr="00D03260">
        <w:rPr>
          <w:rFonts w:ascii="Times New Roman" w:hAnsi="Times New Roman"/>
          <w:color w:val="auto"/>
          <w:spacing w:val="-4"/>
          <w:sz w:val="24"/>
          <w:szCs w:val="22"/>
        </w:rPr>
        <w:t xml:space="preserve"> </w:t>
      </w:r>
      <w:r w:rsidRPr="00D03260">
        <w:rPr>
          <w:rFonts w:ascii="Times New Roman" w:hAnsi="Times New Roman"/>
          <w:color w:val="auto"/>
          <w:sz w:val="24"/>
          <w:szCs w:val="22"/>
        </w:rPr>
        <w:t>the</w:t>
      </w:r>
      <w:r w:rsidRPr="00D03260">
        <w:rPr>
          <w:rFonts w:ascii="Times New Roman" w:hAnsi="Times New Roman"/>
          <w:color w:val="auto"/>
          <w:spacing w:val="-4"/>
          <w:sz w:val="24"/>
          <w:szCs w:val="22"/>
        </w:rPr>
        <w:t xml:space="preserve"> </w:t>
      </w:r>
      <w:r w:rsidRPr="00D03260">
        <w:rPr>
          <w:rFonts w:ascii="Times New Roman" w:hAnsi="Times New Roman"/>
          <w:color w:val="auto"/>
          <w:sz w:val="24"/>
          <w:szCs w:val="22"/>
        </w:rPr>
        <w:t>mouldy</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food</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was</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stored</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or</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consider throwing away the container the food was stored in.</w:t>
      </w:r>
    </w:p>
    <w:p w14:paraId="048819B3" w14:textId="77777777" w:rsidR="00512A02" w:rsidRPr="00D03260" w:rsidRDefault="00512A02" w:rsidP="00512A02">
      <w:pPr>
        <w:widowControl w:val="0"/>
        <w:tabs>
          <w:tab w:val="left" w:pos="819"/>
          <w:tab w:val="left" w:pos="820"/>
        </w:tabs>
        <w:autoSpaceDE w:val="0"/>
        <w:autoSpaceDN w:val="0"/>
        <w:spacing w:before="0" w:after="0" w:line="240" w:lineRule="auto"/>
        <w:ind w:right="363"/>
        <w:rPr>
          <w:rFonts w:ascii="Times New Roman" w:hAnsi="Times New Roman"/>
          <w:color w:val="auto"/>
          <w:sz w:val="24"/>
          <w:szCs w:val="22"/>
        </w:rPr>
      </w:pPr>
    </w:p>
    <w:p w14:paraId="2D443508" w14:textId="77777777" w:rsidR="00A5692F" w:rsidRPr="00D03260" w:rsidRDefault="00A5692F" w:rsidP="00A5692F">
      <w:pPr>
        <w:widowControl w:val="0"/>
        <w:autoSpaceDE w:val="0"/>
        <w:autoSpaceDN w:val="0"/>
        <w:spacing w:before="0" w:after="0" w:line="240" w:lineRule="auto"/>
        <w:ind w:left="100"/>
        <w:outlineLvl w:val="1"/>
        <w:rPr>
          <w:rFonts w:ascii="Times New Roman" w:hAnsi="Times New Roman"/>
          <w:b/>
          <w:bCs/>
          <w:color w:val="auto"/>
          <w:sz w:val="24"/>
        </w:rPr>
      </w:pPr>
      <w:bookmarkStart w:id="525" w:name="_Toc121329248"/>
      <w:bookmarkStart w:id="526" w:name="_Toc121329412"/>
      <w:bookmarkStart w:id="527" w:name="_Toc121834555"/>
      <w:bookmarkStart w:id="528" w:name="_Toc141885985"/>
      <w:r w:rsidRPr="00D03260">
        <w:rPr>
          <w:rFonts w:ascii="Times New Roman" w:hAnsi="Times New Roman"/>
          <w:b/>
          <w:bCs/>
          <w:color w:val="auto"/>
          <w:spacing w:val="-2"/>
          <w:sz w:val="24"/>
        </w:rPr>
        <w:t>Outdoors</w:t>
      </w:r>
      <w:bookmarkEnd w:id="525"/>
      <w:bookmarkEnd w:id="526"/>
      <w:bookmarkEnd w:id="527"/>
      <w:bookmarkEnd w:id="528"/>
    </w:p>
    <w:p w14:paraId="2CB33086" w14:textId="77777777" w:rsidR="00A5692F" w:rsidRPr="00D03260" w:rsidRDefault="00A5692F" w:rsidP="00A5692F">
      <w:pPr>
        <w:widowControl w:val="0"/>
        <w:autoSpaceDE w:val="0"/>
        <w:autoSpaceDN w:val="0"/>
        <w:spacing w:before="2" w:after="0" w:line="240" w:lineRule="auto"/>
        <w:rPr>
          <w:rFonts w:ascii="Times New Roman" w:hAnsi="Times New Roman"/>
          <w:b/>
          <w:color w:val="auto"/>
          <w:sz w:val="24"/>
        </w:rPr>
      </w:pPr>
    </w:p>
    <w:p w14:paraId="71595C7E" w14:textId="77777777" w:rsidR="00A5692F" w:rsidRPr="00D03260" w:rsidRDefault="00A5692F" w:rsidP="00A5692F">
      <w:pPr>
        <w:widowControl w:val="0"/>
        <w:numPr>
          <w:ilvl w:val="0"/>
          <w:numId w:val="87"/>
        </w:numPr>
        <w:tabs>
          <w:tab w:val="left" w:pos="879"/>
          <w:tab w:val="left" w:pos="880"/>
        </w:tabs>
        <w:autoSpaceDE w:val="0"/>
        <w:autoSpaceDN w:val="0"/>
        <w:spacing w:before="0" w:after="0" w:line="240" w:lineRule="auto"/>
        <w:ind w:left="880" w:right="486"/>
        <w:rPr>
          <w:rFonts w:ascii="Times New Roman" w:hAnsi="Times New Roman"/>
          <w:color w:val="auto"/>
          <w:sz w:val="24"/>
          <w:szCs w:val="22"/>
        </w:rPr>
      </w:pPr>
      <w:r w:rsidRPr="00D03260">
        <w:rPr>
          <w:rFonts w:ascii="Times New Roman" w:hAnsi="Times New Roman"/>
          <w:color w:val="auto"/>
          <w:sz w:val="24"/>
          <w:szCs w:val="22"/>
        </w:rPr>
        <w:t>Use</w:t>
      </w:r>
      <w:r w:rsidRPr="00D03260">
        <w:rPr>
          <w:rFonts w:ascii="Times New Roman" w:hAnsi="Times New Roman"/>
          <w:color w:val="auto"/>
          <w:spacing w:val="-4"/>
          <w:sz w:val="24"/>
          <w:szCs w:val="22"/>
        </w:rPr>
        <w:t xml:space="preserve"> </w:t>
      </w:r>
      <w:r w:rsidRPr="00D03260">
        <w:rPr>
          <w:rFonts w:ascii="Times New Roman" w:hAnsi="Times New Roman"/>
          <w:color w:val="auto"/>
          <w:sz w:val="24"/>
          <w:szCs w:val="22"/>
        </w:rPr>
        <w:t>appropriate</w:t>
      </w:r>
      <w:r w:rsidRPr="00D03260">
        <w:rPr>
          <w:rFonts w:ascii="Times New Roman" w:hAnsi="Times New Roman"/>
          <w:color w:val="auto"/>
          <w:spacing w:val="-4"/>
          <w:sz w:val="24"/>
          <w:szCs w:val="22"/>
        </w:rPr>
        <w:t xml:space="preserve"> </w:t>
      </w:r>
      <w:r w:rsidRPr="00D03260">
        <w:rPr>
          <w:rFonts w:ascii="Times New Roman" w:hAnsi="Times New Roman"/>
          <w:color w:val="auto"/>
          <w:sz w:val="24"/>
          <w:szCs w:val="22"/>
        </w:rPr>
        <w:t>personal</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protective</w:t>
      </w:r>
      <w:r w:rsidRPr="00D03260">
        <w:rPr>
          <w:rFonts w:ascii="Times New Roman" w:hAnsi="Times New Roman"/>
          <w:color w:val="auto"/>
          <w:spacing w:val="-4"/>
          <w:sz w:val="24"/>
          <w:szCs w:val="22"/>
        </w:rPr>
        <w:t xml:space="preserve"> </w:t>
      </w:r>
      <w:r w:rsidRPr="00D03260">
        <w:rPr>
          <w:rFonts w:ascii="Times New Roman" w:hAnsi="Times New Roman"/>
          <w:color w:val="auto"/>
          <w:sz w:val="24"/>
          <w:szCs w:val="22"/>
        </w:rPr>
        <w:t>equipment</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such</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as</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gloves</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and</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a</w:t>
      </w:r>
      <w:r w:rsidRPr="00D03260">
        <w:rPr>
          <w:rFonts w:ascii="Times New Roman" w:hAnsi="Times New Roman"/>
          <w:color w:val="auto"/>
          <w:spacing w:val="-4"/>
          <w:sz w:val="24"/>
          <w:szCs w:val="22"/>
        </w:rPr>
        <w:t xml:space="preserve"> </w:t>
      </w:r>
      <w:r w:rsidRPr="00D03260">
        <w:rPr>
          <w:rFonts w:ascii="Times New Roman" w:hAnsi="Times New Roman"/>
          <w:color w:val="auto"/>
          <w:sz w:val="24"/>
          <w:szCs w:val="22"/>
        </w:rPr>
        <w:t>P1</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or</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P2</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 xml:space="preserve">face mask when handling garden composts, mulch, </w:t>
      </w:r>
      <w:proofErr w:type="gramStart"/>
      <w:r w:rsidRPr="00D03260">
        <w:rPr>
          <w:rFonts w:ascii="Times New Roman" w:hAnsi="Times New Roman"/>
          <w:color w:val="auto"/>
          <w:sz w:val="24"/>
          <w:szCs w:val="22"/>
        </w:rPr>
        <w:t>straw</w:t>
      </w:r>
      <w:proofErr w:type="gramEnd"/>
      <w:r w:rsidRPr="00D03260">
        <w:rPr>
          <w:rFonts w:ascii="Times New Roman" w:hAnsi="Times New Roman"/>
          <w:color w:val="auto"/>
          <w:sz w:val="24"/>
          <w:szCs w:val="22"/>
        </w:rPr>
        <w:t xml:space="preserve"> or hay, and mouldy and decaying organic materials.</w:t>
      </w:r>
    </w:p>
    <w:p w14:paraId="0C3E497C" w14:textId="77777777" w:rsidR="00A5692F" w:rsidRPr="00D03260" w:rsidRDefault="00A5692F" w:rsidP="00A5692F">
      <w:pPr>
        <w:widowControl w:val="0"/>
        <w:autoSpaceDE w:val="0"/>
        <w:autoSpaceDN w:val="0"/>
        <w:spacing w:before="0" w:after="0" w:line="240" w:lineRule="auto"/>
        <w:rPr>
          <w:rFonts w:ascii="Times New Roman" w:hAnsi="Times New Roman"/>
          <w:color w:val="auto"/>
          <w:sz w:val="26"/>
        </w:rPr>
      </w:pPr>
    </w:p>
    <w:p w14:paraId="4C95C954" w14:textId="77777777" w:rsidR="00A5692F" w:rsidRPr="00D03260" w:rsidRDefault="00A5692F" w:rsidP="00A5692F">
      <w:pPr>
        <w:widowControl w:val="0"/>
        <w:autoSpaceDE w:val="0"/>
        <w:autoSpaceDN w:val="0"/>
        <w:spacing w:before="181" w:after="0" w:line="240" w:lineRule="auto"/>
        <w:ind w:left="100"/>
        <w:outlineLvl w:val="0"/>
        <w:rPr>
          <w:rFonts w:ascii="Cambria" w:eastAsia="Cambria" w:hAnsi="Cambria" w:cs="Cambria"/>
          <w:b/>
          <w:bCs/>
          <w:color w:val="auto"/>
          <w:sz w:val="28"/>
          <w:szCs w:val="28"/>
        </w:rPr>
      </w:pPr>
      <w:bookmarkStart w:id="529" w:name="How_do_I_remove_mould_from_my_home?"/>
      <w:bookmarkStart w:id="530" w:name="_Toc121329249"/>
      <w:bookmarkStart w:id="531" w:name="_Toc121329413"/>
      <w:bookmarkStart w:id="532" w:name="_Toc121834556"/>
      <w:bookmarkStart w:id="533" w:name="_Toc141885986"/>
      <w:bookmarkEnd w:id="529"/>
      <w:r w:rsidRPr="00D03260">
        <w:rPr>
          <w:rFonts w:ascii="Cambria" w:eastAsia="Cambria" w:hAnsi="Cambria" w:cs="Cambria"/>
          <w:b/>
          <w:bCs/>
          <w:color w:val="365F91"/>
          <w:sz w:val="28"/>
          <w:szCs w:val="28"/>
        </w:rPr>
        <w:t>How</w:t>
      </w:r>
      <w:r w:rsidRPr="00D03260">
        <w:rPr>
          <w:rFonts w:ascii="Cambria" w:eastAsia="Cambria" w:hAnsi="Cambria" w:cs="Cambria"/>
          <w:b/>
          <w:bCs/>
          <w:color w:val="365F91"/>
          <w:spacing w:val="-5"/>
          <w:sz w:val="28"/>
          <w:szCs w:val="28"/>
        </w:rPr>
        <w:t xml:space="preserve"> </w:t>
      </w:r>
      <w:r w:rsidRPr="00D03260">
        <w:rPr>
          <w:rFonts w:ascii="Cambria" w:eastAsia="Cambria" w:hAnsi="Cambria" w:cs="Cambria"/>
          <w:b/>
          <w:bCs/>
          <w:color w:val="365F91"/>
          <w:sz w:val="28"/>
          <w:szCs w:val="28"/>
        </w:rPr>
        <w:t>do</w:t>
      </w:r>
      <w:r w:rsidRPr="00D03260">
        <w:rPr>
          <w:rFonts w:ascii="Cambria" w:eastAsia="Cambria" w:hAnsi="Cambria" w:cs="Cambria"/>
          <w:b/>
          <w:bCs/>
          <w:color w:val="365F91"/>
          <w:spacing w:val="-3"/>
          <w:sz w:val="28"/>
          <w:szCs w:val="28"/>
        </w:rPr>
        <w:t xml:space="preserve"> </w:t>
      </w:r>
      <w:r w:rsidRPr="00D03260">
        <w:rPr>
          <w:rFonts w:ascii="Cambria" w:eastAsia="Cambria" w:hAnsi="Cambria" w:cs="Cambria"/>
          <w:b/>
          <w:bCs/>
          <w:color w:val="365F91"/>
          <w:sz w:val="28"/>
          <w:szCs w:val="28"/>
        </w:rPr>
        <w:t>I</w:t>
      </w:r>
      <w:r w:rsidRPr="00D03260">
        <w:rPr>
          <w:rFonts w:ascii="Cambria" w:eastAsia="Cambria" w:hAnsi="Cambria" w:cs="Cambria"/>
          <w:b/>
          <w:bCs/>
          <w:color w:val="365F91"/>
          <w:spacing w:val="-1"/>
          <w:sz w:val="28"/>
          <w:szCs w:val="28"/>
        </w:rPr>
        <w:t xml:space="preserve"> </w:t>
      </w:r>
      <w:r w:rsidRPr="00D03260">
        <w:rPr>
          <w:rFonts w:ascii="Cambria" w:eastAsia="Cambria" w:hAnsi="Cambria" w:cs="Cambria"/>
          <w:b/>
          <w:bCs/>
          <w:color w:val="365F91"/>
          <w:sz w:val="28"/>
          <w:szCs w:val="28"/>
        </w:rPr>
        <w:t>remove</w:t>
      </w:r>
      <w:r w:rsidRPr="00D03260">
        <w:rPr>
          <w:rFonts w:ascii="Cambria" w:eastAsia="Cambria" w:hAnsi="Cambria" w:cs="Cambria"/>
          <w:b/>
          <w:bCs/>
          <w:color w:val="365F91"/>
          <w:spacing w:val="-7"/>
          <w:sz w:val="28"/>
          <w:szCs w:val="28"/>
        </w:rPr>
        <w:t xml:space="preserve"> </w:t>
      </w:r>
      <w:r w:rsidRPr="00D03260">
        <w:rPr>
          <w:rFonts w:ascii="Cambria" w:eastAsia="Cambria" w:hAnsi="Cambria" w:cs="Cambria"/>
          <w:b/>
          <w:bCs/>
          <w:color w:val="365F91"/>
          <w:sz w:val="28"/>
          <w:szCs w:val="28"/>
        </w:rPr>
        <w:t>mould</w:t>
      </w:r>
      <w:r w:rsidRPr="00D03260">
        <w:rPr>
          <w:rFonts w:ascii="Cambria" w:eastAsia="Cambria" w:hAnsi="Cambria" w:cs="Cambria"/>
          <w:b/>
          <w:bCs/>
          <w:color w:val="365F91"/>
          <w:spacing w:val="-3"/>
          <w:sz w:val="28"/>
          <w:szCs w:val="28"/>
        </w:rPr>
        <w:t xml:space="preserve"> </w:t>
      </w:r>
      <w:r w:rsidRPr="00D03260">
        <w:rPr>
          <w:rFonts w:ascii="Cambria" w:eastAsia="Cambria" w:hAnsi="Cambria" w:cs="Cambria"/>
          <w:b/>
          <w:bCs/>
          <w:color w:val="365F91"/>
          <w:sz w:val="28"/>
          <w:szCs w:val="28"/>
        </w:rPr>
        <w:t>from</w:t>
      </w:r>
      <w:r w:rsidRPr="00D03260">
        <w:rPr>
          <w:rFonts w:ascii="Cambria" w:eastAsia="Cambria" w:hAnsi="Cambria" w:cs="Cambria"/>
          <w:b/>
          <w:bCs/>
          <w:color w:val="365F91"/>
          <w:spacing w:val="-2"/>
          <w:sz w:val="28"/>
          <w:szCs w:val="28"/>
        </w:rPr>
        <w:t xml:space="preserve"> </w:t>
      </w:r>
      <w:r w:rsidRPr="00D03260">
        <w:rPr>
          <w:rFonts w:ascii="Cambria" w:eastAsia="Cambria" w:hAnsi="Cambria" w:cs="Cambria"/>
          <w:b/>
          <w:bCs/>
          <w:color w:val="365F91"/>
          <w:sz w:val="28"/>
          <w:szCs w:val="28"/>
        </w:rPr>
        <w:t>my</w:t>
      </w:r>
      <w:r w:rsidRPr="00D03260">
        <w:rPr>
          <w:rFonts w:ascii="Cambria" w:eastAsia="Cambria" w:hAnsi="Cambria" w:cs="Cambria"/>
          <w:b/>
          <w:bCs/>
          <w:color w:val="365F91"/>
          <w:spacing w:val="-4"/>
          <w:sz w:val="28"/>
          <w:szCs w:val="28"/>
        </w:rPr>
        <w:t xml:space="preserve"> </w:t>
      </w:r>
      <w:r w:rsidRPr="00D03260">
        <w:rPr>
          <w:rFonts w:ascii="Cambria" w:eastAsia="Cambria" w:hAnsi="Cambria" w:cs="Cambria"/>
          <w:b/>
          <w:bCs/>
          <w:color w:val="365F91"/>
          <w:spacing w:val="-2"/>
          <w:sz w:val="28"/>
          <w:szCs w:val="28"/>
        </w:rPr>
        <w:t>home?</w:t>
      </w:r>
      <w:bookmarkEnd w:id="530"/>
      <w:bookmarkEnd w:id="531"/>
      <w:bookmarkEnd w:id="532"/>
      <w:bookmarkEnd w:id="533"/>
    </w:p>
    <w:p w14:paraId="29596698" w14:textId="77777777" w:rsidR="00A5692F" w:rsidRPr="00D03260" w:rsidRDefault="00A5692F" w:rsidP="00A5692F">
      <w:pPr>
        <w:widowControl w:val="0"/>
        <w:autoSpaceDE w:val="0"/>
        <w:autoSpaceDN w:val="0"/>
        <w:spacing w:before="0" w:after="0" w:line="240" w:lineRule="auto"/>
        <w:rPr>
          <w:rFonts w:ascii="Cambria" w:hAnsi="Times New Roman"/>
          <w:b/>
          <w:color w:val="auto"/>
          <w:sz w:val="28"/>
        </w:rPr>
      </w:pPr>
    </w:p>
    <w:p w14:paraId="65C1AF35" w14:textId="77777777" w:rsidR="00A5692F" w:rsidRPr="00D03260" w:rsidRDefault="00A5692F" w:rsidP="00A5692F">
      <w:pPr>
        <w:widowControl w:val="0"/>
        <w:autoSpaceDE w:val="0"/>
        <w:autoSpaceDN w:val="0"/>
        <w:spacing w:before="0" w:after="0" w:line="240" w:lineRule="auto"/>
        <w:ind w:left="100" w:right="197"/>
        <w:rPr>
          <w:rFonts w:ascii="Times New Roman" w:hAnsi="Times New Roman"/>
          <w:color w:val="auto"/>
          <w:sz w:val="24"/>
        </w:rPr>
      </w:pPr>
      <w:r w:rsidRPr="00D03260">
        <w:rPr>
          <w:rFonts w:ascii="Times New Roman" w:hAnsi="Times New Roman"/>
          <w:color w:val="auto"/>
          <w:sz w:val="24"/>
        </w:rPr>
        <w:t>Generally,</w:t>
      </w:r>
      <w:r w:rsidRPr="00D03260">
        <w:rPr>
          <w:rFonts w:ascii="Times New Roman" w:hAnsi="Times New Roman"/>
          <w:color w:val="auto"/>
          <w:spacing w:val="-2"/>
          <w:sz w:val="24"/>
        </w:rPr>
        <w:t xml:space="preserve"> </w:t>
      </w:r>
      <w:r w:rsidRPr="00D03260">
        <w:rPr>
          <w:rFonts w:ascii="Times New Roman" w:hAnsi="Times New Roman"/>
          <w:color w:val="auto"/>
          <w:sz w:val="24"/>
        </w:rPr>
        <w:t>if</w:t>
      </w:r>
      <w:r w:rsidRPr="00D03260">
        <w:rPr>
          <w:rFonts w:ascii="Times New Roman" w:hAnsi="Times New Roman"/>
          <w:color w:val="auto"/>
          <w:spacing w:val="-3"/>
          <w:sz w:val="24"/>
        </w:rPr>
        <w:t xml:space="preserve"> </w:t>
      </w:r>
      <w:r w:rsidRPr="00D03260">
        <w:rPr>
          <w:rFonts w:ascii="Times New Roman" w:hAnsi="Times New Roman"/>
          <w:color w:val="auto"/>
          <w:sz w:val="24"/>
        </w:rPr>
        <w:t>you</w:t>
      </w:r>
      <w:r w:rsidRPr="00D03260">
        <w:rPr>
          <w:rFonts w:ascii="Times New Roman" w:hAnsi="Times New Roman"/>
          <w:color w:val="auto"/>
          <w:spacing w:val="-2"/>
          <w:sz w:val="24"/>
        </w:rPr>
        <w:t xml:space="preserve"> </w:t>
      </w:r>
      <w:r w:rsidRPr="00D03260">
        <w:rPr>
          <w:rFonts w:ascii="Times New Roman" w:hAnsi="Times New Roman"/>
          <w:color w:val="auto"/>
          <w:sz w:val="24"/>
        </w:rPr>
        <w:t>can</w:t>
      </w:r>
      <w:r w:rsidRPr="00D03260">
        <w:rPr>
          <w:rFonts w:ascii="Times New Roman" w:hAnsi="Times New Roman"/>
          <w:color w:val="auto"/>
          <w:spacing w:val="-2"/>
          <w:sz w:val="24"/>
        </w:rPr>
        <w:t xml:space="preserve"> </w:t>
      </w:r>
      <w:r w:rsidRPr="00D03260">
        <w:rPr>
          <w:rFonts w:ascii="Times New Roman" w:hAnsi="Times New Roman"/>
          <w:color w:val="auto"/>
          <w:sz w:val="24"/>
        </w:rPr>
        <w:t>see</w:t>
      </w:r>
      <w:r w:rsidRPr="00D03260">
        <w:rPr>
          <w:rFonts w:ascii="Times New Roman" w:hAnsi="Times New Roman"/>
          <w:color w:val="auto"/>
          <w:spacing w:val="-1"/>
          <w:sz w:val="24"/>
        </w:rPr>
        <w:t xml:space="preserve"> </w:t>
      </w:r>
      <w:r w:rsidRPr="00D03260">
        <w:rPr>
          <w:rFonts w:ascii="Times New Roman" w:hAnsi="Times New Roman"/>
          <w:color w:val="auto"/>
          <w:sz w:val="24"/>
        </w:rPr>
        <w:t>or</w:t>
      </w:r>
      <w:r w:rsidRPr="00D03260">
        <w:rPr>
          <w:rFonts w:ascii="Times New Roman" w:hAnsi="Times New Roman"/>
          <w:color w:val="auto"/>
          <w:spacing w:val="-3"/>
          <w:sz w:val="24"/>
        </w:rPr>
        <w:t xml:space="preserve"> </w:t>
      </w:r>
      <w:r w:rsidRPr="00D03260">
        <w:rPr>
          <w:rFonts w:ascii="Times New Roman" w:hAnsi="Times New Roman"/>
          <w:color w:val="auto"/>
          <w:sz w:val="24"/>
        </w:rPr>
        <w:t>smell</w:t>
      </w:r>
      <w:r w:rsidRPr="00D03260">
        <w:rPr>
          <w:rFonts w:ascii="Times New Roman" w:hAnsi="Times New Roman"/>
          <w:color w:val="auto"/>
          <w:spacing w:val="-2"/>
          <w:sz w:val="24"/>
        </w:rPr>
        <w:t xml:space="preserve"> </w:t>
      </w:r>
      <w:r w:rsidRPr="00D03260">
        <w:rPr>
          <w:rFonts w:ascii="Times New Roman" w:hAnsi="Times New Roman"/>
          <w:color w:val="auto"/>
          <w:sz w:val="24"/>
        </w:rPr>
        <w:t>mould</w:t>
      </w:r>
      <w:r w:rsidRPr="00D03260">
        <w:rPr>
          <w:rFonts w:ascii="Times New Roman" w:hAnsi="Times New Roman"/>
          <w:color w:val="auto"/>
          <w:spacing w:val="-2"/>
          <w:sz w:val="24"/>
        </w:rPr>
        <w:t xml:space="preserve"> </w:t>
      </w:r>
      <w:r w:rsidRPr="00D03260">
        <w:rPr>
          <w:rFonts w:ascii="Times New Roman" w:hAnsi="Times New Roman"/>
          <w:color w:val="auto"/>
          <w:sz w:val="24"/>
        </w:rPr>
        <w:t>(often</w:t>
      </w:r>
      <w:r w:rsidRPr="00D03260">
        <w:rPr>
          <w:rFonts w:ascii="Times New Roman" w:hAnsi="Times New Roman"/>
          <w:color w:val="auto"/>
          <w:spacing w:val="-2"/>
          <w:sz w:val="24"/>
        </w:rPr>
        <w:t xml:space="preserve"> </w:t>
      </w:r>
      <w:r w:rsidRPr="00D03260">
        <w:rPr>
          <w:rFonts w:ascii="Times New Roman" w:hAnsi="Times New Roman"/>
          <w:color w:val="auto"/>
          <w:sz w:val="24"/>
        </w:rPr>
        <w:t>a</w:t>
      </w:r>
      <w:r w:rsidRPr="00D03260">
        <w:rPr>
          <w:rFonts w:ascii="Times New Roman" w:hAnsi="Times New Roman"/>
          <w:color w:val="auto"/>
          <w:spacing w:val="-3"/>
          <w:sz w:val="24"/>
        </w:rPr>
        <w:t xml:space="preserve"> </w:t>
      </w:r>
      <w:r w:rsidRPr="00D03260">
        <w:rPr>
          <w:rFonts w:ascii="Times New Roman" w:hAnsi="Times New Roman"/>
          <w:color w:val="auto"/>
          <w:sz w:val="24"/>
        </w:rPr>
        <w:t>dirty</w:t>
      </w:r>
      <w:r w:rsidRPr="00D03260">
        <w:rPr>
          <w:rFonts w:ascii="Times New Roman" w:hAnsi="Times New Roman"/>
          <w:color w:val="auto"/>
          <w:spacing w:val="-2"/>
          <w:sz w:val="24"/>
        </w:rPr>
        <w:t xml:space="preserve"> </w:t>
      </w:r>
      <w:r w:rsidRPr="00D03260">
        <w:rPr>
          <w:rFonts w:ascii="Times New Roman" w:hAnsi="Times New Roman"/>
          <w:color w:val="auto"/>
          <w:sz w:val="24"/>
        </w:rPr>
        <w:t>or</w:t>
      </w:r>
      <w:r w:rsidRPr="00D03260">
        <w:rPr>
          <w:rFonts w:ascii="Times New Roman" w:hAnsi="Times New Roman"/>
          <w:color w:val="auto"/>
          <w:spacing w:val="-3"/>
          <w:sz w:val="24"/>
        </w:rPr>
        <w:t xml:space="preserve"> </w:t>
      </w:r>
      <w:r w:rsidRPr="00D03260">
        <w:rPr>
          <w:rFonts w:ascii="Times New Roman" w:hAnsi="Times New Roman"/>
          <w:color w:val="auto"/>
          <w:sz w:val="24"/>
        </w:rPr>
        <w:t>earthy</w:t>
      </w:r>
      <w:r w:rsidRPr="00D03260">
        <w:rPr>
          <w:rFonts w:ascii="Times New Roman" w:hAnsi="Times New Roman"/>
          <w:color w:val="auto"/>
          <w:spacing w:val="-2"/>
          <w:sz w:val="24"/>
        </w:rPr>
        <w:t xml:space="preserve"> </w:t>
      </w:r>
      <w:r w:rsidRPr="00D03260">
        <w:rPr>
          <w:rFonts w:ascii="Times New Roman" w:hAnsi="Times New Roman"/>
          <w:color w:val="auto"/>
          <w:sz w:val="24"/>
        </w:rPr>
        <w:t>smell),</w:t>
      </w:r>
      <w:r w:rsidRPr="00D03260">
        <w:rPr>
          <w:rFonts w:ascii="Times New Roman" w:hAnsi="Times New Roman"/>
          <w:color w:val="auto"/>
          <w:spacing w:val="-2"/>
          <w:sz w:val="24"/>
        </w:rPr>
        <w:t xml:space="preserve"> </w:t>
      </w:r>
      <w:r w:rsidRPr="00D03260">
        <w:rPr>
          <w:rFonts w:ascii="Times New Roman" w:hAnsi="Times New Roman"/>
          <w:color w:val="auto"/>
          <w:sz w:val="24"/>
        </w:rPr>
        <w:t>you need</w:t>
      </w:r>
      <w:r w:rsidRPr="00D03260">
        <w:rPr>
          <w:rFonts w:ascii="Times New Roman" w:hAnsi="Times New Roman"/>
          <w:color w:val="auto"/>
          <w:spacing w:val="-2"/>
          <w:sz w:val="24"/>
        </w:rPr>
        <w:t xml:space="preserve"> </w:t>
      </w:r>
      <w:r w:rsidRPr="00D03260">
        <w:rPr>
          <w:rFonts w:ascii="Times New Roman" w:hAnsi="Times New Roman"/>
          <w:color w:val="auto"/>
          <w:sz w:val="24"/>
        </w:rPr>
        <w:t>to</w:t>
      </w:r>
      <w:r w:rsidRPr="00D03260">
        <w:rPr>
          <w:rFonts w:ascii="Times New Roman" w:hAnsi="Times New Roman"/>
          <w:color w:val="auto"/>
          <w:spacing w:val="-2"/>
          <w:sz w:val="24"/>
        </w:rPr>
        <w:t xml:space="preserve"> </w:t>
      </w:r>
      <w:r w:rsidRPr="00D03260">
        <w:rPr>
          <w:rFonts w:ascii="Times New Roman" w:hAnsi="Times New Roman"/>
          <w:color w:val="auto"/>
          <w:sz w:val="24"/>
        </w:rPr>
        <w:t>clean</w:t>
      </w:r>
      <w:r w:rsidRPr="00D03260">
        <w:rPr>
          <w:rFonts w:ascii="Times New Roman" w:hAnsi="Times New Roman"/>
          <w:color w:val="auto"/>
          <w:spacing w:val="-2"/>
          <w:sz w:val="24"/>
        </w:rPr>
        <w:t xml:space="preserve"> </w:t>
      </w:r>
      <w:r w:rsidRPr="00D03260">
        <w:rPr>
          <w:rFonts w:ascii="Times New Roman" w:hAnsi="Times New Roman"/>
          <w:color w:val="auto"/>
          <w:sz w:val="24"/>
        </w:rPr>
        <w:t>it up</w:t>
      </w:r>
      <w:r w:rsidRPr="00D03260">
        <w:rPr>
          <w:rFonts w:ascii="Times New Roman" w:hAnsi="Times New Roman"/>
          <w:color w:val="auto"/>
          <w:spacing w:val="-1"/>
          <w:sz w:val="24"/>
        </w:rPr>
        <w:t xml:space="preserve"> </w:t>
      </w:r>
      <w:r w:rsidRPr="00D03260">
        <w:rPr>
          <w:rFonts w:ascii="Times New Roman" w:hAnsi="Times New Roman"/>
          <w:color w:val="auto"/>
          <w:sz w:val="24"/>
        </w:rPr>
        <w:t>as</w:t>
      </w:r>
      <w:r w:rsidRPr="00D03260">
        <w:rPr>
          <w:rFonts w:ascii="Times New Roman" w:hAnsi="Times New Roman"/>
          <w:color w:val="auto"/>
          <w:spacing w:val="-1"/>
          <w:sz w:val="24"/>
        </w:rPr>
        <w:t xml:space="preserve"> </w:t>
      </w:r>
      <w:r w:rsidRPr="00D03260">
        <w:rPr>
          <w:rFonts w:ascii="Times New Roman" w:hAnsi="Times New Roman"/>
          <w:color w:val="auto"/>
          <w:sz w:val="24"/>
        </w:rPr>
        <w:t>mould</w:t>
      </w:r>
      <w:r w:rsidRPr="00D03260">
        <w:rPr>
          <w:rFonts w:ascii="Times New Roman" w:hAnsi="Times New Roman"/>
          <w:color w:val="auto"/>
          <w:spacing w:val="-1"/>
          <w:sz w:val="24"/>
        </w:rPr>
        <w:t xml:space="preserve"> </w:t>
      </w:r>
      <w:r w:rsidRPr="00D03260">
        <w:rPr>
          <w:rFonts w:ascii="Times New Roman" w:hAnsi="Times New Roman"/>
          <w:color w:val="auto"/>
          <w:sz w:val="24"/>
        </w:rPr>
        <w:t>can</w:t>
      </w:r>
      <w:r w:rsidRPr="00D03260">
        <w:rPr>
          <w:rFonts w:ascii="Times New Roman" w:hAnsi="Times New Roman"/>
          <w:color w:val="auto"/>
          <w:spacing w:val="-1"/>
          <w:sz w:val="24"/>
        </w:rPr>
        <w:t xml:space="preserve"> </w:t>
      </w:r>
      <w:r w:rsidRPr="00D03260">
        <w:rPr>
          <w:rFonts w:ascii="Times New Roman" w:hAnsi="Times New Roman"/>
          <w:color w:val="auto"/>
          <w:sz w:val="24"/>
        </w:rPr>
        <w:t>damage surfaces</w:t>
      </w:r>
      <w:r w:rsidRPr="00D03260">
        <w:rPr>
          <w:rFonts w:ascii="Times New Roman" w:hAnsi="Times New Roman"/>
          <w:color w:val="auto"/>
          <w:spacing w:val="-1"/>
          <w:sz w:val="24"/>
        </w:rPr>
        <w:t xml:space="preserve"> </w:t>
      </w:r>
      <w:r w:rsidRPr="00D03260">
        <w:rPr>
          <w:rFonts w:ascii="Times New Roman" w:hAnsi="Times New Roman"/>
          <w:color w:val="auto"/>
          <w:sz w:val="24"/>
        </w:rPr>
        <w:t>it</w:t>
      </w:r>
      <w:r w:rsidRPr="00D03260">
        <w:rPr>
          <w:rFonts w:ascii="Times New Roman" w:hAnsi="Times New Roman"/>
          <w:color w:val="auto"/>
          <w:spacing w:val="-1"/>
          <w:sz w:val="24"/>
        </w:rPr>
        <w:t xml:space="preserve"> </w:t>
      </w:r>
      <w:r w:rsidRPr="00D03260">
        <w:rPr>
          <w:rFonts w:ascii="Times New Roman" w:hAnsi="Times New Roman"/>
          <w:color w:val="auto"/>
          <w:sz w:val="24"/>
        </w:rPr>
        <w:t>grows</w:t>
      </w:r>
      <w:r w:rsidRPr="00D03260">
        <w:rPr>
          <w:rFonts w:ascii="Times New Roman" w:hAnsi="Times New Roman"/>
          <w:color w:val="auto"/>
          <w:spacing w:val="-1"/>
          <w:sz w:val="24"/>
        </w:rPr>
        <w:t xml:space="preserve"> </w:t>
      </w:r>
      <w:r w:rsidRPr="00D03260">
        <w:rPr>
          <w:rFonts w:ascii="Times New Roman" w:hAnsi="Times New Roman"/>
          <w:color w:val="auto"/>
          <w:sz w:val="24"/>
        </w:rPr>
        <w:t>on</w:t>
      </w:r>
      <w:r w:rsidRPr="00D03260">
        <w:rPr>
          <w:rFonts w:ascii="Times New Roman" w:hAnsi="Times New Roman"/>
          <w:color w:val="auto"/>
          <w:spacing w:val="-1"/>
          <w:sz w:val="24"/>
        </w:rPr>
        <w:t xml:space="preserve"> </w:t>
      </w:r>
      <w:r w:rsidRPr="00D03260">
        <w:rPr>
          <w:rFonts w:ascii="Times New Roman" w:hAnsi="Times New Roman"/>
          <w:color w:val="auto"/>
          <w:sz w:val="24"/>
        </w:rPr>
        <w:t>and affect</w:t>
      </w:r>
      <w:r w:rsidRPr="00D03260">
        <w:rPr>
          <w:rFonts w:ascii="Times New Roman" w:hAnsi="Times New Roman"/>
          <w:color w:val="auto"/>
          <w:spacing w:val="-1"/>
          <w:sz w:val="24"/>
        </w:rPr>
        <w:t xml:space="preserve"> </w:t>
      </w:r>
      <w:r w:rsidRPr="00D03260">
        <w:rPr>
          <w:rFonts w:ascii="Times New Roman" w:hAnsi="Times New Roman"/>
          <w:color w:val="auto"/>
          <w:sz w:val="24"/>
        </w:rPr>
        <w:t>your</w:t>
      </w:r>
      <w:r w:rsidRPr="00D03260">
        <w:rPr>
          <w:rFonts w:ascii="Times New Roman" w:hAnsi="Times New Roman"/>
          <w:color w:val="auto"/>
          <w:spacing w:val="-2"/>
          <w:sz w:val="24"/>
        </w:rPr>
        <w:t xml:space="preserve"> </w:t>
      </w:r>
      <w:r w:rsidRPr="00D03260">
        <w:rPr>
          <w:rFonts w:ascii="Times New Roman" w:hAnsi="Times New Roman"/>
          <w:color w:val="auto"/>
          <w:sz w:val="24"/>
        </w:rPr>
        <w:t>health.</w:t>
      </w:r>
      <w:r w:rsidRPr="00D03260">
        <w:rPr>
          <w:rFonts w:ascii="Times New Roman" w:hAnsi="Times New Roman"/>
          <w:color w:val="auto"/>
          <w:spacing w:val="-1"/>
          <w:sz w:val="24"/>
        </w:rPr>
        <w:t xml:space="preserve"> </w:t>
      </w:r>
      <w:r w:rsidRPr="00D03260">
        <w:rPr>
          <w:rFonts w:ascii="Times New Roman" w:hAnsi="Times New Roman"/>
          <w:color w:val="auto"/>
          <w:sz w:val="24"/>
        </w:rPr>
        <w:t>You</w:t>
      </w:r>
      <w:r w:rsidRPr="00D03260">
        <w:rPr>
          <w:rFonts w:ascii="Times New Roman" w:hAnsi="Times New Roman"/>
          <w:color w:val="auto"/>
          <w:spacing w:val="-1"/>
          <w:sz w:val="24"/>
        </w:rPr>
        <w:t xml:space="preserve"> </w:t>
      </w:r>
      <w:r w:rsidRPr="00D03260">
        <w:rPr>
          <w:rFonts w:ascii="Times New Roman" w:hAnsi="Times New Roman"/>
          <w:color w:val="auto"/>
          <w:sz w:val="24"/>
        </w:rPr>
        <w:t>should</w:t>
      </w:r>
      <w:r w:rsidRPr="00D03260">
        <w:rPr>
          <w:rFonts w:ascii="Times New Roman" w:hAnsi="Times New Roman"/>
          <w:color w:val="auto"/>
          <w:spacing w:val="-1"/>
          <w:sz w:val="24"/>
        </w:rPr>
        <w:t xml:space="preserve"> </w:t>
      </w:r>
      <w:r w:rsidRPr="00D03260">
        <w:rPr>
          <w:rFonts w:ascii="Times New Roman" w:hAnsi="Times New Roman"/>
          <w:color w:val="auto"/>
          <w:sz w:val="24"/>
        </w:rPr>
        <w:t>also</w:t>
      </w:r>
      <w:r w:rsidRPr="00D03260">
        <w:rPr>
          <w:rFonts w:ascii="Times New Roman" w:hAnsi="Times New Roman"/>
          <w:color w:val="auto"/>
          <w:spacing w:val="-1"/>
          <w:sz w:val="24"/>
        </w:rPr>
        <w:t xml:space="preserve"> </w:t>
      </w:r>
      <w:r w:rsidRPr="00D03260">
        <w:rPr>
          <w:rFonts w:ascii="Times New Roman" w:hAnsi="Times New Roman"/>
          <w:color w:val="auto"/>
          <w:sz w:val="24"/>
        </w:rPr>
        <w:t>try</w:t>
      </w:r>
      <w:r w:rsidRPr="00D03260">
        <w:rPr>
          <w:rFonts w:ascii="Times New Roman" w:hAnsi="Times New Roman"/>
          <w:color w:val="auto"/>
          <w:spacing w:val="-1"/>
          <w:sz w:val="24"/>
        </w:rPr>
        <w:t xml:space="preserve"> </w:t>
      </w:r>
      <w:r w:rsidRPr="00D03260">
        <w:rPr>
          <w:rFonts w:ascii="Times New Roman" w:hAnsi="Times New Roman"/>
          <w:color w:val="auto"/>
          <w:sz w:val="24"/>
        </w:rPr>
        <w:t xml:space="preserve">to find and control the source of the mould and/or dampness so that it won’t recur after </w:t>
      </w:r>
      <w:r w:rsidRPr="00D03260">
        <w:rPr>
          <w:rFonts w:ascii="Times New Roman" w:hAnsi="Times New Roman"/>
          <w:color w:val="auto"/>
          <w:spacing w:val="-2"/>
          <w:sz w:val="24"/>
        </w:rPr>
        <w:t>cleaning.</w:t>
      </w:r>
    </w:p>
    <w:p w14:paraId="197838F8" w14:textId="77777777" w:rsidR="00A5692F" w:rsidRPr="00D03260" w:rsidRDefault="00A5692F" w:rsidP="00A5692F">
      <w:pPr>
        <w:widowControl w:val="0"/>
        <w:autoSpaceDE w:val="0"/>
        <w:autoSpaceDN w:val="0"/>
        <w:spacing w:before="2" w:after="0" w:line="240" w:lineRule="auto"/>
        <w:ind w:left="100" w:right="196"/>
        <w:jc w:val="both"/>
        <w:rPr>
          <w:rFonts w:ascii="Times New Roman" w:hAnsi="Times New Roman"/>
          <w:color w:val="auto"/>
          <w:sz w:val="24"/>
        </w:rPr>
      </w:pPr>
    </w:p>
    <w:p w14:paraId="7CE2E66E" w14:textId="5702976E" w:rsidR="00A5692F" w:rsidRPr="00D03260" w:rsidRDefault="00A5692F" w:rsidP="00A5692F">
      <w:pPr>
        <w:widowControl w:val="0"/>
        <w:autoSpaceDE w:val="0"/>
        <w:autoSpaceDN w:val="0"/>
        <w:spacing w:before="2" w:after="0" w:line="240" w:lineRule="auto"/>
        <w:ind w:left="100" w:right="196"/>
        <w:jc w:val="both"/>
        <w:rPr>
          <w:rFonts w:ascii="Times New Roman" w:hAnsi="Times New Roman"/>
          <w:color w:val="auto"/>
          <w:sz w:val="24"/>
        </w:rPr>
      </w:pPr>
      <w:r w:rsidRPr="00D03260">
        <w:rPr>
          <w:rFonts w:ascii="Times New Roman" w:hAnsi="Times New Roman"/>
          <w:color w:val="auto"/>
          <w:sz w:val="24"/>
        </w:rPr>
        <w:t>If you have decided to remove mould yourself, make sure there is good ventilation and wear protective</w:t>
      </w:r>
      <w:r w:rsidRPr="00D03260">
        <w:rPr>
          <w:rFonts w:ascii="Times New Roman" w:hAnsi="Times New Roman"/>
          <w:color w:val="auto"/>
          <w:spacing w:val="-4"/>
          <w:sz w:val="24"/>
        </w:rPr>
        <w:t xml:space="preserve"> </w:t>
      </w:r>
      <w:r w:rsidRPr="00D03260">
        <w:rPr>
          <w:rFonts w:ascii="Times New Roman" w:hAnsi="Times New Roman"/>
          <w:color w:val="auto"/>
          <w:sz w:val="24"/>
        </w:rPr>
        <w:t>clothing.</w:t>
      </w:r>
      <w:r w:rsidRPr="00D03260">
        <w:rPr>
          <w:rFonts w:ascii="Times New Roman" w:hAnsi="Times New Roman"/>
          <w:color w:val="auto"/>
          <w:spacing w:val="-3"/>
          <w:sz w:val="24"/>
        </w:rPr>
        <w:t xml:space="preserve"> </w:t>
      </w:r>
      <w:r w:rsidRPr="00D03260">
        <w:rPr>
          <w:rFonts w:ascii="Times New Roman" w:hAnsi="Times New Roman"/>
          <w:color w:val="auto"/>
          <w:sz w:val="24"/>
        </w:rPr>
        <w:t>For</w:t>
      </w:r>
      <w:r w:rsidRPr="00D03260">
        <w:rPr>
          <w:rFonts w:ascii="Times New Roman" w:hAnsi="Times New Roman"/>
          <w:color w:val="auto"/>
          <w:spacing w:val="-4"/>
          <w:sz w:val="24"/>
        </w:rPr>
        <w:t xml:space="preserve"> </w:t>
      </w:r>
      <w:r w:rsidRPr="00D03260">
        <w:rPr>
          <w:rFonts w:ascii="Times New Roman" w:hAnsi="Times New Roman"/>
          <w:color w:val="auto"/>
          <w:sz w:val="24"/>
        </w:rPr>
        <w:t>example,</w:t>
      </w:r>
      <w:r w:rsidRPr="00D03260">
        <w:rPr>
          <w:rFonts w:ascii="Times New Roman" w:hAnsi="Times New Roman"/>
          <w:color w:val="auto"/>
          <w:spacing w:val="-3"/>
          <w:sz w:val="24"/>
        </w:rPr>
        <w:t xml:space="preserve"> </w:t>
      </w:r>
      <w:r w:rsidRPr="00D03260">
        <w:rPr>
          <w:rFonts w:ascii="Times New Roman" w:hAnsi="Times New Roman"/>
          <w:color w:val="auto"/>
          <w:sz w:val="24"/>
        </w:rPr>
        <w:t>wear</w:t>
      </w:r>
      <w:r w:rsidRPr="00D03260">
        <w:rPr>
          <w:rFonts w:ascii="Times New Roman" w:hAnsi="Times New Roman"/>
          <w:color w:val="auto"/>
          <w:spacing w:val="-4"/>
          <w:sz w:val="24"/>
        </w:rPr>
        <w:t xml:space="preserve"> </w:t>
      </w:r>
      <w:r w:rsidRPr="00D03260">
        <w:rPr>
          <w:rFonts w:ascii="Times New Roman" w:hAnsi="Times New Roman"/>
          <w:color w:val="auto"/>
          <w:sz w:val="24"/>
        </w:rPr>
        <w:t>a</w:t>
      </w:r>
      <w:r w:rsidRPr="00D03260">
        <w:rPr>
          <w:rFonts w:ascii="Times New Roman" w:hAnsi="Times New Roman"/>
          <w:color w:val="auto"/>
          <w:spacing w:val="-4"/>
          <w:sz w:val="24"/>
        </w:rPr>
        <w:t xml:space="preserve"> </w:t>
      </w:r>
      <w:r w:rsidRPr="00D03260">
        <w:rPr>
          <w:rFonts w:ascii="Times New Roman" w:hAnsi="Times New Roman"/>
          <w:color w:val="auto"/>
          <w:sz w:val="24"/>
        </w:rPr>
        <w:t>shower</w:t>
      </w:r>
      <w:r w:rsidRPr="00D03260">
        <w:rPr>
          <w:rFonts w:ascii="Times New Roman" w:hAnsi="Times New Roman"/>
          <w:color w:val="auto"/>
          <w:spacing w:val="-4"/>
          <w:sz w:val="24"/>
        </w:rPr>
        <w:t xml:space="preserve"> </w:t>
      </w:r>
      <w:r w:rsidRPr="00D03260">
        <w:rPr>
          <w:rFonts w:ascii="Times New Roman" w:hAnsi="Times New Roman"/>
          <w:color w:val="auto"/>
          <w:sz w:val="24"/>
        </w:rPr>
        <w:t>cap</w:t>
      </w:r>
      <w:r w:rsidRPr="00D03260">
        <w:rPr>
          <w:rFonts w:ascii="Times New Roman" w:hAnsi="Times New Roman"/>
          <w:color w:val="auto"/>
          <w:spacing w:val="-4"/>
          <w:sz w:val="24"/>
        </w:rPr>
        <w:t xml:space="preserve"> </w:t>
      </w:r>
      <w:r w:rsidRPr="00D03260">
        <w:rPr>
          <w:rFonts w:ascii="Times New Roman" w:hAnsi="Times New Roman"/>
          <w:color w:val="auto"/>
          <w:sz w:val="24"/>
        </w:rPr>
        <w:t>and</w:t>
      </w:r>
      <w:r w:rsidRPr="00D03260">
        <w:rPr>
          <w:rFonts w:ascii="Times New Roman" w:hAnsi="Times New Roman"/>
          <w:color w:val="auto"/>
          <w:spacing w:val="-3"/>
          <w:sz w:val="24"/>
        </w:rPr>
        <w:t xml:space="preserve"> </w:t>
      </w:r>
      <w:r w:rsidRPr="00D03260">
        <w:rPr>
          <w:rFonts w:ascii="Times New Roman" w:hAnsi="Times New Roman"/>
          <w:color w:val="auto"/>
          <w:sz w:val="24"/>
        </w:rPr>
        <w:t>use</w:t>
      </w:r>
      <w:r w:rsidRPr="00D03260">
        <w:rPr>
          <w:rFonts w:ascii="Times New Roman" w:hAnsi="Times New Roman"/>
          <w:color w:val="auto"/>
          <w:spacing w:val="-4"/>
          <w:sz w:val="24"/>
        </w:rPr>
        <w:t xml:space="preserve"> </w:t>
      </w:r>
      <w:r w:rsidRPr="00D03260">
        <w:rPr>
          <w:rFonts w:ascii="Times New Roman" w:hAnsi="Times New Roman"/>
          <w:color w:val="auto"/>
          <w:sz w:val="24"/>
        </w:rPr>
        <w:t>gloves,</w:t>
      </w:r>
      <w:r w:rsidRPr="00D03260">
        <w:rPr>
          <w:rFonts w:ascii="Times New Roman" w:hAnsi="Times New Roman"/>
          <w:color w:val="auto"/>
          <w:spacing w:val="-1"/>
          <w:sz w:val="24"/>
        </w:rPr>
        <w:t xml:space="preserve"> </w:t>
      </w:r>
      <w:r w:rsidRPr="00D03260">
        <w:rPr>
          <w:rFonts w:ascii="Times New Roman" w:hAnsi="Times New Roman"/>
          <w:color w:val="auto"/>
          <w:sz w:val="24"/>
        </w:rPr>
        <w:t>eye</w:t>
      </w:r>
      <w:r w:rsidRPr="00D03260">
        <w:rPr>
          <w:rFonts w:ascii="Times New Roman" w:hAnsi="Times New Roman"/>
          <w:color w:val="auto"/>
          <w:spacing w:val="-4"/>
          <w:sz w:val="24"/>
        </w:rPr>
        <w:t xml:space="preserve"> </w:t>
      </w:r>
      <w:r w:rsidRPr="00D03260">
        <w:rPr>
          <w:rFonts w:ascii="Times New Roman" w:hAnsi="Times New Roman"/>
          <w:color w:val="auto"/>
          <w:sz w:val="24"/>
        </w:rPr>
        <w:t>protection,</w:t>
      </w:r>
      <w:r w:rsidRPr="00D03260">
        <w:rPr>
          <w:rFonts w:ascii="Times New Roman" w:hAnsi="Times New Roman"/>
          <w:color w:val="auto"/>
          <w:spacing w:val="-3"/>
          <w:sz w:val="24"/>
        </w:rPr>
        <w:t xml:space="preserve"> </w:t>
      </w:r>
      <w:r w:rsidRPr="00D03260">
        <w:rPr>
          <w:rFonts w:ascii="Times New Roman" w:hAnsi="Times New Roman"/>
          <w:color w:val="auto"/>
          <w:sz w:val="24"/>
        </w:rPr>
        <w:t>overalls, suitable footwear, and a P1 or P2 face mask.</w:t>
      </w:r>
    </w:p>
    <w:p w14:paraId="27AEFF4D" w14:textId="77777777" w:rsidR="00A5692F" w:rsidRPr="00D03260" w:rsidRDefault="00A5692F" w:rsidP="00A5692F">
      <w:pPr>
        <w:widowControl w:val="0"/>
        <w:autoSpaceDE w:val="0"/>
        <w:autoSpaceDN w:val="0"/>
        <w:spacing w:before="5" w:after="0" w:line="240" w:lineRule="auto"/>
        <w:rPr>
          <w:rFonts w:ascii="Times New Roman" w:hAnsi="Times New Roman"/>
          <w:color w:val="auto"/>
          <w:sz w:val="24"/>
        </w:rPr>
      </w:pPr>
    </w:p>
    <w:p w14:paraId="7F84F1D4" w14:textId="77777777" w:rsidR="00A5692F" w:rsidRPr="00D03260" w:rsidRDefault="00A5692F" w:rsidP="00A5692F">
      <w:pPr>
        <w:widowControl w:val="0"/>
        <w:autoSpaceDE w:val="0"/>
        <w:autoSpaceDN w:val="0"/>
        <w:spacing w:before="0" w:after="0" w:line="240" w:lineRule="auto"/>
        <w:ind w:left="100" w:right="197"/>
        <w:rPr>
          <w:rFonts w:ascii="Times New Roman" w:hAnsi="Times New Roman"/>
          <w:color w:val="auto"/>
          <w:sz w:val="24"/>
        </w:rPr>
      </w:pPr>
      <w:r w:rsidRPr="00D03260">
        <w:rPr>
          <w:rFonts w:ascii="Times New Roman" w:hAnsi="Times New Roman"/>
          <w:color w:val="auto"/>
          <w:sz w:val="24"/>
        </w:rPr>
        <w:t>Household detergent or white vinegar is usually sufficient to clean the mould. Use a microfibre cloth and rinse the dirty cloth regularly in a separate container of clean water to prevent</w:t>
      </w:r>
      <w:r w:rsidRPr="00D03260">
        <w:rPr>
          <w:rFonts w:ascii="Times New Roman" w:hAnsi="Times New Roman"/>
          <w:color w:val="auto"/>
          <w:spacing w:val="-3"/>
          <w:sz w:val="24"/>
        </w:rPr>
        <w:t xml:space="preserve"> </w:t>
      </w:r>
      <w:r w:rsidRPr="00D03260">
        <w:rPr>
          <w:rFonts w:ascii="Times New Roman" w:hAnsi="Times New Roman"/>
          <w:color w:val="auto"/>
          <w:sz w:val="24"/>
        </w:rPr>
        <w:t>spreading</w:t>
      </w:r>
      <w:r w:rsidRPr="00D03260">
        <w:rPr>
          <w:rFonts w:ascii="Times New Roman" w:hAnsi="Times New Roman"/>
          <w:color w:val="auto"/>
          <w:spacing w:val="-3"/>
          <w:sz w:val="24"/>
        </w:rPr>
        <w:t xml:space="preserve"> </w:t>
      </w:r>
      <w:r w:rsidRPr="00D03260">
        <w:rPr>
          <w:rFonts w:ascii="Times New Roman" w:hAnsi="Times New Roman"/>
          <w:color w:val="auto"/>
          <w:sz w:val="24"/>
        </w:rPr>
        <w:t>the</w:t>
      </w:r>
      <w:r w:rsidRPr="00D03260">
        <w:rPr>
          <w:rFonts w:ascii="Times New Roman" w:hAnsi="Times New Roman"/>
          <w:color w:val="auto"/>
          <w:spacing w:val="-3"/>
          <w:sz w:val="24"/>
        </w:rPr>
        <w:t xml:space="preserve"> </w:t>
      </w:r>
      <w:r w:rsidRPr="00D03260">
        <w:rPr>
          <w:rFonts w:ascii="Times New Roman" w:hAnsi="Times New Roman"/>
          <w:color w:val="auto"/>
          <w:sz w:val="24"/>
        </w:rPr>
        <w:t>mould.</w:t>
      </w:r>
      <w:r w:rsidRPr="00D03260">
        <w:rPr>
          <w:rFonts w:ascii="Times New Roman" w:hAnsi="Times New Roman"/>
          <w:color w:val="auto"/>
          <w:spacing w:val="-3"/>
          <w:sz w:val="24"/>
        </w:rPr>
        <w:t xml:space="preserve"> </w:t>
      </w:r>
      <w:r w:rsidRPr="00D03260">
        <w:rPr>
          <w:rFonts w:ascii="Times New Roman" w:hAnsi="Times New Roman"/>
          <w:color w:val="auto"/>
          <w:sz w:val="24"/>
        </w:rPr>
        <w:t>Do</w:t>
      </w:r>
      <w:r w:rsidRPr="00D03260">
        <w:rPr>
          <w:rFonts w:ascii="Times New Roman" w:hAnsi="Times New Roman"/>
          <w:color w:val="auto"/>
          <w:spacing w:val="-3"/>
          <w:sz w:val="24"/>
        </w:rPr>
        <w:t xml:space="preserve"> </w:t>
      </w:r>
      <w:r w:rsidRPr="00D03260">
        <w:rPr>
          <w:rFonts w:ascii="Times New Roman" w:hAnsi="Times New Roman"/>
          <w:color w:val="auto"/>
          <w:sz w:val="24"/>
        </w:rPr>
        <w:t>not</w:t>
      </w:r>
      <w:r w:rsidRPr="00D03260">
        <w:rPr>
          <w:rFonts w:ascii="Times New Roman" w:hAnsi="Times New Roman"/>
          <w:color w:val="auto"/>
          <w:spacing w:val="-3"/>
          <w:sz w:val="24"/>
        </w:rPr>
        <w:t xml:space="preserve"> </w:t>
      </w:r>
      <w:r w:rsidRPr="00D03260">
        <w:rPr>
          <w:rFonts w:ascii="Times New Roman" w:hAnsi="Times New Roman"/>
          <w:color w:val="auto"/>
          <w:sz w:val="24"/>
        </w:rPr>
        <w:t>dry</w:t>
      </w:r>
      <w:r w:rsidRPr="00D03260">
        <w:rPr>
          <w:rFonts w:ascii="Times New Roman" w:hAnsi="Times New Roman"/>
          <w:color w:val="auto"/>
          <w:spacing w:val="-3"/>
          <w:sz w:val="24"/>
        </w:rPr>
        <w:t xml:space="preserve"> </w:t>
      </w:r>
      <w:r w:rsidRPr="00D03260">
        <w:rPr>
          <w:rFonts w:ascii="Times New Roman" w:hAnsi="Times New Roman"/>
          <w:color w:val="auto"/>
          <w:sz w:val="24"/>
        </w:rPr>
        <w:t>brush</w:t>
      </w:r>
      <w:r w:rsidRPr="00D03260">
        <w:rPr>
          <w:rFonts w:ascii="Times New Roman" w:hAnsi="Times New Roman"/>
          <w:color w:val="auto"/>
          <w:spacing w:val="-3"/>
          <w:sz w:val="24"/>
        </w:rPr>
        <w:t xml:space="preserve"> </w:t>
      </w:r>
      <w:r w:rsidRPr="00D03260">
        <w:rPr>
          <w:rFonts w:ascii="Times New Roman" w:hAnsi="Times New Roman"/>
          <w:color w:val="auto"/>
          <w:sz w:val="24"/>
        </w:rPr>
        <w:t>the</w:t>
      </w:r>
      <w:r w:rsidRPr="00D03260">
        <w:rPr>
          <w:rFonts w:ascii="Times New Roman" w:hAnsi="Times New Roman"/>
          <w:color w:val="auto"/>
          <w:spacing w:val="-2"/>
          <w:sz w:val="24"/>
        </w:rPr>
        <w:t xml:space="preserve"> </w:t>
      </w:r>
      <w:r w:rsidRPr="00D03260">
        <w:rPr>
          <w:rFonts w:ascii="Times New Roman" w:hAnsi="Times New Roman"/>
          <w:color w:val="auto"/>
          <w:sz w:val="24"/>
        </w:rPr>
        <w:t>mouldy</w:t>
      </w:r>
      <w:r w:rsidRPr="00D03260">
        <w:rPr>
          <w:rFonts w:ascii="Times New Roman" w:hAnsi="Times New Roman"/>
          <w:color w:val="auto"/>
          <w:spacing w:val="-3"/>
          <w:sz w:val="24"/>
        </w:rPr>
        <w:t xml:space="preserve"> </w:t>
      </w:r>
      <w:r w:rsidRPr="00D03260">
        <w:rPr>
          <w:rFonts w:ascii="Times New Roman" w:hAnsi="Times New Roman"/>
          <w:color w:val="auto"/>
          <w:sz w:val="24"/>
        </w:rPr>
        <w:t>area,</w:t>
      </w:r>
      <w:r w:rsidRPr="00D03260">
        <w:rPr>
          <w:rFonts w:ascii="Times New Roman" w:hAnsi="Times New Roman"/>
          <w:color w:val="auto"/>
          <w:spacing w:val="-3"/>
          <w:sz w:val="24"/>
        </w:rPr>
        <w:t xml:space="preserve"> </w:t>
      </w:r>
      <w:r w:rsidRPr="00D03260">
        <w:rPr>
          <w:rFonts w:ascii="Times New Roman" w:hAnsi="Times New Roman"/>
          <w:color w:val="auto"/>
          <w:sz w:val="24"/>
        </w:rPr>
        <w:t>as</w:t>
      </w:r>
      <w:r w:rsidRPr="00D03260">
        <w:rPr>
          <w:rFonts w:ascii="Times New Roman" w:hAnsi="Times New Roman"/>
          <w:color w:val="auto"/>
          <w:spacing w:val="-3"/>
          <w:sz w:val="24"/>
        </w:rPr>
        <w:t xml:space="preserve"> </w:t>
      </w:r>
      <w:r w:rsidRPr="00D03260">
        <w:rPr>
          <w:rFonts w:ascii="Times New Roman" w:hAnsi="Times New Roman"/>
          <w:color w:val="auto"/>
          <w:sz w:val="24"/>
        </w:rPr>
        <w:t>the</w:t>
      </w:r>
      <w:r w:rsidRPr="00D03260">
        <w:rPr>
          <w:rFonts w:ascii="Times New Roman" w:hAnsi="Times New Roman"/>
          <w:color w:val="auto"/>
          <w:spacing w:val="-3"/>
          <w:sz w:val="24"/>
        </w:rPr>
        <w:t xml:space="preserve"> </w:t>
      </w:r>
      <w:r w:rsidRPr="00D03260">
        <w:rPr>
          <w:rFonts w:ascii="Times New Roman" w:hAnsi="Times New Roman"/>
          <w:color w:val="auto"/>
          <w:sz w:val="24"/>
        </w:rPr>
        <w:t>brush</w:t>
      </w:r>
      <w:r w:rsidRPr="00D03260">
        <w:rPr>
          <w:rFonts w:ascii="Times New Roman" w:hAnsi="Times New Roman"/>
          <w:color w:val="auto"/>
          <w:spacing w:val="-3"/>
          <w:sz w:val="24"/>
        </w:rPr>
        <w:t xml:space="preserve"> </w:t>
      </w:r>
      <w:r w:rsidRPr="00D03260">
        <w:rPr>
          <w:rFonts w:ascii="Times New Roman" w:hAnsi="Times New Roman"/>
          <w:color w:val="auto"/>
          <w:sz w:val="24"/>
        </w:rPr>
        <w:t>can</w:t>
      </w:r>
      <w:r w:rsidRPr="00D03260">
        <w:rPr>
          <w:rFonts w:ascii="Times New Roman" w:hAnsi="Times New Roman"/>
          <w:color w:val="auto"/>
          <w:spacing w:val="-3"/>
          <w:sz w:val="24"/>
        </w:rPr>
        <w:t xml:space="preserve"> </w:t>
      </w:r>
      <w:r w:rsidRPr="00D03260">
        <w:rPr>
          <w:rFonts w:ascii="Times New Roman" w:hAnsi="Times New Roman"/>
          <w:color w:val="auto"/>
          <w:sz w:val="24"/>
        </w:rPr>
        <w:t>flick</w:t>
      </w:r>
      <w:r w:rsidRPr="00D03260">
        <w:rPr>
          <w:rFonts w:ascii="Times New Roman" w:hAnsi="Times New Roman"/>
          <w:color w:val="auto"/>
          <w:spacing w:val="-3"/>
          <w:sz w:val="24"/>
        </w:rPr>
        <w:t xml:space="preserve"> </w:t>
      </w:r>
      <w:r w:rsidRPr="00D03260">
        <w:rPr>
          <w:rFonts w:ascii="Times New Roman" w:hAnsi="Times New Roman"/>
          <w:color w:val="auto"/>
          <w:sz w:val="24"/>
        </w:rPr>
        <w:t>spores into the air where they may be breathed in. Contaminated soft furnishings are difficult to clean and may need to be thrown away.</w:t>
      </w:r>
    </w:p>
    <w:p w14:paraId="2A3E4F72" w14:textId="77777777" w:rsidR="00A5692F" w:rsidRPr="00D03260" w:rsidRDefault="00A5692F" w:rsidP="00A5692F">
      <w:pPr>
        <w:widowControl w:val="0"/>
        <w:autoSpaceDE w:val="0"/>
        <w:autoSpaceDN w:val="0"/>
        <w:spacing w:before="2" w:after="0" w:line="240" w:lineRule="auto"/>
        <w:rPr>
          <w:rFonts w:ascii="Times New Roman" w:hAnsi="Times New Roman"/>
          <w:color w:val="auto"/>
          <w:sz w:val="24"/>
        </w:rPr>
      </w:pPr>
    </w:p>
    <w:p w14:paraId="337AA4F4" w14:textId="77777777" w:rsidR="00A5692F" w:rsidRPr="00D03260" w:rsidRDefault="00A5692F" w:rsidP="00A5692F">
      <w:pPr>
        <w:widowControl w:val="0"/>
        <w:autoSpaceDE w:val="0"/>
        <w:autoSpaceDN w:val="0"/>
        <w:spacing w:before="1" w:after="0" w:line="240" w:lineRule="auto"/>
        <w:ind w:left="100" w:right="119"/>
        <w:rPr>
          <w:rFonts w:ascii="Times New Roman" w:hAnsi="Times New Roman"/>
          <w:color w:val="auto"/>
          <w:sz w:val="24"/>
        </w:rPr>
      </w:pPr>
      <w:r w:rsidRPr="00D03260">
        <w:rPr>
          <w:rFonts w:ascii="Times New Roman" w:hAnsi="Times New Roman"/>
          <w:color w:val="auto"/>
          <w:sz w:val="24"/>
        </w:rPr>
        <w:t>If there are large areas of mould or mould regrowth, consult a mould remediation professional.</w:t>
      </w:r>
      <w:r w:rsidRPr="00D03260">
        <w:rPr>
          <w:rFonts w:ascii="Times New Roman" w:hAnsi="Times New Roman"/>
          <w:color w:val="auto"/>
          <w:spacing w:val="-2"/>
          <w:sz w:val="24"/>
        </w:rPr>
        <w:t xml:space="preserve"> </w:t>
      </w:r>
      <w:r w:rsidRPr="00D03260">
        <w:rPr>
          <w:rFonts w:ascii="Times New Roman" w:hAnsi="Times New Roman"/>
          <w:color w:val="auto"/>
          <w:sz w:val="24"/>
        </w:rPr>
        <w:t>Some</w:t>
      </w:r>
      <w:r w:rsidRPr="00D03260">
        <w:rPr>
          <w:rFonts w:ascii="Times New Roman" w:hAnsi="Times New Roman"/>
          <w:color w:val="auto"/>
          <w:spacing w:val="-3"/>
          <w:sz w:val="24"/>
        </w:rPr>
        <w:t xml:space="preserve"> </w:t>
      </w:r>
      <w:r w:rsidRPr="00D03260">
        <w:rPr>
          <w:rFonts w:ascii="Times New Roman" w:hAnsi="Times New Roman"/>
          <w:color w:val="auto"/>
          <w:sz w:val="24"/>
        </w:rPr>
        <w:t>mould</w:t>
      </w:r>
      <w:r w:rsidRPr="00D03260">
        <w:rPr>
          <w:rFonts w:ascii="Times New Roman" w:hAnsi="Times New Roman"/>
          <w:color w:val="auto"/>
          <w:spacing w:val="-2"/>
          <w:sz w:val="24"/>
        </w:rPr>
        <w:t xml:space="preserve"> </w:t>
      </w:r>
      <w:r w:rsidRPr="00D03260">
        <w:rPr>
          <w:rFonts w:ascii="Times New Roman" w:hAnsi="Times New Roman"/>
          <w:color w:val="auto"/>
          <w:sz w:val="24"/>
        </w:rPr>
        <w:t>is</w:t>
      </w:r>
      <w:r w:rsidRPr="00D03260">
        <w:rPr>
          <w:rFonts w:ascii="Times New Roman" w:hAnsi="Times New Roman"/>
          <w:color w:val="auto"/>
          <w:spacing w:val="-2"/>
          <w:sz w:val="24"/>
        </w:rPr>
        <w:t xml:space="preserve"> </w:t>
      </w:r>
      <w:r w:rsidRPr="00D03260">
        <w:rPr>
          <w:rFonts w:ascii="Times New Roman" w:hAnsi="Times New Roman"/>
          <w:color w:val="auto"/>
          <w:sz w:val="24"/>
        </w:rPr>
        <w:t>not</w:t>
      </w:r>
      <w:r w:rsidRPr="00D03260">
        <w:rPr>
          <w:rFonts w:ascii="Times New Roman" w:hAnsi="Times New Roman"/>
          <w:color w:val="auto"/>
          <w:spacing w:val="-2"/>
          <w:sz w:val="24"/>
        </w:rPr>
        <w:t xml:space="preserve"> </w:t>
      </w:r>
      <w:r w:rsidRPr="00D03260">
        <w:rPr>
          <w:rFonts w:ascii="Times New Roman" w:hAnsi="Times New Roman"/>
          <w:color w:val="auto"/>
          <w:sz w:val="24"/>
        </w:rPr>
        <w:t>visible</w:t>
      </w:r>
      <w:r w:rsidRPr="00D03260">
        <w:rPr>
          <w:rFonts w:ascii="Times New Roman" w:hAnsi="Times New Roman"/>
          <w:color w:val="auto"/>
          <w:spacing w:val="-3"/>
          <w:sz w:val="24"/>
        </w:rPr>
        <w:t xml:space="preserve"> </w:t>
      </w:r>
      <w:r w:rsidRPr="00D03260">
        <w:rPr>
          <w:rFonts w:ascii="Times New Roman" w:hAnsi="Times New Roman"/>
          <w:color w:val="auto"/>
          <w:sz w:val="24"/>
        </w:rPr>
        <w:t>as</w:t>
      </w:r>
      <w:r w:rsidRPr="00D03260">
        <w:rPr>
          <w:rFonts w:ascii="Times New Roman" w:hAnsi="Times New Roman"/>
          <w:color w:val="auto"/>
          <w:spacing w:val="-2"/>
          <w:sz w:val="24"/>
        </w:rPr>
        <w:t xml:space="preserve"> </w:t>
      </w:r>
      <w:r w:rsidRPr="00D03260">
        <w:rPr>
          <w:rFonts w:ascii="Times New Roman" w:hAnsi="Times New Roman"/>
          <w:color w:val="auto"/>
          <w:sz w:val="24"/>
        </w:rPr>
        <w:t>it</w:t>
      </w:r>
      <w:r w:rsidRPr="00D03260">
        <w:rPr>
          <w:rFonts w:ascii="Times New Roman" w:hAnsi="Times New Roman"/>
          <w:color w:val="auto"/>
          <w:spacing w:val="-2"/>
          <w:sz w:val="24"/>
        </w:rPr>
        <w:t xml:space="preserve"> </w:t>
      </w:r>
      <w:r w:rsidRPr="00D03260">
        <w:rPr>
          <w:rFonts w:ascii="Times New Roman" w:hAnsi="Times New Roman"/>
          <w:color w:val="auto"/>
          <w:sz w:val="24"/>
        </w:rPr>
        <w:t>might</w:t>
      </w:r>
      <w:r w:rsidRPr="00D03260">
        <w:rPr>
          <w:rFonts w:ascii="Times New Roman" w:hAnsi="Times New Roman"/>
          <w:color w:val="auto"/>
          <w:spacing w:val="-2"/>
          <w:sz w:val="24"/>
        </w:rPr>
        <w:t xml:space="preserve"> </w:t>
      </w:r>
      <w:r w:rsidRPr="00D03260">
        <w:rPr>
          <w:rFonts w:ascii="Times New Roman" w:hAnsi="Times New Roman"/>
          <w:color w:val="auto"/>
          <w:sz w:val="24"/>
        </w:rPr>
        <w:t>be</w:t>
      </w:r>
      <w:r w:rsidRPr="00D03260">
        <w:rPr>
          <w:rFonts w:ascii="Times New Roman" w:hAnsi="Times New Roman"/>
          <w:color w:val="auto"/>
          <w:spacing w:val="-3"/>
          <w:sz w:val="24"/>
        </w:rPr>
        <w:t xml:space="preserve"> </w:t>
      </w:r>
      <w:r w:rsidRPr="00D03260">
        <w:rPr>
          <w:rFonts w:ascii="Times New Roman" w:hAnsi="Times New Roman"/>
          <w:color w:val="auto"/>
          <w:sz w:val="24"/>
        </w:rPr>
        <w:t>in</w:t>
      </w:r>
      <w:r w:rsidRPr="00D03260">
        <w:rPr>
          <w:rFonts w:ascii="Times New Roman" w:hAnsi="Times New Roman"/>
          <w:color w:val="auto"/>
          <w:spacing w:val="-2"/>
          <w:sz w:val="24"/>
        </w:rPr>
        <w:t xml:space="preserve"> </w:t>
      </w:r>
      <w:r w:rsidRPr="00D03260">
        <w:rPr>
          <w:rFonts w:ascii="Times New Roman" w:hAnsi="Times New Roman"/>
          <w:color w:val="auto"/>
          <w:sz w:val="24"/>
        </w:rPr>
        <w:t>a</w:t>
      </w:r>
      <w:r w:rsidRPr="00D03260">
        <w:rPr>
          <w:rFonts w:ascii="Times New Roman" w:hAnsi="Times New Roman"/>
          <w:color w:val="auto"/>
          <w:spacing w:val="-4"/>
          <w:sz w:val="24"/>
        </w:rPr>
        <w:t xml:space="preserve"> </w:t>
      </w:r>
      <w:r w:rsidRPr="00D03260">
        <w:rPr>
          <w:rFonts w:ascii="Times New Roman" w:hAnsi="Times New Roman"/>
          <w:color w:val="auto"/>
          <w:sz w:val="24"/>
        </w:rPr>
        <w:t>roof</w:t>
      </w:r>
      <w:r w:rsidRPr="00D03260">
        <w:rPr>
          <w:rFonts w:ascii="Times New Roman" w:hAnsi="Times New Roman"/>
          <w:color w:val="auto"/>
          <w:spacing w:val="-3"/>
          <w:sz w:val="24"/>
        </w:rPr>
        <w:t xml:space="preserve"> </w:t>
      </w:r>
      <w:r w:rsidRPr="00D03260">
        <w:rPr>
          <w:rFonts w:ascii="Times New Roman" w:hAnsi="Times New Roman"/>
          <w:color w:val="auto"/>
          <w:sz w:val="24"/>
        </w:rPr>
        <w:t>space,</w:t>
      </w:r>
      <w:r w:rsidRPr="00D03260">
        <w:rPr>
          <w:rFonts w:ascii="Times New Roman" w:hAnsi="Times New Roman"/>
          <w:color w:val="auto"/>
          <w:spacing w:val="-2"/>
          <w:sz w:val="24"/>
        </w:rPr>
        <w:t xml:space="preserve"> </w:t>
      </w:r>
      <w:r w:rsidRPr="00D03260">
        <w:rPr>
          <w:rFonts w:ascii="Times New Roman" w:hAnsi="Times New Roman"/>
          <w:color w:val="auto"/>
          <w:sz w:val="24"/>
        </w:rPr>
        <w:t>behind</w:t>
      </w:r>
      <w:r w:rsidRPr="00D03260">
        <w:rPr>
          <w:rFonts w:ascii="Times New Roman" w:hAnsi="Times New Roman"/>
          <w:color w:val="auto"/>
          <w:spacing w:val="-2"/>
          <w:sz w:val="24"/>
        </w:rPr>
        <w:t xml:space="preserve"> </w:t>
      </w:r>
      <w:r w:rsidRPr="00D03260">
        <w:rPr>
          <w:rFonts w:ascii="Times New Roman" w:hAnsi="Times New Roman"/>
          <w:color w:val="auto"/>
          <w:sz w:val="24"/>
        </w:rPr>
        <w:t>a</w:t>
      </w:r>
      <w:r w:rsidRPr="00D03260">
        <w:rPr>
          <w:rFonts w:ascii="Times New Roman" w:hAnsi="Times New Roman"/>
          <w:color w:val="auto"/>
          <w:spacing w:val="-3"/>
          <w:sz w:val="24"/>
        </w:rPr>
        <w:t xml:space="preserve"> </w:t>
      </w:r>
      <w:r w:rsidRPr="00D03260">
        <w:rPr>
          <w:rFonts w:ascii="Times New Roman" w:hAnsi="Times New Roman"/>
          <w:color w:val="auto"/>
          <w:sz w:val="24"/>
        </w:rPr>
        <w:t>wall</w:t>
      </w:r>
      <w:r w:rsidRPr="00D03260">
        <w:rPr>
          <w:rFonts w:ascii="Times New Roman" w:hAnsi="Times New Roman"/>
          <w:color w:val="auto"/>
          <w:spacing w:val="-2"/>
          <w:sz w:val="24"/>
        </w:rPr>
        <w:t xml:space="preserve"> </w:t>
      </w:r>
      <w:r w:rsidRPr="00D03260">
        <w:rPr>
          <w:rFonts w:ascii="Times New Roman" w:hAnsi="Times New Roman"/>
          <w:color w:val="auto"/>
          <w:sz w:val="24"/>
        </w:rPr>
        <w:t>or</w:t>
      </w:r>
      <w:r w:rsidRPr="00D03260">
        <w:rPr>
          <w:rFonts w:ascii="Times New Roman" w:hAnsi="Times New Roman"/>
          <w:color w:val="auto"/>
          <w:spacing w:val="-3"/>
          <w:sz w:val="24"/>
        </w:rPr>
        <w:t xml:space="preserve"> </w:t>
      </w:r>
      <w:r w:rsidRPr="00D03260">
        <w:rPr>
          <w:rFonts w:ascii="Times New Roman" w:hAnsi="Times New Roman"/>
          <w:color w:val="auto"/>
          <w:sz w:val="24"/>
        </w:rPr>
        <w:t>under floor coverings, so you may need to consult a professional if you can smell but can’t see it.</w:t>
      </w:r>
    </w:p>
    <w:p w14:paraId="0316E4A2" w14:textId="77777777" w:rsidR="00A5692F" w:rsidRPr="00D03260" w:rsidRDefault="00A5692F" w:rsidP="00A5692F">
      <w:pPr>
        <w:widowControl w:val="0"/>
        <w:autoSpaceDE w:val="0"/>
        <w:autoSpaceDN w:val="0"/>
        <w:spacing w:before="0" w:after="0" w:line="240" w:lineRule="auto"/>
        <w:rPr>
          <w:rFonts w:ascii="Times New Roman" w:hAnsi="Times New Roman"/>
          <w:color w:val="auto"/>
          <w:sz w:val="26"/>
        </w:rPr>
      </w:pPr>
    </w:p>
    <w:p w14:paraId="204DD2FA" w14:textId="77777777" w:rsidR="00A5692F" w:rsidRPr="00D03260" w:rsidRDefault="00A5692F" w:rsidP="00A5692F">
      <w:pPr>
        <w:widowControl w:val="0"/>
        <w:autoSpaceDE w:val="0"/>
        <w:autoSpaceDN w:val="0"/>
        <w:spacing w:before="182" w:after="0" w:line="240" w:lineRule="auto"/>
        <w:ind w:left="100"/>
        <w:outlineLvl w:val="0"/>
        <w:rPr>
          <w:rFonts w:ascii="Cambria" w:eastAsia="Cambria" w:hAnsi="Cambria" w:cs="Cambria"/>
          <w:b/>
          <w:bCs/>
          <w:color w:val="auto"/>
          <w:sz w:val="28"/>
          <w:szCs w:val="28"/>
        </w:rPr>
      </w:pPr>
      <w:bookmarkStart w:id="534" w:name="Should_I_test_for_mould_in_my_home?"/>
      <w:bookmarkStart w:id="535" w:name="_Toc121329250"/>
      <w:bookmarkStart w:id="536" w:name="_Toc121329414"/>
      <w:bookmarkStart w:id="537" w:name="_Toc121834557"/>
      <w:bookmarkStart w:id="538" w:name="_Toc141885987"/>
      <w:bookmarkEnd w:id="534"/>
      <w:r w:rsidRPr="00D03260">
        <w:rPr>
          <w:rFonts w:ascii="Cambria" w:eastAsia="Cambria" w:hAnsi="Cambria" w:cs="Cambria"/>
          <w:b/>
          <w:bCs/>
          <w:color w:val="365F91"/>
          <w:sz w:val="28"/>
          <w:szCs w:val="28"/>
        </w:rPr>
        <w:t>Should</w:t>
      </w:r>
      <w:r w:rsidRPr="00D03260">
        <w:rPr>
          <w:rFonts w:ascii="Cambria" w:eastAsia="Cambria" w:hAnsi="Cambria" w:cs="Cambria"/>
          <w:b/>
          <w:bCs/>
          <w:color w:val="365F91"/>
          <w:spacing w:val="-4"/>
          <w:sz w:val="28"/>
          <w:szCs w:val="28"/>
        </w:rPr>
        <w:t xml:space="preserve"> </w:t>
      </w:r>
      <w:r w:rsidRPr="00D03260">
        <w:rPr>
          <w:rFonts w:ascii="Cambria" w:eastAsia="Cambria" w:hAnsi="Cambria" w:cs="Cambria"/>
          <w:b/>
          <w:bCs/>
          <w:color w:val="365F91"/>
          <w:sz w:val="28"/>
          <w:szCs w:val="28"/>
        </w:rPr>
        <w:t>I</w:t>
      </w:r>
      <w:r w:rsidRPr="00D03260">
        <w:rPr>
          <w:rFonts w:ascii="Cambria" w:eastAsia="Cambria" w:hAnsi="Cambria" w:cs="Cambria"/>
          <w:b/>
          <w:bCs/>
          <w:color w:val="365F91"/>
          <w:spacing w:val="-4"/>
          <w:sz w:val="28"/>
          <w:szCs w:val="28"/>
        </w:rPr>
        <w:t xml:space="preserve"> </w:t>
      </w:r>
      <w:r w:rsidRPr="00D03260">
        <w:rPr>
          <w:rFonts w:ascii="Cambria" w:eastAsia="Cambria" w:hAnsi="Cambria" w:cs="Cambria"/>
          <w:b/>
          <w:bCs/>
          <w:color w:val="365F91"/>
          <w:sz w:val="28"/>
          <w:szCs w:val="28"/>
        </w:rPr>
        <w:t>test</w:t>
      </w:r>
      <w:r w:rsidRPr="00D03260">
        <w:rPr>
          <w:rFonts w:ascii="Cambria" w:eastAsia="Cambria" w:hAnsi="Cambria" w:cs="Cambria"/>
          <w:b/>
          <w:bCs/>
          <w:color w:val="365F91"/>
          <w:spacing w:val="-1"/>
          <w:sz w:val="28"/>
          <w:szCs w:val="28"/>
        </w:rPr>
        <w:t xml:space="preserve"> </w:t>
      </w:r>
      <w:r w:rsidRPr="00D03260">
        <w:rPr>
          <w:rFonts w:ascii="Cambria" w:eastAsia="Cambria" w:hAnsi="Cambria" w:cs="Cambria"/>
          <w:b/>
          <w:bCs/>
          <w:color w:val="365F91"/>
          <w:sz w:val="28"/>
          <w:szCs w:val="28"/>
        </w:rPr>
        <w:t>for</w:t>
      </w:r>
      <w:r w:rsidRPr="00D03260">
        <w:rPr>
          <w:rFonts w:ascii="Cambria" w:eastAsia="Cambria" w:hAnsi="Cambria" w:cs="Cambria"/>
          <w:b/>
          <w:bCs/>
          <w:color w:val="365F91"/>
          <w:spacing w:val="-2"/>
          <w:sz w:val="28"/>
          <w:szCs w:val="28"/>
        </w:rPr>
        <w:t xml:space="preserve"> </w:t>
      </w:r>
      <w:r w:rsidRPr="00D03260">
        <w:rPr>
          <w:rFonts w:ascii="Cambria" w:eastAsia="Cambria" w:hAnsi="Cambria" w:cs="Cambria"/>
          <w:b/>
          <w:bCs/>
          <w:color w:val="365F91"/>
          <w:sz w:val="28"/>
          <w:szCs w:val="28"/>
        </w:rPr>
        <w:t>mould</w:t>
      </w:r>
      <w:r w:rsidRPr="00D03260">
        <w:rPr>
          <w:rFonts w:ascii="Cambria" w:eastAsia="Cambria" w:hAnsi="Cambria" w:cs="Cambria"/>
          <w:b/>
          <w:bCs/>
          <w:color w:val="365F91"/>
          <w:spacing w:val="-4"/>
          <w:sz w:val="28"/>
          <w:szCs w:val="28"/>
        </w:rPr>
        <w:t xml:space="preserve"> </w:t>
      </w:r>
      <w:r w:rsidRPr="00D03260">
        <w:rPr>
          <w:rFonts w:ascii="Cambria" w:eastAsia="Cambria" w:hAnsi="Cambria" w:cs="Cambria"/>
          <w:b/>
          <w:bCs/>
          <w:color w:val="365F91"/>
          <w:sz w:val="28"/>
          <w:szCs w:val="28"/>
        </w:rPr>
        <w:t>in</w:t>
      </w:r>
      <w:r w:rsidRPr="00D03260">
        <w:rPr>
          <w:rFonts w:ascii="Cambria" w:eastAsia="Cambria" w:hAnsi="Cambria" w:cs="Cambria"/>
          <w:b/>
          <w:bCs/>
          <w:color w:val="365F91"/>
          <w:spacing w:val="-4"/>
          <w:sz w:val="28"/>
          <w:szCs w:val="28"/>
        </w:rPr>
        <w:t xml:space="preserve"> </w:t>
      </w:r>
      <w:r w:rsidRPr="00D03260">
        <w:rPr>
          <w:rFonts w:ascii="Cambria" w:eastAsia="Cambria" w:hAnsi="Cambria" w:cs="Cambria"/>
          <w:b/>
          <w:bCs/>
          <w:color w:val="365F91"/>
          <w:sz w:val="28"/>
          <w:szCs w:val="28"/>
        </w:rPr>
        <w:t>my</w:t>
      </w:r>
      <w:r w:rsidRPr="00D03260">
        <w:rPr>
          <w:rFonts w:ascii="Cambria" w:eastAsia="Cambria" w:hAnsi="Cambria" w:cs="Cambria"/>
          <w:b/>
          <w:bCs/>
          <w:color w:val="365F91"/>
          <w:spacing w:val="-4"/>
          <w:sz w:val="28"/>
          <w:szCs w:val="28"/>
        </w:rPr>
        <w:t xml:space="preserve"> home?</w:t>
      </w:r>
      <w:bookmarkEnd w:id="535"/>
      <w:bookmarkEnd w:id="536"/>
      <w:bookmarkEnd w:id="537"/>
      <w:bookmarkEnd w:id="538"/>
    </w:p>
    <w:p w14:paraId="64A3762B" w14:textId="77777777" w:rsidR="00A5692F" w:rsidRPr="00D03260" w:rsidRDefault="00A5692F" w:rsidP="00A5692F">
      <w:pPr>
        <w:widowControl w:val="0"/>
        <w:autoSpaceDE w:val="0"/>
        <w:autoSpaceDN w:val="0"/>
        <w:spacing w:before="0" w:after="0" w:line="240" w:lineRule="auto"/>
        <w:rPr>
          <w:rFonts w:ascii="Cambria" w:hAnsi="Times New Roman"/>
          <w:b/>
          <w:color w:val="auto"/>
          <w:sz w:val="28"/>
        </w:rPr>
      </w:pPr>
    </w:p>
    <w:p w14:paraId="6DF94D0C" w14:textId="77777777" w:rsidR="00A5692F" w:rsidRPr="00D03260" w:rsidRDefault="00A5692F" w:rsidP="00A5692F">
      <w:pPr>
        <w:widowControl w:val="0"/>
        <w:autoSpaceDE w:val="0"/>
        <w:autoSpaceDN w:val="0"/>
        <w:spacing w:before="0" w:after="0" w:line="240" w:lineRule="auto"/>
        <w:ind w:left="100"/>
        <w:rPr>
          <w:rFonts w:ascii="Times New Roman" w:hAnsi="Times New Roman"/>
          <w:color w:val="auto"/>
          <w:sz w:val="24"/>
        </w:rPr>
      </w:pPr>
      <w:r w:rsidRPr="00D03260">
        <w:rPr>
          <w:rFonts w:ascii="Times New Roman" w:hAnsi="Times New Roman"/>
          <w:color w:val="auto"/>
          <w:sz w:val="24"/>
        </w:rPr>
        <w:t>Where mould is visible, it is generally not considered necessary to test for it in the home.</w:t>
      </w:r>
      <w:r w:rsidRPr="00D03260">
        <w:rPr>
          <w:rFonts w:ascii="Times New Roman" w:hAnsi="Times New Roman"/>
          <w:color w:val="auto"/>
          <w:spacing w:val="40"/>
          <w:sz w:val="24"/>
        </w:rPr>
        <w:t xml:space="preserve"> </w:t>
      </w:r>
      <w:r w:rsidRPr="00D03260">
        <w:rPr>
          <w:rFonts w:ascii="Times New Roman" w:hAnsi="Times New Roman"/>
          <w:color w:val="auto"/>
          <w:sz w:val="24"/>
        </w:rPr>
        <w:t>In general, we do not recommend testing for mould at all because there are no health guideline values for which to compare test results to. This means that test results cannot be used to determine</w:t>
      </w:r>
      <w:r w:rsidRPr="00D03260">
        <w:rPr>
          <w:rFonts w:ascii="Times New Roman" w:hAnsi="Times New Roman"/>
          <w:color w:val="auto"/>
          <w:spacing w:val="-3"/>
          <w:sz w:val="24"/>
        </w:rPr>
        <w:t xml:space="preserve"> </w:t>
      </w:r>
      <w:r w:rsidRPr="00D03260">
        <w:rPr>
          <w:rFonts w:ascii="Times New Roman" w:hAnsi="Times New Roman"/>
          <w:color w:val="auto"/>
          <w:sz w:val="24"/>
        </w:rPr>
        <w:t>if</w:t>
      </w:r>
      <w:r w:rsidRPr="00D03260">
        <w:rPr>
          <w:rFonts w:ascii="Times New Roman" w:hAnsi="Times New Roman"/>
          <w:color w:val="auto"/>
          <w:spacing w:val="-3"/>
          <w:sz w:val="24"/>
        </w:rPr>
        <w:t xml:space="preserve"> </w:t>
      </w:r>
      <w:r w:rsidRPr="00D03260">
        <w:rPr>
          <w:rFonts w:ascii="Times New Roman" w:hAnsi="Times New Roman"/>
          <w:color w:val="auto"/>
          <w:sz w:val="24"/>
        </w:rPr>
        <w:t>a</w:t>
      </w:r>
      <w:r w:rsidRPr="00D03260">
        <w:rPr>
          <w:rFonts w:ascii="Times New Roman" w:hAnsi="Times New Roman"/>
          <w:color w:val="auto"/>
          <w:spacing w:val="-3"/>
          <w:sz w:val="24"/>
        </w:rPr>
        <w:t xml:space="preserve"> </w:t>
      </w:r>
      <w:r w:rsidRPr="00D03260">
        <w:rPr>
          <w:rFonts w:ascii="Times New Roman" w:hAnsi="Times New Roman"/>
          <w:color w:val="auto"/>
          <w:sz w:val="24"/>
        </w:rPr>
        <w:t>health</w:t>
      </w:r>
      <w:r w:rsidRPr="00D03260">
        <w:rPr>
          <w:rFonts w:ascii="Times New Roman" w:hAnsi="Times New Roman"/>
          <w:color w:val="auto"/>
          <w:spacing w:val="-2"/>
          <w:sz w:val="24"/>
        </w:rPr>
        <w:t xml:space="preserve"> </w:t>
      </w:r>
      <w:r w:rsidRPr="00D03260">
        <w:rPr>
          <w:rFonts w:ascii="Times New Roman" w:hAnsi="Times New Roman"/>
          <w:color w:val="auto"/>
          <w:sz w:val="24"/>
        </w:rPr>
        <w:t>risk exists.</w:t>
      </w:r>
      <w:r w:rsidRPr="00D03260">
        <w:rPr>
          <w:rFonts w:ascii="Times New Roman" w:hAnsi="Times New Roman"/>
          <w:color w:val="auto"/>
          <w:spacing w:val="-2"/>
          <w:sz w:val="24"/>
        </w:rPr>
        <w:t xml:space="preserve"> </w:t>
      </w:r>
      <w:r w:rsidRPr="00D03260">
        <w:rPr>
          <w:rFonts w:ascii="Times New Roman" w:hAnsi="Times New Roman"/>
          <w:color w:val="auto"/>
          <w:sz w:val="24"/>
        </w:rPr>
        <w:t>Mould</w:t>
      </w:r>
      <w:r w:rsidRPr="00D03260">
        <w:rPr>
          <w:rFonts w:ascii="Times New Roman" w:hAnsi="Times New Roman"/>
          <w:color w:val="auto"/>
          <w:spacing w:val="-2"/>
          <w:sz w:val="24"/>
        </w:rPr>
        <w:t xml:space="preserve"> </w:t>
      </w:r>
      <w:r w:rsidRPr="00D03260">
        <w:rPr>
          <w:rFonts w:ascii="Times New Roman" w:hAnsi="Times New Roman"/>
          <w:color w:val="auto"/>
          <w:sz w:val="24"/>
        </w:rPr>
        <w:t>is</w:t>
      </w:r>
      <w:r w:rsidRPr="00D03260">
        <w:rPr>
          <w:rFonts w:ascii="Times New Roman" w:hAnsi="Times New Roman"/>
          <w:color w:val="auto"/>
          <w:spacing w:val="-2"/>
          <w:sz w:val="24"/>
        </w:rPr>
        <w:t xml:space="preserve"> </w:t>
      </w:r>
      <w:r w:rsidRPr="00D03260">
        <w:rPr>
          <w:rFonts w:ascii="Times New Roman" w:hAnsi="Times New Roman"/>
          <w:color w:val="auto"/>
          <w:sz w:val="24"/>
        </w:rPr>
        <w:t>everywhere,</w:t>
      </w:r>
      <w:r w:rsidRPr="00D03260">
        <w:rPr>
          <w:rFonts w:ascii="Times New Roman" w:hAnsi="Times New Roman"/>
          <w:color w:val="auto"/>
          <w:spacing w:val="-2"/>
          <w:sz w:val="24"/>
        </w:rPr>
        <w:t xml:space="preserve"> </w:t>
      </w:r>
      <w:r w:rsidRPr="00D03260">
        <w:rPr>
          <w:rFonts w:ascii="Times New Roman" w:hAnsi="Times New Roman"/>
          <w:color w:val="auto"/>
          <w:sz w:val="24"/>
        </w:rPr>
        <w:t>so</w:t>
      </w:r>
      <w:r w:rsidRPr="00D03260">
        <w:rPr>
          <w:rFonts w:ascii="Times New Roman" w:hAnsi="Times New Roman"/>
          <w:color w:val="auto"/>
          <w:spacing w:val="-2"/>
          <w:sz w:val="24"/>
        </w:rPr>
        <w:t xml:space="preserve"> </w:t>
      </w:r>
      <w:r w:rsidRPr="00D03260">
        <w:rPr>
          <w:rFonts w:ascii="Times New Roman" w:hAnsi="Times New Roman"/>
          <w:color w:val="auto"/>
          <w:sz w:val="24"/>
        </w:rPr>
        <w:t>if</w:t>
      </w:r>
      <w:r w:rsidRPr="00D03260">
        <w:rPr>
          <w:rFonts w:ascii="Times New Roman" w:hAnsi="Times New Roman"/>
          <w:color w:val="auto"/>
          <w:spacing w:val="-3"/>
          <w:sz w:val="24"/>
        </w:rPr>
        <w:t xml:space="preserve"> </w:t>
      </w:r>
      <w:r w:rsidRPr="00D03260">
        <w:rPr>
          <w:rFonts w:ascii="Times New Roman" w:hAnsi="Times New Roman"/>
          <w:color w:val="auto"/>
          <w:sz w:val="24"/>
        </w:rPr>
        <w:t>you</w:t>
      </w:r>
      <w:r w:rsidRPr="00D03260">
        <w:rPr>
          <w:rFonts w:ascii="Times New Roman" w:hAnsi="Times New Roman"/>
          <w:color w:val="auto"/>
          <w:spacing w:val="-2"/>
          <w:sz w:val="24"/>
        </w:rPr>
        <w:t xml:space="preserve"> </w:t>
      </w:r>
      <w:r w:rsidRPr="00D03260">
        <w:rPr>
          <w:rFonts w:ascii="Times New Roman" w:hAnsi="Times New Roman"/>
          <w:color w:val="auto"/>
          <w:sz w:val="24"/>
        </w:rPr>
        <w:t>go</w:t>
      </w:r>
      <w:r w:rsidRPr="00D03260">
        <w:rPr>
          <w:rFonts w:ascii="Times New Roman" w:hAnsi="Times New Roman"/>
          <w:color w:val="auto"/>
          <w:spacing w:val="-2"/>
          <w:sz w:val="24"/>
        </w:rPr>
        <w:t xml:space="preserve"> </w:t>
      </w:r>
      <w:r w:rsidRPr="00D03260">
        <w:rPr>
          <w:rFonts w:ascii="Times New Roman" w:hAnsi="Times New Roman"/>
          <w:color w:val="auto"/>
          <w:sz w:val="24"/>
        </w:rPr>
        <w:t>testing for</w:t>
      </w:r>
      <w:r w:rsidRPr="00D03260">
        <w:rPr>
          <w:rFonts w:ascii="Times New Roman" w:hAnsi="Times New Roman"/>
          <w:color w:val="auto"/>
          <w:spacing w:val="-3"/>
          <w:sz w:val="24"/>
        </w:rPr>
        <w:t xml:space="preserve"> </w:t>
      </w:r>
      <w:r w:rsidRPr="00D03260">
        <w:rPr>
          <w:rFonts w:ascii="Times New Roman" w:hAnsi="Times New Roman"/>
          <w:color w:val="auto"/>
          <w:sz w:val="24"/>
        </w:rPr>
        <w:t>it,</w:t>
      </w:r>
      <w:r w:rsidRPr="00D03260">
        <w:rPr>
          <w:rFonts w:ascii="Times New Roman" w:hAnsi="Times New Roman"/>
          <w:color w:val="auto"/>
          <w:spacing w:val="-2"/>
          <w:sz w:val="24"/>
        </w:rPr>
        <w:t xml:space="preserve"> </w:t>
      </w:r>
      <w:r w:rsidRPr="00D03260">
        <w:rPr>
          <w:rFonts w:ascii="Times New Roman" w:hAnsi="Times New Roman"/>
          <w:color w:val="auto"/>
          <w:sz w:val="24"/>
        </w:rPr>
        <w:t>you</w:t>
      </w:r>
      <w:r w:rsidRPr="00D03260">
        <w:rPr>
          <w:rFonts w:ascii="Times New Roman" w:hAnsi="Times New Roman"/>
          <w:color w:val="auto"/>
          <w:spacing w:val="-2"/>
          <w:sz w:val="24"/>
        </w:rPr>
        <w:t xml:space="preserve"> </w:t>
      </w:r>
      <w:r w:rsidRPr="00D03260">
        <w:rPr>
          <w:rFonts w:ascii="Times New Roman" w:hAnsi="Times New Roman"/>
          <w:color w:val="auto"/>
          <w:sz w:val="24"/>
        </w:rPr>
        <w:t>will</w:t>
      </w:r>
      <w:r w:rsidRPr="00D03260">
        <w:rPr>
          <w:rFonts w:ascii="Times New Roman" w:hAnsi="Times New Roman"/>
          <w:color w:val="auto"/>
          <w:spacing w:val="-2"/>
          <w:sz w:val="24"/>
        </w:rPr>
        <w:t xml:space="preserve"> </w:t>
      </w:r>
      <w:r w:rsidRPr="00D03260">
        <w:rPr>
          <w:rFonts w:ascii="Times New Roman" w:hAnsi="Times New Roman"/>
          <w:color w:val="auto"/>
          <w:sz w:val="24"/>
        </w:rPr>
        <w:t xml:space="preserve">find </w:t>
      </w:r>
      <w:r w:rsidRPr="00D03260">
        <w:rPr>
          <w:rFonts w:ascii="Times New Roman" w:hAnsi="Times New Roman"/>
          <w:color w:val="auto"/>
          <w:spacing w:val="-4"/>
          <w:sz w:val="24"/>
        </w:rPr>
        <w:t>it.</w:t>
      </w:r>
    </w:p>
    <w:p w14:paraId="100DC81D" w14:textId="6EEFFA85" w:rsidR="00A5692F" w:rsidRPr="00D03260" w:rsidRDefault="00512A02" w:rsidP="00A5692F">
      <w:pPr>
        <w:widowControl w:val="0"/>
        <w:autoSpaceDE w:val="0"/>
        <w:autoSpaceDN w:val="0"/>
        <w:spacing w:before="5" w:after="0" w:line="240" w:lineRule="auto"/>
        <w:rPr>
          <w:rFonts w:ascii="Times New Roman" w:hAnsi="Times New Roman"/>
          <w:color w:val="auto"/>
          <w:sz w:val="24"/>
        </w:rPr>
      </w:pPr>
      <w:r w:rsidRPr="00D03260">
        <w:rPr>
          <w:noProof/>
          <w:color w:val="auto"/>
        </w:rPr>
        <w:drawing>
          <wp:inline distT="0" distB="0" distL="0" distR="0" wp14:anchorId="076AB2A9" wp14:editId="0392EAD1">
            <wp:extent cx="5759450" cy="977900"/>
            <wp:effectExtent l="0" t="0" r="0" b="0"/>
            <wp:docPr id="11" name="Picture 11" descr="Environmental Health Standing Committee (enHealth) of the Australian Health Protection Principal Committe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nvironmental Health Standing Committee (enHealth) of the Australian Health Protection Principal Committee logo.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977900"/>
                    </a:xfrm>
                    <a:prstGeom prst="rect">
                      <a:avLst/>
                    </a:prstGeom>
                    <a:noFill/>
                    <a:ln>
                      <a:noFill/>
                    </a:ln>
                  </pic:spPr>
                </pic:pic>
              </a:graphicData>
            </a:graphic>
          </wp:inline>
        </w:drawing>
      </w:r>
    </w:p>
    <w:p w14:paraId="7BC2B2A9" w14:textId="23A2A663" w:rsidR="00A5692F" w:rsidRPr="00D03260" w:rsidRDefault="00A5692F" w:rsidP="00A5692F">
      <w:pPr>
        <w:widowControl w:val="0"/>
        <w:autoSpaceDE w:val="0"/>
        <w:autoSpaceDN w:val="0"/>
        <w:spacing w:before="0" w:after="0" w:line="240" w:lineRule="auto"/>
        <w:ind w:left="100" w:right="197"/>
        <w:rPr>
          <w:rFonts w:ascii="Times New Roman" w:hAnsi="Times New Roman"/>
          <w:color w:val="auto"/>
          <w:sz w:val="24"/>
        </w:rPr>
      </w:pPr>
      <w:r w:rsidRPr="00D03260">
        <w:rPr>
          <w:rFonts w:ascii="Times New Roman" w:hAnsi="Times New Roman"/>
          <w:color w:val="auto"/>
          <w:sz w:val="24"/>
        </w:rPr>
        <w:t>In summary, dampness and mould related problems should be prevented. When they occur, they</w:t>
      </w:r>
      <w:r w:rsidRPr="00D03260">
        <w:rPr>
          <w:rFonts w:ascii="Times New Roman" w:hAnsi="Times New Roman"/>
          <w:color w:val="auto"/>
          <w:spacing w:val="-3"/>
          <w:sz w:val="24"/>
        </w:rPr>
        <w:t xml:space="preserve"> </w:t>
      </w:r>
      <w:r w:rsidRPr="00D03260">
        <w:rPr>
          <w:rFonts w:ascii="Times New Roman" w:hAnsi="Times New Roman"/>
          <w:color w:val="auto"/>
          <w:sz w:val="24"/>
        </w:rPr>
        <w:t>should</w:t>
      </w:r>
      <w:r w:rsidRPr="00D03260">
        <w:rPr>
          <w:rFonts w:ascii="Times New Roman" w:hAnsi="Times New Roman"/>
          <w:color w:val="auto"/>
          <w:spacing w:val="-3"/>
          <w:sz w:val="24"/>
        </w:rPr>
        <w:t xml:space="preserve"> </w:t>
      </w:r>
      <w:r w:rsidRPr="00D03260">
        <w:rPr>
          <w:rFonts w:ascii="Times New Roman" w:hAnsi="Times New Roman"/>
          <w:color w:val="auto"/>
          <w:sz w:val="24"/>
        </w:rPr>
        <w:t>be</w:t>
      </w:r>
      <w:r w:rsidRPr="00D03260">
        <w:rPr>
          <w:rFonts w:ascii="Times New Roman" w:hAnsi="Times New Roman"/>
          <w:color w:val="auto"/>
          <w:spacing w:val="-4"/>
          <w:sz w:val="24"/>
        </w:rPr>
        <w:t xml:space="preserve"> </w:t>
      </w:r>
      <w:r w:rsidRPr="00D03260">
        <w:rPr>
          <w:rFonts w:ascii="Times New Roman" w:hAnsi="Times New Roman"/>
          <w:color w:val="auto"/>
          <w:sz w:val="24"/>
        </w:rPr>
        <w:t>rectified</w:t>
      </w:r>
      <w:r w:rsidRPr="00D03260">
        <w:rPr>
          <w:rFonts w:ascii="Times New Roman" w:hAnsi="Times New Roman"/>
          <w:color w:val="auto"/>
          <w:spacing w:val="-3"/>
          <w:sz w:val="24"/>
        </w:rPr>
        <w:t xml:space="preserve"> </w:t>
      </w:r>
      <w:r w:rsidRPr="00D03260">
        <w:rPr>
          <w:rFonts w:ascii="Times New Roman" w:hAnsi="Times New Roman"/>
          <w:color w:val="auto"/>
          <w:sz w:val="24"/>
        </w:rPr>
        <w:t>–</w:t>
      </w:r>
      <w:r w:rsidRPr="00D03260">
        <w:rPr>
          <w:rFonts w:ascii="Times New Roman" w:hAnsi="Times New Roman"/>
          <w:color w:val="auto"/>
          <w:spacing w:val="-1"/>
          <w:sz w:val="24"/>
        </w:rPr>
        <w:t xml:space="preserve"> </w:t>
      </w:r>
      <w:r w:rsidRPr="00D03260">
        <w:rPr>
          <w:rFonts w:ascii="Times New Roman" w:hAnsi="Times New Roman"/>
          <w:color w:val="auto"/>
          <w:sz w:val="24"/>
        </w:rPr>
        <w:t>remove</w:t>
      </w:r>
      <w:r w:rsidRPr="00D03260">
        <w:rPr>
          <w:rFonts w:ascii="Times New Roman" w:hAnsi="Times New Roman"/>
          <w:color w:val="auto"/>
          <w:spacing w:val="-4"/>
          <w:sz w:val="24"/>
        </w:rPr>
        <w:t xml:space="preserve"> </w:t>
      </w:r>
      <w:r w:rsidRPr="00D03260">
        <w:rPr>
          <w:rFonts w:ascii="Times New Roman" w:hAnsi="Times New Roman"/>
          <w:color w:val="auto"/>
          <w:sz w:val="24"/>
        </w:rPr>
        <w:t>mould</w:t>
      </w:r>
      <w:r w:rsidRPr="00D03260">
        <w:rPr>
          <w:rFonts w:ascii="Times New Roman" w:hAnsi="Times New Roman"/>
          <w:color w:val="auto"/>
          <w:spacing w:val="-3"/>
          <w:sz w:val="24"/>
        </w:rPr>
        <w:t xml:space="preserve"> </w:t>
      </w:r>
      <w:r w:rsidRPr="00D03260">
        <w:rPr>
          <w:rFonts w:ascii="Times New Roman" w:hAnsi="Times New Roman"/>
          <w:color w:val="auto"/>
          <w:sz w:val="24"/>
        </w:rPr>
        <w:t>where</w:t>
      </w:r>
      <w:r w:rsidRPr="00D03260">
        <w:rPr>
          <w:rFonts w:ascii="Times New Roman" w:hAnsi="Times New Roman"/>
          <w:color w:val="auto"/>
          <w:spacing w:val="-4"/>
          <w:sz w:val="24"/>
        </w:rPr>
        <w:t xml:space="preserve"> </w:t>
      </w:r>
      <w:r w:rsidRPr="00D03260">
        <w:rPr>
          <w:rFonts w:ascii="Times New Roman" w:hAnsi="Times New Roman"/>
          <w:color w:val="auto"/>
          <w:sz w:val="24"/>
        </w:rPr>
        <w:t>present,</w:t>
      </w:r>
      <w:r w:rsidRPr="00D03260">
        <w:rPr>
          <w:rFonts w:ascii="Times New Roman" w:hAnsi="Times New Roman"/>
          <w:color w:val="auto"/>
          <w:spacing w:val="-3"/>
          <w:sz w:val="24"/>
        </w:rPr>
        <w:t xml:space="preserve"> </w:t>
      </w:r>
      <w:r w:rsidRPr="00D03260">
        <w:rPr>
          <w:rFonts w:ascii="Times New Roman" w:hAnsi="Times New Roman"/>
          <w:color w:val="auto"/>
          <w:sz w:val="24"/>
        </w:rPr>
        <w:t>find</w:t>
      </w:r>
      <w:r w:rsidRPr="00D03260">
        <w:rPr>
          <w:rFonts w:ascii="Times New Roman" w:hAnsi="Times New Roman"/>
          <w:color w:val="auto"/>
          <w:spacing w:val="-3"/>
          <w:sz w:val="24"/>
        </w:rPr>
        <w:t xml:space="preserve"> </w:t>
      </w:r>
      <w:r w:rsidRPr="00D03260">
        <w:rPr>
          <w:rFonts w:ascii="Times New Roman" w:hAnsi="Times New Roman"/>
          <w:color w:val="auto"/>
          <w:sz w:val="24"/>
        </w:rPr>
        <w:t>it</w:t>
      </w:r>
      <w:r w:rsidRPr="00D03260">
        <w:rPr>
          <w:rFonts w:ascii="Times New Roman" w:hAnsi="Times New Roman"/>
          <w:color w:val="auto"/>
          <w:spacing w:val="-3"/>
          <w:sz w:val="24"/>
        </w:rPr>
        <w:t xml:space="preserve"> </w:t>
      </w:r>
      <w:r w:rsidRPr="00D03260">
        <w:rPr>
          <w:rFonts w:ascii="Times New Roman" w:hAnsi="Times New Roman"/>
          <w:color w:val="auto"/>
          <w:sz w:val="24"/>
        </w:rPr>
        <w:t>when</w:t>
      </w:r>
      <w:r w:rsidRPr="00D03260">
        <w:rPr>
          <w:rFonts w:ascii="Times New Roman" w:hAnsi="Times New Roman"/>
          <w:color w:val="auto"/>
          <w:spacing w:val="-3"/>
          <w:sz w:val="24"/>
        </w:rPr>
        <w:t xml:space="preserve"> </w:t>
      </w:r>
      <w:r w:rsidRPr="00D03260">
        <w:rPr>
          <w:rFonts w:ascii="Times New Roman" w:hAnsi="Times New Roman"/>
          <w:color w:val="auto"/>
          <w:sz w:val="24"/>
        </w:rPr>
        <w:t>you</w:t>
      </w:r>
      <w:r w:rsidRPr="00D03260">
        <w:rPr>
          <w:rFonts w:ascii="Times New Roman" w:hAnsi="Times New Roman"/>
          <w:color w:val="auto"/>
          <w:spacing w:val="-3"/>
          <w:sz w:val="24"/>
        </w:rPr>
        <w:t xml:space="preserve"> </w:t>
      </w:r>
      <w:r w:rsidRPr="00D03260">
        <w:rPr>
          <w:rFonts w:ascii="Times New Roman" w:hAnsi="Times New Roman"/>
          <w:color w:val="auto"/>
          <w:sz w:val="24"/>
        </w:rPr>
        <w:t>smell</w:t>
      </w:r>
      <w:r w:rsidRPr="00D03260">
        <w:rPr>
          <w:rFonts w:ascii="Times New Roman" w:hAnsi="Times New Roman"/>
          <w:color w:val="auto"/>
          <w:spacing w:val="-3"/>
          <w:sz w:val="24"/>
        </w:rPr>
        <w:t xml:space="preserve"> </w:t>
      </w:r>
      <w:r w:rsidRPr="00D03260">
        <w:rPr>
          <w:rFonts w:ascii="Times New Roman" w:hAnsi="Times New Roman"/>
          <w:color w:val="auto"/>
          <w:sz w:val="24"/>
        </w:rPr>
        <w:t>it,</w:t>
      </w:r>
      <w:r w:rsidRPr="00D03260">
        <w:rPr>
          <w:rFonts w:ascii="Times New Roman" w:hAnsi="Times New Roman"/>
          <w:color w:val="auto"/>
          <w:spacing w:val="-3"/>
          <w:sz w:val="24"/>
        </w:rPr>
        <w:t xml:space="preserve"> </w:t>
      </w:r>
      <w:proofErr w:type="gramStart"/>
      <w:r w:rsidRPr="00D03260">
        <w:rPr>
          <w:rFonts w:ascii="Times New Roman" w:hAnsi="Times New Roman"/>
          <w:color w:val="auto"/>
          <w:sz w:val="24"/>
        </w:rPr>
        <w:t>repair</w:t>
      </w:r>
      <w:proofErr w:type="gramEnd"/>
      <w:r w:rsidRPr="00D03260">
        <w:rPr>
          <w:rFonts w:ascii="Times New Roman" w:hAnsi="Times New Roman"/>
          <w:color w:val="auto"/>
          <w:spacing w:val="-4"/>
          <w:sz w:val="24"/>
        </w:rPr>
        <w:t xml:space="preserve"> </w:t>
      </w:r>
      <w:r w:rsidRPr="00D03260">
        <w:rPr>
          <w:rFonts w:ascii="Times New Roman" w:hAnsi="Times New Roman"/>
          <w:color w:val="auto"/>
          <w:sz w:val="24"/>
        </w:rPr>
        <w:t>and control sources of excessive moisture – this is the best approach to controlling potential health risks.</w:t>
      </w:r>
    </w:p>
    <w:p w14:paraId="774CEB16" w14:textId="6500867A" w:rsidR="00A5692F" w:rsidRPr="00D03260" w:rsidRDefault="00A5692F" w:rsidP="00A5692F">
      <w:pPr>
        <w:widowControl w:val="0"/>
        <w:autoSpaceDE w:val="0"/>
        <w:autoSpaceDN w:val="0"/>
        <w:spacing w:before="0" w:after="0" w:line="240" w:lineRule="auto"/>
        <w:rPr>
          <w:rFonts w:ascii="Times New Roman" w:hAnsi="Times New Roman"/>
          <w:color w:val="auto"/>
          <w:sz w:val="26"/>
        </w:rPr>
      </w:pPr>
    </w:p>
    <w:p w14:paraId="5CE3A832" w14:textId="77777777" w:rsidR="00A5692F" w:rsidRPr="00D03260" w:rsidRDefault="00A5692F" w:rsidP="00A5692F">
      <w:pPr>
        <w:widowControl w:val="0"/>
        <w:autoSpaceDE w:val="0"/>
        <w:autoSpaceDN w:val="0"/>
        <w:spacing w:before="182" w:after="0" w:line="240" w:lineRule="auto"/>
        <w:ind w:left="100"/>
        <w:outlineLvl w:val="0"/>
        <w:rPr>
          <w:rFonts w:ascii="Cambria" w:eastAsia="Cambria" w:hAnsi="Cambria" w:cs="Cambria"/>
          <w:b/>
          <w:bCs/>
          <w:color w:val="auto"/>
          <w:sz w:val="28"/>
          <w:szCs w:val="28"/>
        </w:rPr>
      </w:pPr>
      <w:bookmarkStart w:id="539" w:name="Where_do_I_go_for_more_information_or_ad"/>
      <w:bookmarkStart w:id="540" w:name="_Toc121329251"/>
      <w:bookmarkStart w:id="541" w:name="_Toc121329415"/>
      <w:bookmarkStart w:id="542" w:name="_Toc121834558"/>
      <w:bookmarkStart w:id="543" w:name="_Toc141885988"/>
      <w:bookmarkEnd w:id="539"/>
      <w:r w:rsidRPr="00D03260">
        <w:rPr>
          <w:rFonts w:ascii="Cambria" w:eastAsia="Cambria" w:hAnsi="Cambria" w:cs="Cambria"/>
          <w:b/>
          <w:bCs/>
          <w:color w:val="365F91"/>
          <w:sz w:val="28"/>
          <w:szCs w:val="28"/>
        </w:rPr>
        <w:t>Where</w:t>
      </w:r>
      <w:r w:rsidRPr="00D03260">
        <w:rPr>
          <w:rFonts w:ascii="Cambria" w:eastAsia="Cambria" w:hAnsi="Cambria" w:cs="Cambria"/>
          <w:b/>
          <w:bCs/>
          <w:color w:val="365F91"/>
          <w:spacing w:val="-5"/>
          <w:sz w:val="28"/>
          <w:szCs w:val="28"/>
        </w:rPr>
        <w:t xml:space="preserve"> </w:t>
      </w:r>
      <w:r w:rsidRPr="00D03260">
        <w:rPr>
          <w:rFonts w:ascii="Cambria" w:eastAsia="Cambria" w:hAnsi="Cambria" w:cs="Cambria"/>
          <w:b/>
          <w:bCs/>
          <w:color w:val="365F91"/>
          <w:sz w:val="28"/>
          <w:szCs w:val="28"/>
        </w:rPr>
        <w:t>do</w:t>
      </w:r>
      <w:r w:rsidRPr="00D03260">
        <w:rPr>
          <w:rFonts w:ascii="Cambria" w:eastAsia="Cambria" w:hAnsi="Cambria" w:cs="Cambria"/>
          <w:b/>
          <w:bCs/>
          <w:color w:val="365F91"/>
          <w:spacing w:val="-1"/>
          <w:sz w:val="28"/>
          <w:szCs w:val="28"/>
        </w:rPr>
        <w:t xml:space="preserve"> </w:t>
      </w:r>
      <w:r w:rsidRPr="00D03260">
        <w:rPr>
          <w:rFonts w:ascii="Cambria" w:eastAsia="Cambria" w:hAnsi="Cambria" w:cs="Cambria"/>
          <w:b/>
          <w:bCs/>
          <w:color w:val="365F91"/>
          <w:sz w:val="28"/>
          <w:szCs w:val="28"/>
        </w:rPr>
        <w:t>I</w:t>
      </w:r>
      <w:r w:rsidRPr="00D03260">
        <w:rPr>
          <w:rFonts w:ascii="Cambria" w:eastAsia="Cambria" w:hAnsi="Cambria" w:cs="Cambria"/>
          <w:b/>
          <w:bCs/>
          <w:color w:val="365F91"/>
          <w:spacing w:val="-4"/>
          <w:sz w:val="28"/>
          <w:szCs w:val="28"/>
        </w:rPr>
        <w:t xml:space="preserve"> </w:t>
      </w:r>
      <w:r w:rsidRPr="00D03260">
        <w:rPr>
          <w:rFonts w:ascii="Cambria" w:eastAsia="Cambria" w:hAnsi="Cambria" w:cs="Cambria"/>
          <w:b/>
          <w:bCs/>
          <w:color w:val="365F91"/>
          <w:sz w:val="28"/>
          <w:szCs w:val="28"/>
        </w:rPr>
        <w:t>go</w:t>
      </w:r>
      <w:r w:rsidRPr="00D03260">
        <w:rPr>
          <w:rFonts w:ascii="Cambria" w:eastAsia="Cambria" w:hAnsi="Cambria" w:cs="Cambria"/>
          <w:b/>
          <w:bCs/>
          <w:color w:val="365F91"/>
          <w:spacing w:val="-3"/>
          <w:sz w:val="28"/>
          <w:szCs w:val="28"/>
        </w:rPr>
        <w:t xml:space="preserve"> </w:t>
      </w:r>
      <w:r w:rsidRPr="00D03260">
        <w:rPr>
          <w:rFonts w:ascii="Cambria" w:eastAsia="Cambria" w:hAnsi="Cambria" w:cs="Cambria"/>
          <w:b/>
          <w:bCs/>
          <w:color w:val="365F91"/>
          <w:sz w:val="28"/>
          <w:szCs w:val="28"/>
        </w:rPr>
        <w:t>for</w:t>
      </w:r>
      <w:r w:rsidRPr="00D03260">
        <w:rPr>
          <w:rFonts w:ascii="Cambria" w:eastAsia="Cambria" w:hAnsi="Cambria" w:cs="Cambria"/>
          <w:b/>
          <w:bCs/>
          <w:color w:val="365F91"/>
          <w:spacing w:val="-7"/>
          <w:sz w:val="28"/>
          <w:szCs w:val="28"/>
        </w:rPr>
        <w:t xml:space="preserve"> </w:t>
      </w:r>
      <w:r w:rsidRPr="00D03260">
        <w:rPr>
          <w:rFonts w:ascii="Cambria" w:eastAsia="Cambria" w:hAnsi="Cambria" w:cs="Cambria"/>
          <w:b/>
          <w:bCs/>
          <w:color w:val="365F91"/>
          <w:sz w:val="28"/>
          <w:szCs w:val="28"/>
        </w:rPr>
        <w:t>more</w:t>
      </w:r>
      <w:r w:rsidRPr="00D03260">
        <w:rPr>
          <w:rFonts w:ascii="Cambria" w:eastAsia="Cambria" w:hAnsi="Cambria" w:cs="Cambria"/>
          <w:b/>
          <w:bCs/>
          <w:color w:val="365F91"/>
          <w:spacing w:val="-4"/>
          <w:sz w:val="28"/>
          <w:szCs w:val="28"/>
        </w:rPr>
        <w:t xml:space="preserve"> </w:t>
      </w:r>
      <w:r w:rsidRPr="00D03260">
        <w:rPr>
          <w:rFonts w:ascii="Cambria" w:eastAsia="Cambria" w:hAnsi="Cambria" w:cs="Cambria"/>
          <w:b/>
          <w:bCs/>
          <w:color w:val="365F91"/>
          <w:sz w:val="28"/>
          <w:szCs w:val="28"/>
        </w:rPr>
        <w:t>information</w:t>
      </w:r>
      <w:r w:rsidRPr="00D03260">
        <w:rPr>
          <w:rFonts w:ascii="Cambria" w:eastAsia="Cambria" w:hAnsi="Cambria" w:cs="Cambria"/>
          <w:b/>
          <w:bCs/>
          <w:color w:val="365F91"/>
          <w:spacing w:val="-4"/>
          <w:sz w:val="28"/>
          <w:szCs w:val="28"/>
        </w:rPr>
        <w:t xml:space="preserve"> </w:t>
      </w:r>
      <w:r w:rsidRPr="00D03260">
        <w:rPr>
          <w:rFonts w:ascii="Cambria" w:eastAsia="Cambria" w:hAnsi="Cambria" w:cs="Cambria"/>
          <w:b/>
          <w:bCs/>
          <w:color w:val="365F91"/>
          <w:sz w:val="28"/>
          <w:szCs w:val="28"/>
        </w:rPr>
        <w:t>or</w:t>
      </w:r>
      <w:r w:rsidRPr="00D03260">
        <w:rPr>
          <w:rFonts w:ascii="Cambria" w:eastAsia="Cambria" w:hAnsi="Cambria" w:cs="Cambria"/>
          <w:b/>
          <w:bCs/>
          <w:color w:val="365F91"/>
          <w:spacing w:val="-4"/>
          <w:sz w:val="28"/>
          <w:szCs w:val="28"/>
        </w:rPr>
        <w:t xml:space="preserve"> </w:t>
      </w:r>
      <w:r w:rsidRPr="00D03260">
        <w:rPr>
          <w:rFonts w:ascii="Cambria" w:eastAsia="Cambria" w:hAnsi="Cambria" w:cs="Cambria"/>
          <w:b/>
          <w:bCs/>
          <w:color w:val="365F91"/>
          <w:spacing w:val="-2"/>
          <w:sz w:val="28"/>
          <w:szCs w:val="28"/>
        </w:rPr>
        <w:t>advice?</w:t>
      </w:r>
      <w:bookmarkEnd w:id="540"/>
      <w:bookmarkEnd w:id="541"/>
      <w:bookmarkEnd w:id="542"/>
      <w:bookmarkEnd w:id="543"/>
    </w:p>
    <w:p w14:paraId="24B87416" w14:textId="77777777" w:rsidR="00A5692F" w:rsidRPr="00D03260" w:rsidRDefault="00A5692F" w:rsidP="00A5692F">
      <w:pPr>
        <w:widowControl w:val="0"/>
        <w:autoSpaceDE w:val="0"/>
        <w:autoSpaceDN w:val="0"/>
        <w:spacing w:before="11" w:after="0" w:line="240" w:lineRule="auto"/>
        <w:rPr>
          <w:rFonts w:ascii="Cambria" w:hAnsi="Times New Roman"/>
          <w:b/>
          <w:color w:val="auto"/>
          <w:sz w:val="27"/>
        </w:rPr>
      </w:pPr>
    </w:p>
    <w:p w14:paraId="534A3560" w14:textId="77777777" w:rsidR="00A5692F" w:rsidRPr="00D03260" w:rsidRDefault="00A5692F" w:rsidP="00A5692F">
      <w:pPr>
        <w:widowControl w:val="0"/>
        <w:numPr>
          <w:ilvl w:val="0"/>
          <w:numId w:val="86"/>
        </w:numPr>
        <w:tabs>
          <w:tab w:val="left" w:pos="459"/>
          <w:tab w:val="left" w:pos="460"/>
        </w:tabs>
        <w:autoSpaceDE w:val="0"/>
        <w:autoSpaceDN w:val="0"/>
        <w:spacing w:before="0" w:after="0" w:line="293" w:lineRule="exact"/>
        <w:rPr>
          <w:rFonts w:ascii="Times New Roman" w:hAnsi="Times New Roman"/>
          <w:color w:val="auto"/>
          <w:sz w:val="24"/>
          <w:szCs w:val="22"/>
        </w:rPr>
      </w:pPr>
      <w:r w:rsidRPr="00D03260">
        <w:rPr>
          <w:rFonts w:ascii="Times New Roman" w:hAnsi="Times New Roman"/>
          <w:b/>
          <w:color w:val="auto"/>
          <w:sz w:val="24"/>
          <w:szCs w:val="22"/>
        </w:rPr>
        <w:t>Your</w:t>
      </w:r>
      <w:r w:rsidRPr="00D03260">
        <w:rPr>
          <w:rFonts w:ascii="Times New Roman" w:hAnsi="Times New Roman"/>
          <w:b/>
          <w:color w:val="auto"/>
          <w:spacing w:val="-2"/>
          <w:sz w:val="24"/>
          <w:szCs w:val="22"/>
        </w:rPr>
        <w:t xml:space="preserve"> </w:t>
      </w:r>
      <w:r w:rsidRPr="00D03260">
        <w:rPr>
          <w:rFonts w:ascii="Times New Roman" w:hAnsi="Times New Roman"/>
          <w:b/>
          <w:color w:val="auto"/>
          <w:sz w:val="24"/>
          <w:szCs w:val="22"/>
        </w:rPr>
        <w:t>local</w:t>
      </w:r>
      <w:r w:rsidRPr="00D03260">
        <w:rPr>
          <w:rFonts w:ascii="Times New Roman" w:hAnsi="Times New Roman"/>
          <w:b/>
          <w:color w:val="auto"/>
          <w:spacing w:val="-1"/>
          <w:sz w:val="24"/>
          <w:szCs w:val="22"/>
        </w:rPr>
        <w:t xml:space="preserve"> </w:t>
      </w:r>
      <w:r w:rsidRPr="00D03260">
        <w:rPr>
          <w:rFonts w:ascii="Times New Roman" w:hAnsi="Times New Roman"/>
          <w:b/>
          <w:color w:val="auto"/>
          <w:sz w:val="24"/>
          <w:szCs w:val="22"/>
        </w:rPr>
        <w:t>doctor</w:t>
      </w:r>
      <w:r w:rsidRPr="00D03260">
        <w:rPr>
          <w:rFonts w:ascii="Times New Roman" w:hAnsi="Times New Roman"/>
          <w:b/>
          <w:color w:val="auto"/>
          <w:spacing w:val="-2"/>
          <w:sz w:val="24"/>
          <w:szCs w:val="22"/>
        </w:rPr>
        <w:t xml:space="preserve"> </w:t>
      </w:r>
      <w:r w:rsidRPr="00D03260">
        <w:rPr>
          <w:rFonts w:ascii="Times New Roman" w:hAnsi="Times New Roman"/>
          <w:b/>
          <w:color w:val="auto"/>
          <w:sz w:val="24"/>
          <w:szCs w:val="22"/>
        </w:rPr>
        <w:t>or Nurse</w:t>
      </w:r>
      <w:r w:rsidRPr="00D03260">
        <w:rPr>
          <w:rFonts w:ascii="Times New Roman" w:hAnsi="Times New Roman"/>
          <w:b/>
          <w:color w:val="auto"/>
          <w:spacing w:val="-1"/>
          <w:sz w:val="24"/>
          <w:szCs w:val="22"/>
        </w:rPr>
        <w:t xml:space="preserve"> </w:t>
      </w:r>
      <w:r w:rsidRPr="00D03260">
        <w:rPr>
          <w:rFonts w:ascii="Times New Roman" w:hAnsi="Times New Roman"/>
          <w:b/>
          <w:color w:val="auto"/>
          <w:sz w:val="24"/>
          <w:szCs w:val="22"/>
        </w:rPr>
        <w:t>on</w:t>
      </w:r>
      <w:r w:rsidRPr="00D03260">
        <w:rPr>
          <w:rFonts w:ascii="Times New Roman" w:hAnsi="Times New Roman"/>
          <w:b/>
          <w:color w:val="auto"/>
          <w:spacing w:val="-1"/>
          <w:sz w:val="24"/>
          <w:szCs w:val="22"/>
        </w:rPr>
        <w:t xml:space="preserve"> </w:t>
      </w:r>
      <w:r w:rsidRPr="00D03260">
        <w:rPr>
          <w:rFonts w:ascii="Times New Roman" w:hAnsi="Times New Roman"/>
          <w:b/>
          <w:color w:val="auto"/>
          <w:sz w:val="24"/>
          <w:szCs w:val="22"/>
        </w:rPr>
        <w:t>Call</w:t>
      </w:r>
      <w:r w:rsidRPr="00D03260">
        <w:rPr>
          <w:rFonts w:ascii="Times New Roman" w:hAnsi="Times New Roman"/>
          <w:b/>
          <w:color w:val="auto"/>
          <w:spacing w:val="-1"/>
          <w:sz w:val="24"/>
          <w:szCs w:val="22"/>
        </w:rPr>
        <w:t xml:space="preserve"> </w:t>
      </w:r>
      <w:r w:rsidRPr="00D03260">
        <w:rPr>
          <w:rFonts w:ascii="Times New Roman" w:hAnsi="Times New Roman"/>
          <w:color w:val="auto"/>
          <w:sz w:val="24"/>
          <w:szCs w:val="22"/>
        </w:rPr>
        <w:t>in</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your</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state</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if</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you</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 xml:space="preserve">feel </w:t>
      </w:r>
      <w:r w:rsidRPr="00D03260">
        <w:rPr>
          <w:rFonts w:ascii="Times New Roman" w:hAnsi="Times New Roman"/>
          <w:color w:val="auto"/>
          <w:spacing w:val="-2"/>
          <w:sz w:val="24"/>
          <w:szCs w:val="22"/>
        </w:rPr>
        <w:t>unwell</w:t>
      </w:r>
    </w:p>
    <w:p w14:paraId="60EE855B" w14:textId="77777777" w:rsidR="00A5692F" w:rsidRPr="00D03260" w:rsidRDefault="00A5692F" w:rsidP="00A5692F">
      <w:pPr>
        <w:widowControl w:val="0"/>
        <w:numPr>
          <w:ilvl w:val="0"/>
          <w:numId w:val="86"/>
        </w:numPr>
        <w:tabs>
          <w:tab w:val="left" w:pos="459"/>
          <w:tab w:val="left" w:pos="460"/>
        </w:tabs>
        <w:autoSpaceDE w:val="0"/>
        <w:autoSpaceDN w:val="0"/>
        <w:spacing w:before="0" w:after="0" w:line="240" w:lineRule="auto"/>
        <w:ind w:right="267"/>
        <w:rPr>
          <w:rFonts w:ascii="Times New Roman" w:hAnsi="Times New Roman"/>
          <w:color w:val="auto"/>
          <w:sz w:val="24"/>
          <w:szCs w:val="22"/>
        </w:rPr>
      </w:pPr>
      <w:r w:rsidRPr="00D03260">
        <w:rPr>
          <w:rFonts w:ascii="Times New Roman" w:hAnsi="Times New Roman"/>
          <w:b/>
          <w:color w:val="auto"/>
          <w:sz w:val="24"/>
          <w:szCs w:val="22"/>
        </w:rPr>
        <w:t>Your</w:t>
      </w:r>
      <w:r w:rsidRPr="00D03260">
        <w:rPr>
          <w:rFonts w:ascii="Times New Roman" w:hAnsi="Times New Roman"/>
          <w:b/>
          <w:color w:val="auto"/>
          <w:spacing w:val="-4"/>
          <w:sz w:val="24"/>
          <w:szCs w:val="22"/>
        </w:rPr>
        <w:t xml:space="preserve"> </w:t>
      </w:r>
      <w:r w:rsidRPr="00D03260">
        <w:rPr>
          <w:rFonts w:ascii="Times New Roman" w:hAnsi="Times New Roman"/>
          <w:b/>
          <w:color w:val="auto"/>
          <w:sz w:val="24"/>
          <w:szCs w:val="22"/>
        </w:rPr>
        <w:t>local</w:t>
      </w:r>
      <w:r w:rsidRPr="00D03260">
        <w:rPr>
          <w:rFonts w:ascii="Times New Roman" w:hAnsi="Times New Roman"/>
          <w:b/>
          <w:color w:val="auto"/>
          <w:spacing w:val="-3"/>
          <w:sz w:val="24"/>
          <w:szCs w:val="22"/>
        </w:rPr>
        <w:t xml:space="preserve"> </w:t>
      </w:r>
      <w:r w:rsidRPr="00D03260">
        <w:rPr>
          <w:rFonts w:ascii="Times New Roman" w:hAnsi="Times New Roman"/>
          <w:b/>
          <w:color w:val="auto"/>
          <w:sz w:val="24"/>
          <w:szCs w:val="22"/>
        </w:rPr>
        <w:t>Council</w:t>
      </w:r>
      <w:r w:rsidRPr="00D03260">
        <w:rPr>
          <w:rFonts w:ascii="Times New Roman" w:hAnsi="Times New Roman"/>
          <w:b/>
          <w:color w:val="auto"/>
          <w:spacing w:val="-3"/>
          <w:sz w:val="24"/>
          <w:szCs w:val="22"/>
        </w:rPr>
        <w:t xml:space="preserve"> </w:t>
      </w:r>
      <w:r w:rsidRPr="00D03260">
        <w:rPr>
          <w:rFonts w:ascii="Times New Roman" w:hAnsi="Times New Roman"/>
          <w:b/>
          <w:color w:val="auto"/>
          <w:sz w:val="24"/>
          <w:szCs w:val="22"/>
        </w:rPr>
        <w:t>or</w:t>
      </w:r>
      <w:r w:rsidRPr="00D03260">
        <w:rPr>
          <w:rFonts w:ascii="Times New Roman" w:hAnsi="Times New Roman"/>
          <w:b/>
          <w:color w:val="auto"/>
          <w:spacing w:val="-4"/>
          <w:sz w:val="24"/>
          <w:szCs w:val="22"/>
        </w:rPr>
        <w:t xml:space="preserve"> </w:t>
      </w:r>
      <w:r w:rsidRPr="00D03260">
        <w:rPr>
          <w:rFonts w:ascii="Times New Roman" w:hAnsi="Times New Roman"/>
          <w:b/>
          <w:color w:val="auto"/>
          <w:sz w:val="24"/>
          <w:szCs w:val="22"/>
        </w:rPr>
        <w:t>State</w:t>
      </w:r>
      <w:r w:rsidRPr="00D03260">
        <w:rPr>
          <w:rFonts w:ascii="Times New Roman" w:hAnsi="Times New Roman"/>
          <w:b/>
          <w:color w:val="auto"/>
          <w:spacing w:val="-4"/>
          <w:sz w:val="24"/>
          <w:szCs w:val="22"/>
        </w:rPr>
        <w:t xml:space="preserve"> </w:t>
      </w:r>
      <w:r w:rsidRPr="00D03260">
        <w:rPr>
          <w:rFonts w:ascii="Times New Roman" w:hAnsi="Times New Roman"/>
          <w:b/>
          <w:color w:val="auto"/>
          <w:sz w:val="24"/>
          <w:szCs w:val="22"/>
        </w:rPr>
        <w:t>Health</w:t>
      </w:r>
      <w:r w:rsidRPr="00D03260">
        <w:rPr>
          <w:rFonts w:ascii="Times New Roman" w:hAnsi="Times New Roman"/>
          <w:b/>
          <w:color w:val="auto"/>
          <w:spacing w:val="-3"/>
          <w:sz w:val="24"/>
          <w:szCs w:val="22"/>
        </w:rPr>
        <w:t xml:space="preserve"> </w:t>
      </w:r>
      <w:r w:rsidRPr="00D03260">
        <w:rPr>
          <w:rFonts w:ascii="Times New Roman" w:hAnsi="Times New Roman"/>
          <w:b/>
          <w:color w:val="auto"/>
          <w:sz w:val="24"/>
          <w:szCs w:val="22"/>
        </w:rPr>
        <w:t>Department</w:t>
      </w:r>
      <w:r w:rsidRPr="00D03260">
        <w:rPr>
          <w:rFonts w:ascii="Times New Roman" w:hAnsi="Times New Roman"/>
          <w:b/>
          <w:color w:val="auto"/>
          <w:spacing w:val="-4"/>
          <w:sz w:val="24"/>
          <w:szCs w:val="22"/>
        </w:rPr>
        <w:t xml:space="preserve"> </w:t>
      </w:r>
      <w:r w:rsidRPr="00D03260">
        <w:rPr>
          <w:rFonts w:ascii="Times New Roman" w:hAnsi="Times New Roman"/>
          <w:color w:val="auto"/>
          <w:sz w:val="24"/>
          <w:szCs w:val="22"/>
        </w:rPr>
        <w:t>(Environmental</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Health</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Section)</w:t>
      </w:r>
      <w:r w:rsidRPr="00D03260">
        <w:rPr>
          <w:rFonts w:ascii="Times New Roman" w:hAnsi="Times New Roman"/>
          <w:color w:val="auto"/>
          <w:spacing w:val="-4"/>
          <w:sz w:val="24"/>
          <w:szCs w:val="22"/>
        </w:rPr>
        <w:t xml:space="preserve"> </w:t>
      </w:r>
      <w:r w:rsidRPr="00D03260">
        <w:rPr>
          <w:rFonts w:ascii="Times New Roman" w:hAnsi="Times New Roman"/>
          <w:color w:val="auto"/>
          <w:sz w:val="24"/>
          <w:szCs w:val="22"/>
        </w:rPr>
        <w:t>–</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for ways to prevent/reduce mould growth and advice on its removal</w:t>
      </w:r>
    </w:p>
    <w:p w14:paraId="397ED9F6" w14:textId="77777777" w:rsidR="00A5692F" w:rsidRPr="00D03260" w:rsidRDefault="00A5692F" w:rsidP="00A5692F">
      <w:pPr>
        <w:widowControl w:val="0"/>
        <w:numPr>
          <w:ilvl w:val="0"/>
          <w:numId w:val="86"/>
        </w:numPr>
        <w:tabs>
          <w:tab w:val="left" w:pos="459"/>
          <w:tab w:val="left" w:pos="460"/>
        </w:tabs>
        <w:autoSpaceDE w:val="0"/>
        <w:autoSpaceDN w:val="0"/>
        <w:spacing w:before="0" w:after="0" w:line="240" w:lineRule="auto"/>
        <w:ind w:right="300"/>
        <w:rPr>
          <w:rFonts w:ascii="Times New Roman" w:hAnsi="Times New Roman"/>
          <w:color w:val="auto"/>
          <w:sz w:val="24"/>
          <w:szCs w:val="22"/>
        </w:rPr>
      </w:pPr>
      <w:r w:rsidRPr="00D03260">
        <w:rPr>
          <w:rFonts w:ascii="Times New Roman" w:hAnsi="Times New Roman"/>
          <w:b/>
          <w:color w:val="auto"/>
          <w:sz w:val="24"/>
          <w:szCs w:val="22"/>
        </w:rPr>
        <w:t>Occupational</w:t>
      </w:r>
      <w:r w:rsidRPr="00D03260">
        <w:rPr>
          <w:rFonts w:ascii="Times New Roman" w:hAnsi="Times New Roman"/>
          <w:b/>
          <w:color w:val="auto"/>
          <w:spacing w:val="-2"/>
          <w:sz w:val="24"/>
          <w:szCs w:val="22"/>
        </w:rPr>
        <w:t xml:space="preserve"> </w:t>
      </w:r>
      <w:r w:rsidRPr="00D03260">
        <w:rPr>
          <w:rFonts w:ascii="Times New Roman" w:hAnsi="Times New Roman"/>
          <w:b/>
          <w:color w:val="auto"/>
          <w:sz w:val="24"/>
          <w:szCs w:val="22"/>
        </w:rPr>
        <w:t>Hygienist</w:t>
      </w:r>
      <w:r w:rsidRPr="00D03260">
        <w:rPr>
          <w:rFonts w:ascii="Times New Roman" w:hAnsi="Times New Roman"/>
          <w:b/>
          <w:color w:val="auto"/>
          <w:spacing w:val="-6"/>
          <w:sz w:val="24"/>
          <w:szCs w:val="22"/>
        </w:rPr>
        <w:t xml:space="preserve"> </w:t>
      </w:r>
      <w:r w:rsidRPr="00D03260">
        <w:rPr>
          <w:rFonts w:ascii="Times New Roman" w:hAnsi="Times New Roman"/>
          <w:color w:val="auto"/>
          <w:sz w:val="24"/>
          <w:szCs w:val="22"/>
        </w:rPr>
        <w:t>–</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for</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consultancy</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services</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at</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a</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fee</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to</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remove</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mould,</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locate</w:t>
      </w:r>
      <w:r w:rsidRPr="00D03260">
        <w:rPr>
          <w:rFonts w:ascii="Times New Roman" w:hAnsi="Times New Roman"/>
          <w:color w:val="auto"/>
          <w:spacing w:val="-3"/>
          <w:sz w:val="24"/>
          <w:szCs w:val="22"/>
        </w:rPr>
        <w:t xml:space="preserve"> </w:t>
      </w:r>
      <w:r w:rsidRPr="00D03260">
        <w:rPr>
          <w:rFonts w:ascii="Times New Roman" w:hAnsi="Times New Roman"/>
          <w:color w:val="auto"/>
          <w:sz w:val="24"/>
          <w:szCs w:val="22"/>
        </w:rPr>
        <w:t>the mould by inspection (if you can smell, but can’t see it), or to find a solution.</w:t>
      </w:r>
    </w:p>
    <w:p w14:paraId="527C8D67" w14:textId="77777777" w:rsidR="00A5692F" w:rsidRPr="00D03260" w:rsidRDefault="00A5692F" w:rsidP="00A5692F">
      <w:pPr>
        <w:widowControl w:val="0"/>
        <w:numPr>
          <w:ilvl w:val="0"/>
          <w:numId w:val="86"/>
        </w:numPr>
        <w:tabs>
          <w:tab w:val="left" w:pos="459"/>
          <w:tab w:val="left" w:pos="460"/>
        </w:tabs>
        <w:autoSpaceDE w:val="0"/>
        <w:autoSpaceDN w:val="0"/>
        <w:spacing w:before="0" w:after="0" w:line="293" w:lineRule="exact"/>
        <w:rPr>
          <w:rFonts w:ascii="Times New Roman" w:hAnsi="Times New Roman"/>
          <w:color w:val="auto"/>
          <w:sz w:val="24"/>
          <w:szCs w:val="22"/>
        </w:rPr>
      </w:pPr>
      <w:r w:rsidRPr="00D03260">
        <w:rPr>
          <w:rFonts w:ascii="Times New Roman" w:hAnsi="Times New Roman"/>
          <w:b/>
          <w:color w:val="auto"/>
          <w:sz w:val="24"/>
          <w:szCs w:val="22"/>
        </w:rPr>
        <w:t>Your</w:t>
      </w:r>
      <w:r w:rsidRPr="00D03260">
        <w:rPr>
          <w:rFonts w:ascii="Times New Roman" w:hAnsi="Times New Roman"/>
          <w:b/>
          <w:color w:val="auto"/>
          <w:spacing w:val="-5"/>
          <w:sz w:val="24"/>
          <w:szCs w:val="22"/>
        </w:rPr>
        <w:t xml:space="preserve"> </w:t>
      </w:r>
      <w:r w:rsidRPr="00D03260">
        <w:rPr>
          <w:rFonts w:ascii="Times New Roman" w:hAnsi="Times New Roman"/>
          <w:b/>
          <w:color w:val="auto"/>
          <w:sz w:val="24"/>
          <w:szCs w:val="22"/>
        </w:rPr>
        <w:t>insurance</w:t>
      </w:r>
      <w:r w:rsidRPr="00D03260">
        <w:rPr>
          <w:rFonts w:ascii="Times New Roman" w:hAnsi="Times New Roman"/>
          <w:b/>
          <w:color w:val="auto"/>
          <w:spacing w:val="-2"/>
          <w:sz w:val="24"/>
          <w:szCs w:val="22"/>
        </w:rPr>
        <w:t xml:space="preserve"> </w:t>
      </w:r>
      <w:r w:rsidRPr="00D03260">
        <w:rPr>
          <w:rFonts w:ascii="Times New Roman" w:hAnsi="Times New Roman"/>
          <w:b/>
          <w:color w:val="auto"/>
          <w:sz w:val="24"/>
          <w:szCs w:val="22"/>
        </w:rPr>
        <w:t>company</w:t>
      </w:r>
      <w:r w:rsidRPr="00D03260">
        <w:rPr>
          <w:rFonts w:ascii="Times New Roman" w:hAnsi="Times New Roman"/>
          <w:b/>
          <w:color w:val="auto"/>
          <w:spacing w:val="-2"/>
          <w:sz w:val="24"/>
          <w:szCs w:val="22"/>
        </w:rPr>
        <w:t xml:space="preserve"> </w:t>
      </w:r>
      <w:r w:rsidRPr="00D03260">
        <w:rPr>
          <w:rFonts w:ascii="Times New Roman" w:hAnsi="Times New Roman"/>
          <w:color w:val="auto"/>
          <w:sz w:val="24"/>
          <w:szCs w:val="22"/>
        </w:rPr>
        <w:t>–</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after</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a</w:t>
      </w:r>
      <w:r w:rsidRPr="00D03260">
        <w:rPr>
          <w:rFonts w:ascii="Times New Roman" w:hAnsi="Times New Roman"/>
          <w:color w:val="auto"/>
          <w:spacing w:val="-2"/>
          <w:sz w:val="24"/>
          <w:szCs w:val="22"/>
        </w:rPr>
        <w:t xml:space="preserve"> flood</w:t>
      </w:r>
    </w:p>
    <w:p w14:paraId="0F499CDC" w14:textId="77777777" w:rsidR="00A5692F" w:rsidRPr="00D03260" w:rsidRDefault="00A5692F" w:rsidP="00A5692F">
      <w:pPr>
        <w:widowControl w:val="0"/>
        <w:numPr>
          <w:ilvl w:val="0"/>
          <w:numId w:val="86"/>
        </w:numPr>
        <w:tabs>
          <w:tab w:val="left" w:pos="459"/>
          <w:tab w:val="left" w:pos="460"/>
        </w:tabs>
        <w:autoSpaceDE w:val="0"/>
        <w:autoSpaceDN w:val="0"/>
        <w:spacing w:before="0" w:after="0" w:line="293" w:lineRule="exact"/>
        <w:rPr>
          <w:rFonts w:ascii="Times New Roman" w:hAnsi="Times New Roman"/>
          <w:color w:val="auto"/>
          <w:sz w:val="24"/>
          <w:szCs w:val="22"/>
        </w:rPr>
      </w:pPr>
      <w:r w:rsidRPr="00D03260">
        <w:rPr>
          <w:rFonts w:ascii="Times New Roman" w:hAnsi="Times New Roman"/>
          <w:b/>
          <w:color w:val="auto"/>
          <w:sz w:val="24"/>
          <w:szCs w:val="22"/>
        </w:rPr>
        <w:t>The</w:t>
      </w:r>
      <w:r w:rsidRPr="00D03260">
        <w:rPr>
          <w:rFonts w:ascii="Times New Roman" w:hAnsi="Times New Roman"/>
          <w:b/>
          <w:color w:val="auto"/>
          <w:spacing w:val="-5"/>
          <w:sz w:val="24"/>
          <w:szCs w:val="22"/>
        </w:rPr>
        <w:t xml:space="preserve"> </w:t>
      </w:r>
      <w:r w:rsidRPr="00D03260">
        <w:rPr>
          <w:rFonts w:ascii="Times New Roman" w:hAnsi="Times New Roman"/>
          <w:b/>
          <w:color w:val="auto"/>
          <w:sz w:val="24"/>
          <w:szCs w:val="22"/>
        </w:rPr>
        <w:t>relevant</w:t>
      </w:r>
      <w:r w:rsidRPr="00D03260">
        <w:rPr>
          <w:rFonts w:ascii="Times New Roman" w:hAnsi="Times New Roman"/>
          <w:b/>
          <w:color w:val="auto"/>
          <w:spacing w:val="-2"/>
          <w:sz w:val="24"/>
          <w:szCs w:val="22"/>
        </w:rPr>
        <w:t xml:space="preserve"> </w:t>
      </w:r>
      <w:r w:rsidRPr="00D03260">
        <w:rPr>
          <w:rFonts w:ascii="Times New Roman" w:hAnsi="Times New Roman"/>
          <w:b/>
          <w:color w:val="auto"/>
          <w:sz w:val="24"/>
          <w:szCs w:val="22"/>
        </w:rPr>
        <w:t>Tenants</w:t>
      </w:r>
      <w:r w:rsidRPr="00D03260">
        <w:rPr>
          <w:rFonts w:ascii="Times New Roman" w:hAnsi="Times New Roman"/>
          <w:b/>
          <w:color w:val="auto"/>
          <w:spacing w:val="-1"/>
          <w:sz w:val="24"/>
          <w:szCs w:val="22"/>
        </w:rPr>
        <w:t xml:space="preserve"> </w:t>
      </w:r>
      <w:r w:rsidRPr="00D03260">
        <w:rPr>
          <w:rFonts w:ascii="Times New Roman" w:hAnsi="Times New Roman"/>
          <w:b/>
          <w:color w:val="auto"/>
          <w:sz w:val="24"/>
          <w:szCs w:val="22"/>
        </w:rPr>
        <w:t>Union</w:t>
      </w:r>
      <w:r w:rsidRPr="00D03260">
        <w:rPr>
          <w:rFonts w:ascii="Times New Roman" w:hAnsi="Times New Roman"/>
          <w:b/>
          <w:color w:val="auto"/>
          <w:spacing w:val="-1"/>
          <w:sz w:val="24"/>
          <w:szCs w:val="22"/>
        </w:rPr>
        <w:t xml:space="preserve"> </w:t>
      </w:r>
      <w:r w:rsidRPr="00D03260">
        <w:rPr>
          <w:rFonts w:ascii="Times New Roman" w:hAnsi="Times New Roman"/>
          <w:color w:val="auto"/>
          <w:sz w:val="24"/>
          <w:szCs w:val="22"/>
        </w:rPr>
        <w:t>in</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your</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state</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for</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rental</w:t>
      </w:r>
      <w:r w:rsidRPr="00D03260">
        <w:rPr>
          <w:rFonts w:ascii="Times New Roman" w:hAnsi="Times New Roman"/>
          <w:color w:val="auto"/>
          <w:spacing w:val="-1"/>
          <w:sz w:val="24"/>
          <w:szCs w:val="22"/>
        </w:rPr>
        <w:t xml:space="preserve"> </w:t>
      </w:r>
      <w:r w:rsidRPr="00D03260">
        <w:rPr>
          <w:rFonts w:ascii="Times New Roman" w:hAnsi="Times New Roman"/>
          <w:color w:val="auto"/>
          <w:spacing w:val="-2"/>
          <w:sz w:val="24"/>
          <w:szCs w:val="22"/>
        </w:rPr>
        <w:t>properties</w:t>
      </w:r>
    </w:p>
    <w:p w14:paraId="161361BE" w14:textId="77777777" w:rsidR="00A5692F" w:rsidRPr="00D03260" w:rsidRDefault="00A5692F" w:rsidP="00A5692F">
      <w:pPr>
        <w:widowControl w:val="0"/>
        <w:numPr>
          <w:ilvl w:val="0"/>
          <w:numId w:val="86"/>
        </w:numPr>
        <w:tabs>
          <w:tab w:val="left" w:pos="459"/>
          <w:tab w:val="left" w:pos="460"/>
        </w:tabs>
        <w:autoSpaceDE w:val="0"/>
        <w:autoSpaceDN w:val="0"/>
        <w:spacing w:before="0" w:after="0" w:line="293" w:lineRule="exact"/>
        <w:rPr>
          <w:rFonts w:ascii="Times New Roman" w:hAnsi="Times New Roman"/>
          <w:color w:val="auto"/>
          <w:sz w:val="24"/>
          <w:szCs w:val="22"/>
        </w:rPr>
      </w:pPr>
      <w:r w:rsidRPr="00D03260">
        <w:rPr>
          <w:rFonts w:ascii="Times New Roman" w:hAnsi="Times New Roman"/>
          <w:b/>
          <w:color w:val="auto"/>
          <w:sz w:val="24"/>
          <w:szCs w:val="22"/>
        </w:rPr>
        <w:t>The</w:t>
      </w:r>
      <w:r w:rsidRPr="00D03260">
        <w:rPr>
          <w:rFonts w:ascii="Times New Roman" w:hAnsi="Times New Roman"/>
          <w:b/>
          <w:color w:val="auto"/>
          <w:spacing w:val="-5"/>
          <w:sz w:val="24"/>
          <w:szCs w:val="22"/>
        </w:rPr>
        <w:t xml:space="preserve"> </w:t>
      </w:r>
      <w:r w:rsidRPr="00D03260">
        <w:rPr>
          <w:rFonts w:ascii="Times New Roman" w:hAnsi="Times New Roman"/>
          <w:b/>
          <w:color w:val="auto"/>
          <w:sz w:val="24"/>
          <w:szCs w:val="22"/>
        </w:rPr>
        <w:t>relevant</w:t>
      </w:r>
      <w:r w:rsidRPr="00D03260">
        <w:rPr>
          <w:rFonts w:ascii="Times New Roman" w:hAnsi="Times New Roman"/>
          <w:b/>
          <w:color w:val="auto"/>
          <w:spacing w:val="-2"/>
          <w:sz w:val="24"/>
          <w:szCs w:val="22"/>
        </w:rPr>
        <w:t xml:space="preserve"> </w:t>
      </w:r>
      <w:r w:rsidRPr="00D03260">
        <w:rPr>
          <w:rFonts w:ascii="Times New Roman" w:hAnsi="Times New Roman"/>
          <w:b/>
          <w:color w:val="auto"/>
          <w:sz w:val="24"/>
          <w:szCs w:val="22"/>
        </w:rPr>
        <w:t>Consumer</w:t>
      </w:r>
      <w:r w:rsidRPr="00D03260">
        <w:rPr>
          <w:rFonts w:ascii="Times New Roman" w:hAnsi="Times New Roman"/>
          <w:b/>
          <w:color w:val="auto"/>
          <w:spacing w:val="-3"/>
          <w:sz w:val="24"/>
          <w:szCs w:val="22"/>
        </w:rPr>
        <w:t xml:space="preserve"> </w:t>
      </w:r>
      <w:r w:rsidRPr="00D03260">
        <w:rPr>
          <w:rFonts w:ascii="Times New Roman" w:hAnsi="Times New Roman"/>
          <w:b/>
          <w:color w:val="auto"/>
          <w:sz w:val="24"/>
          <w:szCs w:val="22"/>
        </w:rPr>
        <w:t>Affairs</w:t>
      </w:r>
      <w:r w:rsidRPr="00D03260">
        <w:rPr>
          <w:rFonts w:ascii="Times New Roman" w:hAnsi="Times New Roman"/>
          <w:b/>
          <w:color w:val="auto"/>
          <w:spacing w:val="-1"/>
          <w:sz w:val="24"/>
          <w:szCs w:val="22"/>
        </w:rPr>
        <w:t xml:space="preserve"> </w:t>
      </w:r>
      <w:r w:rsidRPr="00D03260">
        <w:rPr>
          <w:rFonts w:ascii="Times New Roman" w:hAnsi="Times New Roman"/>
          <w:b/>
          <w:color w:val="auto"/>
          <w:sz w:val="24"/>
          <w:szCs w:val="22"/>
        </w:rPr>
        <w:t>Authority</w:t>
      </w:r>
      <w:r w:rsidRPr="00D03260">
        <w:rPr>
          <w:rFonts w:ascii="Times New Roman" w:hAnsi="Times New Roman"/>
          <w:b/>
          <w:color w:val="auto"/>
          <w:spacing w:val="-3"/>
          <w:sz w:val="24"/>
          <w:szCs w:val="22"/>
        </w:rPr>
        <w:t xml:space="preserve"> </w:t>
      </w:r>
      <w:r w:rsidRPr="00D03260">
        <w:rPr>
          <w:rFonts w:ascii="Times New Roman" w:hAnsi="Times New Roman"/>
          <w:color w:val="auto"/>
          <w:sz w:val="24"/>
          <w:szCs w:val="22"/>
        </w:rPr>
        <w:t>in</w:t>
      </w:r>
      <w:r w:rsidRPr="00D03260">
        <w:rPr>
          <w:rFonts w:ascii="Times New Roman" w:hAnsi="Times New Roman"/>
          <w:color w:val="auto"/>
          <w:spacing w:val="-1"/>
          <w:sz w:val="24"/>
          <w:szCs w:val="22"/>
        </w:rPr>
        <w:t xml:space="preserve"> </w:t>
      </w:r>
      <w:r w:rsidRPr="00D03260">
        <w:rPr>
          <w:rFonts w:ascii="Times New Roman" w:hAnsi="Times New Roman"/>
          <w:color w:val="auto"/>
          <w:sz w:val="24"/>
          <w:szCs w:val="22"/>
        </w:rPr>
        <w:t>your</w:t>
      </w:r>
      <w:r w:rsidRPr="00D03260">
        <w:rPr>
          <w:rFonts w:ascii="Times New Roman" w:hAnsi="Times New Roman"/>
          <w:color w:val="auto"/>
          <w:spacing w:val="-2"/>
          <w:sz w:val="24"/>
          <w:szCs w:val="22"/>
        </w:rPr>
        <w:t xml:space="preserve"> state</w:t>
      </w:r>
    </w:p>
    <w:p w14:paraId="009963E2" w14:textId="77777777" w:rsidR="00A5692F" w:rsidRPr="00D03260" w:rsidRDefault="00A5692F" w:rsidP="00A5692F">
      <w:pPr>
        <w:widowControl w:val="0"/>
        <w:numPr>
          <w:ilvl w:val="0"/>
          <w:numId w:val="86"/>
        </w:numPr>
        <w:tabs>
          <w:tab w:val="left" w:pos="459"/>
          <w:tab w:val="left" w:pos="460"/>
        </w:tabs>
        <w:autoSpaceDE w:val="0"/>
        <w:autoSpaceDN w:val="0"/>
        <w:spacing w:before="1" w:after="0" w:line="240" w:lineRule="auto"/>
        <w:rPr>
          <w:rFonts w:ascii="Times New Roman" w:hAnsi="Times New Roman"/>
          <w:color w:val="auto"/>
          <w:sz w:val="24"/>
          <w:szCs w:val="22"/>
        </w:rPr>
      </w:pPr>
      <w:r w:rsidRPr="00D03260">
        <w:rPr>
          <w:rFonts w:ascii="Times New Roman" w:hAnsi="Times New Roman"/>
          <w:b/>
          <w:color w:val="auto"/>
          <w:sz w:val="24"/>
          <w:szCs w:val="22"/>
        </w:rPr>
        <w:t>The</w:t>
      </w:r>
      <w:r w:rsidRPr="00D03260">
        <w:rPr>
          <w:rFonts w:ascii="Times New Roman" w:hAnsi="Times New Roman"/>
          <w:b/>
          <w:color w:val="auto"/>
          <w:spacing w:val="-3"/>
          <w:sz w:val="24"/>
          <w:szCs w:val="22"/>
        </w:rPr>
        <w:t xml:space="preserve"> </w:t>
      </w:r>
      <w:r w:rsidRPr="00D03260">
        <w:rPr>
          <w:rFonts w:ascii="Times New Roman" w:hAnsi="Times New Roman"/>
          <w:b/>
          <w:color w:val="auto"/>
          <w:sz w:val="24"/>
          <w:szCs w:val="22"/>
        </w:rPr>
        <w:t>relevant</w:t>
      </w:r>
      <w:r w:rsidRPr="00D03260">
        <w:rPr>
          <w:rFonts w:ascii="Times New Roman" w:hAnsi="Times New Roman"/>
          <w:b/>
          <w:color w:val="auto"/>
          <w:spacing w:val="-3"/>
          <w:sz w:val="24"/>
          <w:szCs w:val="22"/>
        </w:rPr>
        <w:t xml:space="preserve"> </w:t>
      </w:r>
      <w:r w:rsidRPr="00D03260">
        <w:rPr>
          <w:rFonts w:ascii="Times New Roman" w:hAnsi="Times New Roman"/>
          <w:b/>
          <w:color w:val="auto"/>
          <w:sz w:val="24"/>
          <w:szCs w:val="22"/>
        </w:rPr>
        <w:t>Domestic</w:t>
      </w:r>
      <w:r w:rsidRPr="00D03260">
        <w:rPr>
          <w:rFonts w:ascii="Times New Roman" w:hAnsi="Times New Roman"/>
          <w:b/>
          <w:color w:val="auto"/>
          <w:spacing w:val="-1"/>
          <w:sz w:val="24"/>
          <w:szCs w:val="22"/>
        </w:rPr>
        <w:t xml:space="preserve"> </w:t>
      </w:r>
      <w:r w:rsidRPr="00D03260">
        <w:rPr>
          <w:rFonts w:ascii="Times New Roman" w:hAnsi="Times New Roman"/>
          <w:b/>
          <w:color w:val="auto"/>
          <w:sz w:val="24"/>
          <w:szCs w:val="22"/>
        </w:rPr>
        <w:t>building</w:t>
      </w:r>
      <w:r w:rsidRPr="00D03260">
        <w:rPr>
          <w:rFonts w:ascii="Times New Roman" w:hAnsi="Times New Roman"/>
          <w:b/>
          <w:color w:val="auto"/>
          <w:spacing w:val="-3"/>
          <w:sz w:val="24"/>
          <w:szCs w:val="22"/>
        </w:rPr>
        <w:t xml:space="preserve"> </w:t>
      </w:r>
      <w:r w:rsidRPr="00D03260">
        <w:rPr>
          <w:rFonts w:ascii="Times New Roman" w:hAnsi="Times New Roman"/>
          <w:b/>
          <w:color w:val="auto"/>
          <w:sz w:val="24"/>
          <w:szCs w:val="22"/>
        </w:rPr>
        <w:t>complaints</w:t>
      </w:r>
      <w:r w:rsidRPr="00D03260">
        <w:rPr>
          <w:rFonts w:ascii="Times New Roman" w:hAnsi="Times New Roman"/>
          <w:b/>
          <w:color w:val="auto"/>
          <w:spacing w:val="-2"/>
          <w:sz w:val="24"/>
          <w:szCs w:val="22"/>
        </w:rPr>
        <w:t xml:space="preserve"> </w:t>
      </w:r>
      <w:r w:rsidRPr="00D03260">
        <w:rPr>
          <w:rFonts w:ascii="Times New Roman" w:hAnsi="Times New Roman"/>
          <w:b/>
          <w:color w:val="auto"/>
          <w:sz w:val="24"/>
          <w:szCs w:val="22"/>
        </w:rPr>
        <w:t>/</w:t>
      </w:r>
      <w:r w:rsidRPr="00D03260">
        <w:rPr>
          <w:rFonts w:ascii="Times New Roman" w:hAnsi="Times New Roman"/>
          <w:b/>
          <w:color w:val="auto"/>
          <w:spacing w:val="-2"/>
          <w:sz w:val="24"/>
          <w:szCs w:val="22"/>
        </w:rPr>
        <w:t xml:space="preserve"> </w:t>
      </w:r>
      <w:r w:rsidRPr="00D03260">
        <w:rPr>
          <w:rFonts w:ascii="Times New Roman" w:hAnsi="Times New Roman"/>
          <w:b/>
          <w:color w:val="auto"/>
          <w:sz w:val="24"/>
          <w:szCs w:val="22"/>
        </w:rPr>
        <w:t>dispute</w:t>
      </w:r>
      <w:r w:rsidRPr="00D03260">
        <w:rPr>
          <w:rFonts w:ascii="Times New Roman" w:hAnsi="Times New Roman"/>
          <w:b/>
          <w:color w:val="auto"/>
          <w:spacing w:val="-3"/>
          <w:sz w:val="24"/>
          <w:szCs w:val="22"/>
        </w:rPr>
        <w:t xml:space="preserve"> </w:t>
      </w:r>
      <w:r w:rsidRPr="00D03260">
        <w:rPr>
          <w:rFonts w:ascii="Times New Roman" w:hAnsi="Times New Roman"/>
          <w:b/>
          <w:color w:val="auto"/>
          <w:sz w:val="24"/>
          <w:szCs w:val="22"/>
        </w:rPr>
        <w:t>resolution</w:t>
      </w:r>
      <w:r w:rsidRPr="00D03260">
        <w:rPr>
          <w:rFonts w:ascii="Times New Roman" w:hAnsi="Times New Roman"/>
          <w:b/>
          <w:color w:val="auto"/>
          <w:spacing w:val="-2"/>
          <w:sz w:val="24"/>
          <w:szCs w:val="22"/>
        </w:rPr>
        <w:t xml:space="preserve"> </w:t>
      </w:r>
      <w:r w:rsidRPr="00D03260">
        <w:rPr>
          <w:rFonts w:ascii="Times New Roman" w:hAnsi="Times New Roman"/>
          <w:b/>
          <w:color w:val="auto"/>
          <w:sz w:val="24"/>
          <w:szCs w:val="22"/>
        </w:rPr>
        <w:t>service</w:t>
      </w:r>
      <w:r w:rsidRPr="00D03260">
        <w:rPr>
          <w:rFonts w:ascii="Times New Roman" w:hAnsi="Times New Roman"/>
          <w:b/>
          <w:color w:val="auto"/>
          <w:spacing w:val="-1"/>
          <w:sz w:val="24"/>
          <w:szCs w:val="22"/>
        </w:rPr>
        <w:t xml:space="preserve"> </w:t>
      </w:r>
      <w:r w:rsidRPr="00D03260">
        <w:rPr>
          <w:rFonts w:ascii="Times New Roman" w:hAnsi="Times New Roman"/>
          <w:color w:val="auto"/>
          <w:sz w:val="24"/>
          <w:szCs w:val="22"/>
        </w:rPr>
        <w:t>in</w:t>
      </w:r>
      <w:r w:rsidRPr="00D03260">
        <w:rPr>
          <w:rFonts w:ascii="Times New Roman" w:hAnsi="Times New Roman"/>
          <w:color w:val="auto"/>
          <w:spacing w:val="-2"/>
          <w:sz w:val="24"/>
          <w:szCs w:val="22"/>
        </w:rPr>
        <w:t xml:space="preserve"> </w:t>
      </w:r>
      <w:r w:rsidRPr="00D03260">
        <w:rPr>
          <w:rFonts w:ascii="Times New Roman" w:hAnsi="Times New Roman"/>
          <w:color w:val="auto"/>
          <w:sz w:val="24"/>
          <w:szCs w:val="22"/>
        </w:rPr>
        <w:t>your</w:t>
      </w:r>
      <w:r w:rsidRPr="00D03260">
        <w:rPr>
          <w:rFonts w:ascii="Times New Roman" w:hAnsi="Times New Roman"/>
          <w:color w:val="auto"/>
          <w:spacing w:val="-2"/>
          <w:sz w:val="24"/>
          <w:szCs w:val="22"/>
        </w:rPr>
        <w:t xml:space="preserve"> state</w:t>
      </w:r>
      <w:bookmarkEnd w:id="501"/>
    </w:p>
    <w:p w14:paraId="0AE94BBC" w14:textId="4C9164A3" w:rsidR="00CB44DA" w:rsidRPr="00D03260" w:rsidRDefault="00CB44DA" w:rsidP="00876C83">
      <w:pPr>
        <w:rPr>
          <w:color w:val="auto"/>
        </w:rPr>
      </w:pPr>
      <w:r w:rsidRPr="00D03260">
        <w:rPr>
          <w:color w:val="auto"/>
        </w:rPr>
        <w:br w:type="page"/>
      </w:r>
    </w:p>
    <w:p w14:paraId="0BF479D0" w14:textId="04BD7DDD" w:rsidR="00CB44DA" w:rsidRPr="00D03260" w:rsidRDefault="00CB44DA" w:rsidP="00CB44DA">
      <w:pPr>
        <w:pStyle w:val="Heading1"/>
      </w:pPr>
      <w:bookmarkStart w:id="544" w:name="AppendixECIRS"/>
      <w:bookmarkStart w:id="545" w:name="_Toc141885989"/>
      <w:bookmarkEnd w:id="544"/>
      <w:r w:rsidRPr="00D03260">
        <w:t xml:space="preserve">Appendix E: </w:t>
      </w:r>
      <w:bookmarkStart w:id="546" w:name="_Hlk120699954"/>
      <w:r w:rsidRPr="00D03260">
        <w:t>Chronic Inflammatory Response Syndrome (CIRS)</w:t>
      </w:r>
      <w:bookmarkEnd w:id="545"/>
      <w:bookmarkEnd w:id="546"/>
    </w:p>
    <w:p w14:paraId="3CF1E413" w14:textId="77777777" w:rsidR="00CB44DA" w:rsidRPr="00D03260" w:rsidRDefault="00CB44DA" w:rsidP="00CB44DA">
      <w:r w:rsidRPr="00D03260">
        <w:t xml:space="preserve">The evidence base on CIRS and exposure to mould is very limited. CIRS is not a recognised disease in Australia, with no scientifically validated or approved diagnostic criteria, and it is not a notifiable disease. </w:t>
      </w:r>
    </w:p>
    <w:p w14:paraId="26C779A1" w14:textId="01A23F3C" w:rsidR="00CB44DA" w:rsidRPr="00D03260" w:rsidRDefault="00CB44DA" w:rsidP="00CB44DA">
      <w:r w:rsidRPr="00D03260">
        <w:t xml:space="preserve">CIRS has been the subject of a House of Representatives Inquiry that notes that biotoxin-related illnesses and CIRS are not widely recognised medical conditions among the Australian medical profession. The Inquiry also noted that a small number of medical practitioners in Australia provide treatment to patients who they diagnosed or provisionally diagnosed as having CIRS, including access to the treatment protocol and the side effects of the medications used. </w:t>
      </w:r>
    </w:p>
    <w:p w14:paraId="4D91EF54" w14:textId="63DB51D4" w:rsidR="00CB44DA" w:rsidRPr="00D03260" w:rsidRDefault="00CB44DA" w:rsidP="00CB44DA">
      <w:r w:rsidRPr="00D03260">
        <w:t xml:space="preserve">There is no reliable evidence on the clinical epidemiology of CIRS attributed to exposure to indoor damp or mould in Australia, </w:t>
      </w:r>
      <w:r w:rsidR="00B04991" w:rsidRPr="00D03260">
        <w:t>which</w:t>
      </w:r>
      <w:r w:rsidRPr="00D03260">
        <w:t xml:space="preserve"> can be reliably used to inform an evidence based clinical pathway.</w:t>
      </w:r>
    </w:p>
    <w:p w14:paraId="72973B2F" w14:textId="2EA99F1C" w:rsidR="00CB44DA" w:rsidRPr="00D03260" w:rsidRDefault="00CB44DA" w:rsidP="00CB44DA">
      <w:r w:rsidRPr="00D03260">
        <w:t xml:space="preserve">None of the international guidelines, or numerous international authority or medical professional association evidence reviews included in the </w:t>
      </w:r>
      <w:r w:rsidR="00D46072" w:rsidRPr="00D03260">
        <w:t>e</w:t>
      </w:r>
      <w:r w:rsidRPr="00D03260">
        <w:t xml:space="preserve">vidence </w:t>
      </w:r>
      <w:r w:rsidR="00D46072" w:rsidRPr="00D03260">
        <w:t>e</w:t>
      </w:r>
      <w:r w:rsidRPr="00D03260">
        <w:t>valuation that underpins this Clinical Pathway mentioned CIRS or Chronic Inflammatory Response Syndrome – Water-Damaged Buildings (CIRS-WDB) as a possible health effect from exposure to indoor damp or mould. As such, CIRS or CIRS-WBD has been categorised in this Clinical Pathway as a syndrome or health effect for which there is insufficient or inadequate evidence of an association with exposure to indoor damp or mould.</w:t>
      </w:r>
    </w:p>
    <w:p w14:paraId="2EC679D4" w14:textId="7AAA18BC" w:rsidR="00CB44DA" w:rsidRPr="00D03260" w:rsidRDefault="00CB44DA" w:rsidP="00CB44DA">
      <w:r w:rsidRPr="00D03260">
        <w:t xml:space="preserve">The following sub sections provide more information from the </w:t>
      </w:r>
      <w:r w:rsidR="00ED0A13" w:rsidRPr="00D03260">
        <w:t>e</w:t>
      </w:r>
      <w:r w:rsidRPr="00D03260">
        <w:t xml:space="preserve">vidence </w:t>
      </w:r>
      <w:r w:rsidR="00ED0A13" w:rsidRPr="00D03260">
        <w:t>e</w:t>
      </w:r>
      <w:r w:rsidRPr="00D03260">
        <w:t xml:space="preserve">valuation about the background and context of CIRS in Australia, the symptoms and symptom complexes reported to be associated with CIRS, the limited evidence base on the diagnostic tests and treatments used by CIRS practitioners to diagnose CIRS, and </w:t>
      </w:r>
      <w:r w:rsidR="001B041A" w:rsidRPr="00D03260">
        <w:t xml:space="preserve">to </w:t>
      </w:r>
      <w:r w:rsidRPr="00D03260">
        <w:t xml:space="preserve">treat patients diagnosed with CIRS. The potential side effects of the medications used to treat patients diagnosed with CIRS is provided in </w:t>
      </w:r>
      <w:hyperlink w:anchor="AppendixFPotentialSideEffectsOfPharmaceu" w:history="1">
        <w:r w:rsidR="00862E4F" w:rsidRPr="00D03260">
          <w:rPr>
            <w:rStyle w:val="Hyperlink"/>
          </w:rPr>
          <w:t>Appendix F</w:t>
        </w:r>
      </w:hyperlink>
      <w:r w:rsidRPr="00D03260">
        <w:t xml:space="preserve"> (on ‘Potential side effects of pharmaceuticals used in the</w:t>
      </w:r>
      <w:r w:rsidR="005648B5" w:rsidRPr="00D03260">
        <w:t xml:space="preserve"> treatment of patients with </w:t>
      </w:r>
      <w:r w:rsidR="00B04991" w:rsidRPr="00D03260">
        <w:t>CIRS’</w:t>
      </w:r>
      <w:r w:rsidRPr="00D03260">
        <w:t>).</w:t>
      </w:r>
    </w:p>
    <w:p w14:paraId="0F3C8852" w14:textId="77777777" w:rsidR="00CB44DA" w:rsidRPr="00D03260" w:rsidRDefault="00CB44DA" w:rsidP="00CB44DA">
      <w:pPr>
        <w:pStyle w:val="Heading2"/>
      </w:pPr>
      <w:bookmarkStart w:id="547" w:name="_Toc121329417"/>
      <w:bookmarkStart w:id="548" w:name="_Toc121834560"/>
      <w:bookmarkStart w:id="549" w:name="_Toc141885990"/>
      <w:r w:rsidRPr="00D03260">
        <w:t>Background and context of CIRS in Australia</w:t>
      </w:r>
      <w:bookmarkEnd w:id="547"/>
      <w:bookmarkEnd w:id="548"/>
      <w:bookmarkEnd w:id="549"/>
    </w:p>
    <w:p w14:paraId="20465E26" w14:textId="012CA8B2" w:rsidR="00CB44DA" w:rsidRPr="00D03260" w:rsidRDefault="00CB44DA" w:rsidP="00CB44DA">
      <w:r w:rsidRPr="00D03260">
        <w:t xml:space="preserve">In 2018, the House of Representatives Standing Committee on Health, Aged Care and Sport issued its Inquiry Report (the Report) into Biotoxin-related Illnesses in Australia </w:t>
      </w:r>
      <w:r w:rsidRPr="00D03260">
        <w:fldChar w:fldCharType="begin"/>
      </w:r>
      <w:r w:rsidR="00217980" w:rsidRPr="00D03260">
        <w:instrText xml:space="preserve"> ADDIN ZOTERO_ITEM CSL_CITATION {"citationID":"d263EQRb","properties":{"formattedCitation":"(House of Representatives Standing Committee on Health, Aged Care and Sport, 2018)","plainCitation":"(House of Representatives Standing Committee on Health, Aged Care and Sport, 2018)","noteIndex":0},"citationItems":[{"id":2054,"uris":["http://zotero.org/groups/4371185/items/Z729ASVA"],"itemData":{"id":2054,"type":"report","language":"English","publisher":"Parliament of the Commonwealth of Australia","title":"Report on the Inquiry into Biotoxin-related Illnesses in Australia","author":[{"family":"House of Representatives Standing Committee on Health, Aged Care and Sport","given":""}],"issued":{"date-parts":[["2018",10]]}}}],"schema":"https://github.com/citation-style-language/schema/raw/master/csl-citation.json"} </w:instrText>
      </w:r>
      <w:r w:rsidRPr="00D03260">
        <w:fldChar w:fldCharType="separate"/>
      </w:r>
      <w:r w:rsidRPr="00D03260">
        <w:t>(House of Representatives Standing Committee on Health, Aged Care and Sport, 2018)</w:t>
      </w:r>
      <w:r w:rsidRPr="00D03260">
        <w:fldChar w:fldCharType="end"/>
      </w:r>
      <w:r w:rsidRPr="00D03260">
        <w:t xml:space="preserve">. The House of Representatives Inquiry (the Inquiry) noted that spores produced by mould have the potential to cause health issues if inhaled by susceptible individuals. While the prevalence of a condition referred to as CIRS has been described in Australia and internationally as a biotoxin-related illness, the Inquiry Committee reported that biotoxin-related illnesses and CIRS are not widely recognised medical conditions among the Australian medical profession. Additionally, advice from the Department to the Inquiry noted that biotoxin-related illnesses are not captured within the National Notifiable Diseases Surveillance System, that data is not retained on their frequency or distribution, and there are no clinical guidelines for the diagnosis and treatment of CIRS </w:t>
      </w:r>
      <w:r w:rsidRPr="00D03260">
        <w:fldChar w:fldCharType="begin"/>
      </w:r>
      <w:r w:rsidR="00217980" w:rsidRPr="00D03260">
        <w:instrText xml:space="preserve"> ADDIN ZOTERO_ITEM CSL_CITATION {"citationID":"qNy8fTcO","properties":{"formattedCitation":"(House of Representatives Standing Committee on Health, Aged Care and Sport, 2018)","plainCitation":"(House of Representatives Standing Committee on Health, Aged Care and Sport, 2018)","noteIndex":0},"citationItems":[{"id":2054,"uris":["http://zotero.org/groups/4371185/items/Z729ASVA"],"itemData":{"id":2054,"type":"report","language":"English","publisher":"Parliament of the Commonwealth of Australia","title":"Report on the Inquiry into Biotoxin-related Illnesses in Australia","author":[{"family":"House of Representatives Standing Committee on Health, Aged Care and Sport","given":""}],"issued":{"date-parts":[["2018",10]]}}}],"schema":"https://github.com/citation-style-language/schema/raw/master/csl-citation.json"} </w:instrText>
      </w:r>
      <w:r w:rsidRPr="00D03260">
        <w:fldChar w:fldCharType="separate"/>
      </w:r>
      <w:r w:rsidRPr="00D03260">
        <w:t>(House of Representatives Standing Committee on Health, Aged Care and Sport, 2018)</w:t>
      </w:r>
      <w:r w:rsidRPr="00D03260">
        <w:fldChar w:fldCharType="end"/>
      </w:r>
      <w:r w:rsidRPr="00D03260">
        <w:t>.</w:t>
      </w:r>
    </w:p>
    <w:p w14:paraId="46969FA9" w14:textId="626F9CFA" w:rsidR="00CB44DA" w:rsidRPr="00D03260" w:rsidRDefault="00CB44DA" w:rsidP="00CB44DA">
      <w:pPr>
        <w:rPr>
          <w:rStyle w:val="BodyTextChar"/>
        </w:rPr>
      </w:pPr>
      <w:r w:rsidRPr="00D03260">
        <w:t xml:space="preserve">The Australian Government acknowledged it sympathises with, and is concerned for, those patients who are suffering debilitating symptoms they believe to be associated with exposure to mould and/or biotoxins. The Australian Government advised that further research is required into the link between such symptoms and exposure to mould. Additionally, the Australian Government noted that there are many similarities between such symptom complexes and others, such as symptom complexes attributed to ticks or chronic fatigue-like symptoms and therefore there is an opportunity to take a broad multidisciplinary approach. This approach would include working with patients, health groups and practitioners to investigate how to provide better care to all patients with complex symptom groups that are not yet medically explained </w:t>
      </w:r>
      <w:r w:rsidRPr="00D03260">
        <w:fldChar w:fldCharType="begin"/>
      </w:r>
      <w:r w:rsidR="00217980" w:rsidRPr="00D03260">
        <w:instrText xml:space="preserve"> ADDIN ZOTERO_ITEM CSL_CITATION {"citationID":"ZmOHmcrr","properties":{"formattedCitation":"(Australian Government, 2020)","plainCitation":"(Australian Government, 2020)","noteIndex":0},"citationItems":[{"id":2185,"uris":["http://zotero.org/groups/4371185/items/F9NCNQWU"],"itemData":{"id":2185,"type":"document","title":"Australian Government response to the House of Representatives Standing Committee on Health, Aged Care and Sport report: Inquiry into Biotoxin-related Illness in Australia","author":[{"family":"Australian Government","given":""}],"issued":{"date-parts":[["2020",3]]}}}],"schema":"https://github.com/citation-style-language/schema/raw/master/csl-citation.json"} </w:instrText>
      </w:r>
      <w:r w:rsidRPr="00D03260">
        <w:fldChar w:fldCharType="separate"/>
      </w:r>
      <w:r w:rsidRPr="00D03260">
        <w:t>(Australian Government, 2020)</w:t>
      </w:r>
      <w:r w:rsidRPr="00D03260">
        <w:fldChar w:fldCharType="end"/>
      </w:r>
      <w:r w:rsidRPr="00D03260">
        <w:t>.</w:t>
      </w:r>
    </w:p>
    <w:p w14:paraId="1B77F7A7" w14:textId="676801E8" w:rsidR="00CB44DA" w:rsidRPr="00D03260" w:rsidRDefault="00CB44DA" w:rsidP="00CB44DA">
      <w:r w:rsidRPr="00D03260">
        <w:t xml:space="preserve">The Inquiry noted that a small number of medical practitioners in Australia identified as providing treatment to patients who they diagnosed or provisionally diagnosed as having CIRS </w:t>
      </w:r>
      <w:r w:rsidRPr="00D03260">
        <w:fldChar w:fldCharType="begin"/>
      </w:r>
      <w:r w:rsidR="00217980" w:rsidRPr="00D03260">
        <w:instrText xml:space="preserve"> ADDIN ZOTERO_ITEM CSL_CITATION {"citationID":"3fDrC5aN","properties":{"formattedCitation":"(Australian Chronic Infectious &amp; Inflammatory Disease Society, 2018; Gupta, 2018; House of Representatives Standing Committee on Health, Aged Care and Sport, 2018)","plainCitation":"(Australian Chronic Infectious &amp; Inflammatory Disease Society, 2018; Gupta, 2018; House of Representatives Standing Committee on Health, Aged Care and Sport, 2018)","noteIndex":0},"citationItems":[{"id":2155,"uris":["http://zotero.org/groups/4371185/items/7RJ3TN29"],"itemData":{"id":2155,"type":"document","title":"Australian Chronic Infectious &amp; Inflammatory Disease Society (ACIIDS) Submission to the Australian Parliament's Health, Aged Care and Sport Committee Inquiry into Biotoxin-related Illnesses in Australia","author":[{"family":"Australian Chronic Infectious &amp; Inflammatory Disease Society","given":""}],"issued":{"date-parts":[["2018"]]}}},{"id":2043,"uris":["http://zotero.org/groups/4371185/items/9X7FQH5E"],"itemData":{"id":2043,"type":"document","title":"Dr Sandeep Gupta Submission to the Australian Parliament's Health, Aged Care and Sport Committee Inquiry into Biotoxin-related Illnesses in Australia","author":[{"family":"Gupta","given":"Sandeep"}],"issued":{"date-parts":[["2018"]]}}},{"id":2054,"uris":["http://zotero.org/groups/4371185/items/Z729ASVA"],"itemData":{"id":2054,"type":"report","language":"English","publisher":"Parliament of the Commonwealth of Australia","title":"Report on the Inquiry into Biotoxin-related Illnesses in Australia","author":[{"family":"House of Representatives Standing Committee on Health, Aged Care and Sport","given":""}],"issued":{"date-parts":[["2018",10]]}}}],"schema":"https://github.com/citation-style-language/schema/raw/master/csl-citation.json"} </w:instrText>
      </w:r>
      <w:r w:rsidRPr="00D03260">
        <w:fldChar w:fldCharType="separate"/>
      </w:r>
      <w:r w:rsidRPr="00D03260">
        <w:t>(Australian Chronic Infectious &amp; Inflammatory Disease Society, 2018; Gupta, 2018; House of Representatives Standing Committee on Health, Aged Care and Sport, 2018)</w:t>
      </w:r>
      <w:r w:rsidRPr="00D03260">
        <w:fldChar w:fldCharType="end"/>
      </w:r>
      <w:r w:rsidRPr="00D03260">
        <w:t>. CIRS practitioners and proponents of CIRS claim that there are increasing and clinically significant numbers of cases in Australia, but these claims are not backed up with robust or transparent research.</w:t>
      </w:r>
    </w:p>
    <w:p w14:paraId="646492AA" w14:textId="48F34564" w:rsidR="00CB44DA" w:rsidRPr="00D03260" w:rsidRDefault="00CB44DA" w:rsidP="00CB44DA">
      <w:pPr>
        <w:pStyle w:val="BodyText"/>
      </w:pPr>
      <w:r w:rsidRPr="00D03260">
        <w:t xml:space="preserve">While a number of submissions by CIRS practitioners and proponents of CIRS reported to the Inquiry that inflammation is central to or at the heart of CIRS </w:t>
      </w:r>
      <w:r w:rsidRPr="00D03260">
        <w:fldChar w:fldCharType="begin"/>
      </w:r>
      <w:r w:rsidR="00217980" w:rsidRPr="00D03260">
        <w:instrText xml:space="preserve"> ADDIN ZOTERO_ITEM CSL_CITATION {"citationID":"AHfu8PFa","properties":{"formattedCitation":"(Australian Chronic Infectious &amp; Inflammatory Disease Society, 2018; MouldLab, 2018; Toxic Mould Support Australia, 2018)","plainCitation":"(Australian Chronic Infectious &amp; Inflammatory Disease Society, 2018; MouldLab, 2018; Toxic Mould Support Australia, 2018)","noteIndex":0},"citationItems":[{"id":2155,"uris":["http://zotero.org/groups/4371185/items/7RJ3TN29"],"itemData":{"id":2155,"type":"document","title":"Australian Chronic Infectious &amp; Inflammatory Disease Society (ACIIDS) Submission to the Australian Parliament's Health, Aged Care and Sport Committee Inquiry into Biotoxin-related Illnesses in Australia","author":[{"family":"Australian Chronic Infectious &amp; Inflammatory Disease Society","given":""}],"issued":{"date-parts":[["2018"]]}}},{"id":2034,"uris":["http://zotero.org/groups/4371185/items/ZS3DHCUL"],"itemData":{"id":2034,"type":"document","title":"MouldLab Submission to Australian Parliament's Health, Aged Care and Sport Committee Inquiry into Biotoxin-related Illnesses in Australia","author":[{"family":"MouldLab","given":""}],"issued":{"date-parts":[["2018"]]}}},{"id":2041,"uris":["http://zotero.org/groups/4371185/items/VP32FHAA"],"itemData":{"id":2041,"type":"document","title":"Toxic Mould Support Australia Submission to Australian Parliament's Health, Aged Care and Sport Committee Inquiry into Biotoxin-related Illnesses in Australia","author":[{"family":"Toxic Mould Support Australia","given":""}],"issued":{"date-parts":[["2018"]]}}}],"schema":"https://github.com/citation-style-language/schema/raw/master/csl-citation.json"} </w:instrText>
      </w:r>
      <w:r w:rsidRPr="00D03260">
        <w:fldChar w:fldCharType="separate"/>
      </w:r>
      <w:r w:rsidRPr="00D03260">
        <w:t>(Australian Chronic Infectious &amp; Inflammatory Disease Society, 2018; MouldLab, 2018; Toxic Mould Support Australia, 2018)</w:t>
      </w:r>
      <w:r w:rsidRPr="00D03260">
        <w:fldChar w:fldCharType="end"/>
      </w:r>
      <w:r w:rsidRPr="00D03260">
        <w:t xml:space="preserve">, the WHO concluded the mechanisms by which non-infectious microbial (i.e., not exclusively mould/fungi) exposures contribute to adverse health effects with indoor dampness and mould are largely unknown, but it is clear that no single mechanism can explain the wide variety of effects associated with dampness and mould </w:t>
      </w:r>
      <w:r w:rsidRPr="00D03260">
        <w:fldChar w:fldCharType="begin"/>
      </w:r>
      <w:r w:rsidR="00217980" w:rsidRPr="00D03260">
        <w:instrText xml:space="preserve"> ADDIN ZOTERO_ITEM CSL_CITATION {"citationID":"cff608v8","properties":{"formattedCitation":"(World Health Organization, 2009)","plainCitation":"(World Health Organization, 2009)","noteIndex":0},"citationItems":[{"id":2180,"uris":["http://zotero.org/groups/4371185/items/T4A7D2R4"],"itemData":{"id":2180,"type":"report","abstract":"Microbial pollution is a key element of indoor air pollution. It is caused by hundreds of species of bacteria and fungi, in particular filamentous fungi (mould),\ngrowing indoors when sufficient moisture is available. This document provides\na comprehensive review of the scientific evidence on health problems associated\nwith building moisture and biological agents. The review concludes that the most\nimportant effects are increased prevalences of respiratory symptoms, allergies and asthma as well as perturbation of the immunological system. The document\nalso summarizes the available information on the conditions that determine the presence of mould and measures to control their growth indoors. WHO guidelines for protecting public health are formulated on the basis of the review. The most important means for avoiding adverse health effects is the prevention (or minimization) of persistent dampness and microbial growth on interior surfaces and in building structures.","event-place":"Copenhagen, Denmark","language":"en","publisher":"World Health Organization","publisher-place":"Copenhagen, Denmark","title":"WHO guidelines for indoor air quality: dampness and mould","title-short":"WHO guidelines for indoor air quality","URL":"https://www.euro.who.int/en/health-topics/environment-and-health/air-quality/publications/2009/who-guidelines-for-indoor-air-quality-dampness-and-mould","author":[{"family":"World Health Organization","given":""}],"contributor":[{"family":"Rosen","given":"J"}],"accessed":{"date-parts":[["2021",8,20]]},"issued":{"date-parts":[["2009"]]}}}],"schema":"https://github.com/citation-style-language/schema/raw/master/csl-citation.json"} </w:instrText>
      </w:r>
      <w:r w:rsidRPr="00D03260">
        <w:fldChar w:fldCharType="separate"/>
      </w:r>
      <w:r w:rsidRPr="00D03260">
        <w:t>(World Health Organization, 2009)</w:t>
      </w:r>
      <w:r w:rsidRPr="00D03260">
        <w:fldChar w:fldCharType="end"/>
      </w:r>
      <w:r w:rsidRPr="00D03260">
        <w:t>.</w:t>
      </w:r>
    </w:p>
    <w:p w14:paraId="015B6B2A" w14:textId="77777777" w:rsidR="00CB44DA" w:rsidRPr="00D03260" w:rsidRDefault="00CB44DA" w:rsidP="00CB44DA">
      <w:pPr>
        <w:pStyle w:val="Heading2"/>
      </w:pPr>
      <w:bookmarkStart w:id="550" w:name="_Toc121329418"/>
      <w:bookmarkStart w:id="551" w:name="_Toc121834561"/>
      <w:bookmarkStart w:id="552" w:name="_Toc141885991"/>
      <w:r w:rsidRPr="00D03260">
        <w:t>Symptoms and symptom complexes associated with CIRS in Australia</w:t>
      </w:r>
      <w:bookmarkEnd w:id="550"/>
      <w:bookmarkEnd w:id="551"/>
      <w:bookmarkEnd w:id="552"/>
    </w:p>
    <w:p w14:paraId="2B2AD0D9" w14:textId="77777777" w:rsidR="00CB44DA" w:rsidRPr="00D03260" w:rsidRDefault="00CB44DA" w:rsidP="00CB44DA">
      <w:r w:rsidRPr="00D03260">
        <w:t>The symptoms and symptom complexes associated with CIRS incorporates a wide range of nonspecific symptoms.</w:t>
      </w:r>
    </w:p>
    <w:p w14:paraId="249ADD37" w14:textId="77777777" w:rsidR="00CB44DA" w:rsidRPr="00D03260" w:rsidRDefault="00CB44DA" w:rsidP="00CB44DA">
      <w:r w:rsidRPr="00D03260">
        <w:t>There are no clinical studies in the published peer-reviewed literature on the signs and clinical symptoms associated with CIRS, in Australia.</w:t>
      </w:r>
    </w:p>
    <w:p w14:paraId="642557CA" w14:textId="77777777" w:rsidR="00CB44DA" w:rsidRPr="00D03260" w:rsidRDefault="00CB44DA" w:rsidP="00CB44DA">
      <w:r w:rsidRPr="00D03260">
        <w:t>The only relevant information available is self-reported and anecdotal. The information can, however, provide insights for medical professionals when patients present to primary care and question whether they may be experiencing the symptoms associated with CIRS.</w:t>
      </w:r>
    </w:p>
    <w:p w14:paraId="07A5C98C" w14:textId="77777777" w:rsidR="00CB44DA" w:rsidRPr="00D03260" w:rsidRDefault="00CB44DA" w:rsidP="00CB44DA">
      <w:r w:rsidRPr="00D03260">
        <w:t>Some people may have a diagnosis that has not yet been identified that explains these symptoms while others may have a cluster of MUS that require management.</w:t>
      </w:r>
    </w:p>
    <w:p w14:paraId="7E31C3E4" w14:textId="77777777" w:rsidR="00CB44DA" w:rsidRPr="00D03260" w:rsidRDefault="00CB44DA" w:rsidP="00CB44DA">
      <w:r w:rsidRPr="00D03260">
        <w:t xml:space="preserve">People with </w:t>
      </w:r>
      <w:r w:rsidRPr="00D03260" w:rsidDel="00D80BB2">
        <w:t xml:space="preserve">MUS </w:t>
      </w:r>
      <w:r w:rsidRPr="00D03260">
        <w:t>may obtain a diagnosis over time as symptoms develop and guide to the origin of the illness. Others may find that symptoms resolve over time, without ever identifying a cause. All people with MUS, (including those experiencing the symptoms associated with CIRS) can be assisted to have an improved quality of life with good care in a partnership between patient and the health care team.</w:t>
      </w:r>
    </w:p>
    <w:p w14:paraId="5634FF55" w14:textId="77777777" w:rsidR="00CB44DA" w:rsidRPr="00D03260" w:rsidRDefault="00CB44DA" w:rsidP="00CB44DA">
      <w:pPr>
        <w:pStyle w:val="Heading3"/>
      </w:pPr>
      <w:bookmarkStart w:id="553" w:name="_Toc121329419"/>
      <w:bookmarkStart w:id="554" w:name="_Toc121834562"/>
      <w:bookmarkStart w:id="555" w:name="_Toc141885992"/>
      <w:r w:rsidRPr="00D03260">
        <w:t>CIRS was reported to have an extensive symptomology experienced in diverse combinations and with various degrees of severity, across multiple bodily systems</w:t>
      </w:r>
      <w:bookmarkEnd w:id="553"/>
      <w:bookmarkEnd w:id="554"/>
      <w:bookmarkEnd w:id="555"/>
    </w:p>
    <w:p w14:paraId="4A34434F" w14:textId="53E5D238" w:rsidR="00CB44DA" w:rsidRPr="00D03260" w:rsidRDefault="00CB44DA" w:rsidP="00CB44DA">
      <w:r w:rsidRPr="00D03260">
        <w:t xml:space="preserve">Of the evidence and information provided to the Inquiry into Biotoxin-related illness in Australia, from patients who identified as having biotoxin-related illness or CIRS and their treating doctors (CIRS practitioners), the Report concluded “the illness that has been termed by some as CIRS has been associated with a range of physical and cognitive symptoms, which can affect multiple systems within the body” </w:t>
      </w:r>
      <w:r w:rsidRPr="00D03260">
        <w:fldChar w:fldCharType="begin"/>
      </w:r>
      <w:r w:rsidR="00217980" w:rsidRPr="00D03260">
        <w:instrText xml:space="preserve"> ADDIN ZOTERO_ITEM CSL_CITATION {"citationID":"bpzIxPXC","properties":{"formattedCitation":"(House of Representatives Standing Committee on Health, Aged Care and Sport, 2018, p. 60)","plainCitation":"(House of Representatives Standing Committee on Health, Aged Care and Sport, 2018, p. 60)","noteIndex":0},"citationItems":[{"id":2054,"uris":["http://zotero.org/groups/4371185/items/Z729ASVA"],"itemData":{"id":2054,"type":"report","language":"English","publisher":"Parliament of the Commonwealth of Australia","title":"Report on the Inquiry into Biotoxin-related Illnesses in Australia","author":[{"family":"House of Representatives Standing Committee on Health, Aged Care and Sport","given":""}],"issued":{"date-parts":[["2018",10]]}},"locator":"60"}],"schema":"https://github.com/citation-style-language/schema/raw/master/csl-citation.json"} </w:instrText>
      </w:r>
      <w:r w:rsidRPr="00D03260">
        <w:fldChar w:fldCharType="separate"/>
      </w:r>
      <w:r w:rsidRPr="00D03260">
        <w:t>(House of Representatives Standing Committee on Health, Aged Care and Sport, 2018, p. 60)</w:t>
      </w:r>
      <w:r w:rsidRPr="00D03260">
        <w:fldChar w:fldCharType="end"/>
      </w:r>
      <w:r w:rsidRPr="00D03260">
        <w:t xml:space="preserve">. CIRS was described in submissions as a multi-symptom, multi-system illness or condition </w:t>
      </w:r>
      <w:r w:rsidRPr="00D03260">
        <w:fldChar w:fldCharType="begin"/>
      </w:r>
      <w:r w:rsidR="00217980" w:rsidRPr="00D03260">
        <w:instrText xml:space="preserve"> ADDIN ZOTERO_ITEM CSL_CITATION {"citationID":"sziAaNjl","properties":{"formattedCitation":"(Australasian Integrative Medicine Association &amp; Australasian College of Nutritional and Environmental Medicine, 2018; Australian Chronic Infectious &amp; Inflammatory Disease Society, 2018; Gupta, 2018; House of Representatives Standing Committee on Health, Aged Care and Sport, 2018)","plainCitation":"(Australasian Integrative Medicine Association &amp; Australasian College of Nutritional and Environmental Medicine, 2018; Australian Chronic Infectious &amp; Inflammatory Disease Society, 2018; Gupta, 2018; House of Representatives Standing Committee on Health, Aged Care and Sport, 2018)","noteIndex":0},"citationItems":[{"id":2167,"uris":["http://zotero.org/groups/4371185/items/UTSE7YDU"],"itemData":{"id":2167,"type":"document","title":"Australasian Integrative Medicine Association and Australian College of Nutritional and Environmental Medicine Submission to Australian Parliament's Health, Aged Care and Sport Committee Inquiry into Biotoxin-related Illnesses in Australia","author":[{"literal":"Australasian Integrative Medicine Association"},{"family":"Australasian College of Nutritional and Environmental Medicine","given":""}],"issued":{"date-parts":[["2018"]]}},"label":"page"},{"id":2155,"uris":["http://zotero.org/groups/4371185/items/7RJ3TN29"],"itemData":{"id":2155,"type":"document","title":"Australian Chronic Infectious &amp; Inflammatory Disease Society (ACIIDS) Submission to the Australian Parliament's Health, Aged Care and Sport Committee Inquiry into Biotoxin-related Illnesses in Australia","author":[{"family":"Australian Chronic Infectious &amp; Inflammatory Disease Society","given":""}],"issued":{"date-parts":[["2018"]]}},"label":"page"},{"id":2043,"uris":["http://zotero.org/groups/4371185/items/9X7FQH5E"],"itemData":{"id":2043,"type":"document","title":"Dr Sandeep Gupta Submission to the Australian Parliament's Health, Aged Care and Sport Committee Inquiry into Biotoxin-related Illnesses in Australia","author":[{"family":"Gupta","given":"Sandeep"}],"issued":{"date-parts":[["2018"]]}},"label":"page"},{"id":2054,"uris":["http://zotero.org/groups/4371185/items/Z729ASVA"],"itemData":{"id":2054,"type":"report","language":"English","publisher":"Parliament of the Commonwealth of Australia","title":"Report on the Inquiry into Biotoxin-related Illnesses in Australia","author":[{"family":"House of Representatives Standing Committee on Health, Aged Care and Sport","given":""}],"issued":{"date-parts":[["2018",10]]}},"label":"page"}],"schema":"https://github.com/citation-style-language/schema/raw/master/csl-citation.json"} </w:instrText>
      </w:r>
      <w:r w:rsidRPr="00D03260">
        <w:fldChar w:fldCharType="separate"/>
      </w:r>
      <w:r w:rsidRPr="00D03260">
        <w:t>(Australasian Integrative Medicine Association &amp; Australasian College of Nutritional and Environmental Medicine, 2018; Australian Chronic Infectious &amp; Inflammatory Disease Society, 2018; Gupta, 2018; House of Representatives Standing Committee on Health, Aged Care and Sport, 2018)</w:t>
      </w:r>
      <w:r w:rsidRPr="00D03260">
        <w:fldChar w:fldCharType="end"/>
      </w:r>
      <w:r w:rsidRPr="00D03260">
        <w:t>.</w:t>
      </w:r>
    </w:p>
    <w:p w14:paraId="520708F6" w14:textId="77777777" w:rsidR="00CB44DA" w:rsidRPr="00D03260" w:rsidRDefault="00CB44DA" w:rsidP="00CB44DA">
      <w:r w:rsidRPr="00D03260">
        <w:t xml:space="preserve">Symptoms reportedly experienced and described by Australian patients who identified as having biotoxin-related illness or CIRS to the House of Representatives Inquiry ranged from mild to severe. The </w:t>
      </w:r>
      <w:proofErr w:type="gramStart"/>
      <w:r w:rsidRPr="00D03260">
        <w:t>most commonly reported</w:t>
      </w:r>
      <w:proofErr w:type="gramEnd"/>
      <w:r w:rsidRPr="00D03260">
        <w:t xml:space="preserve"> symptoms by submitters to the Inquiry who identified as having CIRS included fatigue, pain and joint pain, memory and concentration problems and disorientation, insomnia, gastrointestinal issues, sinus issues, headaches, and respiratory issues. The reported symptoms are very similar, except for sinus and respiratory issues, to those symptoms reported by people who identified as having DSCATT.</w:t>
      </w:r>
    </w:p>
    <w:p w14:paraId="72EFA858" w14:textId="77777777" w:rsidR="00CB44DA" w:rsidRPr="00D03260" w:rsidRDefault="00CB44DA" w:rsidP="00CB44DA">
      <w:r w:rsidRPr="00D03260">
        <w:t>The Department provided a list of symptoms, illustrated in the following figure.</w:t>
      </w:r>
    </w:p>
    <w:p w14:paraId="6F1A3625" w14:textId="5CA5F6D3" w:rsidR="00CB44DA" w:rsidRPr="00D03260" w:rsidRDefault="00CB44DA" w:rsidP="00CB44DA">
      <w:r w:rsidRPr="00D03260">
        <w:t xml:space="preserve">In their submission to the Inquiry, Australian Chronic Infectious and Inflammatory Disease Society (ACIIDS) commented, that “inflammation is at the heart of CIRS,” </w:t>
      </w:r>
      <w:r w:rsidRPr="00D03260">
        <w:fldChar w:fldCharType="begin"/>
      </w:r>
      <w:r w:rsidR="00217980" w:rsidRPr="00D03260">
        <w:instrText xml:space="preserve"> ADDIN ZOTERO_ITEM CSL_CITATION {"citationID":"pKLICI9c","properties":{"formattedCitation":"(Australian Chronic Infectious &amp; Inflammatory Disease Society, 2018, p. not numbered)","plainCitation":"(Australian Chronic Infectious &amp; Inflammatory Disease Society, 2018, p. not numbered)","noteIndex":0},"citationItems":[{"id":2155,"uris":["http://zotero.org/groups/4371185/items/7RJ3TN29"],"itemData":{"id":2155,"type":"document","title":"Australian Chronic Infectious &amp; Inflammatory Disease Society (ACIIDS) Submission to the Australian Parliament's Health, Aged Care and Sport Committee Inquiry into Biotoxin-related Illnesses in Australia","author":[{"family":"Australian Chronic Infectious &amp; Inflammatory Disease Society","given":""}],"issued":{"date-parts":[["2018"]]}},"locator":"not numbered"}],"schema":"https://github.com/citation-style-language/schema/raw/master/csl-citation.json"} </w:instrText>
      </w:r>
      <w:r w:rsidRPr="00D03260">
        <w:fldChar w:fldCharType="separate"/>
      </w:r>
      <w:r w:rsidRPr="00D03260">
        <w:t>(Australian Chronic Infectious &amp; Inflammatory Disease Society, 2018, p. not numbered)</w:t>
      </w:r>
      <w:r w:rsidRPr="00D03260">
        <w:fldChar w:fldCharType="end"/>
      </w:r>
      <w:r w:rsidRPr="00D03260">
        <w:t xml:space="preserve"> and also provided a list of presenting symptoms. Neither the Department nor ACIIDS included a citation or other information describing how their respective lists of symptoms have been compiled. As shown in </w:t>
      </w:r>
      <w:hyperlink w:anchor="Figure1" w:history="1">
        <w:r w:rsidRPr="00D03260">
          <w:rPr>
            <w:rStyle w:val="Hyperlink"/>
          </w:rPr>
          <w:t>Figure 1</w:t>
        </w:r>
      </w:hyperlink>
      <w:r w:rsidRPr="00D03260">
        <w:t xml:space="preserve"> overleaf, the lists of symptoms overlap.</w:t>
      </w:r>
      <w:r w:rsidRPr="00D03260">
        <w:br w:type="page"/>
      </w:r>
    </w:p>
    <w:p w14:paraId="5B9C2526" w14:textId="68E79048" w:rsidR="00CB44DA" w:rsidRPr="00D03260" w:rsidRDefault="00CB44DA" w:rsidP="00CB44DA">
      <w:pPr>
        <w:pStyle w:val="Caption"/>
      </w:pPr>
      <w:bookmarkStart w:id="556" w:name="_Toc125034691"/>
      <w:r w:rsidRPr="00D03260">
        <w:t xml:space="preserve">Figure </w:t>
      </w:r>
      <w:fldSimple w:instr=" SEQ Figure \* ARABIC ">
        <w:r w:rsidR="0015383F" w:rsidRPr="00D03260">
          <w:rPr>
            <w:noProof/>
          </w:rPr>
          <w:t>1</w:t>
        </w:r>
      </w:fldSimple>
      <w:r w:rsidRPr="00D03260">
        <w:t>: Symptoms attributed to exposure to mould</w:t>
      </w:r>
      <w:bookmarkEnd w:id="556"/>
    </w:p>
    <w:p w14:paraId="1049F873" w14:textId="77777777" w:rsidR="00CB44DA" w:rsidRPr="00D03260" w:rsidRDefault="00CB44DA" w:rsidP="00CB44DA">
      <w:pPr>
        <w:pStyle w:val="ListBullet"/>
        <w:numPr>
          <w:ilvl w:val="0"/>
          <w:numId w:val="0"/>
        </w:numPr>
        <w:ind w:left="360" w:hanging="360"/>
      </w:pPr>
      <w:r w:rsidRPr="00D03260">
        <w:rPr>
          <w:noProof/>
        </w:rPr>
        <w:drawing>
          <wp:inline distT="0" distB="0" distL="0" distR="0" wp14:anchorId="2CC2D5AB" wp14:editId="68A7D3B0">
            <wp:extent cx="5960477" cy="3476625"/>
            <wp:effectExtent l="0" t="0" r="2540" b="0"/>
            <wp:docPr id="10" name="Graphic 1" descr="Two circles intersecting as a Venn Diagram listing symptoms attributed to exposure to mould. The first circle of the Venn Diagram lists symptoms according to the Australian Chronic Infectious &amp; Inflammatory Disease Society, which includes: Weakness, Aches, Unusual Pain, Ice Pick Pain, Vertigo, Word Finding Difficulties, Red Eyes, Blurred Vision, Tearing, Cough, Shortness of Breath, Abdominal Pain, Diarrhoea, Morning Stiffness, Confusion, Mood Swings, Appetite Swings, Static Shocks, Numbness, Tingling, Metallic Taste, Tremors, Temperature Regulation or Dysregulation Problems, Difficulty with Focus or Concentration, Decreased Assimilation of New Knowledge, and Increased Urination or Nocturia. The second circle of the Venn Diagram lists symptoms according to the Australian Government Department of Health and Aged Care as: Malaise. The intersection in the Venn diagram which includes symptoms described by both the Australian Chronic Infectious &amp; Inflammatory Disease Society and the Australian Government Department of Health and Aged Care lists symptoms of: Skin Sensitivity, Sinus Problems or Chronic Sinus Inflammation, Light Sensitivity or Photophobia, Sweats (especially night sweats), Chronic Headaches or Migraines or Facial Pain or Sinus Pain, Disorientation or Light-Headedness, Fatigue or Chronic Fatigue, Joint Pain or Muscle Cramps, and Memory issues or Foggy Brain or Cognitive Impairment.">
              <a:extLst xmlns:a="http://schemas.openxmlformats.org/drawingml/2006/main">
                <a:ext uri="{FF2B5EF4-FFF2-40B4-BE49-F238E27FC236}">
                  <a16:creationId xmlns:a16="http://schemas.microsoft.com/office/drawing/2014/main" id="{7ADE42A5-E64C-A41D-D8A3-E2D291F350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 descr="Two circles intersecting as a Venn Diagram listing symptoms attributed to exposure to mould. The first circle of the Venn Diagram lists symptoms according to the Australian Chronic Infectious &amp; Inflammatory Disease Society, which includes: Weakness, Aches, Unusual Pain, Ice Pick Pain, Vertigo, Word Finding Difficulties, Red Eyes, Blurred Vision, Tearing, Cough, Shortness of Breath, Abdominal Pain, Diarrhoea, Morning Stiffness, Confusion, Mood Swings, Appetite Swings, Static Shocks, Numbness, Tingling, Metallic Taste, Tremors, Temperature Regulation or Dysregulation Problems, Difficulty with Focus or Concentration, Decreased Assimilation of New Knowledge, and Increased Urination or Nocturia. The second circle of the Venn Diagram lists symptoms according to the Australian Government Department of Health and Aged Care as: Malaise. The intersection in the Venn diagram which includes symptoms described by both the Australian Chronic Infectious &amp; Inflammatory Disease Society and the Australian Government Department of Health and Aged Care lists symptoms of: Skin Sensitivity, Sinus Problems or Chronic Sinus Inflammation, Light Sensitivity or Photophobia, Sweats (especially night sweats), Chronic Headaches or Migraines or Facial Pain or Sinus Pain, Disorientation or Light-Headedness, Fatigue or Chronic Fatigue, Joint Pain or Muscle Cramps, and Memory issues or Foggy Brain or Cognitive Impairment.">
                      <a:extLst>
                        <a:ext uri="{FF2B5EF4-FFF2-40B4-BE49-F238E27FC236}">
                          <a16:creationId xmlns:a16="http://schemas.microsoft.com/office/drawing/2014/main" id="{7ADE42A5-E64C-A41D-D8A3-E2D291F350D1}"/>
                        </a:ext>
                      </a:extLst>
                    </pic:cNvPr>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0" y="0"/>
                      <a:ext cx="5979995" cy="3488010"/>
                    </a:xfrm>
                    <a:prstGeom prst="rect">
                      <a:avLst/>
                    </a:prstGeom>
                  </pic:spPr>
                </pic:pic>
              </a:graphicData>
            </a:graphic>
          </wp:inline>
        </w:drawing>
      </w:r>
    </w:p>
    <w:p w14:paraId="00CD1EDC" w14:textId="77777777" w:rsidR="00CB44DA" w:rsidRPr="00D03260" w:rsidRDefault="00CB44DA" w:rsidP="00CB44DA">
      <w:pPr>
        <w:pStyle w:val="ListBullet"/>
        <w:numPr>
          <w:ilvl w:val="0"/>
          <w:numId w:val="0"/>
        </w:numPr>
        <w:ind w:left="360" w:hanging="360"/>
      </w:pPr>
    </w:p>
    <w:p w14:paraId="5825918C" w14:textId="1C1E12F3" w:rsidR="00CB44DA" w:rsidRPr="00D03260" w:rsidRDefault="00CB44DA" w:rsidP="00CB44DA">
      <w:pPr>
        <w:pStyle w:val="Heading2"/>
      </w:pPr>
      <w:bookmarkStart w:id="557" w:name="_Toc121329420"/>
      <w:bookmarkStart w:id="558" w:name="_Toc121834563"/>
      <w:bookmarkStart w:id="559" w:name="_Toc141885993"/>
      <w:r w:rsidRPr="00D03260">
        <w:t>Diagnostic tests used diagnosing CIRS not recommended due to limited evidence</w:t>
      </w:r>
      <w:bookmarkEnd w:id="557"/>
      <w:bookmarkEnd w:id="558"/>
      <w:bookmarkEnd w:id="559"/>
    </w:p>
    <w:p w14:paraId="344D8778" w14:textId="77777777" w:rsidR="00CB44DA" w:rsidRPr="00D03260" w:rsidRDefault="00CB44DA" w:rsidP="00CB44DA">
      <w:r w:rsidRPr="00D03260">
        <w:t>Anecdotal information indicates patients experiencing biotoxin-related illnesses and CIRS-like symptoms are being diagnosed with CIRS in Australia by a very limited number of medical professionals (CIRS practitioners).</w:t>
      </w:r>
    </w:p>
    <w:p w14:paraId="1D52E335" w14:textId="56B8F36A" w:rsidR="00CB44DA" w:rsidRPr="00D03260" w:rsidRDefault="00CB44DA" w:rsidP="00CB44DA">
      <w:r w:rsidRPr="00D03260">
        <w:t xml:space="preserve">This </w:t>
      </w:r>
      <w:r w:rsidR="00367A31" w:rsidRPr="00D03260">
        <w:t xml:space="preserve">diagnosis process </w:t>
      </w:r>
      <w:r w:rsidRPr="00D03260">
        <w:t>involves an initial consultation phase consisting of a comprehensive patient assessment which includes a patient history, including environmental history, confirmation of mould at premises with the Environmental Relative Moldiness Index Testing (ERMI) or Health Effects Roster of Type Specific fungal producing-Mycotoxin and Inflammagens (HERSTMI-2) tests commonly recommended, and documentation of symptoms. A range of diagnostic tests are then undertaken to assist with diagnosis, including biomarker testing, visual contrast sensitivity (VCS) testing, Human Leucocyte Antigen (HLA) testing, NeuroQuant</w:t>
      </w:r>
      <w:r w:rsidRPr="00D03260">
        <w:rPr>
          <w:rFonts w:cs="Arial"/>
          <w:color w:val="4D5156"/>
          <w:sz w:val="21"/>
          <w:szCs w:val="21"/>
          <w:shd w:val="clear" w:color="auto" w:fill="FFFFFF"/>
        </w:rPr>
        <w:t>®</w:t>
      </w:r>
      <w:r w:rsidRPr="00D03260">
        <w:t>, Multiple Antibiotic Resistant Coagulase Negative Staphylococci (MARCoNS) detection, and transcriptomics.</w:t>
      </w:r>
    </w:p>
    <w:p w14:paraId="0FE32F37" w14:textId="105F1269" w:rsidR="00CB44DA" w:rsidRPr="00D03260" w:rsidRDefault="00CB44DA" w:rsidP="00CB44DA">
      <w:r w:rsidRPr="00D03260">
        <w:t xml:space="preserve">The limited evidence base is a key issue identified regarding the validity, or reliability of diagnostic processes used </w:t>
      </w:r>
      <w:r w:rsidR="007C1411" w:rsidRPr="00D03260">
        <w:t>for the diagnosis of CIRS</w:t>
      </w:r>
      <w:r w:rsidRPr="00D03260">
        <w:t>.</w:t>
      </w:r>
      <w:r w:rsidRPr="00D03260">
        <w:br w:type="page"/>
      </w:r>
    </w:p>
    <w:p w14:paraId="199704FC" w14:textId="67EBCD18" w:rsidR="00CB44DA" w:rsidRPr="00D03260" w:rsidRDefault="00CB44DA" w:rsidP="00CB44DA">
      <w:pPr>
        <w:pStyle w:val="Heading2"/>
      </w:pPr>
      <w:bookmarkStart w:id="560" w:name="_Toc121329421"/>
      <w:bookmarkStart w:id="561" w:name="_Toc121834564"/>
      <w:bookmarkStart w:id="562" w:name="_Toc141885994"/>
      <w:r w:rsidRPr="00D03260">
        <w:t xml:space="preserve">Treatments provided to Australian patients diagnosed with CIRS; there are significant side effects with many of the medications </w:t>
      </w:r>
      <w:bookmarkEnd w:id="560"/>
      <w:bookmarkEnd w:id="561"/>
      <w:bookmarkEnd w:id="562"/>
    </w:p>
    <w:p w14:paraId="51A6ED45" w14:textId="77777777" w:rsidR="00CB44DA" w:rsidRPr="00D03260" w:rsidRDefault="00CB44DA" w:rsidP="00CB44DA">
      <w:r w:rsidRPr="00D03260">
        <w:t>There are no published peer-reviewed publications of clinical studies on the treatment and treatment outcomes in Australian patients who identify as having CIRS-like symptoms or, indeed CIRS. The available information on the treatment modalities provided to patients identifying as having CIRS or CIRS-like symptoms in Australia is limited.</w:t>
      </w:r>
    </w:p>
    <w:p w14:paraId="0BE952FA" w14:textId="615DD59F" w:rsidR="00CB44DA" w:rsidRPr="00D03260" w:rsidRDefault="00CB44DA" w:rsidP="00CB44DA">
      <w:r w:rsidRPr="00D03260">
        <w:t xml:space="preserve">Provision of treatment </w:t>
      </w:r>
      <w:r w:rsidR="00F15423" w:rsidRPr="00D03260">
        <w:t>to Australian patients who have been diagnosed with CIRS</w:t>
      </w:r>
      <w:r w:rsidRPr="00D03260">
        <w:t xml:space="preserve"> is by a very few medical practitioners, (primarily GPs) who identify as treating CIRS</w:t>
      </w:r>
      <w:r w:rsidR="001E32BB" w:rsidRPr="00D03260">
        <w:t>.</w:t>
      </w:r>
    </w:p>
    <w:p w14:paraId="1120EB4F" w14:textId="42F60475" w:rsidR="00CB44DA" w:rsidRPr="00D03260" w:rsidRDefault="00CB44DA" w:rsidP="00CB44DA">
      <w:pPr>
        <w:pStyle w:val="BodyText"/>
      </w:pPr>
      <w:r w:rsidRPr="00D03260">
        <w:t xml:space="preserve">Access to treatment for CIRS, and side effects from the treatment protocol were issues raised to the Inquiry related to </w:t>
      </w:r>
      <w:r w:rsidR="00B04991" w:rsidRPr="00D03260">
        <w:t>the delivery</w:t>
      </w:r>
      <w:r w:rsidR="008018F4" w:rsidRPr="00D03260">
        <w:t xml:space="preserve"> of </w:t>
      </w:r>
      <w:r w:rsidRPr="00D03260">
        <w:t xml:space="preserve">treatment in Australia. Access to treatment included costs associated with </w:t>
      </w:r>
      <w:r w:rsidR="00B04991" w:rsidRPr="00D03260">
        <w:t>treatment (</w:t>
      </w:r>
      <w:r w:rsidRPr="00D03260">
        <w:t>both the removal of exposure, and patient medications); and the lack of availability of practitioners providing treatment for CIRS. The Inquiry heard that some individuals had pieced-together their own treatment regime or sought medical advice from interstate or overseas doctors who offered an understanding of mould-related disease.</w:t>
      </w:r>
    </w:p>
    <w:p w14:paraId="63EB7CC7" w14:textId="11FDBC16" w:rsidR="007D6334" w:rsidRPr="00D03260" w:rsidRDefault="00CB44DA" w:rsidP="00876C83">
      <w:r w:rsidRPr="00D03260">
        <w:t xml:space="preserve">Significant side effects </w:t>
      </w:r>
      <w:r w:rsidR="00083283" w:rsidRPr="00D03260">
        <w:t xml:space="preserve">have been </w:t>
      </w:r>
      <w:r w:rsidRPr="00D03260">
        <w:t>identified with many of the medications used</w:t>
      </w:r>
      <w:r w:rsidR="00295AF0" w:rsidRPr="00D03260">
        <w:t xml:space="preserve"> in the treatment of patients diagnosed with CIRS </w:t>
      </w:r>
      <w:r w:rsidRPr="00D03260">
        <w:t xml:space="preserve">including Cholestyramine (CSM), pioglitazone, statins (such as atorvastatin or rosuvastatin) losartan, desmopressin, and vasoactive intestinal polypeptide (VIP) spray. </w:t>
      </w:r>
      <w:r w:rsidR="0032596A" w:rsidRPr="00D03260">
        <w:t>See</w:t>
      </w:r>
      <w:r w:rsidRPr="00D03260">
        <w:t xml:space="preserve"> </w:t>
      </w:r>
      <w:hyperlink w:anchor="AppendixFPotentialSideEffectsOfPharmaceu" w:history="1">
        <w:r w:rsidR="008A6EDA" w:rsidRPr="00D03260">
          <w:rPr>
            <w:rStyle w:val="Hyperlink"/>
          </w:rPr>
          <w:t xml:space="preserve">Appendix </w:t>
        </w:r>
        <w:r w:rsidR="00445877" w:rsidRPr="00D03260">
          <w:rPr>
            <w:rStyle w:val="Hyperlink"/>
          </w:rPr>
          <w:t>F</w:t>
        </w:r>
      </w:hyperlink>
      <w:r w:rsidRPr="00D03260">
        <w:t xml:space="preserve"> </w:t>
      </w:r>
      <w:r w:rsidR="00715861" w:rsidRPr="00D03260">
        <w:t>for further details</w:t>
      </w:r>
      <w:r w:rsidRPr="00D03260">
        <w:t>.</w:t>
      </w:r>
      <w:r w:rsidRPr="00D03260">
        <w:br w:type="page"/>
      </w:r>
    </w:p>
    <w:p w14:paraId="4C443BD0" w14:textId="77777777" w:rsidR="007D6334" w:rsidRPr="00D03260" w:rsidRDefault="007D6334" w:rsidP="00876C83">
      <w:pPr>
        <w:sectPr w:rsidR="007D6334" w:rsidRPr="00D03260" w:rsidSect="00052859">
          <w:footerReference w:type="default" r:id="rId83"/>
          <w:pgSz w:w="11906" w:h="16838"/>
          <w:pgMar w:top="1701" w:right="1418" w:bottom="1418" w:left="1418" w:header="709" w:footer="709" w:gutter="0"/>
          <w:cols w:space="708"/>
          <w:docGrid w:linePitch="360"/>
        </w:sectPr>
      </w:pPr>
    </w:p>
    <w:p w14:paraId="3FF8E7AB" w14:textId="4E2560D2" w:rsidR="00652B0C" w:rsidRPr="00D03260" w:rsidRDefault="008F2E7A" w:rsidP="007D6334">
      <w:pPr>
        <w:pStyle w:val="Heading1"/>
      </w:pPr>
      <w:bookmarkStart w:id="563" w:name="AppendixFPotentialSideEffectsOfPharmaceu"/>
      <w:bookmarkStart w:id="564" w:name="_Toc141885995"/>
      <w:bookmarkEnd w:id="563"/>
      <w:r w:rsidRPr="00D03260">
        <w:t xml:space="preserve">Appendix </w:t>
      </w:r>
      <w:r w:rsidR="00146ED6" w:rsidRPr="00D03260">
        <w:t>F</w:t>
      </w:r>
      <w:r w:rsidRPr="00D03260">
        <w:t xml:space="preserve">: </w:t>
      </w:r>
      <w:r w:rsidR="002E402B" w:rsidRPr="00D03260">
        <w:t>Potential side effects of pharmaceuticals</w:t>
      </w:r>
      <w:r w:rsidR="00C044AF" w:rsidRPr="00D03260">
        <w:rPr>
          <w:rStyle w:val="FootnoteReference"/>
        </w:rPr>
        <w:footnoteReference w:id="12"/>
      </w:r>
      <w:r w:rsidR="002E402B" w:rsidRPr="00D03260">
        <w:t xml:space="preserve"> used in the </w:t>
      </w:r>
      <w:r w:rsidR="00727F7D" w:rsidRPr="00D03260">
        <w:t>treatment of patients diagnosed with CIRS</w:t>
      </w:r>
      <w:bookmarkEnd w:id="564"/>
    </w:p>
    <w:tbl>
      <w:tblPr>
        <w:tblStyle w:val="ACGrey-BasicTable"/>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6500"/>
        <w:gridCol w:w="1843"/>
        <w:gridCol w:w="1417"/>
        <w:gridCol w:w="2552"/>
      </w:tblGrid>
      <w:tr w:rsidR="00652B0C" w:rsidRPr="00D03260" w14:paraId="1F09FFE1" w14:textId="77777777" w:rsidTr="004C5975">
        <w:trPr>
          <w:cnfStyle w:val="100000000000" w:firstRow="1" w:lastRow="0" w:firstColumn="0" w:lastColumn="0" w:oddVBand="0" w:evenVBand="0" w:oddHBand="0" w:evenHBand="0" w:firstRowFirstColumn="0" w:firstRowLastColumn="0" w:lastRowFirstColumn="0" w:lastRowLastColumn="0"/>
        </w:trPr>
        <w:tc>
          <w:tcPr>
            <w:tcW w:w="1717" w:type="dxa"/>
          </w:tcPr>
          <w:p w14:paraId="4ADC7345" w14:textId="77777777" w:rsidR="00652B0C" w:rsidRPr="00D03260" w:rsidRDefault="00652B0C" w:rsidP="00306567">
            <w:pPr>
              <w:pStyle w:val="TableHeaderWhite"/>
              <w:ind w:left="57" w:right="57"/>
              <w:jc w:val="left"/>
              <w:rPr>
                <w:b/>
                <w:lang w:val="en-AU"/>
              </w:rPr>
            </w:pPr>
            <w:bookmarkStart w:id="565" w:name="_Hlk108708508"/>
            <w:r w:rsidRPr="00D03260">
              <w:rPr>
                <w:b/>
                <w:lang w:val="en-AU"/>
              </w:rPr>
              <w:t>Drug</w:t>
            </w:r>
          </w:p>
        </w:tc>
        <w:tc>
          <w:tcPr>
            <w:tcW w:w="6500" w:type="dxa"/>
          </w:tcPr>
          <w:p w14:paraId="063F0A57" w14:textId="77777777" w:rsidR="00652B0C" w:rsidRPr="00D03260" w:rsidRDefault="00652B0C" w:rsidP="00F0464E">
            <w:pPr>
              <w:pStyle w:val="TableHeader"/>
              <w:rPr>
                <w:b/>
                <w:lang w:val="en-AU"/>
              </w:rPr>
            </w:pPr>
            <w:r w:rsidRPr="00D03260">
              <w:rPr>
                <w:b/>
                <w:lang w:val="en-AU"/>
              </w:rPr>
              <w:t>Side effects ^</w:t>
            </w:r>
          </w:p>
        </w:tc>
        <w:tc>
          <w:tcPr>
            <w:tcW w:w="1843" w:type="dxa"/>
          </w:tcPr>
          <w:p w14:paraId="3B7C7124" w14:textId="77777777" w:rsidR="00652B0C" w:rsidRPr="00D03260" w:rsidRDefault="00652B0C" w:rsidP="00306567">
            <w:pPr>
              <w:pStyle w:val="TableHeaderWhite"/>
              <w:ind w:left="57" w:right="57"/>
              <w:jc w:val="left"/>
              <w:rPr>
                <w:b/>
                <w:bCs/>
                <w:lang w:val="en-AU"/>
              </w:rPr>
            </w:pPr>
            <w:r w:rsidRPr="00D03260">
              <w:rPr>
                <w:b/>
                <w:bCs/>
                <w:lang w:val="en-AU"/>
              </w:rPr>
              <w:t>Side effects source</w:t>
            </w:r>
          </w:p>
        </w:tc>
        <w:tc>
          <w:tcPr>
            <w:tcW w:w="1417" w:type="dxa"/>
          </w:tcPr>
          <w:p w14:paraId="300D3B22" w14:textId="77777777" w:rsidR="00652B0C" w:rsidRPr="00D03260" w:rsidRDefault="00652B0C" w:rsidP="00306567">
            <w:pPr>
              <w:pStyle w:val="TableHeaderWhite"/>
              <w:ind w:left="57" w:right="57"/>
              <w:jc w:val="left"/>
              <w:rPr>
                <w:b/>
                <w:bCs/>
                <w:lang w:val="en-AU"/>
              </w:rPr>
            </w:pPr>
            <w:r w:rsidRPr="00D03260">
              <w:rPr>
                <w:b/>
                <w:bCs/>
                <w:lang w:val="en-AU"/>
              </w:rPr>
              <w:t>Other recommended sources</w:t>
            </w:r>
          </w:p>
        </w:tc>
        <w:tc>
          <w:tcPr>
            <w:tcW w:w="2552" w:type="dxa"/>
          </w:tcPr>
          <w:p w14:paraId="06A26504" w14:textId="77777777" w:rsidR="00652B0C" w:rsidRPr="00D03260" w:rsidRDefault="00652B0C" w:rsidP="00306567">
            <w:pPr>
              <w:pStyle w:val="TableHeaderWhite"/>
              <w:ind w:left="57" w:right="57"/>
              <w:jc w:val="left"/>
              <w:rPr>
                <w:b/>
                <w:bCs/>
                <w:lang w:val="en-AU"/>
              </w:rPr>
            </w:pPr>
            <w:r w:rsidRPr="00D03260">
              <w:rPr>
                <w:b/>
                <w:bCs/>
                <w:lang w:val="en-AU"/>
              </w:rPr>
              <w:t>Notes</w:t>
            </w:r>
          </w:p>
        </w:tc>
      </w:tr>
      <w:tr w:rsidR="00652B0C" w:rsidRPr="00D03260" w14:paraId="78396112" w14:textId="77777777" w:rsidTr="004C5975">
        <w:tc>
          <w:tcPr>
            <w:tcW w:w="1717" w:type="dxa"/>
          </w:tcPr>
          <w:p w14:paraId="5DAA21C5" w14:textId="77777777" w:rsidR="00652B0C" w:rsidRPr="00D03260" w:rsidRDefault="00652B0C" w:rsidP="0032596A">
            <w:pPr>
              <w:pStyle w:val="Tabletextleft"/>
              <w:rPr>
                <w:lang w:val="en-AU"/>
              </w:rPr>
            </w:pPr>
            <w:r w:rsidRPr="00D03260">
              <w:rPr>
                <w:lang w:val="en-AU"/>
              </w:rPr>
              <w:t>Cholestyramine</w:t>
            </w:r>
          </w:p>
        </w:tc>
        <w:tc>
          <w:tcPr>
            <w:tcW w:w="6500" w:type="dxa"/>
          </w:tcPr>
          <w:p w14:paraId="62DE63E5" w14:textId="77777777" w:rsidR="00652B0C" w:rsidRPr="00D03260" w:rsidRDefault="00652B0C" w:rsidP="004C5975">
            <w:pPr>
              <w:pStyle w:val="Tablelistbullet"/>
              <w:ind w:left="284" w:hanging="284"/>
              <w:rPr>
                <w:lang w:val="en-AU"/>
              </w:rPr>
            </w:pPr>
            <w:r w:rsidRPr="00D03260">
              <w:rPr>
                <w:lang w:val="en-AU"/>
              </w:rPr>
              <w:t>Abdominal pain</w:t>
            </w:r>
          </w:p>
          <w:p w14:paraId="08AB4686" w14:textId="77777777" w:rsidR="00652B0C" w:rsidRPr="00D03260" w:rsidRDefault="00652B0C" w:rsidP="004C5975">
            <w:pPr>
              <w:pStyle w:val="Tablelistbullet"/>
              <w:ind w:left="284" w:hanging="284"/>
              <w:rPr>
                <w:lang w:val="en-AU"/>
              </w:rPr>
            </w:pPr>
            <w:r w:rsidRPr="00D03260">
              <w:rPr>
                <w:lang w:val="en-AU"/>
              </w:rPr>
              <w:t>Flatulence (wind/gas)</w:t>
            </w:r>
          </w:p>
          <w:p w14:paraId="2DBD3F99" w14:textId="77777777" w:rsidR="00652B0C" w:rsidRPr="00D03260" w:rsidRDefault="00652B0C" w:rsidP="004C5975">
            <w:pPr>
              <w:pStyle w:val="Tablelistbullet"/>
              <w:ind w:left="284" w:hanging="284"/>
              <w:rPr>
                <w:lang w:val="en-AU"/>
              </w:rPr>
            </w:pPr>
            <w:r w:rsidRPr="00D03260">
              <w:rPr>
                <w:lang w:val="en-AU"/>
              </w:rPr>
              <w:t>Nausea</w:t>
            </w:r>
          </w:p>
          <w:p w14:paraId="503D9DE8" w14:textId="77777777" w:rsidR="00652B0C" w:rsidRPr="00D03260" w:rsidRDefault="00652B0C" w:rsidP="004C5975">
            <w:pPr>
              <w:pStyle w:val="Tablelistbullet"/>
              <w:ind w:left="284" w:hanging="284"/>
              <w:rPr>
                <w:lang w:val="en-AU"/>
              </w:rPr>
            </w:pPr>
            <w:r w:rsidRPr="00D03260">
              <w:rPr>
                <w:lang w:val="en-AU"/>
              </w:rPr>
              <w:t>Vomiting</w:t>
            </w:r>
          </w:p>
          <w:p w14:paraId="66DFB880" w14:textId="77777777" w:rsidR="00652B0C" w:rsidRPr="00D03260" w:rsidRDefault="00652B0C" w:rsidP="004C5975">
            <w:pPr>
              <w:pStyle w:val="Tablelistbullet"/>
              <w:ind w:left="284" w:hanging="284"/>
              <w:rPr>
                <w:lang w:val="en-AU"/>
              </w:rPr>
            </w:pPr>
            <w:r w:rsidRPr="00D03260">
              <w:rPr>
                <w:lang w:val="en-AU"/>
              </w:rPr>
              <w:t>Heartburn</w:t>
            </w:r>
          </w:p>
          <w:p w14:paraId="2FB603EE" w14:textId="77777777" w:rsidR="00652B0C" w:rsidRPr="00D03260" w:rsidRDefault="00652B0C" w:rsidP="004C5975">
            <w:pPr>
              <w:pStyle w:val="Tablelistbullet"/>
              <w:ind w:left="284" w:hanging="284"/>
              <w:rPr>
                <w:lang w:val="en-AU"/>
              </w:rPr>
            </w:pPr>
            <w:r w:rsidRPr="00D03260">
              <w:rPr>
                <w:lang w:val="en-AU"/>
              </w:rPr>
              <w:t>Diarrhoea</w:t>
            </w:r>
          </w:p>
          <w:p w14:paraId="74C19DD8" w14:textId="77777777" w:rsidR="00652B0C" w:rsidRPr="00D03260" w:rsidRDefault="00652B0C" w:rsidP="004C5975">
            <w:pPr>
              <w:pStyle w:val="Tablelistbullet"/>
              <w:ind w:left="284" w:hanging="284"/>
              <w:rPr>
                <w:lang w:val="en-AU"/>
              </w:rPr>
            </w:pPr>
            <w:r w:rsidRPr="00D03260">
              <w:rPr>
                <w:lang w:val="en-AU"/>
              </w:rPr>
              <w:t>Anorexia (loss of appetite)</w:t>
            </w:r>
          </w:p>
          <w:p w14:paraId="42D1663F" w14:textId="77777777" w:rsidR="00652B0C" w:rsidRPr="00D03260" w:rsidRDefault="00652B0C" w:rsidP="004C5975">
            <w:pPr>
              <w:pStyle w:val="Tablelistbullet"/>
              <w:ind w:left="284" w:hanging="284"/>
              <w:rPr>
                <w:lang w:val="en-AU"/>
              </w:rPr>
            </w:pPr>
            <w:r w:rsidRPr="00D03260">
              <w:rPr>
                <w:lang w:val="en-AU"/>
              </w:rPr>
              <w:t>Indigestion</w:t>
            </w:r>
          </w:p>
          <w:p w14:paraId="764C659C" w14:textId="77777777" w:rsidR="00652B0C" w:rsidRPr="00D03260" w:rsidRDefault="00652B0C" w:rsidP="004C5975">
            <w:pPr>
              <w:pStyle w:val="Tablelistbullet"/>
              <w:ind w:left="284" w:hanging="284"/>
              <w:rPr>
                <w:lang w:val="en-AU"/>
              </w:rPr>
            </w:pPr>
            <w:r w:rsidRPr="00D03260">
              <w:rPr>
                <w:lang w:val="en-AU"/>
              </w:rPr>
              <w:t>Steatorrhoea (the presence of excess fat in the faeces. Stools may be bulky and difficult to flush, have a pale and oily appearance and can be especially foul smelling)</w:t>
            </w:r>
          </w:p>
          <w:p w14:paraId="6BE312FF" w14:textId="77777777" w:rsidR="00652B0C" w:rsidRPr="00D03260" w:rsidRDefault="00652B0C" w:rsidP="004C5975">
            <w:pPr>
              <w:pStyle w:val="Tablelistbullet"/>
              <w:ind w:left="284" w:hanging="284"/>
              <w:rPr>
                <w:lang w:val="en-AU"/>
              </w:rPr>
            </w:pPr>
            <w:r w:rsidRPr="00D03260">
              <w:rPr>
                <w:lang w:val="en-AU"/>
              </w:rPr>
              <w:t xml:space="preserve">Rash and irritation of the tongue, </w:t>
            </w:r>
            <w:proofErr w:type="gramStart"/>
            <w:r w:rsidRPr="00D03260">
              <w:rPr>
                <w:lang w:val="en-AU"/>
              </w:rPr>
              <w:t>skin</w:t>
            </w:r>
            <w:proofErr w:type="gramEnd"/>
            <w:r w:rsidRPr="00D03260">
              <w:rPr>
                <w:lang w:val="en-AU"/>
              </w:rPr>
              <w:t xml:space="preserve"> or anal area</w:t>
            </w:r>
          </w:p>
          <w:p w14:paraId="015CAE43" w14:textId="77777777" w:rsidR="00652B0C" w:rsidRPr="00D03260" w:rsidRDefault="00652B0C" w:rsidP="004C5975">
            <w:pPr>
              <w:pStyle w:val="Tablelistbullet"/>
              <w:ind w:left="284" w:hanging="284"/>
              <w:rPr>
                <w:lang w:val="en-AU"/>
              </w:rPr>
            </w:pPr>
            <w:r w:rsidRPr="00D03260">
              <w:rPr>
                <w:lang w:val="en-AU"/>
              </w:rPr>
              <w:t>Changes in bowel motions</w:t>
            </w:r>
          </w:p>
          <w:p w14:paraId="5B95E9EC" w14:textId="77777777" w:rsidR="00652B0C" w:rsidRPr="00D03260" w:rsidRDefault="00652B0C" w:rsidP="004C5975">
            <w:pPr>
              <w:pStyle w:val="Tablelistbullet"/>
              <w:ind w:left="284" w:hanging="284"/>
              <w:rPr>
                <w:lang w:val="en-AU"/>
              </w:rPr>
            </w:pPr>
            <w:r w:rsidRPr="00D03260">
              <w:rPr>
                <w:lang w:val="en-AU"/>
              </w:rPr>
              <w:t>Chest pain</w:t>
            </w:r>
          </w:p>
          <w:p w14:paraId="213BFBAC" w14:textId="77777777" w:rsidR="00652B0C" w:rsidRPr="00D03260" w:rsidRDefault="00652B0C" w:rsidP="004C5975">
            <w:pPr>
              <w:pStyle w:val="Tablelistbullet"/>
              <w:ind w:left="284" w:hanging="284"/>
              <w:rPr>
                <w:lang w:val="en-AU"/>
              </w:rPr>
            </w:pPr>
            <w:r w:rsidRPr="00D03260">
              <w:rPr>
                <w:lang w:val="en-AU"/>
              </w:rPr>
              <w:t>Headache</w:t>
            </w:r>
          </w:p>
          <w:p w14:paraId="1532BADF" w14:textId="77777777" w:rsidR="00652B0C" w:rsidRPr="00D03260" w:rsidRDefault="00652B0C" w:rsidP="004C5975">
            <w:pPr>
              <w:pStyle w:val="Tablelistbullet"/>
              <w:ind w:left="284" w:hanging="284"/>
              <w:rPr>
                <w:lang w:val="en-AU"/>
              </w:rPr>
            </w:pPr>
            <w:r w:rsidRPr="00D03260">
              <w:rPr>
                <w:lang w:val="en-AU"/>
              </w:rPr>
              <w:t>Anxiety</w:t>
            </w:r>
          </w:p>
          <w:p w14:paraId="5637B821" w14:textId="77777777" w:rsidR="00652B0C" w:rsidRPr="00D03260" w:rsidRDefault="00652B0C" w:rsidP="004C5975">
            <w:pPr>
              <w:pStyle w:val="Tablelistbullet"/>
              <w:ind w:left="284" w:hanging="284"/>
              <w:rPr>
                <w:lang w:val="en-AU"/>
              </w:rPr>
            </w:pPr>
            <w:r w:rsidRPr="00D03260">
              <w:rPr>
                <w:lang w:val="en-AU"/>
              </w:rPr>
              <w:t>Dizziness</w:t>
            </w:r>
          </w:p>
          <w:p w14:paraId="329FAFE4" w14:textId="77777777" w:rsidR="00652B0C" w:rsidRPr="00D03260" w:rsidRDefault="00652B0C" w:rsidP="004C5975">
            <w:pPr>
              <w:pStyle w:val="Tablelistbullet"/>
              <w:ind w:left="284" w:hanging="284"/>
              <w:rPr>
                <w:lang w:val="en-AU"/>
              </w:rPr>
            </w:pPr>
            <w:r w:rsidRPr="00D03260">
              <w:rPr>
                <w:lang w:val="en-AU"/>
              </w:rPr>
              <w:t>Drowsiness</w:t>
            </w:r>
          </w:p>
          <w:p w14:paraId="332B98DE" w14:textId="77777777" w:rsidR="00652B0C" w:rsidRPr="00D03260" w:rsidRDefault="00652B0C" w:rsidP="004C5975">
            <w:pPr>
              <w:pStyle w:val="Tablelistbullet"/>
              <w:ind w:left="284" w:hanging="284"/>
              <w:rPr>
                <w:lang w:val="en-AU"/>
              </w:rPr>
            </w:pPr>
            <w:r w:rsidRPr="00D03260">
              <w:rPr>
                <w:lang w:val="en-AU"/>
              </w:rPr>
              <w:t>Constipation</w:t>
            </w:r>
          </w:p>
          <w:p w14:paraId="2A944ABA" w14:textId="77777777" w:rsidR="00652B0C" w:rsidRPr="00D03260" w:rsidRDefault="00652B0C" w:rsidP="004C5975">
            <w:pPr>
              <w:pStyle w:val="Tablelistbullet"/>
              <w:ind w:left="284" w:hanging="284"/>
              <w:rPr>
                <w:lang w:val="en-AU"/>
              </w:rPr>
            </w:pPr>
            <w:r w:rsidRPr="00D03260">
              <w:rPr>
                <w:lang w:val="en-AU"/>
              </w:rPr>
              <w:t>Haemorrhoids</w:t>
            </w:r>
          </w:p>
        </w:tc>
        <w:tc>
          <w:tcPr>
            <w:tcW w:w="1843" w:type="dxa"/>
          </w:tcPr>
          <w:p w14:paraId="16037F64" w14:textId="77777777" w:rsidR="00652B0C" w:rsidRPr="00D03260" w:rsidRDefault="00652B0C" w:rsidP="0032596A">
            <w:pPr>
              <w:pStyle w:val="Tabletextleft"/>
              <w:rPr>
                <w:lang w:val="en-AU"/>
              </w:rPr>
            </w:pPr>
            <w:r w:rsidRPr="00D03260">
              <w:rPr>
                <w:lang w:val="en-AU"/>
              </w:rPr>
              <w:t xml:space="preserve">MIMS </w:t>
            </w:r>
          </w:p>
          <w:p w14:paraId="1F3ACD30" w14:textId="456BC765" w:rsidR="00652B0C" w:rsidRPr="00D03260" w:rsidRDefault="00652B0C" w:rsidP="0032596A">
            <w:pPr>
              <w:pStyle w:val="Tabletextleft"/>
              <w:rPr>
                <w:lang w:val="en-AU"/>
              </w:rPr>
            </w:pPr>
            <w:r w:rsidRPr="00D03260">
              <w:fldChar w:fldCharType="begin"/>
            </w:r>
            <w:r w:rsidR="00217980" w:rsidRPr="00D03260">
              <w:rPr>
                <w:lang w:val="en-AU"/>
              </w:rPr>
              <w:instrText xml:space="preserve"> ADDIN ZOTERO_ITEM CSL_CITATION {"citationID":"LvvyBtan","properties":{"formattedCitation":"(Monthly Index of Medical Specialities, 2020)","plainCitation":"(Monthly Index of Medical Specialities, 2020)","noteIndex":0},"citationItems":[{"id":2150,"uris":["http://zotero.org/groups/4371185/items/95JL82AB"],"itemData":{"id":2150,"type":"document","publisher":"Monthly Index of Medical Specialities","title":"Colestyramine consumer medicine information","URL":"https://www.healthdirect.gov.au/medicines/brand/amt,35521000168109/questran-lite","author":[{"family":"Monthly Index of Medical Specialities","given":""}],"accessed":{"date-parts":[["2021",10,29]]},"issued":{"date-parts":[["2020",7]]}}}],"schema":"https://github.com/citation-style-language/schema/raw/master/csl-citation.json"} </w:instrText>
            </w:r>
            <w:r w:rsidRPr="00D03260">
              <w:fldChar w:fldCharType="separate"/>
            </w:r>
            <w:r w:rsidRPr="00D03260">
              <w:rPr>
                <w:rFonts w:cs="Arial"/>
                <w:lang w:val="en-AU"/>
              </w:rPr>
              <w:t>(Monthly Index of Medical Specialities, 2020)</w:t>
            </w:r>
            <w:r w:rsidRPr="00D03260">
              <w:fldChar w:fldCharType="end"/>
            </w:r>
          </w:p>
        </w:tc>
        <w:tc>
          <w:tcPr>
            <w:tcW w:w="1417" w:type="dxa"/>
          </w:tcPr>
          <w:p w14:paraId="2DDE6435" w14:textId="77777777" w:rsidR="00652B0C" w:rsidRPr="00D03260" w:rsidRDefault="00652B0C" w:rsidP="0032596A">
            <w:pPr>
              <w:pStyle w:val="Tabletextleft"/>
              <w:rPr>
                <w:lang w:val="en-AU"/>
              </w:rPr>
            </w:pPr>
            <w:r w:rsidRPr="00D03260">
              <w:rPr>
                <w:lang w:val="en-AU"/>
              </w:rPr>
              <w:t>ARTG (CMI)</w:t>
            </w:r>
          </w:p>
        </w:tc>
        <w:tc>
          <w:tcPr>
            <w:tcW w:w="2552" w:type="dxa"/>
          </w:tcPr>
          <w:p w14:paraId="47B720D1" w14:textId="77777777" w:rsidR="00652B0C" w:rsidRPr="00D03260" w:rsidRDefault="00000000" w:rsidP="0032596A">
            <w:pPr>
              <w:pStyle w:val="Tabletextleft"/>
              <w:rPr>
                <w:lang w:val="en-AU"/>
              </w:rPr>
            </w:pPr>
            <w:hyperlink r:id="rId84" w:history="1">
              <w:r w:rsidR="00652B0C" w:rsidRPr="00D03260">
                <w:rPr>
                  <w:color w:val="002060"/>
                  <w:u w:val="single"/>
                  <w:lang w:val="en-AU"/>
                </w:rPr>
                <w:t>https://www.ebs.tga.gov.au/ebs/picmi/picmirepository.nsf/pdf?OpenAgent&amp;id=CP-2010-CMI-07313-3</w:t>
              </w:r>
            </w:hyperlink>
          </w:p>
          <w:p w14:paraId="5772CA6A" w14:textId="77777777" w:rsidR="00652B0C" w:rsidRPr="00D03260" w:rsidRDefault="00652B0C" w:rsidP="0032596A">
            <w:pPr>
              <w:pStyle w:val="Tabletextleft"/>
              <w:rPr>
                <w:lang w:val="en-AU"/>
              </w:rPr>
            </w:pPr>
            <w:r w:rsidRPr="00D03260">
              <w:rPr>
                <w:lang w:val="en-AU"/>
              </w:rPr>
              <w:t>ARTG (CMI)</w:t>
            </w:r>
          </w:p>
          <w:p w14:paraId="69CC3233" w14:textId="77777777" w:rsidR="00652B0C" w:rsidRPr="00D03260" w:rsidRDefault="00652B0C" w:rsidP="0032596A">
            <w:pPr>
              <w:pStyle w:val="Tabletextleft"/>
              <w:rPr>
                <w:lang w:val="en-AU"/>
              </w:rPr>
            </w:pPr>
          </w:p>
          <w:p w14:paraId="59AECBBB" w14:textId="77777777" w:rsidR="00652B0C" w:rsidRPr="00D03260" w:rsidRDefault="00000000" w:rsidP="0032596A">
            <w:pPr>
              <w:pStyle w:val="Tabletextleft"/>
              <w:rPr>
                <w:color w:val="002060"/>
                <w:lang w:val="en-AU"/>
              </w:rPr>
            </w:pPr>
            <w:hyperlink r:id="rId85" w:history="1">
              <w:r w:rsidR="00652B0C" w:rsidRPr="00D03260">
                <w:rPr>
                  <w:color w:val="002060"/>
                  <w:u w:val="single"/>
                  <w:lang w:val="en-AU"/>
                </w:rPr>
                <w:t>https://www.ebs.tga.gov.au/ebs/picmi/picmirepository.nsf/pdf?OpenAgent&amp;id=CP-2010-PI-07312-3</w:t>
              </w:r>
            </w:hyperlink>
          </w:p>
          <w:p w14:paraId="21CAB2C8" w14:textId="77777777" w:rsidR="00652B0C" w:rsidRPr="00D03260" w:rsidRDefault="00652B0C" w:rsidP="0032596A">
            <w:pPr>
              <w:pStyle w:val="Tabletextleft"/>
              <w:rPr>
                <w:lang w:val="en-AU"/>
              </w:rPr>
            </w:pPr>
            <w:r w:rsidRPr="00D03260">
              <w:rPr>
                <w:lang w:val="en-AU"/>
              </w:rPr>
              <w:t>ARTG (PI)</w:t>
            </w:r>
          </w:p>
        </w:tc>
      </w:tr>
      <w:tr w:rsidR="00652B0C" w:rsidRPr="00D03260" w14:paraId="63B86237" w14:textId="77777777" w:rsidTr="004C5975">
        <w:tc>
          <w:tcPr>
            <w:tcW w:w="1717" w:type="dxa"/>
          </w:tcPr>
          <w:p w14:paraId="4C4DD524" w14:textId="77777777" w:rsidR="00652B0C" w:rsidRPr="00D03260" w:rsidRDefault="00652B0C" w:rsidP="0032596A">
            <w:pPr>
              <w:pStyle w:val="Tabletextleft"/>
              <w:rPr>
                <w:lang w:val="en-AU"/>
              </w:rPr>
            </w:pPr>
            <w:r w:rsidRPr="00D03260">
              <w:rPr>
                <w:lang w:val="en-AU"/>
              </w:rPr>
              <w:t>Pioglitazone</w:t>
            </w:r>
          </w:p>
        </w:tc>
        <w:tc>
          <w:tcPr>
            <w:tcW w:w="6500" w:type="dxa"/>
          </w:tcPr>
          <w:p w14:paraId="60F6AB9B" w14:textId="77777777" w:rsidR="00652B0C" w:rsidRPr="00D03260" w:rsidRDefault="00652B0C" w:rsidP="004C5975">
            <w:pPr>
              <w:pStyle w:val="Tablelistbullet"/>
              <w:ind w:left="284" w:hanging="284"/>
              <w:rPr>
                <w:lang w:val="en-AU"/>
              </w:rPr>
            </w:pPr>
            <w:r w:rsidRPr="00D03260">
              <w:rPr>
                <w:lang w:val="en-AU"/>
              </w:rPr>
              <w:t xml:space="preserve">Heart failure, which may show as localised swelling of the ankles, </w:t>
            </w:r>
            <w:proofErr w:type="gramStart"/>
            <w:r w:rsidRPr="00D03260">
              <w:rPr>
                <w:lang w:val="en-AU"/>
              </w:rPr>
              <w:t>feet</w:t>
            </w:r>
            <w:proofErr w:type="gramEnd"/>
            <w:r w:rsidRPr="00D03260">
              <w:rPr>
                <w:lang w:val="en-AU"/>
              </w:rPr>
              <w:t xml:space="preserve"> and hands (oedema) and/or fluid in the lungs (pulmonary oedema). This has been reported in clinical trials mainly in patients who are taking ACTOS in combination with insulin</w:t>
            </w:r>
          </w:p>
          <w:p w14:paraId="722237DE" w14:textId="77777777" w:rsidR="00652B0C" w:rsidRPr="00D03260" w:rsidRDefault="00652B0C" w:rsidP="004C5975">
            <w:pPr>
              <w:pStyle w:val="Tablelistbullet"/>
              <w:ind w:left="284" w:hanging="284"/>
              <w:rPr>
                <w:lang w:val="en-AU"/>
              </w:rPr>
            </w:pPr>
            <w:r w:rsidRPr="00D03260">
              <w:rPr>
                <w:lang w:val="en-AU"/>
              </w:rPr>
              <w:t>Increased risk of bone fracture in women</w:t>
            </w:r>
          </w:p>
          <w:p w14:paraId="25C62255" w14:textId="77777777" w:rsidR="00652B0C" w:rsidRPr="00D03260" w:rsidRDefault="00652B0C" w:rsidP="004C5975">
            <w:pPr>
              <w:pStyle w:val="Tablelistbullet"/>
              <w:ind w:left="284" w:hanging="284"/>
              <w:rPr>
                <w:lang w:val="en-AU"/>
              </w:rPr>
            </w:pPr>
            <w:r w:rsidRPr="00D03260">
              <w:rPr>
                <w:lang w:val="en-AU"/>
              </w:rPr>
              <w:t>Macular oedema (an eye disorder that can affect vision)</w:t>
            </w:r>
          </w:p>
          <w:p w14:paraId="3D1FD2E6" w14:textId="77777777" w:rsidR="00652B0C" w:rsidRPr="00D03260" w:rsidRDefault="00652B0C" w:rsidP="004C5975">
            <w:pPr>
              <w:pStyle w:val="Tablelistbullet"/>
              <w:ind w:left="284" w:hanging="284"/>
              <w:rPr>
                <w:lang w:val="en-AU"/>
              </w:rPr>
            </w:pPr>
            <w:r w:rsidRPr="00D03260">
              <w:rPr>
                <w:lang w:val="en-AU"/>
              </w:rPr>
              <w:t>Altered or impaired liver function</w:t>
            </w:r>
          </w:p>
          <w:p w14:paraId="08EA87FE" w14:textId="77777777" w:rsidR="00652B0C" w:rsidRPr="00D03260" w:rsidRDefault="00652B0C" w:rsidP="004C5975">
            <w:pPr>
              <w:pStyle w:val="Tablelistbullet"/>
              <w:ind w:left="284" w:hanging="284"/>
              <w:rPr>
                <w:lang w:val="en-AU"/>
              </w:rPr>
            </w:pPr>
            <w:r w:rsidRPr="00D03260">
              <w:rPr>
                <w:lang w:val="en-AU"/>
              </w:rPr>
              <w:t>Weight gain</w:t>
            </w:r>
          </w:p>
          <w:p w14:paraId="286FC4DC" w14:textId="3650B66E" w:rsidR="00652B0C" w:rsidRPr="00D03260" w:rsidRDefault="00652B0C" w:rsidP="004C5975">
            <w:pPr>
              <w:pStyle w:val="Tablelistbullet"/>
              <w:ind w:left="284" w:hanging="284"/>
              <w:rPr>
                <w:lang w:val="en-AU"/>
              </w:rPr>
            </w:pPr>
            <w:r w:rsidRPr="00D03260">
              <w:rPr>
                <w:lang w:val="en-AU"/>
              </w:rPr>
              <w:t xml:space="preserve">Signs of hypoglycaemia, which may include weakness, trembling or shaking, sweating, </w:t>
            </w:r>
            <w:r w:rsidR="00B04991" w:rsidRPr="00D03260">
              <w:rPr>
                <w:lang w:val="en-AU"/>
              </w:rPr>
              <w:t>light-headedness</w:t>
            </w:r>
            <w:r w:rsidRPr="00D03260">
              <w:rPr>
                <w:lang w:val="en-AU"/>
              </w:rPr>
              <w:t>, headache, dizziness, lack of concentration, tearfulness or crying, irritability, hunger, numbness around the lips and fingers</w:t>
            </w:r>
          </w:p>
          <w:p w14:paraId="62DFFE7E" w14:textId="77777777" w:rsidR="00652B0C" w:rsidRPr="00D03260" w:rsidRDefault="00652B0C" w:rsidP="004C5975">
            <w:pPr>
              <w:pStyle w:val="Tablelistbullet"/>
              <w:ind w:left="284" w:hanging="284"/>
              <w:rPr>
                <w:lang w:val="en-AU"/>
              </w:rPr>
            </w:pPr>
            <w:r w:rsidRPr="00D03260">
              <w:rPr>
                <w:lang w:val="en-AU"/>
              </w:rPr>
              <w:t>Eye problems including blurred or double vision</w:t>
            </w:r>
          </w:p>
          <w:p w14:paraId="4633080E" w14:textId="77777777" w:rsidR="00652B0C" w:rsidRPr="00D03260" w:rsidRDefault="00652B0C" w:rsidP="004C5975">
            <w:pPr>
              <w:pStyle w:val="Tablelistbullet"/>
              <w:ind w:left="284" w:hanging="284"/>
              <w:rPr>
                <w:lang w:val="en-AU"/>
              </w:rPr>
            </w:pPr>
            <w:r w:rsidRPr="00D03260">
              <w:rPr>
                <w:lang w:val="en-AU"/>
              </w:rPr>
              <w:t xml:space="preserve">Dark urine or pale stools, yellowing of the skin or eyes, severe cramps of the stomach, nausea or vomiting, loss of weight, tiredness </w:t>
            </w:r>
          </w:p>
          <w:p w14:paraId="2EC8EA96" w14:textId="77777777" w:rsidR="00652B0C" w:rsidRPr="00D03260" w:rsidRDefault="00652B0C" w:rsidP="004C5975">
            <w:pPr>
              <w:pStyle w:val="Tablelistbullet"/>
              <w:ind w:left="284" w:hanging="284"/>
              <w:rPr>
                <w:lang w:val="en-AU"/>
              </w:rPr>
            </w:pPr>
            <w:r w:rsidRPr="00D03260">
              <w:rPr>
                <w:lang w:val="en-AU"/>
              </w:rPr>
              <w:t xml:space="preserve">Shortness of breath when at rest or after minimal physical activity with swelling of legs, feet and hands, rapid increase in weight </w:t>
            </w:r>
          </w:p>
          <w:p w14:paraId="6CDC4CBD" w14:textId="77777777" w:rsidR="00652B0C" w:rsidRPr="00D03260" w:rsidRDefault="00652B0C" w:rsidP="004C5975">
            <w:pPr>
              <w:pStyle w:val="Tablelistbullet"/>
              <w:ind w:left="284" w:hanging="284"/>
              <w:rPr>
                <w:lang w:val="en-AU"/>
              </w:rPr>
            </w:pPr>
            <w:r w:rsidRPr="00D03260">
              <w:rPr>
                <w:lang w:val="en-AU"/>
              </w:rPr>
              <w:t>Blood in the urine often accompanied by pain and burning, these can be symptoms of bladder cancer</w:t>
            </w:r>
          </w:p>
        </w:tc>
        <w:tc>
          <w:tcPr>
            <w:tcW w:w="1843" w:type="dxa"/>
          </w:tcPr>
          <w:p w14:paraId="5A78DD1A" w14:textId="77777777" w:rsidR="00652B0C" w:rsidRPr="00D03260" w:rsidRDefault="00652B0C" w:rsidP="0032596A">
            <w:pPr>
              <w:pStyle w:val="Tabletextleft"/>
              <w:rPr>
                <w:lang w:val="en-AU"/>
              </w:rPr>
            </w:pPr>
            <w:r w:rsidRPr="00D03260">
              <w:rPr>
                <w:lang w:val="en-AU"/>
              </w:rPr>
              <w:t>ARTG (CMI)</w:t>
            </w:r>
          </w:p>
        </w:tc>
        <w:tc>
          <w:tcPr>
            <w:tcW w:w="1417" w:type="dxa"/>
          </w:tcPr>
          <w:p w14:paraId="69C724C1" w14:textId="77777777" w:rsidR="00652B0C" w:rsidRPr="00D03260" w:rsidRDefault="00652B0C" w:rsidP="0032596A">
            <w:pPr>
              <w:pStyle w:val="Tabletextleft"/>
              <w:rPr>
                <w:lang w:val="en-AU"/>
              </w:rPr>
            </w:pPr>
          </w:p>
        </w:tc>
        <w:tc>
          <w:tcPr>
            <w:tcW w:w="2552" w:type="dxa"/>
          </w:tcPr>
          <w:p w14:paraId="17D9F90D" w14:textId="77777777" w:rsidR="00652B0C" w:rsidRPr="00D03260" w:rsidRDefault="00000000" w:rsidP="0032596A">
            <w:pPr>
              <w:pStyle w:val="Tabletextleft"/>
              <w:rPr>
                <w:color w:val="002060"/>
                <w:lang w:val="en-AU"/>
              </w:rPr>
            </w:pPr>
            <w:hyperlink r:id="rId86" w:history="1">
              <w:r w:rsidR="00652B0C" w:rsidRPr="00D03260">
                <w:rPr>
                  <w:color w:val="002060"/>
                  <w:u w:val="single"/>
                  <w:lang w:val="en-AU"/>
                </w:rPr>
                <w:t>https://www.ebs.tga.gov.au/ebs/picmi/picmirepository.nsf/pdf?OpenAgent&amp;id=CP-2015-CMI-02636-1</w:t>
              </w:r>
            </w:hyperlink>
          </w:p>
          <w:p w14:paraId="203421A5" w14:textId="77777777" w:rsidR="00652B0C" w:rsidRPr="00D03260" w:rsidRDefault="00652B0C" w:rsidP="0032596A">
            <w:pPr>
              <w:pStyle w:val="Tabletextleft"/>
              <w:rPr>
                <w:lang w:val="en-AU"/>
              </w:rPr>
            </w:pPr>
            <w:r w:rsidRPr="00D03260">
              <w:rPr>
                <w:lang w:val="en-AU"/>
              </w:rPr>
              <w:t>ARTG (CMI)</w:t>
            </w:r>
          </w:p>
          <w:p w14:paraId="0AFB7A15" w14:textId="77777777" w:rsidR="00652B0C" w:rsidRPr="00D03260" w:rsidRDefault="00652B0C" w:rsidP="0032596A">
            <w:pPr>
              <w:pStyle w:val="Tabletextleft"/>
              <w:rPr>
                <w:lang w:val="en-AU"/>
              </w:rPr>
            </w:pPr>
          </w:p>
          <w:p w14:paraId="6C872183" w14:textId="77777777" w:rsidR="00652B0C" w:rsidRPr="00D03260" w:rsidRDefault="00000000" w:rsidP="0032596A">
            <w:pPr>
              <w:pStyle w:val="Tabletextleft"/>
              <w:rPr>
                <w:color w:val="002060"/>
                <w:lang w:val="en-AU"/>
              </w:rPr>
            </w:pPr>
            <w:hyperlink r:id="rId87" w:history="1">
              <w:r w:rsidR="00652B0C" w:rsidRPr="00D03260">
                <w:rPr>
                  <w:color w:val="002060"/>
                  <w:u w:val="single"/>
                  <w:lang w:val="en-AU"/>
                </w:rPr>
                <w:t>https://www.ebs.tga.gov.au/ebs/picmi/picmirepository.nsf/pdf?OpenAgent&amp;id=CP-2011-PI-01931-3</w:t>
              </w:r>
            </w:hyperlink>
          </w:p>
          <w:p w14:paraId="171D8D09" w14:textId="77777777" w:rsidR="00652B0C" w:rsidRPr="00D03260" w:rsidRDefault="00652B0C" w:rsidP="0032596A">
            <w:pPr>
              <w:pStyle w:val="Tabletextleft"/>
              <w:rPr>
                <w:lang w:val="en-AU"/>
              </w:rPr>
            </w:pPr>
            <w:r w:rsidRPr="00D03260">
              <w:rPr>
                <w:lang w:val="en-AU"/>
              </w:rPr>
              <w:t>ARTG (PI)</w:t>
            </w:r>
          </w:p>
        </w:tc>
      </w:tr>
      <w:tr w:rsidR="00652B0C" w:rsidRPr="00D03260" w14:paraId="1592F226" w14:textId="77777777" w:rsidTr="004C5975">
        <w:trPr>
          <w:cantSplit/>
        </w:trPr>
        <w:tc>
          <w:tcPr>
            <w:tcW w:w="1717" w:type="dxa"/>
          </w:tcPr>
          <w:p w14:paraId="339CD0EA" w14:textId="77777777" w:rsidR="00652B0C" w:rsidRPr="00D03260" w:rsidRDefault="00652B0C" w:rsidP="0032596A">
            <w:pPr>
              <w:pStyle w:val="Tabletextleft"/>
              <w:rPr>
                <w:lang w:val="en-AU"/>
              </w:rPr>
            </w:pPr>
            <w:r w:rsidRPr="00D03260">
              <w:rPr>
                <w:lang w:val="en-AU"/>
              </w:rPr>
              <w:t>Statins</w:t>
            </w:r>
          </w:p>
          <w:p w14:paraId="2207814B" w14:textId="77777777" w:rsidR="00652B0C" w:rsidRPr="00D03260" w:rsidRDefault="00652B0C" w:rsidP="0032596A">
            <w:pPr>
              <w:pStyle w:val="Tabletextleft"/>
              <w:rPr>
                <w:lang w:val="en-AU"/>
              </w:rPr>
            </w:pPr>
            <w:r w:rsidRPr="00D03260">
              <w:rPr>
                <w:lang w:val="en-AU"/>
              </w:rPr>
              <w:t>Atorvastatin</w:t>
            </w:r>
          </w:p>
        </w:tc>
        <w:tc>
          <w:tcPr>
            <w:tcW w:w="6500" w:type="dxa"/>
          </w:tcPr>
          <w:p w14:paraId="14F7DD63" w14:textId="77777777" w:rsidR="00652B0C" w:rsidRPr="00D03260" w:rsidRDefault="00652B0C" w:rsidP="004C5975">
            <w:pPr>
              <w:pStyle w:val="Tablelistbullet"/>
              <w:ind w:left="284" w:hanging="284"/>
              <w:rPr>
                <w:lang w:val="en-AU"/>
              </w:rPr>
            </w:pPr>
            <w:r w:rsidRPr="00D03260">
              <w:rPr>
                <w:lang w:val="en-AU"/>
              </w:rPr>
              <w:t>Yellowing of the skin and eyes and dark coloured urine</w:t>
            </w:r>
          </w:p>
          <w:p w14:paraId="03F4C8DB" w14:textId="77777777" w:rsidR="00652B0C" w:rsidRPr="00D03260" w:rsidRDefault="00652B0C" w:rsidP="004C5975">
            <w:pPr>
              <w:pStyle w:val="Tablelistbullet"/>
              <w:ind w:left="284" w:hanging="284"/>
              <w:rPr>
                <w:lang w:val="en-AU"/>
              </w:rPr>
            </w:pPr>
            <w:r w:rsidRPr="00D03260">
              <w:rPr>
                <w:lang w:val="en-AU"/>
              </w:rPr>
              <w:t>Feeling weak and tired, excessively thirsty and passing more urine</w:t>
            </w:r>
          </w:p>
          <w:p w14:paraId="60CA1B46" w14:textId="77777777" w:rsidR="00652B0C" w:rsidRPr="00D03260" w:rsidRDefault="00652B0C" w:rsidP="004C5975">
            <w:pPr>
              <w:pStyle w:val="Tablelistbullet"/>
              <w:ind w:left="284" w:hanging="284"/>
              <w:rPr>
                <w:lang w:val="en-AU"/>
              </w:rPr>
            </w:pPr>
            <w:r w:rsidRPr="00D03260">
              <w:rPr>
                <w:lang w:val="en-AU"/>
              </w:rPr>
              <w:t xml:space="preserve">Problems with breathing, including shortness of breath, persistent </w:t>
            </w:r>
            <w:proofErr w:type="gramStart"/>
            <w:r w:rsidRPr="00D03260">
              <w:rPr>
                <w:lang w:val="en-AU"/>
              </w:rPr>
              <w:t>cough</w:t>
            </w:r>
            <w:proofErr w:type="gramEnd"/>
            <w:r w:rsidRPr="00D03260">
              <w:rPr>
                <w:lang w:val="en-AU"/>
              </w:rPr>
              <w:t xml:space="preserve"> and fever.</w:t>
            </w:r>
          </w:p>
          <w:p w14:paraId="44854297" w14:textId="77777777" w:rsidR="00652B0C" w:rsidRPr="00D03260" w:rsidRDefault="00652B0C" w:rsidP="004C5975">
            <w:pPr>
              <w:pStyle w:val="Tablelistbullet"/>
              <w:ind w:left="284" w:hanging="284"/>
              <w:rPr>
                <w:lang w:val="en-AU"/>
              </w:rPr>
            </w:pPr>
            <w:r w:rsidRPr="00D03260">
              <w:rPr>
                <w:lang w:val="en-AU"/>
              </w:rPr>
              <w:t xml:space="preserve">Symptoms of allergy such as skin rash, itching, swelling of the face, lips, mouth, tongue, throat or neck which may cause difficulty in swallowing or </w:t>
            </w:r>
            <w:proofErr w:type="gramStart"/>
            <w:r w:rsidRPr="00D03260">
              <w:rPr>
                <w:lang w:val="en-AU"/>
              </w:rPr>
              <w:t>breathing</w:t>
            </w:r>
            <w:proofErr w:type="gramEnd"/>
            <w:r w:rsidRPr="00D03260">
              <w:rPr>
                <w:lang w:val="en-AU"/>
              </w:rPr>
              <w:t xml:space="preserve"> </w:t>
            </w:r>
          </w:p>
          <w:p w14:paraId="475885DA" w14:textId="77777777" w:rsidR="00652B0C" w:rsidRPr="00D03260" w:rsidRDefault="00652B0C" w:rsidP="004C5975">
            <w:pPr>
              <w:pStyle w:val="Tablelistbullet"/>
              <w:ind w:left="284" w:hanging="284"/>
              <w:rPr>
                <w:lang w:val="en-AU"/>
              </w:rPr>
            </w:pPr>
            <w:r w:rsidRPr="00D03260">
              <w:rPr>
                <w:lang w:val="en-AU"/>
              </w:rPr>
              <w:t>Chest pain</w:t>
            </w:r>
          </w:p>
          <w:p w14:paraId="2A13E4B9" w14:textId="77777777" w:rsidR="00652B0C" w:rsidRPr="00D03260" w:rsidRDefault="00652B0C" w:rsidP="004C5975">
            <w:pPr>
              <w:pStyle w:val="Tablelistbullet"/>
              <w:ind w:left="284" w:hanging="284"/>
              <w:rPr>
                <w:lang w:val="en-AU"/>
              </w:rPr>
            </w:pPr>
            <w:r w:rsidRPr="00D03260">
              <w:rPr>
                <w:lang w:val="en-AU"/>
              </w:rPr>
              <w:t>Unexpected muscle pain, tenderness or weakness not caused by exercise, particularly if you also feel unwell or have a fever</w:t>
            </w:r>
          </w:p>
          <w:p w14:paraId="583A4F98" w14:textId="77777777" w:rsidR="00652B0C" w:rsidRPr="00D03260" w:rsidRDefault="00652B0C" w:rsidP="004C5975">
            <w:pPr>
              <w:pStyle w:val="Tablelistbullet"/>
              <w:ind w:left="284" w:hanging="284"/>
              <w:rPr>
                <w:lang w:val="en-AU"/>
              </w:rPr>
            </w:pPr>
            <w:r w:rsidRPr="00D03260">
              <w:rPr>
                <w:lang w:val="en-AU"/>
              </w:rPr>
              <w:t>Sudden severe headache, which may be accompanied by nausea, vomiting, loss of sensation, tingling in any part of the body or ringing in the ears</w:t>
            </w:r>
          </w:p>
          <w:p w14:paraId="500C5182" w14:textId="77777777" w:rsidR="00652B0C" w:rsidRPr="00D03260" w:rsidRDefault="00652B0C" w:rsidP="004C5975">
            <w:pPr>
              <w:pStyle w:val="Tablelistbullet"/>
              <w:ind w:left="284" w:hanging="284"/>
              <w:rPr>
                <w:lang w:val="en-AU"/>
              </w:rPr>
            </w:pPr>
            <w:r w:rsidRPr="00D03260">
              <w:rPr>
                <w:lang w:val="en-AU"/>
              </w:rPr>
              <w:t xml:space="preserve">Severe blisters and bleeding of the lips, eyes, mouth, </w:t>
            </w:r>
            <w:proofErr w:type="gramStart"/>
            <w:r w:rsidRPr="00D03260">
              <w:rPr>
                <w:lang w:val="en-AU"/>
              </w:rPr>
              <w:t>nose</w:t>
            </w:r>
            <w:proofErr w:type="gramEnd"/>
            <w:r w:rsidRPr="00D03260">
              <w:rPr>
                <w:lang w:val="en-AU"/>
              </w:rPr>
              <w:t xml:space="preserve"> or genitals</w:t>
            </w:r>
          </w:p>
          <w:p w14:paraId="039FD986" w14:textId="77777777" w:rsidR="00652B0C" w:rsidRPr="00D03260" w:rsidRDefault="00652B0C" w:rsidP="004C5975">
            <w:pPr>
              <w:pStyle w:val="Tablelistbullet"/>
              <w:ind w:left="284" w:hanging="284"/>
              <w:rPr>
                <w:lang w:val="en-AU"/>
              </w:rPr>
            </w:pPr>
            <w:r w:rsidRPr="00D03260">
              <w:rPr>
                <w:lang w:val="en-AU"/>
              </w:rPr>
              <w:t xml:space="preserve">Muscle and joint pain, muscle weakness, especially in the forearms, thighs, hips, shoulders, neck, and back </w:t>
            </w:r>
          </w:p>
          <w:p w14:paraId="26688F5F" w14:textId="77777777" w:rsidR="00652B0C" w:rsidRPr="00D03260" w:rsidRDefault="00652B0C" w:rsidP="004C5975">
            <w:pPr>
              <w:pStyle w:val="Tablelistbullet"/>
              <w:ind w:left="284" w:hanging="284"/>
              <w:rPr>
                <w:lang w:val="en-AU"/>
              </w:rPr>
            </w:pPr>
            <w:r w:rsidRPr="00D03260">
              <w:rPr>
                <w:lang w:val="en-AU"/>
              </w:rPr>
              <w:t xml:space="preserve">Difficulty climbing stairs or standing up from a chair </w:t>
            </w:r>
          </w:p>
          <w:p w14:paraId="1450F101" w14:textId="77777777" w:rsidR="00652B0C" w:rsidRPr="00D03260" w:rsidRDefault="00652B0C" w:rsidP="004C5975">
            <w:pPr>
              <w:pStyle w:val="Tablelistbullet"/>
              <w:ind w:left="284" w:hanging="284"/>
              <w:rPr>
                <w:lang w:val="en-AU"/>
              </w:rPr>
            </w:pPr>
            <w:r w:rsidRPr="00D03260">
              <w:rPr>
                <w:lang w:val="en-AU"/>
              </w:rPr>
              <w:t>Difficulty lifting arms over the head</w:t>
            </w:r>
          </w:p>
          <w:p w14:paraId="003A5D67" w14:textId="77777777" w:rsidR="00652B0C" w:rsidRPr="00D03260" w:rsidRDefault="00652B0C" w:rsidP="004C5975">
            <w:pPr>
              <w:pStyle w:val="Tablelistbullet"/>
              <w:ind w:left="284" w:hanging="284"/>
              <w:rPr>
                <w:lang w:val="en-AU"/>
              </w:rPr>
            </w:pPr>
            <w:r w:rsidRPr="00D03260">
              <w:rPr>
                <w:lang w:val="en-AU"/>
              </w:rPr>
              <w:t xml:space="preserve">Falling and difficulty getting up from a fall </w:t>
            </w:r>
          </w:p>
          <w:p w14:paraId="5A1DE812" w14:textId="77777777" w:rsidR="00652B0C" w:rsidRPr="00D03260" w:rsidRDefault="00652B0C" w:rsidP="004C5975">
            <w:pPr>
              <w:pStyle w:val="Tablelistbullet"/>
              <w:ind w:left="284" w:hanging="284"/>
              <w:rPr>
                <w:lang w:val="en-AU"/>
              </w:rPr>
            </w:pPr>
            <w:r w:rsidRPr="00D03260">
              <w:rPr>
                <w:lang w:val="en-AU"/>
              </w:rPr>
              <w:t>Constipation, diarrhoea</w:t>
            </w:r>
          </w:p>
          <w:p w14:paraId="485CE876" w14:textId="77777777" w:rsidR="00652B0C" w:rsidRPr="00D03260" w:rsidRDefault="00652B0C" w:rsidP="004C5975">
            <w:pPr>
              <w:pStyle w:val="Tablelistbullet"/>
              <w:ind w:left="284" w:hanging="284"/>
              <w:rPr>
                <w:lang w:val="en-AU"/>
              </w:rPr>
            </w:pPr>
            <w:r w:rsidRPr="00D03260">
              <w:rPr>
                <w:lang w:val="en-AU"/>
              </w:rPr>
              <w:t>Stomach or belly pain, nausea (feeling sick)</w:t>
            </w:r>
          </w:p>
          <w:p w14:paraId="2F4ECAA3" w14:textId="77777777" w:rsidR="00652B0C" w:rsidRPr="00D03260" w:rsidRDefault="00652B0C" w:rsidP="004C5975">
            <w:pPr>
              <w:pStyle w:val="Tablelistbullet"/>
              <w:ind w:left="284" w:hanging="284"/>
              <w:rPr>
                <w:lang w:val="en-AU"/>
              </w:rPr>
            </w:pPr>
            <w:r w:rsidRPr="00D03260">
              <w:rPr>
                <w:lang w:val="en-AU"/>
              </w:rPr>
              <w:t xml:space="preserve">Heartburn, </w:t>
            </w:r>
            <w:proofErr w:type="gramStart"/>
            <w:r w:rsidRPr="00D03260">
              <w:rPr>
                <w:lang w:val="en-AU"/>
              </w:rPr>
              <w:t>indigestion</w:t>
            </w:r>
            <w:proofErr w:type="gramEnd"/>
            <w:r w:rsidRPr="00D03260">
              <w:rPr>
                <w:lang w:val="en-AU"/>
              </w:rPr>
              <w:t xml:space="preserve"> or wind</w:t>
            </w:r>
          </w:p>
          <w:p w14:paraId="7CC0ABE6" w14:textId="77777777" w:rsidR="00652B0C" w:rsidRPr="00D03260" w:rsidRDefault="00652B0C" w:rsidP="004C5975">
            <w:pPr>
              <w:pStyle w:val="Tablelistbullet"/>
              <w:ind w:left="284" w:hanging="284"/>
              <w:rPr>
                <w:lang w:val="en-AU"/>
              </w:rPr>
            </w:pPr>
            <w:r w:rsidRPr="00D03260">
              <w:rPr>
                <w:lang w:val="en-AU"/>
              </w:rPr>
              <w:t>Urine infection</w:t>
            </w:r>
          </w:p>
          <w:p w14:paraId="068F8AD9" w14:textId="77777777" w:rsidR="00652B0C" w:rsidRPr="00D03260" w:rsidRDefault="00652B0C" w:rsidP="004C5975">
            <w:pPr>
              <w:pStyle w:val="Tablelistbullet"/>
              <w:ind w:left="284" w:hanging="284"/>
              <w:rPr>
                <w:lang w:val="en-AU"/>
              </w:rPr>
            </w:pPr>
            <w:r w:rsidRPr="00D03260">
              <w:rPr>
                <w:lang w:val="en-AU"/>
              </w:rPr>
              <w:t>Headache</w:t>
            </w:r>
          </w:p>
          <w:p w14:paraId="4BCE56B6" w14:textId="77777777" w:rsidR="00652B0C" w:rsidRPr="00D03260" w:rsidRDefault="00652B0C" w:rsidP="004C5975">
            <w:pPr>
              <w:pStyle w:val="Tablelistbullet"/>
              <w:ind w:left="284" w:hanging="284"/>
              <w:rPr>
                <w:lang w:val="en-AU"/>
              </w:rPr>
            </w:pPr>
            <w:r w:rsidRPr="00D03260">
              <w:rPr>
                <w:lang w:val="en-AU"/>
              </w:rPr>
              <w:t>Stuffy or runny nose</w:t>
            </w:r>
          </w:p>
          <w:p w14:paraId="45E16094" w14:textId="77777777" w:rsidR="00652B0C" w:rsidRPr="00D03260" w:rsidRDefault="00652B0C" w:rsidP="004C5975">
            <w:pPr>
              <w:pStyle w:val="Tablelistbullet"/>
              <w:ind w:left="284" w:hanging="284"/>
              <w:rPr>
                <w:lang w:val="en-AU"/>
              </w:rPr>
            </w:pPr>
            <w:r w:rsidRPr="00D03260">
              <w:rPr>
                <w:lang w:val="en-AU"/>
              </w:rPr>
              <w:t>Nose bleeds</w:t>
            </w:r>
          </w:p>
          <w:p w14:paraId="7242ED26" w14:textId="77777777" w:rsidR="00652B0C" w:rsidRPr="00D03260" w:rsidRDefault="00652B0C" w:rsidP="004C5975">
            <w:pPr>
              <w:pStyle w:val="Tablelistbullet"/>
              <w:ind w:left="284" w:hanging="284"/>
              <w:rPr>
                <w:lang w:val="en-AU"/>
              </w:rPr>
            </w:pPr>
            <w:r w:rsidRPr="00D03260">
              <w:rPr>
                <w:lang w:val="en-AU"/>
              </w:rPr>
              <w:t>Rash</w:t>
            </w:r>
          </w:p>
        </w:tc>
        <w:tc>
          <w:tcPr>
            <w:tcW w:w="1843" w:type="dxa"/>
          </w:tcPr>
          <w:p w14:paraId="0C90AD6A" w14:textId="77777777" w:rsidR="00652B0C" w:rsidRPr="00D03260" w:rsidRDefault="00652B0C" w:rsidP="0032596A">
            <w:pPr>
              <w:pStyle w:val="Tabletextleft"/>
              <w:rPr>
                <w:lang w:val="en-AU"/>
              </w:rPr>
            </w:pPr>
            <w:r w:rsidRPr="00D03260">
              <w:rPr>
                <w:lang w:val="en-AU"/>
              </w:rPr>
              <w:t>ARTG (CMI)</w:t>
            </w:r>
          </w:p>
        </w:tc>
        <w:tc>
          <w:tcPr>
            <w:tcW w:w="1417" w:type="dxa"/>
          </w:tcPr>
          <w:p w14:paraId="2559707C" w14:textId="77777777" w:rsidR="00652B0C" w:rsidRPr="00D03260" w:rsidRDefault="00652B0C" w:rsidP="0032596A">
            <w:pPr>
              <w:pStyle w:val="Tabletextleft"/>
              <w:rPr>
                <w:lang w:val="en-AU"/>
              </w:rPr>
            </w:pPr>
          </w:p>
        </w:tc>
        <w:tc>
          <w:tcPr>
            <w:tcW w:w="2552" w:type="dxa"/>
          </w:tcPr>
          <w:p w14:paraId="733D08A1" w14:textId="77777777" w:rsidR="00652B0C" w:rsidRPr="00D03260" w:rsidRDefault="00000000" w:rsidP="0032596A">
            <w:pPr>
              <w:pStyle w:val="Tabletextleft"/>
              <w:rPr>
                <w:color w:val="002060"/>
                <w:lang w:val="en-AU"/>
              </w:rPr>
            </w:pPr>
            <w:hyperlink r:id="rId88" w:history="1">
              <w:r w:rsidR="00652B0C" w:rsidRPr="00D03260">
                <w:rPr>
                  <w:color w:val="002060"/>
                  <w:u w:val="single"/>
                  <w:lang w:val="en-AU"/>
                </w:rPr>
                <w:t>https://www.ebs.tga.gov.au/ebs/picmi/picmirepository.nsf/pdf?OpenAgent&amp;id=CP-2017-CMI-02371-1</w:t>
              </w:r>
            </w:hyperlink>
          </w:p>
          <w:p w14:paraId="0781028D" w14:textId="77777777" w:rsidR="00652B0C" w:rsidRPr="00D03260" w:rsidRDefault="00652B0C" w:rsidP="0032596A">
            <w:pPr>
              <w:pStyle w:val="Tabletextleft"/>
              <w:rPr>
                <w:lang w:val="en-AU"/>
              </w:rPr>
            </w:pPr>
            <w:r w:rsidRPr="00D03260">
              <w:rPr>
                <w:lang w:val="en-AU"/>
              </w:rPr>
              <w:t>ARTG (CMI)</w:t>
            </w:r>
          </w:p>
          <w:p w14:paraId="7B4B8AA6" w14:textId="77777777" w:rsidR="00652B0C" w:rsidRPr="00D03260" w:rsidRDefault="00652B0C" w:rsidP="0032596A">
            <w:pPr>
              <w:pStyle w:val="Tabletextleft"/>
              <w:rPr>
                <w:lang w:val="en-AU"/>
              </w:rPr>
            </w:pPr>
          </w:p>
          <w:p w14:paraId="1C1301AF" w14:textId="77777777" w:rsidR="00652B0C" w:rsidRPr="00D03260" w:rsidRDefault="00000000" w:rsidP="0032596A">
            <w:pPr>
              <w:pStyle w:val="Tabletextleft"/>
              <w:rPr>
                <w:color w:val="002060"/>
                <w:lang w:val="en-AU"/>
              </w:rPr>
            </w:pPr>
            <w:hyperlink r:id="rId89" w:history="1">
              <w:r w:rsidR="00652B0C" w:rsidRPr="00D03260">
                <w:rPr>
                  <w:color w:val="002060"/>
                  <w:u w:val="single"/>
                  <w:lang w:val="en-AU"/>
                </w:rPr>
                <w:t>https://www.ebs.tga.gov.au/ebs/picmi/picmirepository.nsf/pdf?OpenAgent&amp;id=CP-2010-PI-03227-3</w:t>
              </w:r>
            </w:hyperlink>
          </w:p>
          <w:p w14:paraId="20346853" w14:textId="77777777" w:rsidR="00652B0C" w:rsidRPr="00D03260" w:rsidRDefault="00652B0C" w:rsidP="0032596A">
            <w:pPr>
              <w:pStyle w:val="Tabletextleft"/>
              <w:rPr>
                <w:lang w:val="en-AU"/>
              </w:rPr>
            </w:pPr>
            <w:r w:rsidRPr="00D03260">
              <w:rPr>
                <w:lang w:val="en-AU"/>
              </w:rPr>
              <w:t>ARTG (PI)</w:t>
            </w:r>
          </w:p>
        </w:tc>
      </w:tr>
      <w:tr w:rsidR="00652B0C" w:rsidRPr="00D03260" w14:paraId="4AAEFD85" w14:textId="77777777" w:rsidTr="004C5975">
        <w:tc>
          <w:tcPr>
            <w:tcW w:w="1717" w:type="dxa"/>
          </w:tcPr>
          <w:p w14:paraId="416065E9" w14:textId="77777777" w:rsidR="00652B0C" w:rsidRPr="00D03260" w:rsidRDefault="00652B0C" w:rsidP="0032596A">
            <w:pPr>
              <w:pStyle w:val="Tabletextleft"/>
              <w:rPr>
                <w:lang w:val="en-AU"/>
              </w:rPr>
            </w:pPr>
            <w:r w:rsidRPr="00D03260">
              <w:rPr>
                <w:lang w:val="en-AU"/>
              </w:rPr>
              <w:t>Statins</w:t>
            </w:r>
          </w:p>
          <w:p w14:paraId="2A3267C6" w14:textId="77777777" w:rsidR="00652B0C" w:rsidRPr="00D03260" w:rsidRDefault="00652B0C" w:rsidP="0032596A">
            <w:pPr>
              <w:pStyle w:val="Tabletextleft"/>
              <w:rPr>
                <w:lang w:val="en-AU"/>
              </w:rPr>
            </w:pPr>
            <w:r w:rsidRPr="00D03260">
              <w:rPr>
                <w:lang w:val="en-AU"/>
              </w:rPr>
              <w:t>Rosuvastatin</w:t>
            </w:r>
          </w:p>
        </w:tc>
        <w:tc>
          <w:tcPr>
            <w:tcW w:w="6500" w:type="dxa"/>
          </w:tcPr>
          <w:p w14:paraId="6AC3DF62" w14:textId="77777777" w:rsidR="00652B0C" w:rsidRPr="00D03260" w:rsidRDefault="00652B0C" w:rsidP="004C5975">
            <w:pPr>
              <w:pStyle w:val="Tablelistbullet"/>
              <w:ind w:left="284" w:hanging="284"/>
              <w:rPr>
                <w:lang w:val="en-AU"/>
              </w:rPr>
            </w:pPr>
            <w:r w:rsidRPr="00D03260">
              <w:rPr>
                <w:lang w:val="en-AU"/>
              </w:rPr>
              <w:t>Headache</w:t>
            </w:r>
          </w:p>
          <w:p w14:paraId="775DA53D" w14:textId="77777777" w:rsidR="00652B0C" w:rsidRPr="00D03260" w:rsidRDefault="00652B0C" w:rsidP="004C5975">
            <w:pPr>
              <w:pStyle w:val="Tablelistbullet"/>
              <w:ind w:left="284" w:hanging="284"/>
              <w:rPr>
                <w:lang w:val="en-AU"/>
              </w:rPr>
            </w:pPr>
            <w:r w:rsidRPr="00D03260">
              <w:rPr>
                <w:lang w:val="en-AU"/>
              </w:rPr>
              <w:t>Constipation</w:t>
            </w:r>
          </w:p>
          <w:p w14:paraId="5E9911EA" w14:textId="77777777" w:rsidR="00652B0C" w:rsidRPr="00D03260" w:rsidRDefault="00652B0C" w:rsidP="004C5975">
            <w:pPr>
              <w:pStyle w:val="Tablelistbullet"/>
              <w:ind w:left="284" w:hanging="284"/>
              <w:rPr>
                <w:lang w:val="en-AU"/>
              </w:rPr>
            </w:pPr>
            <w:r w:rsidRPr="00D03260">
              <w:rPr>
                <w:lang w:val="en-AU"/>
              </w:rPr>
              <w:t>Dizziness</w:t>
            </w:r>
          </w:p>
          <w:p w14:paraId="3151287B" w14:textId="77777777" w:rsidR="00652B0C" w:rsidRPr="00D03260" w:rsidRDefault="00652B0C" w:rsidP="004C5975">
            <w:pPr>
              <w:pStyle w:val="Tablelistbullet"/>
              <w:ind w:left="284" w:hanging="284"/>
              <w:rPr>
                <w:lang w:val="en-AU"/>
              </w:rPr>
            </w:pPr>
            <w:r w:rsidRPr="00D03260">
              <w:rPr>
                <w:lang w:val="en-AU"/>
              </w:rPr>
              <w:t>Nausea (feeling sick)</w:t>
            </w:r>
          </w:p>
          <w:p w14:paraId="118AD4CC" w14:textId="77777777" w:rsidR="00652B0C" w:rsidRPr="00D03260" w:rsidRDefault="00652B0C" w:rsidP="004C5975">
            <w:pPr>
              <w:pStyle w:val="Tablelistbullet"/>
              <w:ind w:left="284" w:hanging="284"/>
              <w:rPr>
                <w:lang w:val="en-AU"/>
              </w:rPr>
            </w:pPr>
            <w:r w:rsidRPr="00D03260">
              <w:rPr>
                <w:lang w:val="en-AU"/>
              </w:rPr>
              <w:t>Stomach pain</w:t>
            </w:r>
          </w:p>
          <w:p w14:paraId="16124EFC" w14:textId="77777777" w:rsidR="00652B0C" w:rsidRPr="00D03260" w:rsidRDefault="00652B0C" w:rsidP="004C5975">
            <w:pPr>
              <w:pStyle w:val="Tablelistbullet"/>
              <w:ind w:left="284" w:hanging="284"/>
              <w:rPr>
                <w:lang w:val="en-AU"/>
              </w:rPr>
            </w:pPr>
            <w:r w:rsidRPr="00D03260">
              <w:rPr>
                <w:lang w:val="en-AU"/>
              </w:rPr>
              <w:t>Unusual tiredness</w:t>
            </w:r>
          </w:p>
          <w:p w14:paraId="576CC7DA" w14:textId="77777777" w:rsidR="00652B0C" w:rsidRPr="00D03260" w:rsidRDefault="00652B0C" w:rsidP="004C5975">
            <w:pPr>
              <w:pStyle w:val="Tablelistbullet"/>
              <w:ind w:left="284" w:hanging="284"/>
              <w:rPr>
                <w:lang w:val="en-AU"/>
              </w:rPr>
            </w:pPr>
            <w:r w:rsidRPr="00D03260">
              <w:rPr>
                <w:lang w:val="en-AU"/>
              </w:rPr>
              <w:t>Itchy skin</w:t>
            </w:r>
          </w:p>
          <w:p w14:paraId="033BD9C7" w14:textId="77777777" w:rsidR="00652B0C" w:rsidRPr="00D03260" w:rsidRDefault="00652B0C" w:rsidP="004C5975">
            <w:pPr>
              <w:pStyle w:val="Tablelistbullet"/>
              <w:ind w:left="284" w:hanging="284"/>
              <w:rPr>
                <w:lang w:val="en-AU"/>
              </w:rPr>
            </w:pPr>
            <w:r w:rsidRPr="00D03260">
              <w:rPr>
                <w:lang w:val="en-AU"/>
              </w:rPr>
              <w:t>Memory loss</w:t>
            </w:r>
          </w:p>
          <w:p w14:paraId="2A1E6A21" w14:textId="77777777" w:rsidR="00652B0C" w:rsidRPr="00D03260" w:rsidRDefault="00652B0C" w:rsidP="004C5975">
            <w:pPr>
              <w:pStyle w:val="Tablelistbullet"/>
              <w:ind w:left="284" w:hanging="284"/>
              <w:rPr>
                <w:lang w:val="en-AU"/>
              </w:rPr>
            </w:pPr>
            <w:r w:rsidRPr="00D03260">
              <w:rPr>
                <w:lang w:val="en-AU"/>
              </w:rPr>
              <w:t>Stiff or painful joints (arthralgia)</w:t>
            </w:r>
          </w:p>
          <w:p w14:paraId="6BDA4EBA" w14:textId="77777777" w:rsidR="00652B0C" w:rsidRPr="00D03260" w:rsidRDefault="00652B0C" w:rsidP="004C5975">
            <w:pPr>
              <w:pStyle w:val="Tablelistbullet"/>
              <w:ind w:left="284" w:hanging="284"/>
              <w:rPr>
                <w:lang w:val="en-AU"/>
              </w:rPr>
            </w:pPr>
            <w:r w:rsidRPr="00D03260">
              <w:rPr>
                <w:lang w:val="en-AU"/>
              </w:rPr>
              <w:t>Aching muscles, muscle tenderness or weakness not caused by exercise, particularly if you also have a fever or generally feel unwell</w:t>
            </w:r>
          </w:p>
          <w:p w14:paraId="310B2524" w14:textId="77777777" w:rsidR="00652B0C" w:rsidRPr="00D03260" w:rsidRDefault="00652B0C" w:rsidP="004C5975">
            <w:pPr>
              <w:pStyle w:val="Tablelistbullet"/>
              <w:ind w:left="284" w:hanging="284"/>
              <w:rPr>
                <w:lang w:val="en-AU"/>
              </w:rPr>
            </w:pPr>
            <w:r w:rsidRPr="00D03260">
              <w:rPr>
                <w:lang w:val="en-AU"/>
              </w:rPr>
              <w:t xml:space="preserve">Difficulty breathing, swelling of the face, eyelids or </w:t>
            </w:r>
            <w:proofErr w:type="gramStart"/>
            <w:r w:rsidRPr="00D03260">
              <w:rPr>
                <w:lang w:val="en-AU"/>
              </w:rPr>
              <w:t>lips</w:t>
            </w:r>
            <w:proofErr w:type="gramEnd"/>
          </w:p>
          <w:p w14:paraId="139C9B64" w14:textId="410DAC11" w:rsidR="00652B0C" w:rsidRPr="00D03260" w:rsidRDefault="00652B0C" w:rsidP="004C5975">
            <w:pPr>
              <w:pStyle w:val="Tablelistbullet"/>
              <w:ind w:left="284" w:hanging="284"/>
              <w:rPr>
                <w:lang w:val="en-AU"/>
              </w:rPr>
            </w:pPr>
            <w:r w:rsidRPr="00D03260">
              <w:rPr>
                <w:lang w:val="en-AU"/>
              </w:rPr>
              <w:t>Difficulty breathing, coughing, particularly if you also feel generally unwell (e.g.</w:t>
            </w:r>
            <w:r w:rsidR="000800FF" w:rsidRPr="00D03260">
              <w:rPr>
                <w:lang w:val="en-AU"/>
              </w:rPr>
              <w:t>,</w:t>
            </w:r>
            <w:r w:rsidRPr="00D03260">
              <w:rPr>
                <w:lang w:val="en-AU"/>
              </w:rPr>
              <w:t xml:space="preserve"> fatigue, weight loss, fever)</w:t>
            </w:r>
          </w:p>
        </w:tc>
        <w:tc>
          <w:tcPr>
            <w:tcW w:w="1843" w:type="dxa"/>
          </w:tcPr>
          <w:p w14:paraId="7A01FF7A" w14:textId="77777777" w:rsidR="00652B0C" w:rsidRPr="00D03260" w:rsidRDefault="00652B0C" w:rsidP="0032596A">
            <w:pPr>
              <w:pStyle w:val="Tabletextleft"/>
              <w:rPr>
                <w:lang w:val="en-AU"/>
              </w:rPr>
            </w:pPr>
            <w:r w:rsidRPr="00D03260">
              <w:rPr>
                <w:lang w:val="en-AU"/>
              </w:rPr>
              <w:t>ARTG (CMI)</w:t>
            </w:r>
          </w:p>
        </w:tc>
        <w:tc>
          <w:tcPr>
            <w:tcW w:w="1417" w:type="dxa"/>
          </w:tcPr>
          <w:p w14:paraId="39B2D558" w14:textId="77777777" w:rsidR="00652B0C" w:rsidRPr="00D03260" w:rsidRDefault="00652B0C" w:rsidP="0032596A">
            <w:pPr>
              <w:pStyle w:val="Tabletextleft"/>
              <w:rPr>
                <w:lang w:val="en-AU"/>
              </w:rPr>
            </w:pPr>
          </w:p>
        </w:tc>
        <w:tc>
          <w:tcPr>
            <w:tcW w:w="2552" w:type="dxa"/>
          </w:tcPr>
          <w:p w14:paraId="1CAF6BB6" w14:textId="77777777" w:rsidR="00652B0C" w:rsidRPr="00D03260" w:rsidRDefault="00000000" w:rsidP="0032596A">
            <w:pPr>
              <w:pStyle w:val="Tabletextleft"/>
              <w:rPr>
                <w:color w:val="002060"/>
                <w:lang w:val="en-AU"/>
              </w:rPr>
            </w:pPr>
            <w:hyperlink r:id="rId90" w:history="1">
              <w:r w:rsidR="00652B0C" w:rsidRPr="00D03260">
                <w:rPr>
                  <w:color w:val="002060"/>
                  <w:u w:val="single"/>
                  <w:lang w:val="en-AU"/>
                </w:rPr>
                <w:t>https://www.ebs.tga.gov.au/ebs/picmi/picmirepository.nsf/pdf?OpenAgent&amp;id=CP-2021-CMI-01732-1</w:t>
              </w:r>
            </w:hyperlink>
          </w:p>
          <w:p w14:paraId="10C3D753" w14:textId="77777777" w:rsidR="00652B0C" w:rsidRPr="00D03260" w:rsidRDefault="00652B0C" w:rsidP="0032596A">
            <w:pPr>
              <w:pStyle w:val="Tabletextleft"/>
              <w:rPr>
                <w:lang w:val="en-AU"/>
              </w:rPr>
            </w:pPr>
            <w:r w:rsidRPr="00D03260">
              <w:rPr>
                <w:lang w:val="en-AU"/>
              </w:rPr>
              <w:t>ARTG (CMI)</w:t>
            </w:r>
          </w:p>
          <w:p w14:paraId="44283317" w14:textId="77777777" w:rsidR="00652B0C" w:rsidRPr="00D03260" w:rsidRDefault="00652B0C" w:rsidP="0032596A">
            <w:pPr>
              <w:pStyle w:val="Tabletextleft"/>
              <w:rPr>
                <w:lang w:val="en-AU"/>
              </w:rPr>
            </w:pPr>
          </w:p>
          <w:p w14:paraId="553CCC13" w14:textId="77777777" w:rsidR="00652B0C" w:rsidRPr="00D03260" w:rsidRDefault="00000000" w:rsidP="0032596A">
            <w:pPr>
              <w:pStyle w:val="Tabletextleft"/>
              <w:rPr>
                <w:color w:val="002060"/>
                <w:lang w:val="en-AU"/>
              </w:rPr>
            </w:pPr>
            <w:hyperlink r:id="rId91" w:history="1">
              <w:r w:rsidR="00652B0C" w:rsidRPr="00D03260">
                <w:rPr>
                  <w:color w:val="002060"/>
                  <w:u w:val="single"/>
                  <w:lang w:val="en-AU"/>
                </w:rPr>
                <w:t>https://www.ebs.tga.gov.au/ebs/picmi/picmirepository.nsf/pdf?OpenAgent&amp;id=CP-2020-PI-01791-1</w:t>
              </w:r>
            </w:hyperlink>
          </w:p>
          <w:p w14:paraId="186DE320" w14:textId="77777777" w:rsidR="00652B0C" w:rsidRPr="00D03260" w:rsidRDefault="00652B0C" w:rsidP="0032596A">
            <w:pPr>
              <w:pStyle w:val="Tabletextleft"/>
              <w:rPr>
                <w:lang w:val="en-AU"/>
              </w:rPr>
            </w:pPr>
            <w:r w:rsidRPr="00D03260">
              <w:rPr>
                <w:lang w:val="en-AU"/>
              </w:rPr>
              <w:t>ARTG (PI)</w:t>
            </w:r>
          </w:p>
        </w:tc>
      </w:tr>
      <w:tr w:rsidR="00652B0C" w:rsidRPr="00D03260" w14:paraId="2FFAF496" w14:textId="77777777" w:rsidTr="004C5975">
        <w:trPr>
          <w:cantSplit/>
        </w:trPr>
        <w:tc>
          <w:tcPr>
            <w:tcW w:w="1717" w:type="dxa"/>
          </w:tcPr>
          <w:p w14:paraId="3640A851" w14:textId="77777777" w:rsidR="00652B0C" w:rsidRPr="00D03260" w:rsidRDefault="00652B0C" w:rsidP="0032596A">
            <w:pPr>
              <w:pStyle w:val="Tabletextleft"/>
              <w:rPr>
                <w:lang w:val="en-AU"/>
              </w:rPr>
            </w:pPr>
            <w:r w:rsidRPr="00D03260">
              <w:rPr>
                <w:lang w:val="en-AU"/>
              </w:rPr>
              <w:t>Losartan</w:t>
            </w:r>
          </w:p>
        </w:tc>
        <w:tc>
          <w:tcPr>
            <w:tcW w:w="6500" w:type="dxa"/>
          </w:tcPr>
          <w:p w14:paraId="6985EC76" w14:textId="77777777" w:rsidR="00652B0C" w:rsidRPr="00D03260" w:rsidRDefault="00652B0C" w:rsidP="004C5975">
            <w:pPr>
              <w:pStyle w:val="Tablelistbullet"/>
              <w:ind w:left="284" w:hanging="284"/>
              <w:rPr>
                <w:lang w:val="en-AU"/>
              </w:rPr>
            </w:pPr>
            <w:r w:rsidRPr="00D03260">
              <w:rPr>
                <w:lang w:val="en-AU"/>
              </w:rPr>
              <w:t>Dizziness</w:t>
            </w:r>
          </w:p>
          <w:p w14:paraId="51CD5E2E" w14:textId="4936D176" w:rsidR="00652B0C" w:rsidRPr="00D03260" w:rsidRDefault="00B04991" w:rsidP="004C5975">
            <w:pPr>
              <w:pStyle w:val="Tablelistbullet"/>
              <w:ind w:left="284" w:hanging="284"/>
              <w:rPr>
                <w:lang w:val="en-AU"/>
              </w:rPr>
            </w:pPr>
            <w:r w:rsidRPr="00D03260">
              <w:rPr>
                <w:lang w:val="en-AU"/>
              </w:rPr>
              <w:t>Light-headedness</w:t>
            </w:r>
          </w:p>
          <w:p w14:paraId="4EA2F974" w14:textId="77777777" w:rsidR="00652B0C" w:rsidRPr="00D03260" w:rsidRDefault="00652B0C" w:rsidP="004C5975">
            <w:pPr>
              <w:pStyle w:val="Tablelistbullet"/>
              <w:ind w:left="284" w:hanging="284"/>
              <w:rPr>
                <w:lang w:val="en-AU"/>
              </w:rPr>
            </w:pPr>
            <w:r w:rsidRPr="00D03260">
              <w:rPr>
                <w:lang w:val="en-AU"/>
              </w:rPr>
              <w:t>Tiredness or weakness</w:t>
            </w:r>
          </w:p>
          <w:p w14:paraId="5D48C2D0" w14:textId="77777777" w:rsidR="00652B0C" w:rsidRPr="00D03260" w:rsidRDefault="00652B0C" w:rsidP="004C5975">
            <w:pPr>
              <w:pStyle w:val="Tablelistbullet"/>
              <w:ind w:left="284" w:hanging="284"/>
              <w:rPr>
                <w:lang w:val="en-AU"/>
              </w:rPr>
            </w:pPr>
            <w:r w:rsidRPr="00D03260">
              <w:rPr>
                <w:lang w:val="en-AU"/>
              </w:rPr>
              <w:t>Spinning sensation</w:t>
            </w:r>
          </w:p>
          <w:p w14:paraId="4B668013" w14:textId="77777777" w:rsidR="00652B0C" w:rsidRPr="00D03260" w:rsidRDefault="00652B0C" w:rsidP="004C5975">
            <w:pPr>
              <w:pStyle w:val="Tablelistbullet"/>
              <w:ind w:left="284" w:hanging="284"/>
              <w:rPr>
                <w:lang w:val="en-AU"/>
              </w:rPr>
            </w:pPr>
            <w:r w:rsidRPr="00D03260">
              <w:rPr>
                <w:lang w:val="en-AU"/>
              </w:rPr>
              <w:t>Generally feeling unwell</w:t>
            </w:r>
          </w:p>
          <w:p w14:paraId="364C42ED" w14:textId="77777777" w:rsidR="00652B0C" w:rsidRPr="00D03260" w:rsidRDefault="00652B0C" w:rsidP="004C5975">
            <w:pPr>
              <w:pStyle w:val="Tablelistbullet"/>
              <w:ind w:left="284" w:hanging="284"/>
              <w:rPr>
                <w:lang w:val="en-AU"/>
              </w:rPr>
            </w:pPr>
            <w:r w:rsidRPr="00D03260">
              <w:rPr>
                <w:lang w:val="en-AU"/>
              </w:rPr>
              <w:t>Increased sensitivity of the skin to sun</w:t>
            </w:r>
          </w:p>
          <w:p w14:paraId="26B058C3" w14:textId="77777777" w:rsidR="00652B0C" w:rsidRPr="00D03260" w:rsidRDefault="00652B0C" w:rsidP="004C5975">
            <w:pPr>
              <w:pStyle w:val="Tablelistbullet"/>
              <w:ind w:left="284" w:hanging="284"/>
              <w:rPr>
                <w:lang w:val="en-AU"/>
              </w:rPr>
            </w:pPr>
            <w:r w:rsidRPr="00D03260">
              <w:rPr>
                <w:lang w:val="en-AU"/>
              </w:rPr>
              <w:t>Inability to get or maintain an erection</w:t>
            </w:r>
          </w:p>
          <w:p w14:paraId="564A0270" w14:textId="77777777" w:rsidR="00652B0C" w:rsidRPr="00D03260" w:rsidRDefault="00652B0C" w:rsidP="004C5975">
            <w:pPr>
              <w:pStyle w:val="Tablelistbullet"/>
              <w:ind w:left="284" w:hanging="284"/>
              <w:rPr>
                <w:lang w:val="en-AU"/>
              </w:rPr>
            </w:pPr>
            <w:r w:rsidRPr="00D03260">
              <w:rPr>
                <w:lang w:val="en-AU"/>
              </w:rPr>
              <w:t>Skin rash, itchiness</w:t>
            </w:r>
          </w:p>
          <w:p w14:paraId="704C551B" w14:textId="77777777" w:rsidR="00652B0C" w:rsidRPr="00D03260" w:rsidRDefault="00652B0C" w:rsidP="004C5975">
            <w:pPr>
              <w:pStyle w:val="Tablelistbullet"/>
              <w:ind w:left="284" w:hanging="284"/>
              <w:rPr>
                <w:lang w:val="en-AU"/>
              </w:rPr>
            </w:pPr>
            <w:r w:rsidRPr="00D03260">
              <w:rPr>
                <w:lang w:val="en-AU"/>
              </w:rPr>
              <w:t>Aching muscles, not caused by exercise</w:t>
            </w:r>
          </w:p>
          <w:p w14:paraId="3B69E585" w14:textId="77777777" w:rsidR="00652B0C" w:rsidRPr="00D03260" w:rsidRDefault="00652B0C" w:rsidP="004C5975">
            <w:pPr>
              <w:pStyle w:val="Tablelistbullet"/>
              <w:ind w:left="284" w:hanging="284"/>
              <w:rPr>
                <w:lang w:val="en-AU"/>
              </w:rPr>
            </w:pPr>
            <w:r w:rsidRPr="00D03260">
              <w:rPr>
                <w:lang w:val="en-AU"/>
              </w:rPr>
              <w:t>Signs of anaemia, such as tiredness, being short of breath, and looking pale</w:t>
            </w:r>
          </w:p>
          <w:p w14:paraId="6896EAC4" w14:textId="77777777" w:rsidR="00652B0C" w:rsidRPr="00D03260" w:rsidRDefault="00652B0C" w:rsidP="004C5975">
            <w:pPr>
              <w:pStyle w:val="Tablelistbullet"/>
              <w:ind w:left="284" w:hanging="284"/>
              <w:rPr>
                <w:lang w:val="en-AU"/>
              </w:rPr>
            </w:pPr>
            <w:r w:rsidRPr="00D03260">
              <w:rPr>
                <w:lang w:val="en-AU"/>
              </w:rPr>
              <w:t>Bleeding or bruising more easily than normal</w:t>
            </w:r>
          </w:p>
          <w:p w14:paraId="00B95E0A" w14:textId="77777777" w:rsidR="00652B0C" w:rsidRPr="00D03260" w:rsidRDefault="00652B0C" w:rsidP="004C5975">
            <w:pPr>
              <w:pStyle w:val="Tablelistbullet"/>
              <w:ind w:left="284" w:hanging="284"/>
              <w:rPr>
                <w:lang w:val="en-AU"/>
              </w:rPr>
            </w:pPr>
            <w:r w:rsidRPr="00D03260">
              <w:rPr>
                <w:lang w:val="en-AU"/>
              </w:rPr>
              <w:t xml:space="preserve">Swelling of the face, lips, mouth, tongue or throat which may cause difficulty in swallowing or </w:t>
            </w:r>
            <w:proofErr w:type="gramStart"/>
            <w:r w:rsidRPr="00D03260">
              <w:rPr>
                <w:lang w:val="en-AU"/>
              </w:rPr>
              <w:t>breathing</w:t>
            </w:r>
            <w:proofErr w:type="gramEnd"/>
          </w:p>
          <w:p w14:paraId="62594A45" w14:textId="77777777" w:rsidR="00652B0C" w:rsidRPr="00D03260" w:rsidRDefault="00652B0C" w:rsidP="004C5975">
            <w:pPr>
              <w:pStyle w:val="Tablelistbullet"/>
              <w:ind w:left="284" w:hanging="284"/>
              <w:rPr>
                <w:lang w:val="en-AU"/>
              </w:rPr>
            </w:pPr>
            <w:r w:rsidRPr="00D03260">
              <w:rPr>
                <w:lang w:val="en-AU"/>
              </w:rPr>
              <w:t>Severe and sudden onset of pinkish, itchy swellings on the skin, also called hives or nettlerash</w:t>
            </w:r>
          </w:p>
        </w:tc>
        <w:tc>
          <w:tcPr>
            <w:tcW w:w="1843" w:type="dxa"/>
          </w:tcPr>
          <w:p w14:paraId="16833274" w14:textId="77777777" w:rsidR="00652B0C" w:rsidRPr="00D03260" w:rsidRDefault="00652B0C" w:rsidP="0032596A">
            <w:pPr>
              <w:pStyle w:val="Tabletextleft"/>
              <w:rPr>
                <w:lang w:val="en-AU"/>
              </w:rPr>
            </w:pPr>
            <w:r w:rsidRPr="00D03260">
              <w:rPr>
                <w:lang w:val="en-AU"/>
              </w:rPr>
              <w:t>ARTG (CMI)</w:t>
            </w:r>
          </w:p>
        </w:tc>
        <w:tc>
          <w:tcPr>
            <w:tcW w:w="1417" w:type="dxa"/>
          </w:tcPr>
          <w:p w14:paraId="423354F9" w14:textId="77777777" w:rsidR="00652B0C" w:rsidRPr="00D03260" w:rsidRDefault="00652B0C" w:rsidP="0032596A">
            <w:pPr>
              <w:pStyle w:val="Tabletextleft"/>
              <w:rPr>
                <w:lang w:val="en-AU"/>
              </w:rPr>
            </w:pPr>
          </w:p>
        </w:tc>
        <w:tc>
          <w:tcPr>
            <w:tcW w:w="2552" w:type="dxa"/>
          </w:tcPr>
          <w:p w14:paraId="464F9D36" w14:textId="77777777" w:rsidR="00652B0C" w:rsidRPr="00D03260" w:rsidRDefault="00000000" w:rsidP="0032596A">
            <w:pPr>
              <w:pStyle w:val="Tabletextleft"/>
              <w:rPr>
                <w:color w:val="002060"/>
                <w:lang w:val="en-AU"/>
              </w:rPr>
            </w:pPr>
            <w:hyperlink r:id="rId92" w:history="1">
              <w:r w:rsidR="00652B0C" w:rsidRPr="00D03260">
                <w:rPr>
                  <w:color w:val="002060"/>
                  <w:u w:val="single"/>
                  <w:lang w:val="en-AU"/>
                </w:rPr>
                <w:t>https://www.ebs.tga.gov.au/ebs/picmi/picmirepository.nsf/pdf?OpenAgent&amp;id=CP-2010-CMI-04741-3&amp;d=20220714172310101</w:t>
              </w:r>
            </w:hyperlink>
          </w:p>
          <w:p w14:paraId="774F08C4" w14:textId="77777777" w:rsidR="00652B0C" w:rsidRPr="00D03260" w:rsidRDefault="00652B0C" w:rsidP="0032596A">
            <w:pPr>
              <w:pStyle w:val="Tabletextleft"/>
              <w:rPr>
                <w:lang w:val="en-AU"/>
              </w:rPr>
            </w:pPr>
            <w:r w:rsidRPr="00D03260">
              <w:rPr>
                <w:lang w:val="en-AU"/>
              </w:rPr>
              <w:t>ARTG (CMI)</w:t>
            </w:r>
          </w:p>
          <w:p w14:paraId="2E10337A" w14:textId="77777777" w:rsidR="00652B0C" w:rsidRPr="00D03260" w:rsidRDefault="00652B0C" w:rsidP="0032596A">
            <w:pPr>
              <w:pStyle w:val="Tabletextleft"/>
              <w:rPr>
                <w:lang w:val="en-AU"/>
              </w:rPr>
            </w:pPr>
          </w:p>
          <w:p w14:paraId="3E9394EE" w14:textId="77777777" w:rsidR="00652B0C" w:rsidRPr="00D03260" w:rsidRDefault="00000000" w:rsidP="0032596A">
            <w:pPr>
              <w:pStyle w:val="Tabletextleft"/>
              <w:rPr>
                <w:color w:val="002060"/>
                <w:lang w:val="en-AU"/>
              </w:rPr>
            </w:pPr>
            <w:hyperlink r:id="rId93" w:history="1">
              <w:r w:rsidR="00652B0C" w:rsidRPr="00D03260">
                <w:rPr>
                  <w:color w:val="002060"/>
                  <w:u w:val="single"/>
                  <w:lang w:val="en-AU"/>
                </w:rPr>
                <w:t>https://www.ebs.tga.gov.au/ebs/picmi/picmirepository.nsf/pdf?OpenAgent&amp;id=CP-2010-PI-03227-3</w:t>
              </w:r>
            </w:hyperlink>
          </w:p>
          <w:p w14:paraId="3EC53E7C" w14:textId="77777777" w:rsidR="00652B0C" w:rsidRPr="00D03260" w:rsidRDefault="00652B0C" w:rsidP="0032596A">
            <w:pPr>
              <w:pStyle w:val="Tabletextleft"/>
              <w:rPr>
                <w:lang w:val="en-AU"/>
              </w:rPr>
            </w:pPr>
            <w:r w:rsidRPr="00D03260">
              <w:rPr>
                <w:lang w:val="en-AU"/>
              </w:rPr>
              <w:t>ARTG (PI)</w:t>
            </w:r>
          </w:p>
        </w:tc>
      </w:tr>
      <w:tr w:rsidR="00652B0C" w:rsidRPr="00D03260" w14:paraId="73E961CB" w14:textId="77777777" w:rsidTr="004C5975">
        <w:trPr>
          <w:cantSplit/>
        </w:trPr>
        <w:tc>
          <w:tcPr>
            <w:tcW w:w="1717" w:type="dxa"/>
          </w:tcPr>
          <w:p w14:paraId="4985FAA7" w14:textId="77777777" w:rsidR="00652B0C" w:rsidRPr="00D03260" w:rsidRDefault="00652B0C" w:rsidP="0032596A">
            <w:pPr>
              <w:pStyle w:val="Tabletextleft"/>
              <w:rPr>
                <w:lang w:val="en-AU"/>
              </w:rPr>
            </w:pPr>
            <w:r w:rsidRPr="00D03260">
              <w:rPr>
                <w:lang w:val="en-AU"/>
              </w:rPr>
              <w:t>Vasoactive intestinal polypeptide</w:t>
            </w:r>
          </w:p>
        </w:tc>
        <w:tc>
          <w:tcPr>
            <w:tcW w:w="6500" w:type="dxa"/>
          </w:tcPr>
          <w:p w14:paraId="33EDC28B" w14:textId="31631BF2" w:rsidR="00652B0C" w:rsidRPr="00D03260" w:rsidRDefault="00A52917" w:rsidP="009E1B83">
            <w:pPr>
              <w:pStyle w:val="Tablelistbullet"/>
              <w:ind w:left="284" w:hanging="284"/>
              <w:rPr>
                <w:lang w:val="en-AU"/>
              </w:rPr>
            </w:pPr>
            <w:r w:rsidRPr="00D03260">
              <w:rPr>
                <w:lang w:val="en-AU"/>
              </w:rPr>
              <w:t xml:space="preserve">Pancreatitis and depression are described as potential side effects from VIP nasal </w:t>
            </w:r>
            <w:r w:rsidR="00EC6FD0" w:rsidRPr="00D03260">
              <w:rPr>
                <w:lang w:val="en-AU"/>
              </w:rPr>
              <w:t>spray</w:t>
            </w:r>
          </w:p>
        </w:tc>
        <w:tc>
          <w:tcPr>
            <w:tcW w:w="1843" w:type="dxa"/>
          </w:tcPr>
          <w:p w14:paraId="434D1B39" w14:textId="533382F4" w:rsidR="00652B0C" w:rsidRPr="00D03260" w:rsidRDefault="00EC6FD0" w:rsidP="0032596A">
            <w:pPr>
              <w:pStyle w:val="Tabletextleft"/>
              <w:rPr>
                <w:lang w:val="en-AU"/>
              </w:rPr>
            </w:pPr>
            <w:r w:rsidRPr="00D03260">
              <w:rPr>
                <w:lang w:val="en-AU"/>
              </w:rPr>
              <w:t>ACIIDS submission to the Inquiry</w:t>
            </w:r>
          </w:p>
        </w:tc>
        <w:tc>
          <w:tcPr>
            <w:tcW w:w="1417" w:type="dxa"/>
          </w:tcPr>
          <w:p w14:paraId="146ABF0E" w14:textId="77777777" w:rsidR="00BB7736" w:rsidRPr="00D03260" w:rsidRDefault="007448EC" w:rsidP="0032596A">
            <w:pPr>
              <w:pStyle w:val="Tabletextleft"/>
              <w:rPr>
                <w:lang w:val="en-AU"/>
              </w:rPr>
            </w:pPr>
            <w:r w:rsidRPr="00D03260">
              <w:rPr>
                <w:lang w:val="en-AU"/>
              </w:rPr>
              <w:t xml:space="preserve">ARTG </w:t>
            </w:r>
          </w:p>
          <w:p w14:paraId="35C2AF16" w14:textId="7ABF3540" w:rsidR="00652B0C" w:rsidRPr="00D03260" w:rsidRDefault="009C0CED" w:rsidP="0032596A">
            <w:pPr>
              <w:pStyle w:val="Tabletextleft"/>
              <w:rPr>
                <w:lang w:val="en-AU"/>
              </w:rPr>
            </w:pPr>
            <w:r w:rsidRPr="00D03260">
              <w:rPr>
                <w:lang w:val="en-AU"/>
              </w:rPr>
              <w:t>MIMS</w:t>
            </w:r>
          </w:p>
          <w:p w14:paraId="6ADB8891" w14:textId="298B48CA" w:rsidR="009F13F3" w:rsidRPr="00D03260" w:rsidRDefault="009F13F3" w:rsidP="0032596A">
            <w:pPr>
              <w:pStyle w:val="Tabletextleft"/>
              <w:rPr>
                <w:lang w:val="en-AU"/>
              </w:rPr>
            </w:pPr>
            <w:r w:rsidRPr="00D03260">
              <w:rPr>
                <w:lang w:val="en-AU"/>
              </w:rPr>
              <w:t>FDA</w:t>
            </w:r>
          </w:p>
          <w:p w14:paraId="001A338D" w14:textId="5D83821E" w:rsidR="00652B0C" w:rsidRPr="00D03260" w:rsidRDefault="0039571F" w:rsidP="0032596A">
            <w:pPr>
              <w:pStyle w:val="Tabletextleft"/>
              <w:rPr>
                <w:lang w:val="en-AU"/>
              </w:rPr>
            </w:pPr>
            <w:r w:rsidRPr="00D03260">
              <w:rPr>
                <w:lang w:val="en-AU"/>
              </w:rPr>
              <w:t>EMA</w:t>
            </w:r>
          </w:p>
        </w:tc>
        <w:tc>
          <w:tcPr>
            <w:tcW w:w="2552" w:type="dxa"/>
          </w:tcPr>
          <w:p w14:paraId="450CD6E0" w14:textId="77777777" w:rsidR="00393727" w:rsidRPr="00D03260" w:rsidRDefault="00393727" w:rsidP="00675F79">
            <w:pPr>
              <w:pStyle w:val="Tabletextleft"/>
              <w:jc w:val="left"/>
              <w:rPr>
                <w:lang w:val="en-AU"/>
              </w:rPr>
            </w:pPr>
            <w:r w:rsidRPr="00D03260">
              <w:rPr>
                <w:lang w:val="en-AU"/>
              </w:rPr>
              <w:t xml:space="preserve">Vasoactive intestinal polypeptide (VIP) consumer medical information or product information is not listed on the ARTG. It is not listed on other sources of recommended Australian pharmaceutical information such as MIMS. VIP product information was not identified in the United States Food and Drug Administration (FDA) approved drug porthole nor the European Medicines Agency (EMA) porthole. </w:t>
            </w:r>
          </w:p>
          <w:p w14:paraId="08385389" w14:textId="77777777" w:rsidR="00652B0C" w:rsidRPr="00D03260" w:rsidRDefault="00652B0C" w:rsidP="0032596A">
            <w:pPr>
              <w:pStyle w:val="Tabletextleft"/>
              <w:rPr>
                <w:lang w:val="en-AU"/>
              </w:rPr>
            </w:pPr>
          </w:p>
        </w:tc>
      </w:tr>
    </w:tbl>
    <w:bookmarkEnd w:id="565"/>
    <w:p w14:paraId="5B59ABB6" w14:textId="55BF5FC7" w:rsidR="00652B0C" w:rsidRPr="00D03260" w:rsidRDefault="00652B0C" w:rsidP="001036B7">
      <w:r w:rsidRPr="00D03260">
        <w:t>^ Side effects as described by ARTG, a trusted, quality, medicine information source for Australian healthcare professionals and consumers as recommended by the Australian Government Department of Health</w:t>
      </w:r>
      <w:r w:rsidR="00240F07" w:rsidRPr="00D03260">
        <w:t xml:space="preserve"> and Aged Care</w:t>
      </w:r>
      <w:r w:rsidRPr="00D03260">
        <w:t>.</w:t>
      </w:r>
    </w:p>
    <w:p w14:paraId="44887DD1" w14:textId="4AAA4E8E" w:rsidR="00116557" w:rsidRPr="00D03260" w:rsidRDefault="00652B0C" w:rsidP="001036B7">
      <w:pPr>
        <w:sectPr w:rsidR="00116557" w:rsidRPr="00D03260" w:rsidSect="00753300">
          <w:pgSz w:w="16838" w:h="11906" w:orient="landscape"/>
          <w:pgMar w:top="1418" w:right="1701" w:bottom="1418" w:left="1418" w:header="709" w:footer="709" w:gutter="0"/>
          <w:cols w:space="708"/>
          <w:docGrid w:linePitch="360"/>
        </w:sectPr>
      </w:pPr>
      <w:r w:rsidRPr="00D03260">
        <w:t xml:space="preserve">Available at: </w:t>
      </w:r>
      <w:hyperlink r:id="rId94" w:history="1">
        <w:r w:rsidRPr="00D03260">
          <w:rPr>
            <w:rStyle w:val="Hyperlink"/>
          </w:rPr>
          <w:t>https://tga-search.clients.funnelback.com/s/search.html?collection=tga-artg&amp;profile=record&amp;meta_i=384528</w:t>
        </w:r>
      </w:hyperlink>
      <w:r w:rsidR="008F2E7A" w:rsidRPr="00D03260">
        <w:br w:type="page"/>
      </w:r>
    </w:p>
    <w:p w14:paraId="372F6CFA" w14:textId="2A81F4DC" w:rsidR="00527092" w:rsidRPr="00D03260" w:rsidRDefault="00527092" w:rsidP="0024242E">
      <w:pPr>
        <w:pStyle w:val="Heading1"/>
      </w:pPr>
      <w:bookmarkStart w:id="566" w:name="AppendixGBibliography"/>
      <w:bookmarkStart w:id="567" w:name="_Toc141885996"/>
      <w:bookmarkEnd w:id="566"/>
      <w:r w:rsidRPr="00D03260">
        <w:t xml:space="preserve">Appendix </w:t>
      </w:r>
      <w:r w:rsidR="00146ED6" w:rsidRPr="00D03260">
        <w:t>G</w:t>
      </w:r>
      <w:r w:rsidRPr="00D03260">
        <w:t>: Bibliography</w:t>
      </w:r>
      <w:bookmarkEnd w:id="567"/>
    </w:p>
    <w:p w14:paraId="43C8EC58" w14:textId="77777777" w:rsidR="00976859" w:rsidRPr="00D03260" w:rsidRDefault="00091960" w:rsidP="00976859">
      <w:pPr>
        <w:pStyle w:val="Bibliography"/>
        <w:rPr>
          <w:rFonts w:cs="Arial"/>
          <w:szCs w:val="22"/>
        </w:rPr>
      </w:pPr>
      <w:r w:rsidRPr="00D03260">
        <w:rPr>
          <w:rFonts w:cs="Arial"/>
          <w:szCs w:val="22"/>
        </w:rPr>
        <w:fldChar w:fldCharType="begin"/>
      </w:r>
      <w:r w:rsidR="00976859" w:rsidRPr="00D03260">
        <w:rPr>
          <w:rFonts w:cs="Arial"/>
          <w:szCs w:val="22"/>
        </w:rPr>
        <w:instrText xml:space="preserve"> ADDIN ZOTERO_BIBL {"uncited":[["http://zotero.org/groups/4371185/items/S6XGYAPM"]],"omitted":[],"custom":[[["http://zotero.org/groups/2576105/items/8YZ93858"],"Australian Government Department of Health. (2019). {\\i{}PHN Primary Mental Health Care Flexible Funding Pool Implementation Guidance \\uc0\\u8211{} Stepped Care}. https://www.health.gov.au/sites/default/files/documents/2021/04/primary-health-networks-phn-primary-mental-health-care-guidance-stepped-care.pdf"]]} CSL_BIBLIOGRAPHY </w:instrText>
      </w:r>
      <w:r w:rsidRPr="00D03260">
        <w:rPr>
          <w:rFonts w:cs="Arial"/>
          <w:szCs w:val="22"/>
        </w:rPr>
        <w:fldChar w:fldCharType="separate"/>
      </w:r>
      <w:r w:rsidR="00976859" w:rsidRPr="00D03260">
        <w:rPr>
          <w:rFonts w:cs="Arial"/>
          <w:szCs w:val="22"/>
        </w:rPr>
        <w:t xml:space="preserve">Ali, A., Vitulano, L., Lee, R., Weiss, T. R., &amp; Colson, E. R. (2014). Experiences of patients identifying with chronic Lyme disease in the healthcare system: A qualitative study. </w:t>
      </w:r>
      <w:r w:rsidR="00976859" w:rsidRPr="00D03260">
        <w:rPr>
          <w:rFonts w:cs="Arial"/>
          <w:i/>
          <w:iCs/>
          <w:szCs w:val="22"/>
        </w:rPr>
        <w:t>BMC Family Practice</w:t>
      </w:r>
      <w:r w:rsidR="00976859" w:rsidRPr="00D03260">
        <w:rPr>
          <w:rFonts w:cs="Arial"/>
          <w:szCs w:val="22"/>
        </w:rPr>
        <w:t xml:space="preserve">, </w:t>
      </w:r>
      <w:r w:rsidR="00976859" w:rsidRPr="00D03260">
        <w:rPr>
          <w:rFonts w:cs="Arial"/>
          <w:i/>
          <w:iCs/>
          <w:szCs w:val="22"/>
        </w:rPr>
        <w:t>15</w:t>
      </w:r>
      <w:r w:rsidR="00976859" w:rsidRPr="00D03260">
        <w:rPr>
          <w:rFonts w:cs="Arial"/>
          <w:szCs w:val="22"/>
        </w:rPr>
        <w:t>(1), 1–17. https://doi.org/10.1186/1471-2296-15-79</w:t>
      </w:r>
    </w:p>
    <w:p w14:paraId="0E1FD34C" w14:textId="77777777" w:rsidR="00976859" w:rsidRPr="00D03260" w:rsidRDefault="00976859" w:rsidP="00976859">
      <w:pPr>
        <w:pStyle w:val="Bibliography"/>
        <w:rPr>
          <w:rFonts w:cs="Arial"/>
          <w:szCs w:val="22"/>
        </w:rPr>
      </w:pPr>
      <w:r w:rsidRPr="00D03260">
        <w:rPr>
          <w:rFonts w:cs="Arial"/>
          <w:szCs w:val="22"/>
        </w:rPr>
        <w:t xml:space="preserve">American Industrial Hygiene Association Indoor Environment Quality Committee. (2018). </w:t>
      </w:r>
      <w:r w:rsidRPr="00D03260">
        <w:rPr>
          <w:rFonts w:cs="Arial"/>
          <w:i/>
          <w:iCs/>
          <w:szCs w:val="22"/>
        </w:rPr>
        <w:t>Mold and Dampness in the Built Environment: Position Statement</w:t>
      </w:r>
      <w:r w:rsidRPr="00D03260">
        <w:rPr>
          <w:rFonts w:cs="Arial"/>
          <w:szCs w:val="22"/>
        </w:rPr>
        <w:t>. American Industrial Hygiene Association.</w:t>
      </w:r>
    </w:p>
    <w:p w14:paraId="75F9D097" w14:textId="77777777" w:rsidR="00976859" w:rsidRPr="00D03260" w:rsidRDefault="00976859" w:rsidP="00976859">
      <w:pPr>
        <w:pStyle w:val="Bibliography"/>
        <w:rPr>
          <w:rFonts w:cs="Arial"/>
          <w:szCs w:val="22"/>
        </w:rPr>
      </w:pPr>
      <w:r w:rsidRPr="00D03260">
        <w:rPr>
          <w:rFonts w:cs="Arial"/>
          <w:szCs w:val="22"/>
        </w:rPr>
        <w:t xml:space="preserve">American Industrial Hygiene Association Indoor Environment Quality Committee. (2020). </w:t>
      </w:r>
      <w:r w:rsidRPr="00D03260">
        <w:rPr>
          <w:rFonts w:cs="Arial"/>
          <w:i/>
          <w:iCs/>
          <w:szCs w:val="22"/>
        </w:rPr>
        <w:t>Facts About Mold: An AIHA Perspective for IEQ Investigators, Physicians, and Engineers</w:t>
      </w:r>
      <w:r w:rsidRPr="00D03260">
        <w:rPr>
          <w:rFonts w:cs="Arial"/>
          <w:szCs w:val="22"/>
        </w:rPr>
        <w:t>. American Industrial Hygiene Association.</w:t>
      </w:r>
    </w:p>
    <w:p w14:paraId="0BC423B9" w14:textId="77777777" w:rsidR="00976859" w:rsidRPr="00D03260" w:rsidRDefault="00976859" w:rsidP="00976859">
      <w:pPr>
        <w:pStyle w:val="Bibliography"/>
        <w:rPr>
          <w:rFonts w:cs="Arial"/>
          <w:szCs w:val="22"/>
        </w:rPr>
      </w:pPr>
      <w:r w:rsidRPr="00D03260">
        <w:rPr>
          <w:rFonts w:cs="Arial"/>
          <w:szCs w:val="22"/>
        </w:rPr>
        <w:t xml:space="preserve">American Lung Association, American Medical Association, U.S. Consumer Product Safety Commission, &amp; U.S. Environmental Protection Agency. (2014). </w:t>
      </w:r>
      <w:r w:rsidRPr="00D03260">
        <w:rPr>
          <w:rFonts w:cs="Arial"/>
          <w:i/>
          <w:iCs/>
          <w:szCs w:val="22"/>
        </w:rPr>
        <w:t>Indoor air pollution: An introduction for health professionals</w:t>
      </w:r>
      <w:r w:rsidRPr="00D03260">
        <w:rPr>
          <w:rFonts w:cs="Arial"/>
          <w:szCs w:val="22"/>
        </w:rPr>
        <w:t>. American Lung Association; American Medical Association; U.S. Consumer Product Safety Commission; U.S Environmental Protection Agency. https://www.epa.gov/indoor-air-quality-iaq/indoor-air-pollution-introduction-health-professionals</w:t>
      </w:r>
    </w:p>
    <w:p w14:paraId="7E9B3536" w14:textId="77777777" w:rsidR="00976859" w:rsidRPr="00D03260" w:rsidRDefault="00976859" w:rsidP="00976859">
      <w:pPr>
        <w:pStyle w:val="Bibliography"/>
        <w:rPr>
          <w:rFonts w:cs="Arial"/>
          <w:szCs w:val="22"/>
        </w:rPr>
      </w:pPr>
      <w:r w:rsidRPr="00D03260">
        <w:rPr>
          <w:rFonts w:cs="Arial"/>
          <w:szCs w:val="22"/>
        </w:rPr>
        <w:t xml:space="preserve">Australasian Integrative Medicine Association, &amp; Australasian College of Nutritional and Environmental Medicine. (2018). </w:t>
      </w:r>
      <w:r w:rsidRPr="00D03260">
        <w:rPr>
          <w:rFonts w:cs="Arial"/>
          <w:i/>
          <w:iCs/>
          <w:szCs w:val="22"/>
        </w:rPr>
        <w:t>Australasian Integrative Medicine Association and Australian College of Nutritional and Environmental Medicine Submission to Australian Parliament’s Health, Aged Care and Sport Committee Inquiry into Biotoxin-related Illnesses in Australia</w:t>
      </w:r>
      <w:r w:rsidRPr="00D03260">
        <w:rPr>
          <w:rFonts w:cs="Arial"/>
          <w:szCs w:val="22"/>
        </w:rPr>
        <w:t>.</w:t>
      </w:r>
    </w:p>
    <w:p w14:paraId="235563FC" w14:textId="77777777" w:rsidR="00976859" w:rsidRPr="00D03260" w:rsidRDefault="00976859" w:rsidP="00976859">
      <w:pPr>
        <w:pStyle w:val="Bibliography"/>
        <w:rPr>
          <w:rFonts w:cs="Arial"/>
          <w:szCs w:val="22"/>
        </w:rPr>
      </w:pPr>
      <w:r w:rsidRPr="00D03260">
        <w:rPr>
          <w:rFonts w:cs="Arial"/>
          <w:szCs w:val="22"/>
        </w:rPr>
        <w:t xml:space="preserve">Australian Chronic Infectious &amp; Inflammatory Disease Society. (2018). </w:t>
      </w:r>
      <w:r w:rsidRPr="00D03260">
        <w:rPr>
          <w:rFonts w:cs="Arial"/>
          <w:i/>
          <w:iCs/>
          <w:szCs w:val="22"/>
        </w:rPr>
        <w:t>Australian Chronic Infectious &amp; Inflammatory Disease Society (ACIIDS) Submission to the Australian Parliament’s Health, Aged Care and Sport Committee Inquiry into Biotoxin-related Illnesses in Australia</w:t>
      </w:r>
      <w:r w:rsidRPr="00D03260">
        <w:rPr>
          <w:rFonts w:cs="Arial"/>
          <w:szCs w:val="22"/>
        </w:rPr>
        <w:t>.</w:t>
      </w:r>
    </w:p>
    <w:p w14:paraId="1DE98EB2" w14:textId="77777777" w:rsidR="00976859" w:rsidRPr="00D03260" w:rsidRDefault="00976859" w:rsidP="00976859">
      <w:pPr>
        <w:pStyle w:val="Bibliography"/>
        <w:rPr>
          <w:rFonts w:cs="Arial"/>
          <w:szCs w:val="22"/>
        </w:rPr>
      </w:pPr>
      <w:r w:rsidRPr="00D03260">
        <w:rPr>
          <w:rFonts w:cs="Arial"/>
          <w:szCs w:val="22"/>
        </w:rPr>
        <w:t xml:space="preserve">Australian Commission on Safety and Quality in Health Care. (n.d.). </w:t>
      </w:r>
      <w:r w:rsidRPr="00D03260">
        <w:rPr>
          <w:rFonts w:cs="Arial"/>
          <w:i/>
          <w:iCs/>
          <w:szCs w:val="22"/>
        </w:rPr>
        <w:t>FAQs about partnering with consumers in the NSQHS Standards (second edition)</w:t>
      </w:r>
      <w:r w:rsidRPr="00D03260">
        <w:rPr>
          <w:rFonts w:cs="Arial"/>
          <w:szCs w:val="22"/>
        </w:rPr>
        <w:t>. Australian Commission on Safety and Quality in Health Care. https://www.safetyandquality.gov.au/faqs-about-partnering-consumers-nsqhs-standards-second-edition#what-is-person-centred-care</w:t>
      </w:r>
    </w:p>
    <w:p w14:paraId="2413F578" w14:textId="77777777" w:rsidR="00976859" w:rsidRPr="00D03260" w:rsidRDefault="00976859" w:rsidP="00976859">
      <w:pPr>
        <w:pStyle w:val="Bibliography"/>
        <w:rPr>
          <w:rFonts w:cs="Arial"/>
          <w:szCs w:val="22"/>
        </w:rPr>
      </w:pPr>
      <w:r w:rsidRPr="00D03260">
        <w:rPr>
          <w:rFonts w:cs="Arial"/>
          <w:szCs w:val="22"/>
        </w:rPr>
        <w:t xml:space="preserve">Australian Commission on Safety and Quality in Health Care. (2018). </w:t>
      </w:r>
      <w:r w:rsidRPr="00D03260">
        <w:rPr>
          <w:rFonts w:cs="Arial"/>
          <w:i/>
          <w:iCs/>
          <w:szCs w:val="22"/>
        </w:rPr>
        <w:t>Fact sheet 1: Person-centred organisations: Achieving great person-centred care</w:t>
      </w:r>
      <w:r w:rsidRPr="00D03260">
        <w:rPr>
          <w:rFonts w:cs="Arial"/>
          <w:szCs w:val="22"/>
        </w:rPr>
        <w:t>. Australian Commission on Safety and Quality in Health Care. https://www.safetyandquality.gov.au/sites/default/files/2019-06/fact-sheet-1-achieving-great-person-centred-care.pdf</w:t>
      </w:r>
    </w:p>
    <w:p w14:paraId="2CBCB5EA" w14:textId="77777777" w:rsidR="00976859" w:rsidRPr="00D03260" w:rsidRDefault="00976859" w:rsidP="00976859">
      <w:pPr>
        <w:pStyle w:val="Bibliography"/>
        <w:rPr>
          <w:rFonts w:cs="Arial"/>
          <w:szCs w:val="22"/>
        </w:rPr>
      </w:pPr>
      <w:r w:rsidRPr="00D03260">
        <w:rPr>
          <w:rFonts w:cs="Arial"/>
          <w:szCs w:val="22"/>
        </w:rPr>
        <w:t xml:space="preserve">Australian Government. (2020). </w:t>
      </w:r>
      <w:r w:rsidRPr="00D03260">
        <w:rPr>
          <w:rFonts w:cs="Arial"/>
          <w:i/>
          <w:iCs/>
          <w:szCs w:val="22"/>
        </w:rPr>
        <w:t>Australian Government response to the House of Representatives Standing Committee on Health, Aged Care and Sport report: Inquiry into Biotoxin-related Illness in Australia</w:t>
      </w:r>
      <w:r w:rsidRPr="00D03260">
        <w:rPr>
          <w:rFonts w:cs="Arial"/>
          <w:szCs w:val="22"/>
        </w:rPr>
        <w:t>.</w:t>
      </w:r>
    </w:p>
    <w:p w14:paraId="5E9BAA1F" w14:textId="77777777" w:rsidR="00976859" w:rsidRPr="00D03260" w:rsidRDefault="00976859" w:rsidP="00976859">
      <w:pPr>
        <w:pStyle w:val="Bibliography"/>
        <w:rPr>
          <w:rFonts w:cs="Arial"/>
          <w:szCs w:val="22"/>
        </w:rPr>
      </w:pPr>
      <w:r w:rsidRPr="00D03260">
        <w:rPr>
          <w:rFonts w:cs="Arial"/>
          <w:szCs w:val="22"/>
        </w:rPr>
        <w:t xml:space="preserve">Australian Government Department of Health. (2019). </w:t>
      </w:r>
      <w:r w:rsidRPr="00D03260">
        <w:rPr>
          <w:rFonts w:cs="Arial"/>
          <w:i/>
          <w:iCs/>
          <w:szCs w:val="22"/>
        </w:rPr>
        <w:t>PHN Primary Mental Health Care Flexible Funding Pool Implementation Guidance – Stepped Care</w:t>
      </w:r>
      <w:r w:rsidRPr="00D03260">
        <w:rPr>
          <w:rFonts w:cs="Arial"/>
          <w:szCs w:val="22"/>
        </w:rPr>
        <w:t>. https://www.health.gov.au/sites/default/files/documents/2021/04/primary-health-networks-phn-primary-mental-health-care-guidance-stepped-care.pdf</w:t>
      </w:r>
    </w:p>
    <w:p w14:paraId="14DA587B" w14:textId="77777777" w:rsidR="00976859" w:rsidRPr="00D03260" w:rsidRDefault="00976859" w:rsidP="00976859">
      <w:pPr>
        <w:pStyle w:val="Bibliography"/>
        <w:rPr>
          <w:rFonts w:cs="Arial"/>
          <w:szCs w:val="22"/>
        </w:rPr>
      </w:pPr>
      <w:r w:rsidRPr="00D03260">
        <w:rPr>
          <w:rFonts w:cs="Arial"/>
          <w:szCs w:val="22"/>
        </w:rPr>
        <w:t xml:space="preserve">Australian Society of Clinical Immunology and Allergy, &amp; Allergy &amp; Anaphylaxis Australia. (2015). </w:t>
      </w:r>
      <w:r w:rsidRPr="00D03260">
        <w:rPr>
          <w:rFonts w:cs="Arial"/>
          <w:i/>
          <w:iCs/>
          <w:szCs w:val="22"/>
        </w:rPr>
        <w:t>National Allergy Strategy: Improving the health and quality of life of Australians with allergic disease</w:t>
      </w:r>
      <w:r w:rsidRPr="00D03260">
        <w:rPr>
          <w:rFonts w:cs="Arial"/>
          <w:szCs w:val="22"/>
        </w:rPr>
        <w:t>. Australian Society of Clinical Immunology and Allergy, and Allergy Anaphylaxis Australia.</w:t>
      </w:r>
    </w:p>
    <w:p w14:paraId="17812BC5" w14:textId="77777777" w:rsidR="00976859" w:rsidRPr="00D03260" w:rsidRDefault="00976859" w:rsidP="00976859">
      <w:pPr>
        <w:pStyle w:val="Bibliography"/>
        <w:rPr>
          <w:rFonts w:cs="Arial"/>
          <w:szCs w:val="22"/>
        </w:rPr>
      </w:pPr>
      <w:r w:rsidRPr="00D03260">
        <w:rPr>
          <w:rFonts w:cs="Arial"/>
          <w:szCs w:val="22"/>
        </w:rPr>
        <w:t xml:space="preserve">Baxi, S. N., Portnoy, J. M., Larenas-Linnemann, D., &amp; Phipatanakul, W. (2016). Exposure and health effects of fungi on humans. </w:t>
      </w:r>
      <w:r w:rsidRPr="00D03260">
        <w:rPr>
          <w:rFonts w:cs="Arial"/>
          <w:i/>
          <w:iCs/>
          <w:szCs w:val="22"/>
        </w:rPr>
        <w:t>Journal of Allergy and Clinical Immunology: In Practice</w:t>
      </w:r>
      <w:r w:rsidRPr="00D03260">
        <w:rPr>
          <w:rFonts w:cs="Arial"/>
          <w:szCs w:val="22"/>
        </w:rPr>
        <w:t xml:space="preserve">, </w:t>
      </w:r>
      <w:r w:rsidRPr="00D03260">
        <w:rPr>
          <w:rFonts w:cs="Arial"/>
          <w:i/>
          <w:iCs/>
          <w:szCs w:val="22"/>
        </w:rPr>
        <w:t>4</w:t>
      </w:r>
      <w:r w:rsidRPr="00D03260">
        <w:rPr>
          <w:rFonts w:cs="Arial"/>
          <w:szCs w:val="22"/>
        </w:rPr>
        <w:t>(3), 396–404. https://doi.org/10.1016/j.jaip.2016.01.008</w:t>
      </w:r>
    </w:p>
    <w:p w14:paraId="5178EA2D" w14:textId="77777777" w:rsidR="00976859" w:rsidRPr="00D03260" w:rsidRDefault="00976859" w:rsidP="00976859">
      <w:pPr>
        <w:pStyle w:val="Bibliography"/>
        <w:rPr>
          <w:rFonts w:cs="Arial"/>
          <w:szCs w:val="22"/>
        </w:rPr>
      </w:pPr>
      <w:r w:rsidRPr="00D03260">
        <w:rPr>
          <w:rFonts w:cs="Arial"/>
          <w:szCs w:val="22"/>
        </w:rPr>
        <w:t xml:space="preserve">Blyth, C. C., Gilroy, N. M., Guy, S. D., Chambers, S. T., Cheong, E. Y., Gottlieb, T., Mcguinness, S. L., &amp; Thursky, K. A. (2014). Consensus guidelines for the treatment of invasive mould infections in haematological malignancy and haemopoietic stem cell transplantation, 2014. </w:t>
      </w:r>
      <w:r w:rsidRPr="00D03260">
        <w:rPr>
          <w:rFonts w:cs="Arial"/>
          <w:i/>
          <w:iCs/>
          <w:szCs w:val="22"/>
        </w:rPr>
        <w:t>Internal Medicine Journal</w:t>
      </w:r>
      <w:r w:rsidRPr="00D03260">
        <w:rPr>
          <w:rFonts w:cs="Arial"/>
          <w:szCs w:val="22"/>
        </w:rPr>
        <w:t xml:space="preserve">, </w:t>
      </w:r>
      <w:r w:rsidRPr="00D03260">
        <w:rPr>
          <w:rFonts w:cs="Arial"/>
          <w:i/>
          <w:iCs/>
          <w:szCs w:val="22"/>
        </w:rPr>
        <w:t>44</w:t>
      </w:r>
      <w:r w:rsidRPr="00D03260">
        <w:rPr>
          <w:rFonts w:cs="Arial"/>
          <w:szCs w:val="22"/>
        </w:rPr>
        <w:t>(12), 1333–1349. Embase. https://doi.org/10.1111/imj.12598</w:t>
      </w:r>
    </w:p>
    <w:p w14:paraId="26BC905F" w14:textId="77777777" w:rsidR="00976859" w:rsidRPr="00D03260" w:rsidRDefault="00976859" w:rsidP="00976859">
      <w:pPr>
        <w:pStyle w:val="Bibliography"/>
        <w:rPr>
          <w:rFonts w:cs="Arial"/>
          <w:szCs w:val="22"/>
        </w:rPr>
      </w:pPr>
      <w:r w:rsidRPr="00D03260">
        <w:rPr>
          <w:rFonts w:cs="Arial"/>
          <w:szCs w:val="22"/>
        </w:rPr>
        <w:t xml:space="preserve">Borchers, A. T., Chang, C., &amp; Gershwin, M. E. (2017). Mold and human health: A reality check. </w:t>
      </w:r>
      <w:r w:rsidRPr="00D03260">
        <w:rPr>
          <w:rFonts w:cs="Arial"/>
          <w:i/>
          <w:iCs/>
          <w:szCs w:val="22"/>
        </w:rPr>
        <w:t>Clinical Reviews in Allergy &amp; Immunology</w:t>
      </w:r>
      <w:r w:rsidRPr="00D03260">
        <w:rPr>
          <w:rFonts w:cs="Arial"/>
          <w:szCs w:val="22"/>
        </w:rPr>
        <w:t xml:space="preserve">, </w:t>
      </w:r>
      <w:r w:rsidRPr="00D03260">
        <w:rPr>
          <w:rFonts w:cs="Arial"/>
          <w:i/>
          <w:iCs/>
          <w:szCs w:val="22"/>
        </w:rPr>
        <w:t>52</w:t>
      </w:r>
      <w:r w:rsidRPr="00D03260">
        <w:rPr>
          <w:rFonts w:cs="Arial"/>
          <w:szCs w:val="22"/>
        </w:rPr>
        <w:t>(3), 305–322.</w:t>
      </w:r>
    </w:p>
    <w:p w14:paraId="2AFB660D" w14:textId="77777777" w:rsidR="00976859" w:rsidRPr="00D03260" w:rsidRDefault="00976859" w:rsidP="00976859">
      <w:pPr>
        <w:pStyle w:val="Bibliography"/>
        <w:rPr>
          <w:rFonts w:cs="Arial"/>
          <w:szCs w:val="22"/>
        </w:rPr>
      </w:pPr>
      <w:r w:rsidRPr="00D03260">
        <w:rPr>
          <w:rFonts w:cs="Arial"/>
          <w:szCs w:val="22"/>
        </w:rPr>
        <w:t xml:space="preserve">Brown, J. D. (2018). A description of ‘Australian Lyme disease’ epidemiology and impact: An analysis of submissions to an Australian Senate Inquiry: Australian Lyme from Senate Inquiry. </w:t>
      </w:r>
      <w:r w:rsidRPr="00D03260">
        <w:rPr>
          <w:rFonts w:cs="Arial"/>
          <w:i/>
          <w:iCs/>
          <w:szCs w:val="22"/>
        </w:rPr>
        <w:t>Internal Medicine Journal</w:t>
      </w:r>
      <w:r w:rsidRPr="00D03260">
        <w:rPr>
          <w:rFonts w:cs="Arial"/>
          <w:szCs w:val="22"/>
        </w:rPr>
        <w:t xml:space="preserve">, </w:t>
      </w:r>
      <w:r w:rsidRPr="00D03260">
        <w:rPr>
          <w:rFonts w:cs="Arial"/>
          <w:i/>
          <w:iCs/>
          <w:szCs w:val="22"/>
        </w:rPr>
        <w:t>48</w:t>
      </w:r>
      <w:r w:rsidRPr="00D03260">
        <w:rPr>
          <w:rFonts w:cs="Arial"/>
          <w:szCs w:val="22"/>
        </w:rPr>
        <w:t>(4), 422–426. https://doi.org/10.1111/imj.13746</w:t>
      </w:r>
    </w:p>
    <w:p w14:paraId="0986DCE3" w14:textId="77777777" w:rsidR="00976859" w:rsidRPr="00D03260" w:rsidRDefault="00976859" w:rsidP="00976859">
      <w:pPr>
        <w:pStyle w:val="Bibliography"/>
        <w:rPr>
          <w:rFonts w:cs="Arial"/>
          <w:szCs w:val="22"/>
        </w:rPr>
      </w:pPr>
      <w:r w:rsidRPr="00D03260">
        <w:rPr>
          <w:rFonts w:cs="Arial"/>
          <w:szCs w:val="22"/>
        </w:rPr>
        <w:t xml:space="preserve">Butow, P., Price, M. A., Shaw, J. M., Turner, J., Clayton, J. M., Grimison, P., Rankin, N., &amp; Kirsten, L. (2015). Clinical pathway for the screening, assessment and management of anxiety and depression in adult cancer patients: Australian guidelines. </w:t>
      </w:r>
      <w:r w:rsidRPr="00D03260">
        <w:rPr>
          <w:rFonts w:cs="Arial"/>
          <w:i/>
          <w:iCs/>
          <w:szCs w:val="22"/>
        </w:rPr>
        <w:t>Psycho-Oncology</w:t>
      </w:r>
      <w:r w:rsidRPr="00D03260">
        <w:rPr>
          <w:rFonts w:cs="Arial"/>
          <w:szCs w:val="22"/>
        </w:rPr>
        <w:t xml:space="preserve">, </w:t>
      </w:r>
      <w:r w:rsidRPr="00D03260">
        <w:rPr>
          <w:rFonts w:cs="Arial"/>
          <w:i/>
          <w:iCs/>
          <w:szCs w:val="22"/>
        </w:rPr>
        <w:t>24</w:t>
      </w:r>
      <w:r w:rsidRPr="00D03260">
        <w:rPr>
          <w:rFonts w:cs="Arial"/>
          <w:szCs w:val="22"/>
        </w:rPr>
        <w:t>(9), 987–1001. https://doi.org/10.1002/pon.3920</w:t>
      </w:r>
    </w:p>
    <w:p w14:paraId="15D4B3FA" w14:textId="77777777" w:rsidR="00976859" w:rsidRPr="00D03260" w:rsidRDefault="00976859" w:rsidP="00976859">
      <w:pPr>
        <w:pStyle w:val="Bibliography"/>
        <w:rPr>
          <w:rFonts w:cs="Arial"/>
          <w:szCs w:val="22"/>
        </w:rPr>
      </w:pPr>
      <w:r w:rsidRPr="00D03260">
        <w:rPr>
          <w:rFonts w:cs="Arial"/>
          <w:szCs w:val="22"/>
        </w:rPr>
        <w:t xml:space="preserve">Caillaud, D., Leynaert, B., Keirsbulck, M., &amp; Nadif, R. (2018). Indoor mould exposure, asthma and rhinitis: Findings from systematic reviews and recent longitudinal studies. </w:t>
      </w:r>
      <w:r w:rsidRPr="00D03260">
        <w:rPr>
          <w:rFonts w:cs="Arial"/>
          <w:i/>
          <w:iCs/>
          <w:szCs w:val="22"/>
        </w:rPr>
        <w:t>European Respiratory Review</w:t>
      </w:r>
      <w:r w:rsidRPr="00D03260">
        <w:rPr>
          <w:rFonts w:cs="Arial"/>
          <w:szCs w:val="22"/>
        </w:rPr>
        <w:t xml:space="preserve">, </w:t>
      </w:r>
      <w:r w:rsidRPr="00D03260">
        <w:rPr>
          <w:rFonts w:cs="Arial"/>
          <w:i/>
          <w:iCs/>
          <w:szCs w:val="22"/>
        </w:rPr>
        <w:t>27</w:t>
      </w:r>
      <w:r w:rsidRPr="00D03260">
        <w:rPr>
          <w:rFonts w:cs="Arial"/>
          <w:szCs w:val="22"/>
        </w:rPr>
        <w:t>(148).</w:t>
      </w:r>
    </w:p>
    <w:p w14:paraId="1C094A8D" w14:textId="77777777" w:rsidR="00976859" w:rsidRPr="00D03260" w:rsidRDefault="00976859" w:rsidP="00976859">
      <w:pPr>
        <w:pStyle w:val="Bibliography"/>
        <w:rPr>
          <w:rFonts w:cs="Arial"/>
          <w:szCs w:val="22"/>
        </w:rPr>
      </w:pPr>
      <w:r w:rsidRPr="00D03260">
        <w:rPr>
          <w:rFonts w:cs="Arial"/>
          <w:szCs w:val="22"/>
        </w:rPr>
        <w:t xml:space="preserve">Cancer Council Australia. (2015). </w:t>
      </w:r>
      <w:r w:rsidRPr="00D03260">
        <w:rPr>
          <w:rFonts w:cs="Arial"/>
          <w:i/>
          <w:iCs/>
          <w:szCs w:val="22"/>
        </w:rPr>
        <w:t>National Cancer Council Control Policy: Position statement—Complementary and alternative therapies</w:t>
      </w:r>
      <w:r w:rsidRPr="00D03260">
        <w:rPr>
          <w:rFonts w:cs="Arial"/>
          <w:szCs w:val="22"/>
        </w:rPr>
        <w:t>. https://wiki.cancer.org.au/policy/Position_statement_-_Complementary_and_alternative_therapies</w:t>
      </w:r>
    </w:p>
    <w:p w14:paraId="2B7DB6B3" w14:textId="77777777" w:rsidR="00976859" w:rsidRPr="00D03260" w:rsidRDefault="00976859" w:rsidP="00976859">
      <w:pPr>
        <w:pStyle w:val="Bibliography"/>
        <w:rPr>
          <w:rFonts w:cs="Arial"/>
          <w:szCs w:val="22"/>
        </w:rPr>
      </w:pPr>
      <w:r w:rsidRPr="00D03260">
        <w:rPr>
          <w:rFonts w:cs="Arial"/>
          <w:szCs w:val="22"/>
        </w:rPr>
        <w:t xml:space="preserve">Chang, C., &amp; Gershwin, M. E. (2019). The myth of mycotoxins and mold injury. </w:t>
      </w:r>
      <w:r w:rsidRPr="00D03260">
        <w:rPr>
          <w:rFonts w:cs="Arial"/>
          <w:i/>
          <w:iCs/>
          <w:szCs w:val="22"/>
        </w:rPr>
        <w:t>Clinical Reviews in Allergy &amp; Immunology</w:t>
      </w:r>
      <w:r w:rsidRPr="00D03260">
        <w:rPr>
          <w:rFonts w:cs="Arial"/>
          <w:szCs w:val="22"/>
        </w:rPr>
        <w:t xml:space="preserve">, </w:t>
      </w:r>
      <w:r w:rsidRPr="00D03260">
        <w:rPr>
          <w:rFonts w:cs="Arial"/>
          <w:i/>
          <w:iCs/>
          <w:szCs w:val="22"/>
        </w:rPr>
        <w:t>57</w:t>
      </w:r>
      <w:r w:rsidRPr="00D03260">
        <w:rPr>
          <w:rFonts w:cs="Arial"/>
          <w:szCs w:val="22"/>
        </w:rPr>
        <w:t>(3), 449–455. https://doi.org/10.1007/s12016-019-08767-4</w:t>
      </w:r>
    </w:p>
    <w:p w14:paraId="10D6C2B4" w14:textId="77777777" w:rsidR="00976859" w:rsidRPr="00D03260" w:rsidRDefault="00976859" w:rsidP="00976859">
      <w:pPr>
        <w:pStyle w:val="Bibliography"/>
        <w:rPr>
          <w:rFonts w:cs="Arial"/>
          <w:szCs w:val="22"/>
        </w:rPr>
      </w:pPr>
      <w:r w:rsidRPr="00D03260">
        <w:rPr>
          <w:rFonts w:cs="Arial"/>
          <w:szCs w:val="22"/>
        </w:rPr>
        <w:t xml:space="preserve">Cheong, C. D. (2013). Literature review of current research on health effects and accepted guidelines for the management of indoor mould and water damage in the built environment. </w:t>
      </w:r>
      <w:r w:rsidRPr="00D03260">
        <w:rPr>
          <w:rFonts w:cs="Arial"/>
          <w:i/>
          <w:iCs/>
          <w:szCs w:val="22"/>
        </w:rPr>
        <w:t>Australasian College of Nutritional &amp; Environmental Medicine Journal</w:t>
      </w:r>
      <w:r w:rsidRPr="00D03260">
        <w:rPr>
          <w:rFonts w:cs="Arial"/>
          <w:szCs w:val="22"/>
        </w:rPr>
        <w:t xml:space="preserve">, </w:t>
      </w:r>
      <w:r w:rsidRPr="00D03260">
        <w:rPr>
          <w:rFonts w:cs="Arial"/>
          <w:i/>
          <w:iCs/>
          <w:szCs w:val="22"/>
        </w:rPr>
        <w:t>32</w:t>
      </w:r>
      <w:r w:rsidRPr="00D03260">
        <w:rPr>
          <w:rFonts w:cs="Arial"/>
          <w:szCs w:val="22"/>
        </w:rPr>
        <w:t>(3), 10–16.</w:t>
      </w:r>
    </w:p>
    <w:p w14:paraId="19F8266B" w14:textId="77777777" w:rsidR="00976859" w:rsidRPr="00D03260" w:rsidRDefault="00976859" w:rsidP="00976859">
      <w:pPr>
        <w:pStyle w:val="Bibliography"/>
        <w:rPr>
          <w:rFonts w:cs="Arial"/>
          <w:szCs w:val="22"/>
        </w:rPr>
      </w:pPr>
      <w:r w:rsidRPr="00D03260">
        <w:rPr>
          <w:rFonts w:cs="Arial"/>
          <w:szCs w:val="22"/>
        </w:rPr>
        <w:t xml:space="preserve">Chitnis, A., Dowrick, C., Byng, R., Turner, P., &amp; Shiers, D. (2011). </w:t>
      </w:r>
      <w:r w:rsidRPr="00D03260">
        <w:rPr>
          <w:rFonts w:cs="Arial"/>
          <w:i/>
          <w:iCs/>
          <w:szCs w:val="22"/>
        </w:rPr>
        <w:t>Guidance for health professionals on medically unexplained symptoms (MUS)</w:t>
      </w:r>
      <w:r w:rsidRPr="00D03260">
        <w:rPr>
          <w:rFonts w:cs="Arial"/>
          <w:szCs w:val="22"/>
        </w:rPr>
        <w:t>. Forum for Mental Health in Primary Care. https://dxrevisionwatch.files.wordpress.com/2013/06/guidance-for-health-professionals-on-mus-jan-2011.pdf</w:t>
      </w:r>
    </w:p>
    <w:p w14:paraId="5FE6A518" w14:textId="77777777" w:rsidR="00976859" w:rsidRPr="00D03260" w:rsidRDefault="00976859" w:rsidP="00976859">
      <w:pPr>
        <w:pStyle w:val="Bibliography"/>
        <w:rPr>
          <w:rFonts w:cs="Arial"/>
          <w:szCs w:val="22"/>
        </w:rPr>
      </w:pPr>
      <w:r w:rsidRPr="00D03260">
        <w:rPr>
          <w:rFonts w:cs="Arial"/>
          <w:szCs w:val="22"/>
        </w:rPr>
        <w:t xml:space="preserve">Choosing Wisely Australia. (n.d.). </w:t>
      </w:r>
      <w:r w:rsidRPr="00D03260">
        <w:rPr>
          <w:rFonts w:cs="Arial"/>
          <w:i/>
          <w:iCs/>
          <w:szCs w:val="22"/>
        </w:rPr>
        <w:t>Antibiotic resources for clinicians</w:t>
      </w:r>
      <w:r w:rsidRPr="00D03260">
        <w:rPr>
          <w:rFonts w:cs="Arial"/>
          <w:szCs w:val="22"/>
        </w:rPr>
        <w:t>. Choosing Wisely Australia. https://www.choosingwisely.org.au/resources/health-professionals/antibiotic-resources-for-clinicians</w:t>
      </w:r>
    </w:p>
    <w:p w14:paraId="2E587BD6" w14:textId="77777777" w:rsidR="00976859" w:rsidRPr="00D03260" w:rsidRDefault="00976859" w:rsidP="00976859">
      <w:pPr>
        <w:pStyle w:val="Bibliography"/>
        <w:rPr>
          <w:rFonts w:cs="Arial"/>
          <w:szCs w:val="22"/>
        </w:rPr>
      </w:pPr>
      <w:r w:rsidRPr="00D03260">
        <w:rPr>
          <w:rFonts w:cs="Arial"/>
          <w:szCs w:val="22"/>
        </w:rPr>
        <w:t xml:space="preserve">Denning, D. W., &amp; Chakrabarti, A. (2017). Pulmonary and sinus fungal diseases in non-immunocompromised patients. </w:t>
      </w:r>
      <w:r w:rsidRPr="00D03260">
        <w:rPr>
          <w:rFonts w:cs="Arial"/>
          <w:i/>
          <w:iCs/>
          <w:szCs w:val="22"/>
        </w:rPr>
        <w:t>The Lancet. Infectious Diseases</w:t>
      </w:r>
      <w:r w:rsidRPr="00D03260">
        <w:rPr>
          <w:rFonts w:cs="Arial"/>
          <w:szCs w:val="22"/>
        </w:rPr>
        <w:t xml:space="preserve">, </w:t>
      </w:r>
      <w:r w:rsidRPr="00D03260">
        <w:rPr>
          <w:rFonts w:cs="Arial"/>
          <w:i/>
          <w:iCs/>
          <w:szCs w:val="22"/>
        </w:rPr>
        <w:t>17</w:t>
      </w:r>
      <w:r w:rsidRPr="00D03260">
        <w:rPr>
          <w:rFonts w:cs="Arial"/>
          <w:szCs w:val="22"/>
        </w:rPr>
        <w:t>(11), e357–e366. https://doi.org/10.1016/S1473-3099(17)30309-2</w:t>
      </w:r>
    </w:p>
    <w:p w14:paraId="13938CB9" w14:textId="77777777" w:rsidR="00976859" w:rsidRPr="00D03260" w:rsidRDefault="00976859" w:rsidP="00976859">
      <w:pPr>
        <w:pStyle w:val="Bibliography"/>
        <w:rPr>
          <w:rFonts w:cs="Arial"/>
          <w:szCs w:val="22"/>
        </w:rPr>
      </w:pPr>
      <w:r w:rsidRPr="00D03260">
        <w:rPr>
          <w:rFonts w:cs="Arial"/>
          <w:szCs w:val="22"/>
        </w:rPr>
        <w:t xml:space="preserve">Environmental Health Standing Committee (enHealth) of the Australian Health Protection Principal Committee. (2021). </w:t>
      </w:r>
      <w:r w:rsidRPr="00D03260">
        <w:rPr>
          <w:rFonts w:cs="Arial"/>
          <w:i/>
          <w:iCs/>
          <w:szCs w:val="22"/>
        </w:rPr>
        <w:t>Potential health effects of mould in the environment</w:t>
      </w:r>
      <w:r w:rsidRPr="00D03260">
        <w:rPr>
          <w:rFonts w:cs="Arial"/>
          <w:szCs w:val="22"/>
        </w:rPr>
        <w:t>. Australian Government Department of Health and Aged Care. https://www.health.gov.au/resources/publications/enhealth-guidance-potential-health-effects-of-mould-in-the-environment</w:t>
      </w:r>
    </w:p>
    <w:p w14:paraId="1E8A4FBA" w14:textId="77777777" w:rsidR="00976859" w:rsidRPr="00D03260" w:rsidRDefault="00976859" w:rsidP="00976859">
      <w:pPr>
        <w:pStyle w:val="Bibliography"/>
        <w:rPr>
          <w:rFonts w:cs="Arial"/>
          <w:szCs w:val="22"/>
        </w:rPr>
      </w:pPr>
      <w:r w:rsidRPr="00D03260">
        <w:rPr>
          <w:rFonts w:cs="Arial"/>
          <w:szCs w:val="22"/>
        </w:rPr>
        <w:t xml:space="preserve">Fakunle, A. G., Jafta, N., Naidoo, R. N., &amp; Smit, L. A. M. (2021). Association of indoor microbial aerosols with respiratory symptoms among under-five children: A systematic review and meta-analysis. </w:t>
      </w:r>
      <w:r w:rsidRPr="00D03260">
        <w:rPr>
          <w:rFonts w:cs="Arial"/>
          <w:i/>
          <w:iCs/>
          <w:szCs w:val="22"/>
        </w:rPr>
        <w:t>Environmental Health: A Global Access Science Source</w:t>
      </w:r>
      <w:r w:rsidRPr="00D03260">
        <w:rPr>
          <w:rFonts w:cs="Arial"/>
          <w:szCs w:val="22"/>
        </w:rPr>
        <w:t xml:space="preserve">, </w:t>
      </w:r>
      <w:r w:rsidRPr="00D03260">
        <w:rPr>
          <w:rFonts w:cs="Arial"/>
          <w:i/>
          <w:iCs/>
          <w:szCs w:val="22"/>
        </w:rPr>
        <w:t>20</w:t>
      </w:r>
      <w:r w:rsidRPr="00D03260">
        <w:rPr>
          <w:rFonts w:cs="Arial"/>
          <w:szCs w:val="22"/>
        </w:rPr>
        <w:t>(1), 1–16. https://doi.org/10.1186/s12940-021-00759-2</w:t>
      </w:r>
    </w:p>
    <w:p w14:paraId="3B216717" w14:textId="77777777" w:rsidR="00976859" w:rsidRPr="00D03260" w:rsidRDefault="00976859" w:rsidP="00976859">
      <w:pPr>
        <w:pStyle w:val="Bibliography"/>
        <w:rPr>
          <w:rFonts w:cs="Arial"/>
          <w:szCs w:val="22"/>
        </w:rPr>
      </w:pPr>
      <w:r w:rsidRPr="00D03260">
        <w:rPr>
          <w:rFonts w:cs="Arial"/>
          <w:szCs w:val="22"/>
        </w:rPr>
        <w:t xml:space="preserve">Fisk, W. J., Chan, W. R., &amp; Johnson, A. L. (2019). Does dampness and mold in schools affect health? Results of a meta-analysis. </w:t>
      </w:r>
      <w:r w:rsidRPr="00D03260">
        <w:rPr>
          <w:rFonts w:cs="Arial"/>
          <w:i/>
          <w:iCs/>
          <w:szCs w:val="22"/>
        </w:rPr>
        <w:t>Indoor Air</w:t>
      </w:r>
      <w:r w:rsidRPr="00D03260">
        <w:rPr>
          <w:rFonts w:cs="Arial"/>
          <w:szCs w:val="22"/>
        </w:rPr>
        <w:t xml:space="preserve">, </w:t>
      </w:r>
      <w:r w:rsidRPr="00D03260">
        <w:rPr>
          <w:rFonts w:cs="Arial"/>
          <w:i/>
          <w:iCs/>
          <w:szCs w:val="22"/>
        </w:rPr>
        <w:t>29</w:t>
      </w:r>
      <w:r w:rsidRPr="00D03260">
        <w:rPr>
          <w:rFonts w:cs="Arial"/>
          <w:szCs w:val="22"/>
        </w:rPr>
        <w:t>(6), 895–902. https://doi.org/10.1111/ina.12588</w:t>
      </w:r>
    </w:p>
    <w:p w14:paraId="0B7CB301" w14:textId="77777777" w:rsidR="00976859" w:rsidRPr="00D03260" w:rsidRDefault="00976859" w:rsidP="00976859">
      <w:pPr>
        <w:pStyle w:val="Bibliography"/>
        <w:rPr>
          <w:rFonts w:cs="Arial"/>
          <w:szCs w:val="22"/>
        </w:rPr>
      </w:pPr>
      <w:r w:rsidRPr="00D03260">
        <w:rPr>
          <w:rFonts w:cs="Arial"/>
          <w:szCs w:val="22"/>
        </w:rPr>
        <w:t xml:space="preserve">General Practice Mental Health Standards Collaboration. (2019). </w:t>
      </w:r>
      <w:r w:rsidRPr="00D03260">
        <w:rPr>
          <w:rFonts w:cs="Arial"/>
          <w:i/>
          <w:iCs/>
          <w:szCs w:val="22"/>
        </w:rPr>
        <w:t>Working with the stepped care model: Mental health services through general practice</w:t>
      </w:r>
      <w:r w:rsidRPr="00D03260">
        <w:rPr>
          <w:rFonts w:cs="Arial"/>
          <w:szCs w:val="22"/>
        </w:rPr>
        <w:t>. Royal Australian College of General Practitioners. https://gpmhsc.org.au/getmedia/a3c419ef-68e9-4c32-b78f-f97b16d06541/Working-with-the-stepped-care-model.pdf.aspx</w:t>
      </w:r>
    </w:p>
    <w:p w14:paraId="49EBD214" w14:textId="77777777" w:rsidR="00976859" w:rsidRPr="00D03260" w:rsidRDefault="00976859" w:rsidP="00976859">
      <w:pPr>
        <w:pStyle w:val="Bibliography"/>
        <w:rPr>
          <w:rFonts w:cs="Arial"/>
          <w:szCs w:val="22"/>
        </w:rPr>
      </w:pPr>
      <w:r w:rsidRPr="00D03260">
        <w:rPr>
          <w:rFonts w:cs="Arial"/>
          <w:szCs w:val="22"/>
        </w:rPr>
        <w:t xml:space="preserve">Gupta, S. (2018). </w:t>
      </w:r>
      <w:r w:rsidRPr="00D03260">
        <w:rPr>
          <w:rFonts w:cs="Arial"/>
          <w:i/>
          <w:iCs/>
          <w:szCs w:val="22"/>
        </w:rPr>
        <w:t>Dr Sandeep Gupta Submission to the Australian Parliament’s Health, Aged Care and Sport Committee Inquiry into Biotoxin-related Illnesses in Australia</w:t>
      </w:r>
      <w:r w:rsidRPr="00D03260">
        <w:rPr>
          <w:rFonts w:cs="Arial"/>
          <w:szCs w:val="22"/>
        </w:rPr>
        <w:t>.</w:t>
      </w:r>
    </w:p>
    <w:p w14:paraId="76E72340" w14:textId="77777777" w:rsidR="00976859" w:rsidRPr="00D03260" w:rsidRDefault="00976859" w:rsidP="00976859">
      <w:pPr>
        <w:pStyle w:val="Bibliography"/>
        <w:rPr>
          <w:rFonts w:cs="Arial"/>
          <w:szCs w:val="22"/>
        </w:rPr>
      </w:pPr>
      <w:r w:rsidRPr="00D03260">
        <w:rPr>
          <w:rFonts w:cs="Arial"/>
          <w:szCs w:val="22"/>
        </w:rPr>
        <w:t xml:space="preserve">House of Representatives Standing Committee on Health, Aged Care and Sport. (2018). </w:t>
      </w:r>
      <w:r w:rsidRPr="00D03260">
        <w:rPr>
          <w:rFonts w:cs="Arial"/>
          <w:i/>
          <w:iCs/>
          <w:szCs w:val="22"/>
        </w:rPr>
        <w:t>Report on the Inquiry into Biotoxin-related Illnesses in Australia</w:t>
      </w:r>
      <w:r w:rsidRPr="00D03260">
        <w:rPr>
          <w:rFonts w:cs="Arial"/>
          <w:szCs w:val="22"/>
        </w:rPr>
        <w:t>. Parliament of the Commonwealth of Australia.</w:t>
      </w:r>
    </w:p>
    <w:p w14:paraId="1C405439" w14:textId="77777777" w:rsidR="00976859" w:rsidRPr="00D03260" w:rsidRDefault="00976859" w:rsidP="00976859">
      <w:pPr>
        <w:pStyle w:val="Bibliography"/>
        <w:rPr>
          <w:rFonts w:cs="Arial"/>
          <w:szCs w:val="22"/>
        </w:rPr>
      </w:pPr>
      <w:r w:rsidRPr="00D03260">
        <w:rPr>
          <w:rFonts w:cs="Arial"/>
          <w:szCs w:val="22"/>
        </w:rPr>
        <w:t xml:space="preserve">Hurraß, J., Heinzow, B., Aurbach, U., Bergmann, K.-C., Bufe, A., Buzina, W., Cornely, O. A., Engelhart, S., Fischer, G., Gabrio, T., Heinz, W., Herr, C. E. W., Kleine-Tebbe, J., Klimek, L., Köberle, M., Lichtnecker, H., Lob-Corzilius, T., Merget, R., Mülleneisen, N., &amp; Nowak, D. (2017). Medical diagnostics for indoor mold exposure. </w:t>
      </w:r>
      <w:r w:rsidRPr="00D03260">
        <w:rPr>
          <w:rFonts w:cs="Arial"/>
          <w:i/>
          <w:iCs/>
          <w:szCs w:val="22"/>
        </w:rPr>
        <w:t>International Journal of Hygiene &amp; Environmental Health</w:t>
      </w:r>
      <w:r w:rsidRPr="00D03260">
        <w:rPr>
          <w:rFonts w:cs="Arial"/>
          <w:szCs w:val="22"/>
        </w:rPr>
        <w:t xml:space="preserve">, </w:t>
      </w:r>
      <w:r w:rsidRPr="00D03260">
        <w:rPr>
          <w:rFonts w:cs="Arial"/>
          <w:i/>
          <w:iCs/>
          <w:szCs w:val="22"/>
        </w:rPr>
        <w:t>220</w:t>
      </w:r>
      <w:r w:rsidRPr="00D03260">
        <w:rPr>
          <w:rFonts w:cs="Arial"/>
          <w:szCs w:val="22"/>
        </w:rPr>
        <w:t>(2B), 305–328. https://doi.org/10.1016/j.ijheh.2016.11.012</w:t>
      </w:r>
    </w:p>
    <w:p w14:paraId="6AEBDFDA" w14:textId="77777777" w:rsidR="00976859" w:rsidRPr="00D03260" w:rsidRDefault="00976859" w:rsidP="00976859">
      <w:pPr>
        <w:pStyle w:val="Bibliography"/>
        <w:rPr>
          <w:rFonts w:cs="Arial"/>
          <w:szCs w:val="22"/>
        </w:rPr>
      </w:pPr>
      <w:r w:rsidRPr="00D03260">
        <w:rPr>
          <w:rFonts w:cs="Arial"/>
          <w:szCs w:val="22"/>
        </w:rPr>
        <w:t xml:space="preserve">Kanchongkittiphon, W., Mendell, M. J., Gaffin, J. M., Wang, G., &amp; Phipatanakul, W. (2015). Indoor environmental exposures and exacerbation of asthma: An update to the 2000 review by the Institute of Medicine. </w:t>
      </w:r>
      <w:r w:rsidRPr="00D03260">
        <w:rPr>
          <w:rFonts w:cs="Arial"/>
          <w:i/>
          <w:iCs/>
          <w:szCs w:val="22"/>
        </w:rPr>
        <w:t>Environmental Health Perspectives</w:t>
      </w:r>
      <w:r w:rsidRPr="00D03260">
        <w:rPr>
          <w:rFonts w:cs="Arial"/>
          <w:szCs w:val="22"/>
        </w:rPr>
        <w:t xml:space="preserve">, </w:t>
      </w:r>
      <w:r w:rsidRPr="00D03260">
        <w:rPr>
          <w:rFonts w:cs="Arial"/>
          <w:i/>
          <w:iCs/>
          <w:szCs w:val="22"/>
        </w:rPr>
        <w:t>123</w:t>
      </w:r>
      <w:r w:rsidRPr="00D03260">
        <w:rPr>
          <w:rFonts w:cs="Arial"/>
          <w:szCs w:val="22"/>
        </w:rPr>
        <w:t>(1), 6–20.</w:t>
      </w:r>
    </w:p>
    <w:p w14:paraId="75F7A388" w14:textId="77777777" w:rsidR="00976859" w:rsidRPr="00D03260" w:rsidRDefault="00976859" w:rsidP="00976859">
      <w:pPr>
        <w:pStyle w:val="Bibliography"/>
        <w:rPr>
          <w:rFonts w:cs="Arial"/>
          <w:szCs w:val="22"/>
        </w:rPr>
      </w:pPr>
      <w:r w:rsidRPr="00D03260">
        <w:rPr>
          <w:rFonts w:cs="Arial"/>
          <w:szCs w:val="22"/>
        </w:rPr>
        <w:t xml:space="preserve">Knibbs, L. D., Woldeyohannes, S., Marks, G. B., &amp; Cowie, C. T. (2018). Damp housing, gas stoves, and the burden of childhood asthma in Australia. </w:t>
      </w:r>
      <w:r w:rsidRPr="00D03260">
        <w:rPr>
          <w:rFonts w:cs="Arial"/>
          <w:i/>
          <w:iCs/>
          <w:szCs w:val="22"/>
        </w:rPr>
        <w:t>The Medical Journal of Australia</w:t>
      </w:r>
      <w:r w:rsidRPr="00D03260">
        <w:rPr>
          <w:rFonts w:cs="Arial"/>
          <w:szCs w:val="22"/>
        </w:rPr>
        <w:t xml:space="preserve">, </w:t>
      </w:r>
      <w:r w:rsidRPr="00D03260">
        <w:rPr>
          <w:rFonts w:cs="Arial"/>
          <w:i/>
          <w:iCs/>
          <w:szCs w:val="22"/>
        </w:rPr>
        <w:t>208</w:t>
      </w:r>
      <w:r w:rsidRPr="00D03260">
        <w:rPr>
          <w:rFonts w:cs="Arial"/>
          <w:szCs w:val="22"/>
        </w:rPr>
        <w:t>(7), 299–302. https://doi.org/10.5694/mja17.00469</w:t>
      </w:r>
    </w:p>
    <w:p w14:paraId="384983A1" w14:textId="77777777" w:rsidR="00976859" w:rsidRPr="00D03260" w:rsidRDefault="00976859" w:rsidP="00976859">
      <w:pPr>
        <w:pStyle w:val="Bibliography"/>
        <w:rPr>
          <w:rFonts w:cs="Arial"/>
          <w:szCs w:val="22"/>
        </w:rPr>
      </w:pPr>
      <w:r w:rsidRPr="00D03260">
        <w:rPr>
          <w:rFonts w:cs="Arial"/>
          <w:szCs w:val="22"/>
        </w:rPr>
        <w:t xml:space="preserve">Larenas-Linnemann, D., Baxi, S., Phipatanakul, W., Portnoy, J. M., Barnes, C., Grimes, C., Horner, W. E., Kennedy, K., Levetin, E., Miller, J. D., Scott, J., &amp; Williams, P. B. (2016). Clinical evaluation and management of patients with suspected fungus sensitivity. </w:t>
      </w:r>
      <w:r w:rsidRPr="00D03260">
        <w:rPr>
          <w:rFonts w:cs="Arial"/>
          <w:i/>
          <w:iCs/>
          <w:szCs w:val="22"/>
        </w:rPr>
        <w:t>Journal of Allergy and Clinical Immunology: In Practice</w:t>
      </w:r>
      <w:r w:rsidRPr="00D03260">
        <w:rPr>
          <w:rFonts w:cs="Arial"/>
          <w:szCs w:val="22"/>
        </w:rPr>
        <w:t xml:space="preserve">, </w:t>
      </w:r>
      <w:r w:rsidRPr="00D03260">
        <w:rPr>
          <w:rFonts w:cs="Arial"/>
          <w:i/>
          <w:iCs/>
          <w:szCs w:val="22"/>
        </w:rPr>
        <w:t>4</w:t>
      </w:r>
      <w:r w:rsidRPr="00D03260">
        <w:rPr>
          <w:rFonts w:cs="Arial"/>
          <w:szCs w:val="22"/>
        </w:rPr>
        <w:t>(3), 405–414. https://doi.org/10.1016/j.jaip.2015.10.015</w:t>
      </w:r>
    </w:p>
    <w:p w14:paraId="774B8EA0" w14:textId="77777777" w:rsidR="00976859" w:rsidRPr="00D03260" w:rsidRDefault="00976859" w:rsidP="00976859">
      <w:pPr>
        <w:pStyle w:val="Bibliography"/>
        <w:rPr>
          <w:rFonts w:cs="Arial"/>
          <w:szCs w:val="22"/>
        </w:rPr>
      </w:pPr>
      <w:r w:rsidRPr="00D03260">
        <w:rPr>
          <w:rFonts w:cs="Arial"/>
          <w:szCs w:val="22"/>
        </w:rPr>
        <w:t xml:space="preserve">Mendell, M. J., Macher, J. M., &amp; Kumagai, K. (2018). Measured moisture in buildings and adverse health effects: A review. </w:t>
      </w:r>
      <w:r w:rsidRPr="00D03260">
        <w:rPr>
          <w:rFonts w:cs="Arial"/>
          <w:i/>
          <w:iCs/>
          <w:szCs w:val="22"/>
        </w:rPr>
        <w:t>Indoor Air</w:t>
      </w:r>
      <w:r w:rsidRPr="00D03260">
        <w:rPr>
          <w:rFonts w:cs="Arial"/>
          <w:szCs w:val="22"/>
        </w:rPr>
        <w:t xml:space="preserve">, </w:t>
      </w:r>
      <w:r w:rsidRPr="00D03260">
        <w:rPr>
          <w:rFonts w:cs="Arial"/>
          <w:i/>
          <w:iCs/>
          <w:szCs w:val="22"/>
        </w:rPr>
        <w:t>28</w:t>
      </w:r>
      <w:r w:rsidRPr="00D03260">
        <w:rPr>
          <w:rFonts w:cs="Arial"/>
          <w:szCs w:val="22"/>
        </w:rPr>
        <w:t>(4), 488–499. https://doi.org/10.1111/ina.12464</w:t>
      </w:r>
    </w:p>
    <w:p w14:paraId="28AB99D8" w14:textId="77777777" w:rsidR="00976859" w:rsidRPr="00D03260" w:rsidRDefault="00976859" w:rsidP="00976859">
      <w:pPr>
        <w:pStyle w:val="Bibliography"/>
        <w:rPr>
          <w:rFonts w:cs="Arial"/>
          <w:szCs w:val="22"/>
        </w:rPr>
      </w:pPr>
      <w:r w:rsidRPr="00D03260">
        <w:rPr>
          <w:rFonts w:cs="Arial"/>
          <w:szCs w:val="22"/>
        </w:rPr>
        <w:t xml:space="preserve">Mendell, M. J., Mirer, A. G., Cheung, K., Tong, M., &amp; Douwes, J. (2011). Respiratory and allergic health effects of dampness, mold, and dampness-related agents: A review of the epidemiologic evidence. </w:t>
      </w:r>
      <w:r w:rsidRPr="00D03260">
        <w:rPr>
          <w:rFonts w:cs="Arial"/>
          <w:i/>
          <w:iCs/>
          <w:szCs w:val="22"/>
        </w:rPr>
        <w:t>Environmental Health Perspectives</w:t>
      </w:r>
      <w:r w:rsidRPr="00D03260">
        <w:rPr>
          <w:rFonts w:cs="Arial"/>
          <w:szCs w:val="22"/>
        </w:rPr>
        <w:t xml:space="preserve">, </w:t>
      </w:r>
      <w:r w:rsidRPr="00D03260">
        <w:rPr>
          <w:rFonts w:cs="Arial"/>
          <w:i/>
          <w:iCs/>
          <w:szCs w:val="22"/>
        </w:rPr>
        <w:t>119</w:t>
      </w:r>
      <w:r w:rsidRPr="00D03260">
        <w:rPr>
          <w:rFonts w:cs="Arial"/>
          <w:szCs w:val="22"/>
        </w:rPr>
        <w:t>(6), 748–756. https://doi.org/10.1289/ehp.1002410</w:t>
      </w:r>
    </w:p>
    <w:p w14:paraId="5A39C7E9" w14:textId="77777777" w:rsidR="00976859" w:rsidRPr="00D03260" w:rsidRDefault="00976859" w:rsidP="00976859">
      <w:pPr>
        <w:pStyle w:val="Bibliography"/>
        <w:rPr>
          <w:rFonts w:cs="Arial"/>
          <w:szCs w:val="22"/>
        </w:rPr>
      </w:pPr>
      <w:r w:rsidRPr="00D03260">
        <w:rPr>
          <w:rFonts w:cs="Arial"/>
          <w:szCs w:val="22"/>
        </w:rPr>
        <w:t xml:space="preserve">Mészáros, D., Burgess, J., Walters, E. H., Johns, D., Markos, J., Giles, G., Hopper, J., Abramson, M., Dharmage, S. C., &amp; Matheson, M. (2014). Domestic airborne pollutants and asthma and respiratory symptoms in middle age. </w:t>
      </w:r>
      <w:r w:rsidRPr="00D03260">
        <w:rPr>
          <w:rFonts w:cs="Arial"/>
          <w:i/>
          <w:iCs/>
          <w:szCs w:val="22"/>
        </w:rPr>
        <w:t>Respirology</w:t>
      </w:r>
      <w:r w:rsidRPr="00D03260">
        <w:rPr>
          <w:rFonts w:cs="Arial"/>
          <w:szCs w:val="22"/>
        </w:rPr>
        <w:t xml:space="preserve">, </w:t>
      </w:r>
      <w:r w:rsidRPr="00D03260">
        <w:rPr>
          <w:rFonts w:cs="Arial"/>
          <w:i/>
          <w:iCs/>
          <w:szCs w:val="22"/>
        </w:rPr>
        <w:t>19</w:t>
      </w:r>
      <w:r w:rsidRPr="00D03260">
        <w:rPr>
          <w:rFonts w:cs="Arial"/>
          <w:szCs w:val="22"/>
        </w:rPr>
        <w:t>(3), 411–418. https://doi.org/10.1111/resp.12245</w:t>
      </w:r>
    </w:p>
    <w:p w14:paraId="75B72AAE" w14:textId="77777777" w:rsidR="00976859" w:rsidRPr="00D03260" w:rsidRDefault="00976859" w:rsidP="00976859">
      <w:pPr>
        <w:pStyle w:val="Bibliography"/>
        <w:rPr>
          <w:rFonts w:cs="Arial"/>
          <w:szCs w:val="22"/>
        </w:rPr>
      </w:pPr>
      <w:r w:rsidRPr="00D03260">
        <w:rPr>
          <w:rFonts w:cs="Arial"/>
          <w:szCs w:val="22"/>
        </w:rPr>
        <w:t xml:space="preserve">Monthly Index of Medical Specialities. (2020). </w:t>
      </w:r>
      <w:r w:rsidRPr="00D03260">
        <w:rPr>
          <w:rFonts w:cs="Arial"/>
          <w:i/>
          <w:iCs/>
          <w:szCs w:val="22"/>
        </w:rPr>
        <w:t>Colestyramine consumer medicine information</w:t>
      </w:r>
      <w:r w:rsidRPr="00D03260">
        <w:rPr>
          <w:rFonts w:cs="Arial"/>
          <w:szCs w:val="22"/>
        </w:rPr>
        <w:t>. Monthly Index of Medical Specialities. https://www.healthdirect.gov.au/medicines/brand/amt,35521000168109/questran-lite</w:t>
      </w:r>
    </w:p>
    <w:p w14:paraId="0EED4AC7" w14:textId="77777777" w:rsidR="00976859" w:rsidRPr="00D03260" w:rsidRDefault="00976859" w:rsidP="00976859">
      <w:pPr>
        <w:pStyle w:val="Bibliography"/>
        <w:rPr>
          <w:rFonts w:cs="Arial"/>
          <w:szCs w:val="22"/>
        </w:rPr>
      </w:pPr>
      <w:r w:rsidRPr="00D03260">
        <w:rPr>
          <w:rFonts w:cs="Arial"/>
          <w:szCs w:val="22"/>
        </w:rPr>
        <w:t xml:space="preserve">MouldLab. (2018). </w:t>
      </w:r>
      <w:r w:rsidRPr="00D03260">
        <w:rPr>
          <w:rFonts w:cs="Arial"/>
          <w:i/>
          <w:iCs/>
          <w:szCs w:val="22"/>
        </w:rPr>
        <w:t>MouldLab Submission to Australian Parliament’s Health, Aged Care and Sport Committee Inquiry into Biotoxin-related Illnesses in Australia</w:t>
      </w:r>
      <w:r w:rsidRPr="00D03260">
        <w:rPr>
          <w:rFonts w:cs="Arial"/>
          <w:szCs w:val="22"/>
        </w:rPr>
        <w:t>.</w:t>
      </w:r>
    </w:p>
    <w:p w14:paraId="405A679F" w14:textId="77777777" w:rsidR="00976859" w:rsidRPr="00D03260" w:rsidRDefault="00976859" w:rsidP="00976859">
      <w:pPr>
        <w:pStyle w:val="Bibliography"/>
        <w:rPr>
          <w:rFonts w:cs="Arial"/>
          <w:szCs w:val="22"/>
        </w:rPr>
      </w:pPr>
      <w:r w:rsidRPr="00D03260">
        <w:rPr>
          <w:rFonts w:cs="Arial"/>
          <w:szCs w:val="22"/>
        </w:rPr>
        <w:t xml:space="preserve">Murtagh, J. (2003). Fatigue—A general diagnostic approach. </w:t>
      </w:r>
      <w:r w:rsidRPr="00D03260">
        <w:rPr>
          <w:rFonts w:cs="Arial"/>
          <w:i/>
          <w:iCs/>
          <w:szCs w:val="22"/>
        </w:rPr>
        <w:t>Australian Family Physician</w:t>
      </w:r>
      <w:r w:rsidRPr="00D03260">
        <w:rPr>
          <w:rFonts w:cs="Arial"/>
          <w:szCs w:val="22"/>
        </w:rPr>
        <w:t xml:space="preserve">, </w:t>
      </w:r>
      <w:r w:rsidRPr="00D03260">
        <w:rPr>
          <w:rFonts w:cs="Arial"/>
          <w:i/>
          <w:iCs/>
          <w:szCs w:val="22"/>
        </w:rPr>
        <w:t>32</w:t>
      </w:r>
      <w:r w:rsidRPr="00D03260">
        <w:rPr>
          <w:rFonts w:cs="Arial"/>
          <w:szCs w:val="22"/>
        </w:rPr>
        <w:t>(11), 873–876.</w:t>
      </w:r>
    </w:p>
    <w:p w14:paraId="6746027F" w14:textId="77777777" w:rsidR="00976859" w:rsidRPr="00D03260" w:rsidRDefault="00976859" w:rsidP="00976859">
      <w:pPr>
        <w:pStyle w:val="Bibliography"/>
        <w:rPr>
          <w:rFonts w:cs="Arial"/>
          <w:szCs w:val="22"/>
        </w:rPr>
      </w:pPr>
      <w:r w:rsidRPr="00D03260">
        <w:rPr>
          <w:rFonts w:cs="Arial"/>
          <w:szCs w:val="22"/>
        </w:rPr>
        <w:t xml:space="preserve">National Association of Testing Authority, Australia. (n.d.). </w:t>
      </w:r>
      <w:r w:rsidRPr="00D03260">
        <w:rPr>
          <w:rFonts w:cs="Arial"/>
          <w:i/>
          <w:iCs/>
          <w:szCs w:val="22"/>
        </w:rPr>
        <w:t>About accreditation</w:t>
      </w:r>
      <w:r w:rsidRPr="00D03260">
        <w:rPr>
          <w:rFonts w:cs="Arial"/>
          <w:szCs w:val="22"/>
        </w:rPr>
        <w:t>. https://www.nata.com.au/about-nata/about-accreditation</w:t>
      </w:r>
    </w:p>
    <w:p w14:paraId="03DAA3C6" w14:textId="77777777" w:rsidR="00976859" w:rsidRPr="00D03260" w:rsidRDefault="00976859" w:rsidP="00976859">
      <w:pPr>
        <w:pStyle w:val="Bibliography"/>
        <w:rPr>
          <w:rFonts w:cs="Arial"/>
          <w:szCs w:val="22"/>
        </w:rPr>
      </w:pPr>
      <w:r w:rsidRPr="00D03260">
        <w:rPr>
          <w:rFonts w:cs="Arial"/>
          <w:szCs w:val="22"/>
        </w:rPr>
        <w:t xml:space="preserve">National Asthma Council Australia. (2022). </w:t>
      </w:r>
      <w:r w:rsidRPr="00D03260">
        <w:rPr>
          <w:rFonts w:cs="Arial"/>
          <w:i/>
          <w:iCs/>
          <w:szCs w:val="22"/>
        </w:rPr>
        <w:t>Australian Asthma Handbook- Version 2.2</w:t>
      </w:r>
      <w:r w:rsidRPr="00D03260">
        <w:rPr>
          <w:rFonts w:cs="Arial"/>
          <w:szCs w:val="22"/>
        </w:rPr>
        <w:t>. National Asthma Council Australia, Melbourne. http://www.asthmahandbook.org.au</w:t>
      </w:r>
    </w:p>
    <w:p w14:paraId="75C98A0A" w14:textId="77777777" w:rsidR="00976859" w:rsidRPr="00D03260" w:rsidRDefault="00976859" w:rsidP="00976859">
      <w:pPr>
        <w:pStyle w:val="Bibliography"/>
        <w:rPr>
          <w:rFonts w:cs="Arial"/>
          <w:szCs w:val="22"/>
        </w:rPr>
      </w:pPr>
      <w:r w:rsidRPr="00D03260">
        <w:rPr>
          <w:rFonts w:cs="Arial"/>
          <w:szCs w:val="22"/>
        </w:rPr>
        <w:t xml:space="preserve">National Health and Medical Research Council. (2014). </w:t>
      </w:r>
      <w:r w:rsidRPr="00D03260">
        <w:rPr>
          <w:rFonts w:cs="Arial"/>
          <w:i/>
          <w:iCs/>
          <w:szCs w:val="22"/>
        </w:rPr>
        <w:t>Talking with your patients about Complementary Medicine—A Resource for Clinicians</w:t>
      </w:r>
      <w:r w:rsidRPr="00D03260">
        <w:rPr>
          <w:rFonts w:cs="Arial"/>
          <w:szCs w:val="22"/>
        </w:rPr>
        <w:t>. National Health and Medical Research Council. https://www.nhmrc.gov.au/about-us/publications/talking-your-patients-about-complementary-medicine-resource-clinicians</w:t>
      </w:r>
    </w:p>
    <w:p w14:paraId="4FC19ACB" w14:textId="77777777" w:rsidR="00976859" w:rsidRPr="00D03260" w:rsidRDefault="00976859" w:rsidP="00976859">
      <w:pPr>
        <w:pStyle w:val="Bibliography"/>
        <w:rPr>
          <w:rFonts w:cs="Arial"/>
          <w:szCs w:val="22"/>
        </w:rPr>
      </w:pPr>
      <w:r w:rsidRPr="00D03260">
        <w:rPr>
          <w:rFonts w:cs="Arial"/>
          <w:szCs w:val="22"/>
        </w:rPr>
        <w:t xml:space="preserve">National Institute for Health and Care Excellence. (2020b). </w:t>
      </w:r>
      <w:r w:rsidRPr="00D03260">
        <w:rPr>
          <w:rFonts w:cs="Arial"/>
          <w:i/>
          <w:iCs/>
          <w:szCs w:val="22"/>
        </w:rPr>
        <w:t>Indoor air quality at home [2] Evidence review for exposure to pollutants and health outcomes NICE Guideline NG149 Evidence Review</w:t>
      </w:r>
      <w:r w:rsidRPr="00D03260">
        <w:rPr>
          <w:rFonts w:cs="Arial"/>
          <w:szCs w:val="22"/>
        </w:rPr>
        <w:t>. National Institute for Health and Care Excellence.</w:t>
      </w:r>
    </w:p>
    <w:p w14:paraId="515C2CA5" w14:textId="77777777" w:rsidR="00976859" w:rsidRPr="00D03260" w:rsidRDefault="00976859" w:rsidP="00976859">
      <w:pPr>
        <w:pStyle w:val="Bibliography"/>
        <w:rPr>
          <w:rFonts w:cs="Arial"/>
          <w:szCs w:val="22"/>
        </w:rPr>
      </w:pPr>
      <w:r w:rsidRPr="00D03260">
        <w:rPr>
          <w:rFonts w:cs="Arial"/>
          <w:szCs w:val="22"/>
        </w:rPr>
        <w:t xml:space="preserve">National Institute for Health Care and Excellence. (2020a). </w:t>
      </w:r>
      <w:r w:rsidRPr="00D03260">
        <w:rPr>
          <w:rFonts w:cs="Arial"/>
          <w:i/>
          <w:iCs/>
          <w:szCs w:val="22"/>
        </w:rPr>
        <w:t>Indoor air quality at home: NICE guideline</w:t>
      </w:r>
      <w:r w:rsidRPr="00D03260">
        <w:rPr>
          <w:rFonts w:cs="Arial"/>
          <w:szCs w:val="22"/>
        </w:rPr>
        <w:t>. National Institute for Health and Care Excellence.</w:t>
      </w:r>
    </w:p>
    <w:p w14:paraId="58299A0B" w14:textId="77777777" w:rsidR="00976859" w:rsidRPr="00D03260" w:rsidRDefault="00976859" w:rsidP="00976859">
      <w:pPr>
        <w:pStyle w:val="Bibliography"/>
        <w:rPr>
          <w:rFonts w:cs="Arial"/>
          <w:szCs w:val="22"/>
        </w:rPr>
      </w:pPr>
      <w:r w:rsidRPr="00D03260">
        <w:rPr>
          <w:rFonts w:cs="Arial"/>
          <w:szCs w:val="22"/>
        </w:rPr>
        <w:t xml:space="preserve">National Institute for Occupational Safety and Health, Kanwal, R., Kreiss, K., Martin, M., &amp; Sahakian, N. (2012). </w:t>
      </w:r>
      <w:r w:rsidRPr="00D03260">
        <w:rPr>
          <w:rFonts w:cs="Arial"/>
          <w:i/>
          <w:iCs/>
          <w:szCs w:val="22"/>
        </w:rPr>
        <w:t>Preventing occupational respiratory disease from exposures caused by dampness in office buildings, schools, and other nonindustrial buildings</w:t>
      </w:r>
      <w:r w:rsidRPr="00D03260">
        <w:rPr>
          <w:rFonts w:cs="Arial"/>
          <w:szCs w:val="22"/>
        </w:rPr>
        <w:t>. Department of Health and Human Services, Centers for Disease Control and Prevention, National Institute for Occupational Safety and Health. Publication No 2013-102.</w:t>
      </w:r>
    </w:p>
    <w:p w14:paraId="4F078B9C" w14:textId="77777777" w:rsidR="00976859" w:rsidRPr="00D03260" w:rsidRDefault="00976859" w:rsidP="00976859">
      <w:pPr>
        <w:pStyle w:val="Bibliography"/>
        <w:rPr>
          <w:rFonts w:cs="Arial"/>
          <w:szCs w:val="22"/>
        </w:rPr>
      </w:pPr>
      <w:r w:rsidRPr="00D03260">
        <w:rPr>
          <w:rFonts w:cs="Arial"/>
          <w:szCs w:val="22"/>
        </w:rPr>
        <w:t xml:space="preserve">National Prescribing Service MedicineWise. (2019, March 13). </w:t>
      </w:r>
      <w:r w:rsidRPr="00D03260">
        <w:rPr>
          <w:rFonts w:cs="Arial"/>
          <w:i/>
          <w:iCs/>
          <w:szCs w:val="22"/>
        </w:rPr>
        <w:t>Complementary medicines</w:t>
      </w:r>
      <w:r w:rsidRPr="00D03260">
        <w:rPr>
          <w:rFonts w:cs="Arial"/>
          <w:szCs w:val="22"/>
        </w:rPr>
        <w:t>. National Prescribing Service MedicineWise. https://www.nps.org.au/media/complementary-medicines</w:t>
      </w:r>
    </w:p>
    <w:p w14:paraId="6F83C3EC" w14:textId="77777777" w:rsidR="00976859" w:rsidRPr="00D03260" w:rsidRDefault="00976859" w:rsidP="00976859">
      <w:pPr>
        <w:pStyle w:val="Bibliography"/>
        <w:rPr>
          <w:rFonts w:cs="Arial"/>
          <w:szCs w:val="22"/>
        </w:rPr>
      </w:pPr>
      <w:r w:rsidRPr="00D03260">
        <w:rPr>
          <w:rFonts w:cs="Arial"/>
          <w:szCs w:val="22"/>
        </w:rPr>
        <w:t xml:space="preserve">Nordin, S. (2020). Mechanisms underlying nontoxic indoor air health problems: A review. </w:t>
      </w:r>
      <w:r w:rsidRPr="00D03260">
        <w:rPr>
          <w:rFonts w:cs="Arial"/>
          <w:i/>
          <w:iCs/>
          <w:szCs w:val="22"/>
        </w:rPr>
        <w:t>International Journal of Hygiene &amp; Environmental Health</w:t>
      </w:r>
      <w:r w:rsidRPr="00D03260">
        <w:rPr>
          <w:rFonts w:cs="Arial"/>
          <w:szCs w:val="22"/>
        </w:rPr>
        <w:t xml:space="preserve">, </w:t>
      </w:r>
      <w:r w:rsidRPr="00D03260">
        <w:rPr>
          <w:rFonts w:cs="Arial"/>
          <w:i/>
          <w:iCs/>
          <w:szCs w:val="22"/>
        </w:rPr>
        <w:t>226</w:t>
      </w:r>
      <w:r w:rsidRPr="00D03260">
        <w:rPr>
          <w:rFonts w:cs="Arial"/>
          <w:szCs w:val="22"/>
        </w:rPr>
        <w:t>. https://doi.org/10.1016/j.ijheh.2020.113489</w:t>
      </w:r>
    </w:p>
    <w:p w14:paraId="2D003649" w14:textId="77777777" w:rsidR="00976859" w:rsidRPr="00D03260" w:rsidRDefault="00976859" w:rsidP="00976859">
      <w:pPr>
        <w:pStyle w:val="Bibliography"/>
        <w:rPr>
          <w:rFonts w:cs="Arial"/>
          <w:szCs w:val="22"/>
        </w:rPr>
      </w:pPr>
      <w:r w:rsidRPr="00D03260">
        <w:rPr>
          <w:rFonts w:cs="Arial"/>
          <w:szCs w:val="22"/>
        </w:rPr>
        <w:t xml:space="preserve">Olde Hartman, T. C., Rosendal, M., Aamland, A., van der Horst, H. E., Rosmalen, J. G. M., Burton, C. D., &amp; Lucassen, P. L. B. J. (2017). What do guidelines and systematic reviews tell us about the management of medically unexplained symptoms in primary care? </w:t>
      </w:r>
      <w:r w:rsidRPr="00D03260">
        <w:rPr>
          <w:rFonts w:cs="Arial"/>
          <w:i/>
          <w:iCs/>
          <w:szCs w:val="22"/>
        </w:rPr>
        <w:t>BJGP Open</w:t>
      </w:r>
      <w:r w:rsidRPr="00D03260">
        <w:rPr>
          <w:rFonts w:cs="Arial"/>
          <w:szCs w:val="22"/>
        </w:rPr>
        <w:t xml:space="preserve">, </w:t>
      </w:r>
      <w:r w:rsidRPr="00D03260">
        <w:rPr>
          <w:rFonts w:cs="Arial"/>
          <w:i/>
          <w:iCs/>
          <w:szCs w:val="22"/>
        </w:rPr>
        <w:t>1</w:t>
      </w:r>
      <w:r w:rsidRPr="00D03260">
        <w:rPr>
          <w:rFonts w:cs="Arial"/>
          <w:szCs w:val="22"/>
        </w:rPr>
        <w:t>(3). Embase. https://doi.org/10.3399/bjgpopen17X101061</w:t>
      </w:r>
    </w:p>
    <w:p w14:paraId="7C2F6A9A" w14:textId="606796B1" w:rsidR="00976859" w:rsidRPr="00D03260" w:rsidRDefault="00976859" w:rsidP="00976859">
      <w:pPr>
        <w:pStyle w:val="Bibliography"/>
        <w:rPr>
          <w:rFonts w:cs="Arial"/>
          <w:szCs w:val="22"/>
        </w:rPr>
      </w:pPr>
      <w:r w:rsidRPr="00D03260">
        <w:rPr>
          <w:rFonts w:cs="Arial"/>
          <w:szCs w:val="22"/>
        </w:rPr>
        <w:t xml:space="preserve">Olde Hartman, T. C., Woutersen-Koch, H., &amp; Van der Horst, H. E. (2013). Medically unexplained symptoms: Evidence, guidelines, and beyond. </w:t>
      </w:r>
      <w:r w:rsidRPr="00D03260">
        <w:rPr>
          <w:rFonts w:cs="Arial"/>
          <w:i/>
          <w:iCs/>
          <w:szCs w:val="22"/>
        </w:rPr>
        <w:t xml:space="preserve">The British Journal of General </w:t>
      </w:r>
      <w:r w:rsidR="00B04991" w:rsidRPr="00D03260">
        <w:rPr>
          <w:rFonts w:cs="Arial"/>
          <w:i/>
          <w:iCs/>
          <w:szCs w:val="22"/>
        </w:rPr>
        <w:t>Practice:</w:t>
      </w:r>
      <w:r w:rsidRPr="00D03260">
        <w:rPr>
          <w:rFonts w:cs="Arial"/>
          <w:i/>
          <w:iCs/>
          <w:szCs w:val="22"/>
        </w:rPr>
        <w:t xml:space="preserve"> The Journal of the Royal College of General Practitioners</w:t>
      </w:r>
      <w:r w:rsidRPr="00D03260">
        <w:rPr>
          <w:rFonts w:cs="Arial"/>
          <w:szCs w:val="22"/>
        </w:rPr>
        <w:t xml:space="preserve">, </w:t>
      </w:r>
      <w:r w:rsidRPr="00D03260">
        <w:rPr>
          <w:rFonts w:cs="Arial"/>
          <w:i/>
          <w:iCs/>
          <w:szCs w:val="22"/>
        </w:rPr>
        <w:t>63</w:t>
      </w:r>
      <w:r w:rsidRPr="00D03260">
        <w:rPr>
          <w:rFonts w:cs="Arial"/>
          <w:szCs w:val="22"/>
        </w:rPr>
        <w:t>(617), 625–626. https://doi.org/10.3399/bjgp13X675241</w:t>
      </w:r>
    </w:p>
    <w:p w14:paraId="42199F37" w14:textId="77777777" w:rsidR="00976859" w:rsidRPr="00D03260" w:rsidRDefault="00976859" w:rsidP="00976859">
      <w:pPr>
        <w:pStyle w:val="Bibliography"/>
        <w:rPr>
          <w:rFonts w:cs="Arial"/>
          <w:szCs w:val="22"/>
        </w:rPr>
      </w:pPr>
      <w:r w:rsidRPr="00D03260">
        <w:rPr>
          <w:rFonts w:cs="Arial"/>
          <w:szCs w:val="22"/>
        </w:rPr>
        <w:t xml:space="preserve">Palaty, C., &amp; Shum, M. (2012). </w:t>
      </w:r>
      <w:r w:rsidRPr="00D03260">
        <w:rPr>
          <w:rFonts w:cs="Arial"/>
          <w:i/>
          <w:iCs/>
          <w:szCs w:val="22"/>
        </w:rPr>
        <w:t>Health Effects of Mould exposure or Dampness in Indoor Environments</w:t>
      </w:r>
      <w:r w:rsidRPr="00D03260">
        <w:rPr>
          <w:rFonts w:cs="Arial"/>
          <w:szCs w:val="22"/>
        </w:rPr>
        <w:t>. National Collaborating Centre for Environmental Health.</w:t>
      </w:r>
    </w:p>
    <w:p w14:paraId="6BFDD1D3" w14:textId="77777777" w:rsidR="00976859" w:rsidRPr="00D03260" w:rsidRDefault="00976859" w:rsidP="00976859">
      <w:pPr>
        <w:pStyle w:val="Bibliography"/>
        <w:rPr>
          <w:rFonts w:cs="Arial"/>
          <w:szCs w:val="22"/>
        </w:rPr>
      </w:pPr>
      <w:r w:rsidRPr="00D03260">
        <w:rPr>
          <w:rFonts w:cs="Arial"/>
          <w:szCs w:val="22"/>
        </w:rPr>
        <w:t xml:space="preserve">Park, J.-H., &amp; Cox-Ganser, J. M. (2011). Mold exposure and respiratory health in damp indoor environments. </w:t>
      </w:r>
      <w:r w:rsidRPr="00D03260">
        <w:rPr>
          <w:rFonts w:cs="Arial"/>
          <w:i/>
          <w:iCs/>
          <w:szCs w:val="22"/>
        </w:rPr>
        <w:t>Frontiers in Bioscience (Elite Edition)</w:t>
      </w:r>
      <w:r w:rsidRPr="00D03260">
        <w:rPr>
          <w:rFonts w:cs="Arial"/>
          <w:szCs w:val="22"/>
        </w:rPr>
        <w:t xml:space="preserve">, </w:t>
      </w:r>
      <w:r w:rsidRPr="00D03260">
        <w:rPr>
          <w:rFonts w:cs="Arial"/>
          <w:i/>
          <w:iCs/>
          <w:szCs w:val="22"/>
        </w:rPr>
        <w:t>3</w:t>
      </w:r>
      <w:r w:rsidRPr="00D03260">
        <w:rPr>
          <w:rFonts w:cs="Arial"/>
          <w:szCs w:val="22"/>
        </w:rPr>
        <w:t>, 757–771. https://doi.org/10.2741/e284</w:t>
      </w:r>
    </w:p>
    <w:p w14:paraId="03678B7C" w14:textId="77777777" w:rsidR="00976859" w:rsidRPr="00D03260" w:rsidRDefault="00976859" w:rsidP="00976859">
      <w:pPr>
        <w:pStyle w:val="Bibliography"/>
        <w:rPr>
          <w:rFonts w:cs="Arial"/>
          <w:szCs w:val="22"/>
        </w:rPr>
      </w:pPr>
      <w:r w:rsidRPr="00D03260">
        <w:rPr>
          <w:rFonts w:cs="Arial"/>
          <w:szCs w:val="22"/>
        </w:rPr>
        <w:t xml:space="preserve">Reid, G., Lynch III, J. P., Fishbein, M. C., Clark, N. M., &amp; Lynch, J. P. 3rd. (2020). Mucormycosis. </w:t>
      </w:r>
      <w:r w:rsidRPr="00D03260">
        <w:rPr>
          <w:rFonts w:cs="Arial"/>
          <w:i/>
          <w:iCs/>
          <w:szCs w:val="22"/>
        </w:rPr>
        <w:t>Seminars in Respiratory &amp; Critical Care Medicine</w:t>
      </w:r>
      <w:r w:rsidRPr="00D03260">
        <w:rPr>
          <w:rFonts w:cs="Arial"/>
          <w:szCs w:val="22"/>
        </w:rPr>
        <w:t xml:space="preserve">, </w:t>
      </w:r>
      <w:r w:rsidRPr="00D03260">
        <w:rPr>
          <w:rFonts w:cs="Arial"/>
          <w:i/>
          <w:iCs/>
          <w:szCs w:val="22"/>
        </w:rPr>
        <w:t>41</w:t>
      </w:r>
      <w:r w:rsidRPr="00D03260">
        <w:rPr>
          <w:rFonts w:cs="Arial"/>
          <w:szCs w:val="22"/>
        </w:rPr>
        <w:t>(1), 99–114. https://doi.org/10.1055/s-0039-3401992</w:t>
      </w:r>
    </w:p>
    <w:p w14:paraId="365EC307" w14:textId="77777777" w:rsidR="00976859" w:rsidRPr="00D03260" w:rsidRDefault="00976859" w:rsidP="00976859">
      <w:pPr>
        <w:pStyle w:val="Bibliography"/>
        <w:rPr>
          <w:rFonts w:cs="Arial"/>
          <w:szCs w:val="22"/>
        </w:rPr>
      </w:pPr>
      <w:r w:rsidRPr="00D03260">
        <w:rPr>
          <w:rFonts w:cs="Arial"/>
          <w:szCs w:val="22"/>
        </w:rPr>
        <w:t xml:space="preserve">Royal Australian College of General Practitioners. (2016). </w:t>
      </w:r>
      <w:r w:rsidRPr="00D03260">
        <w:rPr>
          <w:rFonts w:cs="Arial"/>
          <w:i/>
          <w:iCs/>
          <w:szCs w:val="22"/>
        </w:rPr>
        <w:t>IM16 Integrative medicine contextual unit</w:t>
      </w:r>
      <w:r w:rsidRPr="00D03260">
        <w:rPr>
          <w:rFonts w:cs="Arial"/>
          <w:szCs w:val="22"/>
        </w:rPr>
        <w:t>. https://www.racgp.org.au/download/Documents/Curriculum/2016/IM16-Integrative-medicine.pdf</w:t>
      </w:r>
    </w:p>
    <w:p w14:paraId="6C6CB91C" w14:textId="77777777" w:rsidR="00976859" w:rsidRPr="00D03260" w:rsidRDefault="00976859" w:rsidP="00976859">
      <w:pPr>
        <w:pStyle w:val="Bibliography"/>
        <w:rPr>
          <w:rFonts w:cs="Arial"/>
          <w:szCs w:val="22"/>
        </w:rPr>
      </w:pPr>
      <w:r w:rsidRPr="00D03260">
        <w:rPr>
          <w:rFonts w:cs="Arial"/>
          <w:szCs w:val="22"/>
        </w:rPr>
        <w:t xml:space="preserve">Royal College of Pathologists of Australasia. (n.d.). </w:t>
      </w:r>
      <w:r w:rsidRPr="00D03260">
        <w:rPr>
          <w:rFonts w:cs="Arial"/>
          <w:i/>
          <w:iCs/>
          <w:szCs w:val="22"/>
        </w:rPr>
        <w:t>Lab accreditation</w:t>
      </w:r>
      <w:r w:rsidRPr="00D03260">
        <w:rPr>
          <w:rFonts w:cs="Arial"/>
          <w:szCs w:val="22"/>
        </w:rPr>
        <w:t>. Royal College of Pathologists of Australasia. https://www.rcpa.edu.au/Patients/Lab-Accreditation#:%E2%89%88:text=All%20pathology%20laboratories%20in%20Australia,Accreditation%20Advisory%20Council%20(NPAAC)</w:t>
      </w:r>
    </w:p>
    <w:p w14:paraId="220651A6" w14:textId="77777777" w:rsidR="00976859" w:rsidRPr="00D03260" w:rsidRDefault="00976859" w:rsidP="00976859">
      <w:pPr>
        <w:pStyle w:val="Bibliography"/>
        <w:rPr>
          <w:rFonts w:cs="Arial"/>
          <w:szCs w:val="22"/>
        </w:rPr>
      </w:pPr>
      <w:r w:rsidRPr="00D03260">
        <w:rPr>
          <w:rFonts w:cs="Arial"/>
          <w:szCs w:val="22"/>
        </w:rPr>
        <w:t xml:space="preserve">Royal College of Psychiatrists. (2017). </w:t>
      </w:r>
      <w:r w:rsidRPr="00D03260">
        <w:rPr>
          <w:rFonts w:cs="Arial"/>
          <w:i/>
          <w:iCs/>
          <w:szCs w:val="22"/>
        </w:rPr>
        <w:t>Medically unexplained symptoms</w:t>
      </w:r>
      <w:r w:rsidRPr="00D03260">
        <w:rPr>
          <w:rFonts w:cs="Arial"/>
          <w:szCs w:val="22"/>
        </w:rPr>
        <w:t>. Royal College of Psychiatrists. https://www.rcpsych.ac.uk/mental-health/problems-disorders/medically-unexplained-symptoms</w:t>
      </w:r>
    </w:p>
    <w:p w14:paraId="67770520" w14:textId="77777777" w:rsidR="00976859" w:rsidRPr="00D03260" w:rsidRDefault="00976859" w:rsidP="00976859">
      <w:pPr>
        <w:pStyle w:val="Bibliography"/>
        <w:rPr>
          <w:rFonts w:cs="Arial"/>
          <w:szCs w:val="22"/>
        </w:rPr>
      </w:pPr>
      <w:r w:rsidRPr="00D03260">
        <w:rPr>
          <w:rFonts w:cs="Arial"/>
          <w:szCs w:val="22"/>
        </w:rPr>
        <w:t xml:space="preserve">Rudert, A., &amp; Portnoy, J. (2017). Mold allergy: Is it real and what do we do about it? </w:t>
      </w:r>
      <w:r w:rsidRPr="00D03260">
        <w:rPr>
          <w:rFonts w:cs="Arial"/>
          <w:i/>
          <w:iCs/>
          <w:szCs w:val="22"/>
        </w:rPr>
        <w:t>Expert Review of Clinical Immunology</w:t>
      </w:r>
      <w:r w:rsidRPr="00D03260">
        <w:rPr>
          <w:rFonts w:cs="Arial"/>
          <w:szCs w:val="22"/>
        </w:rPr>
        <w:t xml:space="preserve">, </w:t>
      </w:r>
      <w:r w:rsidRPr="00D03260">
        <w:rPr>
          <w:rFonts w:cs="Arial"/>
          <w:i/>
          <w:iCs/>
          <w:szCs w:val="22"/>
        </w:rPr>
        <w:t>13</w:t>
      </w:r>
      <w:r w:rsidRPr="00D03260">
        <w:rPr>
          <w:rFonts w:cs="Arial"/>
          <w:szCs w:val="22"/>
        </w:rPr>
        <w:t>(8), 823–835. https://doi.org/10.1080/1744666X.2017.1324298</w:t>
      </w:r>
    </w:p>
    <w:p w14:paraId="5C0C82D3" w14:textId="77777777" w:rsidR="00976859" w:rsidRPr="00D03260" w:rsidRDefault="00976859" w:rsidP="00976859">
      <w:pPr>
        <w:pStyle w:val="Bibliography"/>
        <w:rPr>
          <w:rFonts w:cs="Arial"/>
          <w:szCs w:val="22"/>
        </w:rPr>
      </w:pPr>
      <w:r w:rsidRPr="00D03260">
        <w:rPr>
          <w:rFonts w:cs="Arial"/>
          <w:szCs w:val="22"/>
        </w:rPr>
        <w:t xml:space="preserve">Stone, L. (2015). Managing medically unexplained illness in general practice. </w:t>
      </w:r>
      <w:r w:rsidRPr="00D03260">
        <w:rPr>
          <w:rFonts w:cs="Arial"/>
          <w:i/>
          <w:iCs/>
          <w:szCs w:val="22"/>
        </w:rPr>
        <w:t>Australian Family Physician</w:t>
      </w:r>
      <w:r w:rsidRPr="00D03260">
        <w:rPr>
          <w:rFonts w:cs="Arial"/>
          <w:szCs w:val="22"/>
        </w:rPr>
        <w:t xml:space="preserve">, </w:t>
      </w:r>
      <w:r w:rsidRPr="00D03260">
        <w:rPr>
          <w:rFonts w:cs="Arial"/>
          <w:i/>
          <w:iCs/>
          <w:szCs w:val="22"/>
        </w:rPr>
        <w:t>44</w:t>
      </w:r>
      <w:r w:rsidRPr="00D03260">
        <w:rPr>
          <w:rFonts w:cs="Arial"/>
          <w:szCs w:val="22"/>
        </w:rPr>
        <w:t>(9), 624–629.</w:t>
      </w:r>
    </w:p>
    <w:p w14:paraId="6703CF90" w14:textId="77777777" w:rsidR="00976859" w:rsidRPr="00D03260" w:rsidRDefault="00976859" w:rsidP="00976859">
      <w:pPr>
        <w:pStyle w:val="Bibliography"/>
        <w:rPr>
          <w:rFonts w:cs="Arial"/>
          <w:szCs w:val="22"/>
        </w:rPr>
      </w:pPr>
      <w:r w:rsidRPr="00D03260">
        <w:rPr>
          <w:rFonts w:cs="Arial"/>
          <w:szCs w:val="22"/>
        </w:rPr>
        <w:t xml:space="preserve">The Management of Chronic Multisymptom Illness Work Group. (2021). </w:t>
      </w:r>
      <w:r w:rsidRPr="00D03260">
        <w:rPr>
          <w:rFonts w:cs="Arial"/>
          <w:i/>
          <w:iCs/>
          <w:szCs w:val="22"/>
        </w:rPr>
        <w:t>VA/DoD Clinical Practice Guideline: Chronic Multisymptom Illness</w:t>
      </w:r>
      <w:r w:rsidRPr="00D03260">
        <w:rPr>
          <w:rFonts w:cs="Arial"/>
          <w:szCs w:val="22"/>
        </w:rPr>
        <w:t>. Department of Veteran Affairs and Department of Defense.</w:t>
      </w:r>
    </w:p>
    <w:p w14:paraId="183EAB45" w14:textId="77777777" w:rsidR="00976859" w:rsidRPr="00D03260" w:rsidRDefault="00976859" w:rsidP="00976859">
      <w:pPr>
        <w:pStyle w:val="Bibliography"/>
        <w:rPr>
          <w:rFonts w:cs="Arial"/>
          <w:szCs w:val="22"/>
        </w:rPr>
      </w:pPr>
      <w:r w:rsidRPr="00D03260">
        <w:rPr>
          <w:rFonts w:cs="Arial"/>
          <w:szCs w:val="22"/>
        </w:rPr>
        <w:t xml:space="preserve">Tischer, C., Chen, C.-M., &amp; Heinrich, J. (2011). Association between domestic mould and mould components, and asthma and allergy in children: A systematic review. </w:t>
      </w:r>
      <w:r w:rsidRPr="00D03260">
        <w:rPr>
          <w:rFonts w:cs="Arial"/>
          <w:i/>
          <w:iCs/>
          <w:szCs w:val="22"/>
        </w:rPr>
        <w:t>European Respiratory Journal</w:t>
      </w:r>
      <w:r w:rsidRPr="00D03260">
        <w:rPr>
          <w:rFonts w:cs="Arial"/>
          <w:szCs w:val="22"/>
        </w:rPr>
        <w:t xml:space="preserve">, </w:t>
      </w:r>
      <w:r w:rsidRPr="00D03260">
        <w:rPr>
          <w:rFonts w:cs="Arial"/>
          <w:i/>
          <w:iCs/>
          <w:szCs w:val="22"/>
        </w:rPr>
        <w:t>38</w:t>
      </w:r>
      <w:r w:rsidRPr="00D03260">
        <w:rPr>
          <w:rFonts w:cs="Arial"/>
          <w:szCs w:val="22"/>
        </w:rPr>
        <w:t>(4), 812–824. https://doi.org/10.1183/09031936.00184010</w:t>
      </w:r>
    </w:p>
    <w:p w14:paraId="373D3562" w14:textId="77777777" w:rsidR="00976859" w:rsidRPr="00D03260" w:rsidRDefault="00976859" w:rsidP="00976859">
      <w:pPr>
        <w:pStyle w:val="Bibliography"/>
        <w:rPr>
          <w:rFonts w:cs="Arial"/>
          <w:szCs w:val="22"/>
        </w:rPr>
      </w:pPr>
      <w:r w:rsidRPr="00D03260">
        <w:rPr>
          <w:rFonts w:cs="Arial"/>
          <w:szCs w:val="22"/>
        </w:rPr>
        <w:t xml:space="preserve">Toxic Mould Support Australia. (2018). </w:t>
      </w:r>
      <w:r w:rsidRPr="00D03260">
        <w:rPr>
          <w:rFonts w:cs="Arial"/>
          <w:i/>
          <w:iCs/>
          <w:szCs w:val="22"/>
        </w:rPr>
        <w:t>Toxic Mould Support Australia Submission to Australian Parliament’s Health, Aged Care and Sport Committee Inquiry into Biotoxin-related Illnesses in Australia</w:t>
      </w:r>
      <w:r w:rsidRPr="00D03260">
        <w:rPr>
          <w:rFonts w:cs="Arial"/>
          <w:szCs w:val="22"/>
        </w:rPr>
        <w:t>.</w:t>
      </w:r>
    </w:p>
    <w:p w14:paraId="4235B6BC" w14:textId="77777777" w:rsidR="00976859" w:rsidRPr="00D03260" w:rsidRDefault="00976859" w:rsidP="00976859">
      <w:pPr>
        <w:pStyle w:val="Bibliography"/>
        <w:rPr>
          <w:rFonts w:cs="Arial"/>
          <w:szCs w:val="22"/>
        </w:rPr>
      </w:pPr>
      <w:r w:rsidRPr="00D03260">
        <w:rPr>
          <w:rFonts w:cs="Arial"/>
          <w:szCs w:val="22"/>
        </w:rPr>
        <w:t xml:space="preserve">US Department of Veterans Affairs. (2009). </w:t>
      </w:r>
      <w:r w:rsidRPr="00D03260">
        <w:rPr>
          <w:rFonts w:cs="Arial"/>
          <w:i/>
          <w:iCs/>
          <w:szCs w:val="22"/>
        </w:rPr>
        <w:t>VHA Directive 2009-053 Pain management</w:t>
      </w:r>
      <w:r w:rsidRPr="00D03260">
        <w:rPr>
          <w:rFonts w:cs="Arial"/>
          <w:szCs w:val="22"/>
        </w:rPr>
        <w:t>. US Department of Veterans Affairs. https://www.va.gov/painmanagement/docs/vha09paindirective.pdf</w:t>
      </w:r>
    </w:p>
    <w:p w14:paraId="21B024BD" w14:textId="77777777" w:rsidR="00976859" w:rsidRPr="00D03260" w:rsidRDefault="00976859" w:rsidP="00976859">
      <w:pPr>
        <w:pStyle w:val="Bibliography"/>
        <w:rPr>
          <w:rFonts w:cs="Arial"/>
          <w:szCs w:val="22"/>
        </w:rPr>
      </w:pPr>
      <w:r w:rsidRPr="00D03260">
        <w:rPr>
          <w:rFonts w:cs="Arial"/>
          <w:szCs w:val="22"/>
        </w:rPr>
        <w:t xml:space="preserve">Vicendese, D., Dharmage, S. C., Tang, M. L. K., Olenko, A., Allen, K. J., Abramson, M. J., &amp; Erbas, B. (2015). Bedroom air quality and vacuuming frequency are associated with repeat child asthma hospital admissions. </w:t>
      </w:r>
      <w:r w:rsidRPr="00D03260">
        <w:rPr>
          <w:rFonts w:cs="Arial"/>
          <w:i/>
          <w:iCs/>
          <w:szCs w:val="22"/>
        </w:rPr>
        <w:t>Journal of Asthma</w:t>
      </w:r>
      <w:r w:rsidRPr="00D03260">
        <w:rPr>
          <w:rFonts w:cs="Arial"/>
          <w:szCs w:val="22"/>
        </w:rPr>
        <w:t xml:space="preserve">, </w:t>
      </w:r>
      <w:r w:rsidRPr="00D03260">
        <w:rPr>
          <w:rFonts w:cs="Arial"/>
          <w:i/>
          <w:iCs/>
          <w:szCs w:val="22"/>
        </w:rPr>
        <w:t>52</w:t>
      </w:r>
      <w:r w:rsidRPr="00D03260">
        <w:rPr>
          <w:rFonts w:cs="Arial"/>
          <w:szCs w:val="22"/>
        </w:rPr>
        <w:t>(7), 727–731. https://doi.org/10.3109/02770903.2014.1001904</w:t>
      </w:r>
    </w:p>
    <w:p w14:paraId="7D7E2359" w14:textId="77777777" w:rsidR="00976859" w:rsidRPr="00D03260" w:rsidRDefault="00976859" w:rsidP="00976859">
      <w:pPr>
        <w:pStyle w:val="Bibliography"/>
        <w:rPr>
          <w:rFonts w:cs="Arial"/>
          <w:szCs w:val="22"/>
        </w:rPr>
      </w:pPr>
      <w:r w:rsidRPr="00D03260">
        <w:rPr>
          <w:rFonts w:cs="Arial"/>
          <w:szCs w:val="22"/>
        </w:rPr>
        <w:t xml:space="preserve">Vuokko, A., Selinheimo, S., Sainio, M., Suojalehto, H., Järnefelt, H., Virtanen, M., Kallio, E., Hublin, C., &amp; Karvala, K. (2015). Decreased work ability associated to indoor air problems—An intervention (RCT) to promote health behavior. </w:t>
      </w:r>
      <w:r w:rsidRPr="00D03260">
        <w:rPr>
          <w:rFonts w:cs="Arial"/>
          <w:i/>
          <w:iCs/>
          <w:szCs w:val="22"/>
        </w:rPr>
        <w:t>NeuroToxicology</w:t>
      </w:r>
      <w:r w:rsidRPr="00D03260">
        <w:rPr>
          <w:rFonts w:cs="Arial"/>
          <w:szCs w:val="22"/>
        </w:rPr>
        <w:t xml:space="preserve">, </w:t>
      </w:r>
      <w:r w:rsidRPr="00D03260">
        <w:rPr>
          <w:rFonts w:cs="Arial"/>
          <w:i/>
          <w:iCs/>
          <w:szCs w:val="22"/>
        </w:rPr>
        <w:t>49</w:t>
      </w:r>
      <w:r w:rsidRPr="00D03260">
        <w:rPr>
          <w:rFonts w:cs="Arial"/>
          <w:szCs w:val="22"/>
        </w:rPr>
        <w:t>, 59–67. https://doi.org/10.1016/j.neuro.2015.04.010</w:t>
      </w:r>
    </w:p>
    <w:p w14:paraId="6B1F127A" w14:textId="77777777" w:rsidR="00976859" w:rsidRPr="00D03260" w:rsidRDefault="00976859" w:rsidP="00976859">
      <w:pPr>
        <w:pStyle w:val="Bibliography"/>
        <w:rPr>
          <w:rFonts w:cs="Arial"/>
          <w:szCs w:val="22"/>
        </w:rPr>
      </w:pPr>
      <w:r w:rsidRPr="00D03260">
        <w:rPr>
          <w:rFonts w:cs="Arial"/>
          <w:szCs w:val="22"/>
        </w:rPr>
        <w:t xml:space="preserve">Wang, J., Janson, C., Lindberg, E., Holm, M., Gislason, T., Benediktsdóttir, B., Johannessen, A., Schlünssen, V., Jogi, R., Franklin, K. A., &amp; Norbäck, D. (2020). Dampness and mold at home and at work and onset of insomnia symptoms, snoring and excessive daytime sleepiness. </w:t>
      </w:r>
      <w:r w:rsidRPr="00D03260">
        <w:rPr>
          <w:rFonts w:cs="Arial"/>
          <w:i/>
          <w:iCs/>
          <w:szCs w:val="22"/>
        </w:rPr>
        <w:t>Environment International</w:t>
      </w:r>
      <w:r w:rsidRPr="00D03260">
        <w:rPr>
          <w:rFonts w:cs="Arial"/>
          <w:szCs w:val="22"/>
        </w:rPr>
        <w:t xml:space="preserve">, </w:t>
      </w:r>
      <w:r w:rsidRPr="00D03260">
        <w:rPr>
          <w:rFonts w:cs="Arial"/>
          <w:i/>
          <w:iCs/>
          <w:szCs w:val="22"/>
        </w:rPr>
        <w:t>139</w:t>
      </w:r>
      <w:r w:rsidRPr="00D03260">
        <w:rPr>
          <w:rFonts w:cs="Arial"/>
          <w:szCs w:val="22"/>
        </w:rPr>
        <w:t>, 105691. https://doi.org/10.1016/j.envint.2020.105691</w:t>
      </w:r>
    </w:p>
    <w:p w14:paraId="2214C9FC" w14:textId="77777777" w:rsidR="00976859" w:rsidRPr="00D03260" w:rsidRDefault="00976859" w:rsidP="00976859">
      <w:pPr>
        <w:pStyle w:val="Bibliography"/>
        <w:rPr>
          <w:rFonts w:cs="Arial"/>
          <w:szCs w:val="22"/>
        </w:rPr>
      </w:pPr>
      <w:r w:rsidRPr="00D03260">
        <w:rPr>
          <w:rFonts w:cs="Arial"/>
          <w:szCs w:val="22"/>
        </w:rPr>
        <w:t xml:space="preserve">Wiesmüller, G. A., Heinzow, B., Aurbach, U., Bergmann, K.-C., Bufe, A., Buzina, W., Cornely, O. A., Engelhart, S., Fischer, G., Gabrio, T., Heinz, W., Herr, C. E. W., Kleine-Tebbe, J., Klimek, L., Köberle, M., Lichtnecker, H., Lob-Corzilius, T., Merget, R., Mülleneisen, N., … Hurraß, J. (2017). Abridged version of the AWMF guideline for the medical clinical diagnostics of indoor mould exposure: S2K Guideline of the German Society of Hygiene, Environmental Medicine and Preventive Medicine (GHUP) in collaboration with the German Association of Allergists (AeDA), the German Society of Dermatology (DDG), the German Society for Allergology and Clinical Immunology (DGAKI), the German Society for Occupational and Environmental Medicine (DGAUM), the German Society for Hospital Hygiene (DGKH), the German Society for Pneumology and Respiratory Medicine (DGP), the German Mycological Society (DMykG), the Society for Pediatric Allergology and Environmental Medicine (GPA), the German Federal Association of Pediatric Pneumology (BAPP), and the Austrian Society for Medical Mycology (ÖGMM). </w:t>
      </w:r>
      <w:r w:rsidRPr="00D03260">
        <w:rPr>
          <w:rFonts w:cs="Arial"/>
          <w:i/>
          <w:iCs/>
          <w:szCs w:val="22"/>
        </w:rPr>
        <w:t>Allergo Journal International</w:t>
      </w:r>
      <w:r w:rsidRPr="00D03260">
        <w:rPr>
          <w:rFonts w:cs="Arial"/>
          <w:szCs w:val="22"/>
        </w:rPr>
        <w:t xml:space="preserve">, </w:t>
      </w:r>
      <w:r w:rsidRPr="00D03260">
        <w:rPr>
          <w:rFonts w:cs="Arial"/>
          <w:i/>
          <w:iCs/>
          <w:szCs w:val="22"/>
        </w:rPr>
        <w:t>26</w:t>
      </w:r>
      <w:r w:rsidRPr="00D03260">
        <w:rPr>
          <w:rFonts w:cs="Arial"/>
          <w:szCs w:val="22"/>
        </w:rPr>
        <w:t>(5), 168–193. https://doi.org/10.1007/s40629-017-0013-3</w:t>
      </w:r>
    </w:p>
    <w:p w14:paraId="12957F2C" w14:textId="77777777" w:rsidR="00976859" w:rsidRPr="00D03260" w:rsidRDefault="00976859" w:rsidP="00976859">
      <w:pPr>
        <w:pStyle w:val="Bibliography"/>
        <w:rPr>
          <w:rFonts w:cs="Arial"/>
          <w:szCs w:val="22"/>
        </w:rPr>
      </w:pPr>
      <w:r w:rsidRPr="00D03260">
        <w:rPr>
          <w:rFonts w:cs="Arial"/>
          <w:szCs w:val="22"/>
        </w:rPr>
        <w:t xml:space="preserve">Williamson, M., Tudball, J., Toms, M., Garden, F., &amp; Grunseit, A. (2008). </w:t>
      </w:r>
      <w:r w:rsidRPr="00D03260">
        <w:rPr>
          <w:rFonts w:cs="Arial"/>
          <w:i/>
          <w:iCs/>
          <w:szCs w:val="22"/>
        </w:rPr>
        <w:t>Information use and needs of complementary medicines users</w:t>
      </w:r>
      <w:r w:rsidRPr="00D03260">
        <w:rPr>
          <w:rFonts w:cs="Arial"/>
          <w:szCs w:val="22"/>
        </w:rPr>
        <w:t>. National Prescribing Service. https://www.westernsydney.edu.au/__data/assets/pdf_file/0007/537406/Information_Use_and_Needs_of_Complementary_Medicines_Users.pdf</w:t>
      </w:r>
    </w:p>
    <w:p w14:paraId="0C3C7E6C" w14:textId="77777777" w:rsidR="00976859" w:rsidRPr="00D03260" w:rsidRDefault="00976859" w:rsidP="00976859">
      <w:pPr>
        <w:pStyle w:val="Bibliography"/>
        <w:rPr>
          <w:rFonts w:cs="Arial"/>
          <w:szCs w:val="22"/>
        </w:rPr>
      </w:pPr>
      <w:r w:rsidRPr="00D03260">
        <w:rPr>
          <w:rFonts w:cs="Arial"/>
          <w:szCs w:val="22"/>
        </w:rPr>
        <w:t xml:space="preserve">World Health Organization. (2009). </w:t>
      </w:r>
      <w:r w:rsidRPr="00D03260">
        <w:rPr>
          <w:rFonts w:cs="Arial"/>
          <w:i/>
          <w:iCs/>
          <w:szCs w:val="22"/>
        </w:rPr>
        <w:t>WHO guidelines for indoor air quality: Dampness and mould</w:t>
      </w:r>
      <w:r w:rsidRPr="00D03260">
        <w:rPr>
          <w:rFonts w:cs="Arial"/>
          <w:szCs w:val="22"/>
        </w:rPr>
        <w:t>. World Health Organization. https://www.euro.who.int/en/health-topics/environment-and-health/air-quality/publications/2009/who-guidelines-for-indoor-air-quality-dampness-and-mould</w:t>
      </w:r>
    </w:p>
    <w:p w14:paraId="0CF98CD4" w14:textId="77777777" w:rsidR="00A63A33" w:rsidRPr="00D03260" w:rsidRDefault="00A63A33" w:rsidP="00976859">
      <w:pPr>
        <w:pStyle w:val="Bibliography"/>
        <w:rPr>
          <w:rFonts w:cs="Arial"/>
          <w:szCs w:val="22"/>
        </w:rPr>
      </w:pPr>
      <w:r w:rsidRPr="00D03260">
        <w:rPr>
          <w:rFonts w:cs="Arial"/>
          <w:szCs w:val="22"/>
        </w:rPr>
        <w:br w:type="page"/>
      </w:r>
    </w:p>
    <w:p w14:paraId="07CABAFF" w14:textId="0E8B3193" w:rsidR="00976859" w:rsidRPr="00D03260" w:rsidRDefault="00976859" w:rsidP="00976859">
      <w:pPr>
        <w:pStyle w:val="Bibliography"/>
        <w:rPr>
          <w:rFonts w:cs="Arial"/>
          <w:szCs w:val="22"/>
        </w:rPr>
      </w:pPr>
      <w:r w:rsidRPr="00D03260">
        <w:rPr>
          <w:rFonts w:cs="Arial"/>
          <w:szCs w:val="22"/>
        </w:rPr>
        <w:t xml:space="preserve">Xue, C. C. L., Zhang, A. L., Lin, V., Da Costa, C., &amp; Story, D. F. (2007). Complementary and alternative medicine use in Australia: A national population-based survey. </w:t>
      </w:r>
      <w:r w:rsidRPr="00D03260">
        <w:rPr>
          <w:rFonts w:cs="Arial"/>
          <w:i/>
          <w:iCs/>
          <w:szCs w:val="22"/>
        </w:rPr>
        <w:t>Journal of Alternative and Complementary Medicine</w:t>
      </w:r>
      <w:r w:rsidRPr="00D03260">
        <w:rPr>
          <w:rFonts w:cs="Arial"/>
          <w:szCs w:val="22"/>
        </w:rPr>
        <w:t xml:space="preserve">, </w:t>
      </w:r>
      <w:r w:rsidRPr="00D03260">
        <w:rPr>
          <w:rFonts w:cs="Arial"/>
          <w:i/>
          <w:iCs/>
          <w:szCs w:val="22"/>
        </w:rPr>
        <w:t>13</w:t>
      </w:r>
      <w:r w:rsidRPr="00D03260">
        <w:rPr>
          <w:rFonts w:cs="Arial"/>
          <w:szCs w:val="22"/>
        </w:rPr>
        <w:t>(6), 643–650. https://doi.org/10.1089/acm.2006.6355</w:t>
      </w:r>
    </w:p>
    <w:p w14:paraId="2C53CECC" w14:textId="1B684F19" w:rsidR="00116557" w:rsidRPr="00D03260" w:rsidRDefault="00091960" w:rsidP="00346C4A">
      <w:pPr>
        <w:rPr>
          <w:rFonts w:cs="Arial"/>
          <w:szCs w:val="22"/>
        </w:rPr>
      </w:pPr>
      <w:r w:rsidRPr="00D03260">
        <w:rPr>
          <w:rFonts w:cs="Arial"/>
          <w:szCs w:val="22"/>
        </w:rPr>
        <w:fldChar w:fldCharType="end"/>
      </w:r>
      <w:r w:rsidR="00116557" w:rsidRPr="00D03260">
        <w:rPr>
          <w:rFonts w:cs="Arial"/>
          <w:szCs w:val="22"/>
        </w:rPr>
        <w:br w:type="page"/>
      </w:r>
    </w:p>
    <w:p w14:paraId="263145B2" w14:textId="77777777" w:rsidR="00205A93" w:rsidRPr="00D03260" w:rsidRDefault="00205A93" w:rsidP="00205A93">
      <w:pPr>
        <w:pStyle w:val="Heading1"/>
      </w:pPr>
      <w:bookmarkStart w:id="568" w:name="_Toc141885997"/>
      <w:r w:rsidRPr="00D03260">
        <w:t>Glossary</w:t>
      </w:r>
      <w:bookmarkEnd w:id="568"/>
    </w:p>
    <w:tbl>
      <w:tblPr>
        <w:tblStyle w:val="TableGrid"/>
        <w:tblW w:w="0" w:type="auto"/>
        <w:tblLook w:val="04A0" w:firstRow="1" w:lastRow="0" w:firstColumn="1" w:lastColumn="0" w:noHBand="0" w:noVBand="1"/>
        <w:tblCaption w:val="Glossary"/>
        <w:tblDescription w:val="Glossary of acronyms used in the DSCATT clinical pathway."/>
      </w:tblPr>
      <w:tblGrid>
        <w:gridCol w:w="1413"/>
        <w:gridCol w:w="7510"/>
      </w:tblGrid>
      <w:tr w:rsidR="00FF7473" w:rsidRPr="00D03260" w14:paraId="5C01E4C4" w14:textId="77777777" w:rsidTr="0036239E">
        <w:tc>
          <w:tcPr>
            <w:tcW w:w="1413" w:type="dxa"/>
          </w:tcPr>
          <w:p w14:paraId="3EF1599D" w14:textId="18B8499A" w:rsidR="00FF7473" w:rsidRPr="00D03260" w:rsidRDefault="00FF7473" w:rsidP="0032596A">
            <w:pPr>
              <w:pStyle w:val="Tabletextleft"/>
            </w:pPr>
            <w:r w:rsidRPr="00D03260">
              <w:t>AAAAI</w:t>
            </w:r>
          </w:p>
        </w:tc>
        <w:tc>
          <w:tcPr>
            <w:tcW w:w="7510" w:type="dxa"/>
          </w:tcPr>
          <w:p w14:paraId="4C07A2EB" w14:textId="4278465C" w:rsidR="00FF7473" w:rsidRPr="00D03260" w:rsidRDefault="00FF7473">
            <w:pPr>
              <w:pStyle w:val="Tabletextleft"/>
            </w:pPr>
            <w:r w:rsidRPr="00D03260">
              <w:t xml:space="preserve">American Academy of Allergy, </w:t>
            </w:r>
            <w:proofErr w:type="gramStart"/>
            <w:r w:rsidRPr="00D03260">
              <w:t>Asthma</w:t>
            </w:r>
            <w:proofErr w:type="gramEnd"/>
            <w:r w:rsidRPr="00D03260">
              <w:t xml:space="preserve"> </w:t>
            </w:r>
            <w:r w:rsidR="00711D23" w:rsidRPr="00D03260">
              <w:t>and</w:t>
            </w:r>
            <w:r w:rsidRPr="00D03260">
              <w:t xml:space="preserve"> Immunology</w:t>
            </w:r>
          </w:p>
        </w:tc>
      </w:tr>
      <w:tr w:rsidR="00D359CD" w:rsidRPr="00D03260" w14:paraId="5CE43A60" w14:textId="77777777" w:rsidTr="0036239E">
        <w:tc>
          <w:tcPr>
            <w:tcW w:w="1413" w:type="dxa"/>
          </w:tcPr>
          <w:p w14:paraId="64E38F8A" w14:textId="5A637788" w:rsidR="00D359CD" w:rsidRPr="00D03260" w:rsidRDefault="00D359CD" w:rsidP="0032596A">
            <w:pPr>
              <w:pStyle w:val="Tabletextleft"/>
            </w:pPr>
            <w:r w:rsidRPr="00D03260">
              <w:t>ABPA</w:t>
            </w:r>
          </w:p>
        </w:tc>
        <w:tc>
          <w:tcPr>
            <w:tcW w:w="7510" w:type="dxa"/>
          </w:tcPr>
          <w:p w14:paraId="0906973A" w14:textId="1DD6DF1E" w:rsidR="00D359CD" w:rsidRPr="00D03260" w:rsidRDefault="00D359CD">
            <w:pPr>
              <w:pStyle w:val="Tabletextleft"/>
            </w:pPr>
            <w:r w:rsidRPr="00D03260">
              <w:t>Allergic bronchopulmonary aspergillosis</w:t>
            </w:r>
          </w:p>
        </w:tc>
      </w:tr>
      <w:tr w:rsidR="00023E44" w:rsidRPr="00D03260" w14:paraId="1AF488B9" w14:textId="77777777" w:rsidTr="0036239E">
        <w:tc>
          <w:tcPr>
            <w:tcW w:w="1413" w:type="dxa"/>
          </w:tcPr>
          <w:p w14:paraId="567FB44F" w14:textId="51F5C0D2" w:rsidR="00023E44" w:rsidRPr="00D03260" w:rsidRDefault="00023E44" w:rsidP="0032596A">
            <w:pPr>
              <w:pStyle w:val="Tabletextleft"/>
            </w:pPr>
            <w:r w:rsidRPr="00D03260">
              <w:t>ACIIDS</w:t>
            </w:r>
          </w:p>
        </w:tc>
        <w:tc>
          <w:tcPr>
            <w:tcW w:w="7510" w:type="dxa"/>
          </w:tcPr>
          <w:p w14:paraId="7C3511B0" w14:textId="0908F1FF" w:rsidR="00023E44" w:rsidRPr="00D03260" w:rsidRDefault="00023E44">
            <w:pPr>
              <w:pStyle w:val="Tabletextleft"/>
            </w:pPr>
            <w:r w:rsidRPr="00D03260">
              <w:t>Australian Chronic Infectious and Inflammatory Disease Society</w:t>
            </w:r>
          </w:p>
        </w:tc>
      </w:tr>
      <w:tr w:rsidR="001E6FE7" w:rsidRPr="00D03260" w14:paraId="292BC776" w14:textId="77777777" w:rsidTr="0036239E">
        <w:tc>
          <w:tcPr>
            <w:tcW w:w="1413" w:type="dxa"/>
          </w:tcPr>
          <w:p w14:paraId="10F97AEC" w14:textId="2844F659" w:rsidR="001E6FE7" w:rsidRPr="00D03260" w:rsidRDefault="001E6FE7" w:rsidP="0032596A">
            <w:pPr>
              <w:pStyle w:val="Tabletextleft"/>
            </w:pPr>
            <w:r w:rsidRPr="00D03260">
              <w:t>AFRS</w:t>
            </w:r>
          </w:p>
        </w:tc>
        <w:tc>
          <w:tcPr>
            <w:tcW w:w="7510" w:type="dxa"/>
          </w:tcPr>
          <w:p w14:paraId="4DED7199" w14:textId="516593ED" w:rsidR="001E6FE7" w:rsidRPr="00D03260" w:rsidRDefault="001E6FE7">
            <w:pPr>
              <w:pStyle w:val="Tabletextleft"/>
            </w:pPr>
            <w:r w:rsidRPr="00D03260">
              <w:t>Allergic fungal sin</w:t>
            </w:r>
            <w:r w:rsidR="0051429F" w:rsidRPr="00D03260">
              <w:t>usitis or rhinosinusitis</w:t>
            </w:r>
          </w:p>
        </w:tc>
      </w:tr>
      <w:tr w:rsidR="003A70BB" w:rsidRPr="00D03260" w14:paraId="2E328A87" w14:textId="77777777" w:rsidTr="0036239E">
        <w:tc>
          <w:tcPr>
            <w:tcW w:w="1413" w:type="dxa"/>
          </w:tcPr>
          <w:p w14:paraId="218EA3E2" w14:textId="60FF3353" w:rsidR="003A70BB" w:rsidRPr="00D03260" w:rsidRDefault="00A45089" w:rsidP="0032596A">
            <w:pPr>
              <w:pStyle w:val="Tabletextleft"/>
            </w:pPr>
            <w:r w:rsidRPr="00D03260">
              <w:t>AIPH</w:t>
            </w:r>
          </w:p>
        </w:tc>
        <w:tc>
          <w:tcPr>
            <w:tcW w:w="7510" w:type="dxa"/>
          </w:tcPr>
          <w:p w14:paraId="7831EBDE" w14:textId="54326C4B" w:rsidR="003A70BB" w:rsidRPr="00D03260" w:rsidRDefault="00A45089">
            <w:pPr>
              <w:pStyle w:val="Tabletextleft"/>
            </w:pPr>
            <w:r w:rsidRPr="00D03260">
              <w:t>Acute idiopathic pulmonary haemorrhage (or acute idiopathic pulmonary hemosiderosis)</w:t>
            </w:r>
          </w:p>
        </w:tc>
      </w:tr>
      <w:tr w:rsidR="00E23A9F" w:rsidRPr="00D03260" w14:paraId="3DBD5C53" w14:textId="77777777" w:rsidTr="0036239E">
        <w:tc>
          <w:tcPr>
            <w:tcW w:w="1413" w:type="dxa"/>
          </w:tcPr>
          <w:p w14:paraId="002FB60C" w14:textId="06923923" w:rsidR="00E23A9F" w:rsidRPr="00D03260" w:rsidRDefault="00E23A9F" w:rsidP="0032596A">
            <w:pPr>
              <w:pStyle w:val="Tabletextleft"/>
            </w:pPr>
            <w:r w:rsidRPr="00D03260">
              <w:t>AWMF</w:t>
            </w:r>
          </w:p>
        </w:tc>
        <w:tc>
          <w:tcPr>
            <w:tcW w:w="7510" w:type="dxa"/>
          </w:tcPr>
          <w:p w14:paraId="4167949F" w14:textId="2AC34ABD" w:rsidR="00E23A9F" w:rsidRPr="00D03260" w:rsidRDefault="00BE011C">
            <w:pPr>
              <w:pStyle w:val="Tabletextleft"/>
            </w:pPr>
            <w:r w:rsidRPr="00D03260">
              <w:t>Association of the Scientific Medical Societies</w:t>
            </w:r>
            <w:r w:rsidR="0013605B" w:rsidRPr="00D03260">
              <w:t xml:space="preserve">, Germany (or </w:t>
            </w:r>
            <w:r w:rsidR="008E552E" w:rsidRPr="00D03260">
              <w:t>Arbeitsgemeinschaft der Wissenschaftlichen Medizinischen Fachgesellschaften</w:t>
            </w:r>
            <w:r w:rsidR="0013605B" w:rsidRPr="00D03260">
              <w:t>)</w:t>
            </w:r>
          </w:p>
        </w:tc>
      </w:tr>
      <w:tr w:rsidR="007632B1" w:rsidRPr="00D03260" w14:paraId="37F1128C" w14:textId="77777777" w:rsidTr="0036239E">
        <w:tc>
          <w:tcPr>
            <w:tcW w:w="1413" w:type="dxa"/>
          </w:tcPr>
          <w:p w14:paraId="36B13BA4" w14:textId="7CCD2102" w:rsidR="007632B1" w:rsidRPr="00D03260" w:rsidRDefault="007632B1" w:rsidP="0032596A">
            <w:pPr>
              <w:pStyle w:val="Tabletextleft"/>
            </w:pPr>
            <w:r w:rsidRPr="00D03260">
              <w:t>BIAC</w:t>
            </w:r>
          </w:p>
        </w:tc>
        <w:tc>
          <w:tcPr>
            <w:tcW w:w="7510" w:type="dxa"/>
          </w:tcPr>
          <w:p w14:paraId="55F876C4" w14:textId="2A28AE79" w:rsidR="007632B1" w:rsidRPr="00D03260" w:rsidRDefault="007632B1">
            <w:pPr>
              <w:pStyle w:val="Tabletextleft"/>
            </w:pPr>
            <w:r w:rsidRPr="00D03260">
              <w:t>Biotoxins-related Illnesses Advisory Committee</w:t>
            </w:r>
          </w:p>
        </w:tc>
      </w:tr>
      <w:tr w:rsidR="003A70BB" w:rsidRPr="00D03260" w14:paraId="255F4437" w14:textId="77777777" w:rsidTr="0036239E">
        <w:tc>
          <w:tcPr>
            <w:tcW w:w="1413" w:type="dxa"/>
          </w:tcPr>
          <w:p w14:paraId="63F91FA7" w14:textId="6C956D6C" w:rsidR="003A70BB" w:rsidRPr="00D03260" w:rsidRDefault="003A70BB" w:rsidP="0032596A">
            <w:pPr>
              <w:pStyle w:val="Tabletextleft"/>
            </w:pPr>
            <w:r w:rsidRPr="00D03260">
              <w:t>CBT</w:t>
            </w:r>
          </w:p>
        </w:tc>
        <w:tc>
          <w:tcPr>
            <w:tcW w:w="7510" w:type="dxa"/>
          </w:tcPr>
          <w:p w14:paraId="674035DD" w14:textId="77777777" w:rsidR="003A70BB" w:rsidRPr="00D03260" w:rsidRDefault="003A70BB">
            <w:pPr>
              <w:pStyle w:val="Tabletextleft"/>
            </w:pPr>
            <w:r w:rsidRPr="00D03260">
              <w:t>Cognitive behavioural therapy</w:t>
            </w:r>
          </w:p>
        </w:tc>
      </w:tr>
      <w:tr w:rsidR="003A70BB" w:rsidRPr="00D03260" w14:paraId="7328B73B" w14:textId="77777777" w:rsidTr="0036239E">
        <w:tc>
          <w:tcPr>
            <w:tcW w:w="1413" w:type="dxa"/>
          </w:tcPr>
          <w:p w14:paraId="52C8BF28" w14:textId="77777777" w:rsidR="003A70BB" w:rsidRPr="00D03260" w:rsidRDefault="003A70BB" w:rsidP="0032596A">
            <w:pPr>
              <w:pStyle w:val="Tabletextleft"/>
            </w:pPr>
            <w:r w:rsidRPr="00D03260">
              <w:t>CDC</w:t>
            </w:r>
          </w:p>
        </w:tc>
        <w:tc>
          <w:tcPr>
            <w:tcW w:w="7510" w:type="dxa"/>
          </w:tcPr>
          <w:p w14:paraId="7A5A3ED0" w14:textId="04B01851" w:rsidR="003A70BB" w:rsidRPr="00D03260" w:rsidRDefault="003A70BB">
            <w:pPr>
              <w:pStyle w:val="Tabletextleft"/>
            </w:pPr>
            <w:r w:rsidRPr="00D03260">
              <w:t>Centers for Disease Control and Prevention</w:t>
            </w:r>
          </w:p>
        </w:tc>
      </w:tr>
      <w:tr w:rsidR="00A45089" w:rsidRPr="00D03260" w14:paraId="25E72A51" w14:textId="77777777" w:rsidTr="0036239E">
        <w:tc>
          <w:tcPr>
            <w:tcW w:w="1413" w:type="dxa"/>
          </w:tcPr>
          <w:p w14:paraId="13CDFAD1" w14:textId="25AE6A58" w:rsidR="00A45089" w:rsidRPr="00D03260" w:rsidRDefault="00A45089" w:rsidP="0032596A">
            <w:pPr>
              <w:pStyle w:val="Tabletextleft"/>
            </w:pPr>
            <w:r w:rsidRPr="00D03260">
              <w:t>CF</w:t>
            </w:r>
          </w:p>
        </w:tc>
        <w:tc>
          <w:tcPr>
            <w:tcW w:w="7510" w:type="dxa"/>
          </w:tcPr>
          <w:p w14:paraId="601BCF28" w14:textId="2F3280CB" w:rsidR="00A45089" w:rsidRPr="00D03260" w:rsidRDefault="00A45089">
            <w:pPr>
              <w:pStyle w:val="Tabletextleft"/>
            </w:pPr>
            <w:r w:rsidRPr="00D03260">
              <w:t>Cystic fibrosis</w:t>
            </w:r>
          </w:p>
        </w:tc>
      </w:tr>
      <w:tr w:rsidR="009E71A3" w:rsidRPr="00D03260" w14:paraId="6ABDA0FF" w14:textId="77777777" w:rsidTr="0036239E">
        <w:tc>
          <w:tcPr>
            <w:tcW w:w="1413" w:type="dxa"/>
          </w:tcPr>
          <w:p w14:paraId="1AF787F3" w14:textId="03DA6BD4" w:rsidR="009E71A3" w:rsidRPr="00D03260" w:rsidRDefault="009E71A3" w:rsidP="0032596A">
            <w:pPr>
              <w:pStyle w:val="Tabletextleft"/>
            </w:pPr>
            <w:r w:rsidRPr="00D03260">
              <w:t>CFU</w:t>
            </w:r>
          </w:p>
        </w:tc>
        <w:tc>
          <w:tcPr>
            <w:tcW w:w="7510" w:type="dxa"/>
          </w:tcPr>
          <w:p w14:paraId="25272B87" w14:textId="07D6575E" w:rsidR="009E71A3" w:rsidRPr="00D03260" w:rsidRDefault="009E71A3">
            <w:pPr>
              <w:pStyle w:val="Tabletextleft"/>
            </w:pPr>
            <w:r w:rsidRPr="00D03260">
              <w:t>Colony forming units</w:t>
            </w:r>
          </w:p>
        </w:tc>
      </w:tr>
      <w:tr w:rsidR="00D266D1" w:rsidRPr="00D03260" w14:paraId="36563625" w14:textId="77777777" w:rsidTr="0036239E">
        <w:tc>
          <w:tcPr>
            <w:tcW w:w="1413" w:type="dxa"/>
          </w:tcPr>
          <w:p w14:paraId="248F4BF2" w14:textId="27A47739" w:rsidR="00D266D1" w:rsidRPr="00D03260" w:rsidRDefault="00D266D1" w:rsidP="0032596A">
            <w:pPr>
              <w:pStyle w:val="Tabletextleft"/>
            </w:pPr>
            <w:r w:rsidRPr="00D03260">
              <w:t>CI</w:t>
            </w:r>
          </w:p>
        </w:tc>
        <w:tc>
          <w:tcPr>
            <w:tcW w:w="7510" w:type="dxa"/>
          </w:tcPr>
          <w:p w14:paraId="2861430E" w14:textId="32939021" w:rsidR="00D266D1" w:rsidRPr="00D03260" w:rsidRDefault="00D266D1">
            <w:pPr>
              <w:pStyle w:val="Tabletextleft"/>
            </w:pPr>
            <w:r w:rsidRPr="00D03260">
              <w:t>Confidence interval</w:t>
            </w:r>
          </w:p>
        </w:tc>
      </w:tr>
      <w:tr w:rsidR="003A70BB" w:rsidRPr="00D03260" w14:paraId="062B932E" w14:textId="77777777" w:rsidTr="0036239E">
        <w:tc>
          <w:tcPr>
            <w:tcW w:w="1413" w:type="dxa"/>
          </w:tcPr>
          <w:p w14:paraId="7C0A546E" w14:textId="08285F0E" w:rsidR="003A70BB" w:rsidRPr="00D03260" w:rsidRDefault="00F4572D" w:rsidP="0032596A">
            <w:pPr>
              <w:pStyle w:val="Tabletextleft"/>
            </w:pPr>
            <w:r w:rsidRPr="00D03260">
              <w:t>CIRS</w:t>
            </w:r>
          </w:p>
        </w:tc>
        <w:tc>
          <w:tcPr>
            <w:tcW w:w="7510" w:type="dxa"/>
          </w:tcPr>
          <w:p w14:paraId="335605DC" w14:textId="74DC56C8" w:rsidR="003A70BB" w:rsidRPr="00D03260" w:rsidRDefault="00F4572D">
            <w:pPr>
              <w:pStyle w:val="Tabletextleft"/>
            </w:pPr>
            <w:r w:rsidRPr="00D03260">
              <w:t>Chronic Inflammatory Response Syndrome</w:t>
            </w:r>
          </w:p>
        </w:tc>
      </w:tr>
      <w:tr w:rsidR="003A70BB" w:rsidRPr="00D03260" w14:paraId="28E7973C" w14:textId="77777777" w:rsidTr="0036239E">
        <w:tc>
          <w:tcPr>
            <w:tcW w:w="1413" w:type="dxa"/>
          </w:tcPr>
          <w:p w14:paraId="50B9FF69" w14:textId="6866AE96" w:rsidR="003A70BB" w:rsidRPr="00D03260" w:rsidRDefault="0036239E" w:rsidP="0032596A">
            <w:pPr>
              <w:pStyle w:val="Tabletextleft"/>
            </w:pPr>
            <w:r w:rsidRPr="00D03260">
              <w:t>CIRS-WDB</w:t>
            </w:r>
          </w:p>
        </w:tc>
        <w:tc>
          <w:tcPr>
            <w:tcW w:w="7510" w:type="dxa"/>
          </w:tcPr>
          <w:p w14:paraId="0A8845BA" w14:textId="50AF1734" w:rsidR="003A70BB" w:rsidRPr="00D03260" w:rsidRDefault="0036239E">
            <w:pPr>
              <w:pStyle w:val="Tabletextleft"/>
            </w:pPr>
            <w:r w:rsidRPr="00D03260">
              <w:t>Chronic Inflammatory Response Syndrome – Water-Damaged Buildings</w:t>
            </w:r>
          </w:p>
        </w:tc>
      </w:tr>
      <w:tr w:rsidR="00D266D1" w:rsidRPr="00D03260" w14:paraId="50FA6BE1" w14:textId="77777777" w:rsidTr="0036239E">
        <w:tc>
          <w:tcPr>
            <w:tcW w:w="1413" w:type="dxa"/>
          </w:tcPr>
          <w:p w14:paraId="3D86A94A" w14:textId="4C9C7D2B" w:rsidR="00D266D1" w:rsidRPr="00D03260" w:rsidRDefault="00D266D1" w:rsidP="0032596A">
            <w:pPr>
              <w:pStyle w:val="Tabletextleft"/>
            </w:pPr>
            <w:r w:rsidRPr="00D03260">
              <w:t>CME</w:t>
            </w:r>
          </w:p>
        </w:tc>
        <w:tc>
          <w:tcPr>
            <w:tcW w:w="7510" w:type="dxa"/>
          </w:tcPr>
          <w:p w14:paraId="721955B8" w14:textId="229B8F79" w:rsidR="00D266D1" w:rsidRPr="00D03260" w:rsidRDefault="00D266D1">
            <w:pPr>
              <w:pStyle w:val="Tabletextleft"/>
            </w:pPr>
            <w:r w:rsidRPr="00D03260">
              <w:t>Continuing medical education</w:t>
            </w:r>
          </w:p>
        </w:tc>
      </w:tr>
      <w:tr w:rsidR="00A45089" w:rsidRPr="00D03260" w14:paraId="0E86468A" w14:textId="77777777" w:rsidTr="0036239E">
        <w:tc>
          <w:tcPr>
            <w:tcW w:w="1413" w:type="dxa"/>
          </w:tcPr>
          <w:p w14:paraId="1D0A6712" w14:textId="32BEF903" w:rsidR="00A45089" w:rsidRPr="00D03260" w:rsidRDefault="00A45089" w:rsidP="0032596A">
            <w:pPr>
              <w:pStyle w:val="Tabletextleft"/>
            </w:pPr>
            <w:r w:rsidRPr="00D03260">
              <w:t>COPD</w:t>
            </w:r>
          </w:p>
        </w:tc>
        <w:tc>
          <w:tcPr>
            <w:tcW w:w="7510" w:type="dxa"/>
          </w:tcPr>
          <w:p w14:paraId="3320DB35" w14:textId="6363C872" w:rsidR="00A45089" w:rsidRPr="00D03260" w:rsidRDefault="00A45089">
            <w:pPr>
              <w:pStyle w:val="Tabletextleft"/>
            </w:pPr>
            <w:r w:rsidRPr="00D03260">
              <w:t>Chronic obstructive pulmonary disease</w:t>
            </w:r>
          </w:p>
        </w:tc>
      </w:tr>
      <w:tr w:rsidR="00B72C06" w:rsidRPr="00D03260" w14:paraId="23E247E8" w14:textId="77777777" w:rsidTr="0036239E">
        <w:tc>
          <w:tcPr>
            <w:tcW w:w="1413" w:type="dxa"/>
          </w:tcPr>
          <w:p w14:paraId="19AA5359" w14:textId="6624BE5A" w:rsidR="00B72C06" w:rsidRPr="00D03260" w:rsidRDefault="00B72C06" w:rsidP="0032596A">
            <w:pPr>
              <w:pStyle w:val="Tabletextleft"/>
            </w:pPr>
            <w:r w:rsidRPr="00D03260">
              <w:t>DALYs</w:t>
            </w:r>
          </w:p>
        </w:tc>
        <w:tc>
          <w:tcPr>
            <w:tcW w:w="7510" w:type="dxa"/>
          </w:tcPr>
          <w:p w14:paraId="364C3036" w14:textId="1A93ADF3" w:rsidR="00B72C06" w:rsidRPr="00D03260" w:rsidRDefault="00B72C06">
            <w:pPr>
              <w:pStyle w:val="Tabletextleft"/>
            </w:pPr>
            <w:r w:rsidRPr="00D03260">
              <w:t>Disability-adjusted life years</w:t>
            </w:r>
          </w:p>
        </w:tc>
      </w:tr>
      <w:tr w:rsidR="003A70BB" w:rsidRPr="00D03260" w14:paraId="2CC73D2A" w14:textId="77777777" w:rsidTr="0036239E">
        <w:tc>
          <w:tcPr>
            <w:tcW w:w="1413" w:type="dxa"/>
          </w:tcPr>
          <w:p w14:paraId="57A1A825" w14:textId="0910F808" w:rsidR="003A70BB" w:rsidRPr="00D03260" w:rsidRDefault="003A70BB" w:rsidP="0032596A">
            <w:pPr>
              <w:pStyle w:val="Tabletextleft"/>
            </w:pPr>
            <w:r w:rsidRPr="00D03260">
              <w:t>DSCATT</w:t>
            </w:r>
          </w:p>
        </w:tc>
        <w:tc>
          <w:tcPr>
            <w:tcW w:w="7510" w:type="dxa"/>
          </w:tcPr>
          <w:p w14:paraId="6FBC7AFD" w14:textId="77777777" w:rsidR="003A70BB" w:rsidRPr="00D03260" w:rsidRDefault="003A70BB">
            <w:pPr>
              <w:pStyle w:val="Tabletextleft"/>
            </w:pPr>
            <w:r w:rsidRPr="00D03260">
              <w:t>Debilitating Symptom Complexes Attributed to Ticks</w:t>
            </w:r>
          </w:p>
        </w:tc>
      </w:tr>
      <w:tr w:rsidR="003A70BB" w:rsidRPr="00D03260" w14:paraId="6161DCE5" w14:textId="77777777" w:rsidTr="0036239E">
        <w:tc>
          <w:tcPr>
            <w:tcW w:w="1413" w:type="dxa"/>
          </w:tcPr>
          <w:p w14:paraId="72823478" w14:textId="527D8ED1" w:rsidR="003A70BB" w:rsidRPr="00D03260" w:rsidRDefault="00CC00BC" w:rsidP="0032596A">
            <w:pPr>
              <w:pStyle w:val="Tabletextleft"/>
            </w:pPr>
            <w:r w:rsidRPr="00D03260">
              <w:t>enHealth</w:t>
            </w:r>
          </w:p>
        </w:tc>
        <w:tc>
          <w:tcPr>
            <w:tcW w:w="7510" w:type="dxa"/>
          </w:tcPr>
          <w:p w14:paraId="0823D2FD" w14:textId="4883D5DB" w:rsidR="003A70BB" w:rsidRPr="00D03260" w:rsidRDefault="00CC00BC">
            <w:pPr>
              <w:pStyle w:val="Tabletextleft"/>
            </w:pPr>
            <w:r w:rsidRPr="00D03260">
              <w:t>Environmental Health Standing Committee</w:t>
            </w:r>
          </w:p>
        </w:tc>
      </w:tr>
      <w:tr w:rsidR="003A70BB" w:rsidRPr="00D03260" w14:paraId="46B93C26" w14:textId="77777777" w:rsidTr="0036239E">
        <w:tc>
          <w:tcPr>
            <w:tcW w:w="1413" w:type="dxa"/>
          </w:tcPr>
          <w:p w14:paraId="026424BF" w14:textId="4A565373" w:rsidR="003A70BB" w:rsidRPr="00D03260" w:rsidRDefault="00D266D1" w:rsidP="0032596A">
            <w:pPr>
              <w:pStyle w:val="Tabletextleft"/>
            </w:pPr>
            <w:r w:rsidRPr="00D03260">
              <w:t>ERMI</w:t>
            </w:r>
          </w:p>
        </w:tc>
        <w:tc>
          <w:tcPr>
            <w:tcW w:w="7510" w:type="dxa"/>
          </w:tcPr>
          <w:p w14:paraId="56E267E9" w14:textId="186DBE86" w:rsidR="003A70BB" w:rsidRPr="00D03260" w:rsidRDefault="00D266D1">
            <w:pPr>
              <w:pStyle w:val="Tabletextleft"/>
            </w:pPr>
            <w:r w:rsidRPr="00D03260">
              <w:t>Environmental Relative Moldiness Index Testing</w:t>
            </w:r>
          </w:p>
        </w:tc>
      </w:tr>
      <w:tr w:rsidR="003A70BB" w:rsidRPr="00D03260" w14:paraId="43E9F7B9" w14:textId="77777777" w:rsidTr="0036239E">
        <w:tc>
          <w:tcPr>
            <w:tcW w:w="1413" w:type="dxa"/>
          </w:tcPr>
          <w:p w14:paraId="4B455ADE" w14:textId="32B319A5" w:rsidR="003A70BB" w:rsidRPr="00D03260" w:rsidRDefault="006E54B1" w:rsidP="0032596A">
            <w:pPr>
              <w:pStyle w:val="Tabletextleft"/>
            </w:pPr>
            <w:r w:rsidRPr="00D03260">
              <w:t>GHUP</w:t>
            </w:r>
          </w:p>
        </w:tc>
        <w:tc>
          <w:tcPr>
            <w:tcW w:w="7510" w:type="dxa"/>
          </w:tcPr>
          <w:p w14:paraId="3EBBC10D" w14:textId="081C24AA" w:rsidR="003A70BB" w:rsidRPr="00D03260" w:rsidRDefault="006E54B1">
            <w:pPr>
              <w:pStyle w:val="Tabletextleft"/>
            </w:pPr>
            <w:r w:rsidRPr="00D03260">
              <w:t xml:space="preserve">German Society of Hygiene, Environmental </w:t>
            </w:r>
            <w:proofErr w:type="gramStart"/>
            <w:r w:rsidRPr="00D03260">
              <w:t>Medicine</w:t>
            </w:r>
            <w:proofErr w:type="gramEnd"/>
            <w:r w:rsidRPr="00D03260">
              <w:t xml:space="preserve"> and Preventive Medicine</w:t>
            </w:r>
          </w:p>
        </w:tc>
      </w:tr>
      <w:tr w:rsidR="006E54B1" w:rsidRPr="00D03260" w14:paraId="193E81BE" w14:textId="77777777" w:rsidTr="0036239E">
        <w:tc>
          <w:tcPr>
            <w:tcW w:w="1413" w:type="dxa"/>
          </w:tcPr>
          <w:p w14:paraId="01D1528C" w14:textId="330C2C95" w:rsidR="006E54B1" w:rsidRPr="00D03260" w:rsidRDefault="006E54B1" w:rsidP="0032596A">
            <w:pPr>
              <w:pStyle w:val="Tabletextleft"/>
            </w:pPr>
            <w:r w:rsidRPr="00D03260">
              <w:t>GP</w:t>
            </w:r>
          </w:p>
        </w:tc>
        <w:tc>
          <w:tcPr>
            <w:tcW w:w="7510" w:type="dxa"/>
          </w:tcPr>
          <w:p w14:paraId="56586C45" w14:textId="75171343" w:rsidR="006E54B1" w:rsidRPr="00D03260" w:rsidRDefault="006E54B1">
            <w:pPr>
              <w:pStyle w:val="Tabletextleft"/>
            </w:pPr>
            <w:r w:rsidRPr="00D03260">
              <w:t>General practitioner</w:t>
            </w:r>
          </w:p>
        </w:tc>
      </w:tr>
      <w:tr w:rsidR="00D266D1" w:rsidRPr="00D03260" w14:paraId="63035894" w14:textId="77777777" w:rsidTr="0036239E">
        <w:tc>
          <w:tcPr>
            <w:tcW w:w="1413" w:type="dxa"/>
          </w:tcPr>
          <w:p w14:paraId="3F76DEAB" w14:textId="4DFA651D" w:rsidR="00D266D1" w:rsidRPr="00D03260" w:rsidRDefault="00D266D1" w:rsidP="0032596A">
            <w:pPr>
              <w:pStyle w:val="Tabletextleft"/>
            </w:pPr>
            <w:r w:rsidRPr="00D03260">
              <w:t>HERSTMI-2</w:t>
            </w:r>
          </w:p>
        </w:tc>
        <w:tc>
          <w:tcPr>
            <w:tcW w:w="7510" w:type="dxa"/>
          </w:tcPr>
          <w:p w14:paraId="4E4909A2" w14:textId="56641379" w:rsidR="00D266D1" w:rsidRPr="00D03260" w:rsidRDefault="00D266D1">
            <w:pPr>
              <w:pStyle w:val="Tabletextleft"/>
            </w:pPr>
            <w:r w:rsidRPr="00D03260">
              <w:t>Health Effects Roster of Type Specific fungal producing-Mycotoxin and Inflammagens</w:t>
            </w:r>
          </w:p>
        </w:tc>
      </w:tr>
      <w:tr w:rsidR="006E54B1" w:rsidRPr="00D03260" w14:paraId="19029938" w14:textId="77777777" w:rsidTr="0036239E">
        <w:tc>
          <w:tcPr>
            <w:tcW w:w="1413" w:type="dxa"/>
          </w:tcPr>
          <w:p w14:paraId="4A3FD4B9" w14:textId="68FAE6A5" w:rsidR="006E54B1" w:rsidRPr="00D03260" w:rsidRDefault="006E54B1" w:rsidP="0032596A">
            <w:pPr>
              <w:pStyle w:val="Tabletextleft"/>
            </w:pPr>
            <w:r w:rsidRPr="00D03260">
              <w:t>HP</w:t>
            </w:r>
          </w:p>
        </w:tc>
        <w:tc>
          <w:tcPr>
            <w:tcW w:w="7510" w:type="dxa"/>
          </w:tcPr>
          <w:p w14:paraId="0DD0A97B" w14:textId="7C6F3CE7" w:rsidR="006E54B1" w:rsidRPr="00D03260" w:rsidRDefault="006E54B1">
            <w:pPr>
              <w:pStyle w:val="Tabletextleft"/>
            </w:pPr>
            <w:r w:rsidRPr="00D03260">
              <w:t>Hypersensitivity pneumonitis</w:t>
            </w:r>
          </w:p>
        </w:tc>
      </w:tr>
      <w:tr w:rsidR="003A70BB" w:rsidRPr="00D03260" w14:paraId="4B1B121E" w14:textId="77777777" w:rsidTr="0036239E">
        <w:tc>
          <w:tcPr>
            <w:tcW w:w="1413" w:type="dxa"/>
          </w:tcPr>
          <w:p w14:paraId="524A9EEF" w14:textId="77777777" w:rsidR="003A70BB" w:rsidRPr="00D03260" w:rsidRDefault="003A70BB" w:rsidP="0032596A">
            <w:pPr>
              <w:pStyle w:val="Tabletextleft"/>
            </w:pPr>
            <w:r w:rsidRPr="00D03260">
              <w:t>ID</w:t>
            </w:r>
          </w:p>
        </w:tc>
        <w:tc>
          <w:tcPr>
            <w:tcW w:w="7510" w:type="dxa"/>
          </w:tcPr>
          <w:p w14:paraId="13C01610" w14:textId="3511088A" w:rsidR="003A70BB" w:rsidRPr="00D03260" w:rsidRDefault="003A70BB">
            <w:pPr>
              <w:pStyle w:val="Tabletextleft"/>
            </w:pPr>
            <w:r w:rsidRPr="00D03260">
              <w:t xml:space="preserve">Infectious </w:t>
            </w:r>
            <w:r w:rsidR="001918A2" w:rsidRPr="00D03260">
              <w:t>d</w:t>
            </w:r>
            <w:r w:rsidRPr="00D03260">
              <w:t>isease</w:t>
            </w:r>
          </w:p>
        </w:tc>
      </w:tr>
      <w:tr w:rsidR="003A70BB" w:rsidRPr="00D03260" w14:paraId="3E52E20E" w14:textId="77777777" w:rsidTr="0036239E">
        <w:tc>
          <w:tcPr>
            <w:tcW w:w="1413" w:type="dxa"/>
          </w:tcPr>
          <w:p w14:paraId="6892EC7A" w14:textId="58973445" w:rsidR="003A70BB" w:rsidRPr="00D03260" w:rsidRDefault="00A45089" w:rsidP="0032596A">
            <w:pPr>
              <w:pStyle w:val="Tabletextleft"/>
            </w:pPr>
            <w:r w:rsidRPr="00D03260">
              <w:t>IgE</w:t>
            </w:r>
          </w:p>
        </w:tc>
        <w:tc>
          <w:tcPr>
            <w:tcW w:w="7510" w:type="dxa"/>
          </w:tcPr>
          <w:p w14:paraId="6786ED84" w14:textId="3F116E46" w:rsidR="003A70BB" w:rsidRPr="00D03260" w:rsidRDefault="007632B1">
            <w:pPr>
              <w:pStyle w:val="Tabletextleft"/>
            </w:pPr>
            <w:r w:rsidRPr="00D03260">
              <w:t>Immunoglobulin E</w:t>
            </w:r>
          </w:p>
        </w:tc>
      </w:tr>
      <w:tr w:rsidR="00A45089" w:rsidRPr="00D03260" w14:paraId="379C8702" w14:textId="77777777" w:rsidTr="0036239E">
        <w:tc>
          <w:tcPr>
            <w:tcW w:w="1413" w:type="dxa"/>
          </w:tcPr>
          <w:p w14:paraId="231F50C9" w14:textId="7678644D" w:rsidR="00A45089" w:rsidRPr="00D03260" w:rsidRDefault="00A45089" w:rsidP="0032596A">
            <w:pPr>
              <w:pStyle w:val="Tabletextleft"/>
            </w:pPr>
            <w:r w:rsidRPr="00D03260">
              <w:t>IgG</w:t>
            </w:r>
          </w:p>
        </w:tc>
        <w:tc>
          <w:tcPr>
            <w:tcW w:w="7510" w:type="dxa"/>
          </w:tcPr>
          <w:p w14:paraId="036AE9EB" w14:textId="03ACC261" w:rsidR="00A45089" w:rsidRPr="00D03260" w:rsidRDefault="00A45089">
            <w:pPr>
              <w:pStyle w:val="Tabletextleft"/>
            </w:pPr>
            <w:r w:rsidRPr="00D03260">
              <w:t>Immunoglobulin G</w:t>
            </w:r>
          </w:p>
        </w:tc>
      </w:tr>
      <w:tr w:rsidR="003A70BB" w:rsidRPr="00D03260" w14:paraId="734B9AE9" w14:textId="77777777" w:rsidTr="0036239E">
        <w:tc>
          <w:tcPr>
            <w:tcW w:w="1413" w:type="dxa"/>
          </w:tcPr>
          <w:p w14:paraId="0AF418C5" w14:textId="71555EBA" w:rsidR="003A70BB" w:rsidRPr="00D03260" w:rsidRDefault="006E54B1" w:rsidP="0032596A">
            <w:pPr>
              <w:pStyle w:val="Tabletextleft"/>
            </w:pPr>
            <w:r w:rsidRPr="00D03260">
              <w:t>IOM</w:t>
            </w:r>
          </w:p>
        </w:tc>
        <w:tc>
          <w:tcPr>
            <w:tcW w:w="7510" w:type="dxa"/>
          </w:tcPr>
          <w:p w14:paraId="5166E427" w14:textId="666C3347" w:rsidR="003A70BB" w:rsidRPr="00D03260" w:rsidRDefault="006E54B1">
            <w:pPr>
              <w:pStyle w:val="Tabletextleft"/>
            </w:pPr>
            <w:r w:rsidRPr="00D03260">
              <w:t>Institute of Medicine</w:t>
            </w:r>
            <w:r w:rsidR="00FD2581" w:rsidRPr="00D03260">
              <w:t>, United States</w:t>
            </w:r>
          </w:p>
        </w:tc>
      </w:tr>
      <w:tr w:rsidR="0083084E" w:rsidRPr="00D03260" w14:paraId="79AF572E" w14:textId="77777777" w:rsidTr="0036239E">
        <w:tc>
          <w:tcPr>
            <w:tcW w:w="1413" w:type="dxa"/>
          </w:tcPr>
          <w:p w14:paraId="467DF743" w14:textId="4D169B18" w:rsidR="0083084E" w:rsidRPr="00D03260" w:rsidRDefault="0083084E" w:rsidP="0032596A">
            <w:pPr>
              <w:pStyle w:val="Tabletextleft"/>
            </w:pPr>
            <w:r w:rsidRPr="00D03260">
              <w:t>IV</w:t>
            </w:r>
          </w:p>
        </w:tc>
        <w:tc>
          <w:tcPr>
            <w:tcW w:w="7510" w:type="dxa"/>
          </w:tcPr>
          <w:p w14:paraId="6983A073" w14:textId="42A2AC0E" w:rsidR="0083084E" w:rsidRPr="00D03260" w:rsidRDefault="003E5F35">
            <w:pPr>
              <w:pStyle w:val="Tabletextleft"/>
            </w:pPr>
            <w:r w:rsidRPr="00D03260">
              <w:t>Intravenous</w:t>
            </w:r>
          </w:p>
        </w:tc>
      </w:tr>
      <w:tr w:rsidR="0083084E" w:rsidRPr="00D03260" w14:paraId="1792388C" w14:textId="77777777" w:rsidTr="0036239E">
        <w:tc>
          <w:tcPr>
            <w:tcW w:w="1413" w:type="dxa"/>
          </w:tcPr>
          <w:p w14:paraId="4AC5381D" w14:textId="369B5852" w:rsidR="0083084E" w:rsidRPr="00D03260" w:rsidRDefault="0083084E" w:rsidP="0032596A">
            <w:pPr>
              <w:pStyle w:val="Tabletextleft"/>
            </w:pPr>
            <w:r w:rsidRPr="00D03260">
              <w:t>LTT</w:t>
            </w:r>
          </w:p>
        </w:tc>
        <w:tc>
          <w:tcPr>
            <w:tcW w:w="7510" w:type="dxa"/>
          </w:tcPr>
          <w:p w14:paraId="0B069BC3" w14:textId="0BCA33D9" w:rsidR="0083084E" w:rsidRPr="00D03260" w:rsidRDefault="0083084E">
            <w:pPr>
              <w:pStyle w:val="Tabletextleft"/>
            </w:pPr>
            <w:r w:rsidRPr="00D03260">
              <w:t>Lymphocyte transformation testing</w:t>
            </w:r>
          </w:p>
        </w:tc>
      </w:tr>
      <w:tr w:rsidR="00D266D1" w:rsidRPr="00D03260" w14:paraId="39E81AA7" w14:textId="77777777" w:rsidTr="0036239E">
        <w:tc>
          <w:tcPr>
            <w:tcW w:w="1413" w:type="dxa"/>
          </w:tcPr>
          <w:p w14:paraId="34FC8A3E" w14:textId="3EDA0F32" w:rsidR="00D266D1" w:rsidRPr="00D03260" w:rsidRDefault="00D266D1" w:rsidP="0032596A">
            <w:pPr>
              <w:pStyle w:val="Tabletextleft"/>
            </w:pPr>
            <w:r w:rsidRPr="00D03260">
              <w:t>MARCoNS</w:t>
            </w:r>
          </w:p>
        </w:tc>
        <w:tc>
          <w:tcPr>
            <w:tcW w:w="7510" w:type="dxa"/>
          </w:tcPr>
          <w:p w14:paraId="57502D56" w14:textId="4E85B86C" w:rsidR="00D266D1" w:rsidRPr="00D03260" w:rsidRDefault="00D266D1">
            <w:pPr>
              <w:pStyle w:val="Tabletextleft"/>
            </w:pPr>
            <w:r w:rsidRPr="00D03260">
              <w:t>Multiple Antibiotic Resistant Coagulase Negative Staphylococci</w:t>
            </w:r>
          </w:p>
        </w:tc>
      </w:tr>
      <w:tr w:rsidR="003A70BB" w:rsidRPr="00D03260" w14:paraId="3B2CB215" w14:textId="77777777" w:rsidTr="0036239E">
        <w:tc>
          <w:tcPr>
            <w:tcW w:w="1413" w:type="dxa"/>
          </w:tcPr>
          <w:p w14:paraId="3682C851" w14:textId="77777777" w:rsidR="003A70BB" w:rsidRPr="00D03260" w:rsidRDefault="003A70BB" w:rsidP="0032596A">
            <w:pPr>
              <w:pStyle w:val="Tabletextleft"/>
            </w:pPr>
            <w:r w:rsidRPr="00D03260">
              <w:t>MUS</w:t>
            </w:r>
          </w:p>
        </w:tc>
        <w:tc>
          <w:tcPr>
            <w:tcW w:w="7510" w:type="dxa"/>
          </w:tcPr>
          <w:p w14:paraId="524BA603" w14:textId="77777777" w:rsidR="003A70BB" w:rsidRPr="00D03260" w:rsidRDefault="003A70BB">
            <w:pPr>
              <w:pStyle w:val="Tabletextleft"/>
            </w:pPr>
            <w:r w:rsidRPr="00D03260">
              <w:t>Medically Unexplained Symptoms</w:t>
            </w:r>
          </w:p>
        </w:tc>
      </w:tr>
      <w:tr w:rsidR="003A70BB" w:rsidRPr="00D03260" w14:paraId="2C5D00E8" w14:textId="77777777" w:rsidTr="0036239E">
        <w:tc>
          <w:tcPr>
            <w:tcW w:w="1413" w:type="dxa"/>
          </w:tcPr>
          <w:p w14:paraId="3CB8A62C" w14:textId="77777777" w:rsidR="003A70BB" w:rsidRPr="00D03260" w:rsidRDefault="003A70BB" w:rsidP="0032596A">
            <w:pPr>
              <w:pStyle w:val="Tabletextleft"/>
            </w:pPr>
            <w:r w:rsidRPr="00D03260">
              <w:t>NATA</w:t>
            </w:r>
          </w:p>
        </w:tc>
        <w:tc>
          <w:tcPr>
            <w:tcW w:w="7510" w:type="dxa"/>
          </w:tcPr>
          <w:p w14:paraId="12CBB7F6" w14:textId="55DADE02" w:rsidR="003A70BB" w:rsidRPr="00D03260" w:rsidRDefault="00BE12C1">
            <w:pPr>
              <w:pStyle w:val="Tabletextleft"/>
            </w:pPr>
            <w:r w:rsidRPr="00D03260">
              <w:t>National Association of Testing Authorities</w:t>
            </w:r>
          </w:p>
        </w:tc>
      </w:tr>
      <w:tr w:rsidR="008838DF" w:rsidRPr="00D03260" w14:paraId="297E3641" w14:textId="77777777" w:rsidTr="0036239E">
        <w:tc>
          <w:tcPr>
            <w:tcW w:w="1413" w:type="dxa"/>
          </w:tcPr>
          <w:p w14:paraId="05F86312" w14:textId="70F20F51" w:rsidR="008838DF" w:rsidRPr="00D03260" w:rsidRDefault="008838DF" w:rsidP="0032596A">
            <w:pPr>
              <w:pStyle w:val="Tabletextleft"/>
            </w:pPr>
            <w:r w:rsidRPr="00D03260">
              <w:t>NCCEH</w:t>
            </w:r>
          </w:p>
        </w:tc>
        <w:tc>
          <w:tcPr>
            <w:tcW w:w="7510" w:type="dxa"/>
          </w:tcPr>
          <w:p w14:paraId="24FD6E53" w14:textId="0A2AE24D" w:rsidR="008838DF" w:rsidRPr="00D03260" w:rsidRDefault="008838DF">
            <w:pPr>
              <w:pStyle w:val="Tabletextleft"/>
            </w:pPr>
            <w:r w:rsidRPr="00D03260">
              <w:t>National Collaborating Centre for Environmental Health</w:t>
            </w:r>
          </w:p>
        </w:tc>
      </w:tr>
      <w:tr w:rsidR="003A70BB" w:rsidRPr="00D03260" w14:paraId="66C17937" w14:textId="77777777" w:rsidTr="0036239E">
        <w:tc>
          <w:tcPr>
            <w:tcW w:w="1413" w:type="dxa"/>
          </w:tcPr>
          <w:p w14:paraId="06F88207" w14:textId="77777777" w:rsidR="003A70BB" w:rsidRPr="00D03260" w:rsidRDefault="003A70BB" w:rsidP="0032596A">
            <w:pPr>
              <w:pStyle w:val="Tabletextleft"/>
            </w:pPr>
            <w:r w:rsidRPr="00D03260">
              <w:t>NICE</w:t>
            </w:r>
          </w:p>
        </w:tc>
        <w:tc>
          <w:tcPr>
            <w:tcW w:w="7510" w:type="dxa"/>
          </w:tcPr>
          <w:p w14:paraId="06A0ED6F" w14:textId="40B9DF4F" w:rsidR="003A70BB" w:rsidRPr="00D03260" w:rsidRDefault="003A70BB">
            <w:pPr>
              <w:pStyle w:val="Tabletextleft"/>
            </w:pPr>
            <w:r w:rsidRPr="00D03260">
              <w:t>National Institute of Health and Care Excellence</w:t>
            </w:r>
            <w:r w:rsidR="00BE12C1" w:rsidRPr="00D03260">
              <w:t>, United Kingdom</w:t>
            </w:r>
          </w:p>
        </w:tc>
      </w:tr>
      <w:tr w:rsidR="002200AD" w:rsidRPr="00D03260" w14:paraId="5E53584C" w14:textId="77777777" w:rsidTr="0036239E">
        <w:tc>
          <w:tcPr>
            <w:tcW w:w="1413" w:type="dxa"/>
          </w:tcPr>
          <w:p w14:paraId="4C08729E" w14:textId="1DCEF42D" w:rsidR="002200AD" w:rsidRPr="00D03260" w:rsidRDefault="002200AD" w:rsidP="0032596A">
            <w:pPr>
              <w:pStyle w:val="Tabletextleft"/>
            </w:pPr>
            <w:r w:rsidRPr="00D03260">
              <w:t>NIOSH</w:t>
            </w:r>
          </w:p>
        </w:tc>
        <w:tc>
          <w:tcPr>
            <w:tcW w:w="7510" w:type="dxa"/>
          </w:tcPr>
          <w:p w14:paraId="7B21E4CC" w14:textId="099D79AC" w:rsidR="002200AD" w:rsidRPr="00D03260" w:rsidRDefault="00524207">
            <w:pPr>
              <w:pStyle w:val="Tabletextleft"/>
            </w:pPr>
            <w:r w:rsidRPr="00D03260">
              <w:t>National Institute for Occupational Safety and Health, United States</w:t>
            </w:r>
          </w:p>
        </w:tc>
      </w:tr>
      <w:tr w:rsidR="003A70BB" w:rsidRPr="00D03260" w14:paraId="2FEB19CA" w14:textId="77777777" w:rsidTr="0036239E">
        <w:tc>
          <w:tcPr>
            <w:tcW w:w="1413" w:type="dxa"/>
          </w:tcPr>
          <w:p w14:paraId="27540E2C" w14:textId="77777777" w:rsidR="003A70BB" w:rsidRPr="00D03260" w:rsidRDefault="003A70BB" w:rsidP="0032596A">
            <w:pPr>
              <w:pStyle w:val="Tabletextleft"/>
            </w:pPr>
            <w:r w:rsidRPr="00D03260">
              <w:t>NHMRC</w:t>
            </w:r>
          </w:p>
        </w:tc>
        <w:tc>
          <w:tcPr>
            <w:tcW w:w="7510" w:type="dxa"/>
          </w:tcPr>
          <w:p w14:paraId="5EB063A2" w14:textId="3461F2C3" w:rsidR="003A70BB" w:rsidRPr="00D03260" w:rsidRDefault="003A70BB">
            <w:pPr>
              <w:pStyle w:val="Tabletextleft"/>
            </w:pPr>
            <w:r w:rsidRPr="00D03260">
              <w:t>National Health and Medical Research Council</w:t>
            </w:r>
            <w:r w:rsidR="006C1C8D" w:rsidRPr="00D03260">
              <w:t>, Australia</w:t>
            </w:r>
          </w:p>
        </w:tc>
      </w:tr>
      <w:tr w:rsidR="007632B1" w:rsidRPr="00D03260" w14:paraId="3CF29F7E" w14:textId="77777777" w:rsidTr="0036239E">
        <w:tc>
          <w:tcPr>
            <w:tcW w:w="1413" w:type="dxa"/>
          </w:tcPr>
          <w:p w14:paraId="1F25C068" w14:textId="1FC43021" w:rsidR="007632B1" w:rsidRPr="00D03260" w:rsidRDefault="007632B1" w:rsidP="0032596A">
            <w:pPr>
              <w:pStyle w:val="Tabletextleft"/>
            </w:pPr>
            <w:r w:rsidRPr="00D03260">
              <w:t>NPAAC</w:t>
            </w:r>
          </w:p>
        </w:tc>
        <w:tc>
          <w:tcPr>
            <w:tcW w:w="7510" w:type="dxa"/>
          </w:tcPr>
          <w:p w14:paraId="065318FF" w14:textId="15BADCEE" w:rsidR="007632B1" w:rsidRPr="00D03260" w:rsidRDefault="007632B1">
            <w:pPr>
              <w:pStyle w:val="Tabletextleft"/>
            </w:pPr>
            <w:r w:rsidRPr="00D03260">
              <w:t>National Pathology Accreditation Advisory Council</w:t>
            </w:r>
          </w:p>
        </w:tc>
      </w:tr>
      <w:tr w:rsidR="003A70BB" w:rsidRPr="00D03260" w14:paraId="1F82BFBD" w14:textId="77777777" w:rsidTr="0036239E">
        <w:tc>
          <w:tcPr>
            <w:tcW w:w="1413" w:type="dxa"/>
          </w:tcPr>
          <w:p w14:paraId="69492F59" w14:textId="77777777" w:rsidR="003A70BB" w:rsidRPr="00D03260" w:rsidRDefault="003A70BB" w:rsidP="0032596A">
            <w:pPr>
              <w:pStyle w:val="Tabletextleft"/>
            </w:pPr>
            <w:r w:rsidRPr="00D03260">
              <w:t>NRL</w:t>
            </w:r>
          </w:p>
        </w:tc>
        <w:tc>
          <w:tcPr>
            <w:tcW w:w="7510" w:type="dxa"/>
          </w:tcPr>
          <w:p w14:paraId="37AA68C9" w14:textId="77777777" w:rsidR="003A70BB" w:rsidRPr="00D03260" w:rsidRDefault="003A70BB">
            <w:pPr>
              <w:pStyle w:val="Tabletextleft"/>
            </w:pPr>
            <w:r w:rsidRPr="00D03260">
              <w:t>National Serology Reference Laboratory</w:t>
            </w:r>
          </w:p>
        </w:tc>
      </w:tr>
      <w:tr w:rsidR="005B2B6F" w:rsidRPr="00D03260" w14:paraId="180BC942" w14:textId="77777777" w:rsidTr="0036239E">
        <w:tc>
          <w:tcPr>
            <w:tcW w:w="1413" w:type="dxa"/>
          </w:tcPr>
          <w:p w14:paraId="0C73496C" w14:textId="5A73C804" w:rsidR="005B2B6F" w:rsidRPr="00D03260" w:rsidRDefault="005B2B6F" w:rsidP="0032596A">
            <w:pPr>
              <w:pStyle w:val="Tabletextleft"/>
            </w:pPr>
            <w:r w:rsidRPr="00D03260">
              <w:t>OR</w:t>
            </w:r>
          </w:p>
        </w:tc>
        <w:tc>
          <w:tcPr>
            <w:tcW w:w="7510" w:type="dxa"/>
          </w:tcPr>
          <w:p w14:paraId="3DD463F7" w14:textId="1E60D11B" w:rsidR="005B2B6F" w:rsidRPr="00D03260" w:rsidRDefault="005B2B6F">
            <w:pPr>
              <w:pStyle w:val="Tabletextleft"/>
            </w:pPr>
            <w:r w:rsidRPr="00D03260">
              <w:t>Odds ratio</w:t>
            </w:r>
          </w:p>
        </w:tc>
      </w:tr>
      <w:tr w:rsidR="00BF3FD8" w:rsidRPr="00D03260" w14:paraId="153E97EB" w14:textId="77777777" w:rsidTr="0036239E">
        <w:tc>
          <w:tcPr>
            <w:tcW w:w="1413" w:type="dxa"/>
          </w:tcPr>
          <w:p w14:paraId="7CA56E60" w14:textId="028006B8" w:rsidR="00BF3FD8" w:rsidRPr="00D03260" w:rsidRDefault="00BF3FD8" w:rsidP="0032596A">
            <w:pPr>
              <w:pStyle w:val="Tabletextleft"/>
            </w:pPr>
            <w:r w:rsidRPr="00D03260">
              <w:t>PAFs</w:t>
            </w:r>
          </w:p>
        </w:tc>
        <w:tc>
          <w:tcPr>
            <w:tcW w:w="7510" w:type="dxa"/>
          </w:tcPr>
          <w:p w14:paraId="71884EA9" w14:textId="048E8435" w:rsidR="00BF3FD8" w:rsidRPr="00D03260" w:rsidRDefault="00BF3FD8">
            <w:pPr>
              <w:pStyle w:val="Tabletextleft"/>
            </w:pPr>
            <w:r w:rsidRPr="00D03260">
              <w:t>Population attributable fractions</w:t>
            </w:r>
          </w:p>
        </w:tc>
      </w:tr>
      <w:tr w:rsidR="003A70BB" w:rsidRPr="00D03260" w14:paraId="2E422D02" w14:textId="77777777" w:rsidTr="0036239E">
        <w:tc>
          <w:tcPr>
            <w:tcW w:w="1413" w:type="dxa"/>
          </w:tcPr>
          <w:p w14:paraId="76026B88" w14:textId="77777777" w:rsidR="003A70BB" w:rsidRPr="00D03260" w:rsidRDefault="003A70BB" w:rsidP="0032596A">
            <w:pPr>
              <w:pStyle w:val="Tabletextleft"/>
            </w:pPr>
            <w:r w:rsidRPr="00D03260">
              <w:t>PCR</w:t>
            </w:r>
          </w:p>
        </w:tc>
        <w:tc>
          <w:tcPr>
            <w:tcW w:w="7510" w:type="dxa"/>
          </w:tcPr>
          <w:p w14:paraId="55E4313F" w14:textId="3135B29B" w:rsidR="003A70BB" w:rsidRPr="00D03260" w:rsidRDefault="003A70BB">
            <w:pPr>
              <w:pStyle w:val="Tabletextleft"/>
            </w:pPr>
            <w:r w:rsidRPr="00D03260">
              <w:t xml:space="preserve">Polymerised </w:t>
            </w:r>
            <w:r w:rsidR="0062790E" w:rsidRPr="00D03260">
              <w:t>c</w:t>
            </w:r>
            <w:r w:rsidRPr="00D03260">
              <w:t xml:space="preserve">hain </w:t>
            </w:r>
            <w:r w:rsidR="0062790E" w:rsidRPr="00D03260">
              <w:t>r</w:t>
            </w:r>
            <w:r w:rsidRPr="00D03260">
              <w:t>eaction</w:t>
            </w:r>
          </w:p>
        </w:tc>
      </w:tr>
      <w:tr w:rsidR="003A70BB" w:rsidRPr="00D03260" w14:paraId="4EF7FBD1" w14:textId="77777777" w:rsidTr="0036239E">
        <w:tc>
          <w:tcPr>
            <w:tcW w:w="1413" w:type="dxa"/>
          </w:tcPr>
          <w:p w14:paraId="3BC56784" w14:textId="77777777" w:rsidR="003A70BB" w:rsidRPr="00D03260" w:rsidRDefault="003A70BB" w:rsidP="0032596A">
            <w:pPr>
              <w:pStyle w:val="Tabletextleft"/>
            </w:pPr>
            <w:r w:rsidRPr="00D03260">
              <w:t>RACGP</w:t>
            </w:r>
          </w:p>
        </w:tc>
        <w:tc>
          <w:tcPr>
            <w:tcW w:w="7510" w:type="dxa"/>
          </w:tcPr>
          <w:p w14:paraId="1F20F8DD" w14:textId="77777777" w:rsidR="003A70BB" w:rsidRPr="00D03260" w:rsidRDefault="003A70BB">
            <w:pPr>
              <w:pStyle w:val="Tabletextleft"/>
            </w:pPr>
            <w:r w:rsidRPr="00D03260">
              <w:t>Royal Australian College of General Practitioners</w:t>
            </w:r>
          </w:p>
        </w:tc>
      </w:tr>
      <w:tr w:rsidR="003A70BB" w:rsidRPr="00D03260" w14:paraId="04CF3197" w14:textId="77777777" w:rsidTr="0036239E">
        <w:tc>
          <w:tcPr>
            <w:tcW w:w="1413" w:type="dxa"/>
          </w:tcPr>
          <w:p w14:paraId="77125BD2" w14:textId="77777777" w:rsidR="003A70BB" w:rsidRPr="00D03260" w:rsidRDefault="003A70BB" w:rsidP="0032596A">
            <w:pPr>
              <w:pStyle w:val="Tabletextleft"/>
            </w:pPr>
            <w:r w:rsidRPr="00D03260">
              <w:t>RCPA</w:t>
            </w:r>
          </w:p>
        </w:tc>
        <w:tc>
          <w:tcPr>
            <w:tcW w:w="7510" w:type="dxa"/>
          </w:tcPr>
          <w:p w14:paraId="16598EFD" w14:textId="77777777" w:rsidR="003A70BB" w:rsidRPr="00D03260" w:rsidRDefault="003A70BB">
            <w:pPr>
              <w:pStyle w:val="Tabletextleft"/>
            </w:pPr>
            <w:r w:rsidRPr="00D03260">
              <w:t>Royal College of Pathologists of Australasia</w:t>
            </w:r>
          </w:p>
        </w:tc>
      </w:tr>
      <w:tr w:rsidR="003A70BB" w:rsidRPr="00D03260" w14:paraId="7DD00FAA" w14:textId="77777777" w:rsidTr="0036239E">
        <w:tc>
          <w:tcPr>
            <w:tcW w:w="1413" w:type="dxa"/>
          </w:tcPr>
          <w:p w14:paraId="1BAE31BE" w14:textId="77777777" w:rsidR="003A70BB" w:rsidRPr="00D03260" w:rsidRDefault="003A70BB" w:rsidP="0032596A">
            <w:pPr>
              <w:pStyle w:val="Tabletextleft"/>
            </w:pPr>
            <w:r w:rsidRPr="00D03260">
              <w:t>RCT</w:t>
            </w:r>
          </w:p>
        </w:tc>
        <w:tc>
          <w:tcPr>
            <w:tcW w:w="7510" w:type="dxa"/>
          </w:tcPr>
          <w:p w14:paraId="04B70F3B" w14:textId="25912801" w:rsidR="003A70BB" w:rsidRPr="00D03260" w:rsidRDefault="003A70BB">
            <w:pPr>
              <w:pStyle w:val="Tabletextleft"/>
            </w:pPr>
            <w:r w:rsidRPr="00D03260">
              <w:t>Randomised controlled trial</w:t>
            </w:r>
          </w:p>
        </w:tc>
      </w:tr>
      <w:tr w:rsidR="00FE0870" w:rsidRPr="00D03260" w14:paraId="21F12D1E" w14:textId="77777777" w:rsidTr="0036239E">
        <w:tc>
          <w:tcPr>
            <w:tcW w:w="1413" w:type="dxa"/>
          </w:tcPr>
          <w:p w14:paraId="2A7ED1AD" w14:textId="04F7FB4F" w:rsidR="00FE0870" w:rsidRPr="00D03260" w:rsidRDefault="00FE0870" w:rsidP="0032596A">
            <w:pPr>
              <w:pStyle w:val="Tabletextleft"/>
            </w:pPr>
            <w:r w:rsidRPr="00D03260">
              <w:t>RoB</w:t>
            </w:r>
          </w:p>
        </w:tc>
        <w:tc>
          <w:tcPr>
            <w:tcW w:w="7510" w:type="dxa"/>
          </w:tcPr>
          <w:p w14:paraId="5E3E9544" w14:textId="3B6648AC" w:rsidR="00FE0870" w:rsidRPr="00D03260" w:rsidRDefault="00FE0870">
            <w:pPr>
              <w:pStyle w:val="Tabletextleft"/>
            </w:pPr>
            <w:r w:rsidRPr="00D03260">
              <w:t>Risk of bias</w:t>
            </w:r>
          </w:p>
        </w:tc>
      </w:tr>
      <w:tr w:rsidR="00377588" w:rsidRPr="00D03260" w14:paraId="41C2EF25" w14:textId="77777777" w:rsidTr="0036239E">
        <w:tc>
          <w:tcPr>
            <w:tcW w:w="1413" w:type="dxa"/>
          </w:tcPr>
          <w:p w14:paraId="0038C848" w14:textId="75690286" w:rsidR="00377588" w:rsidRPr="00D03260" w:rsidRDefault="00377588" w:rsidP="0032596A">
            <w:pPr>
              <w:pStyle w:val="Tabletextleft"/>
            </w:pPr>
            <w:r w:rsidRPr="00D03260">
              <w:t>S2k</w:t>
            </w:r>
          </w:p>
        </w:tc>
        <w:tc>
          <w:tcPr>
            <w:tcW w:w="7510" w:type="dxa"/>
          </w:tcPr>
          <w:p w14:paraId="1D6834EB" w14:textId="1FEAE296" w:rsidR="00377588" w:rsidRPr="00D03260" w:rsidRDefault="00377588">
            <w:pPr>
              <w:pStyle w:val="Tabletextleft"/>
            </w:pPr>
            <w:r w:rsidRPr="00D03260">
              <w:t>European consensus-based guideline</w:t>
            </w:r>
          </w:p>
        </w:tc>
      </w:tr>
      <w:tr w:rsidR="00B443B1" w:rsidRPr="00D03260" w14:paraId="14E00E1A" w14:textId="77777777" w:rsidTr="0036239E">
        <w:tc>
          <w:tcPr>
            <w:tcW w:w="1413" w:type="dxa"/>
          </w:tcPr>
          <w:p w14:paraId="455A24C3" w14:textId="72C5776D" w:rsidR="00B443B1" w:rsidRPr="00D03260" w:rsidRDefault="00B443B1" w:rsidP="0032596A">
            <w:pPr>
              <w:pStyle w:val="Tabletextleft"/>
            </w:pPr>
            <w:r w:rsidRPr="00D03260">
              <w:t>SBS</w:t>
            </w:r>
          </w:p>
        </w:tc>
        <w:tc>
          <w:tcPr>
            <w:tcW w:w="7510" w:type="dxa"/>
          </w:tcPr>
          <w:p w14:paraId="2E412974" w14:textId="1FBDF5A8" w:rsidR="00B443B1" w:rsidRPr="00D03260" w:rsidRDefault="00B443B1">
            <w:pPr>
              <w:pStyle w:val="Tabletextleft"/>
            </w:pPr>
            <w:r w:rsidRPr="00D03260">
              <w:t>Sick building syndrome</w:t>
            </w:r>
          </w:p>
        </w:tc>
      </w:tr>
      <w:tr w:rsidR="003A70BB" w:rsidRPr="00D03260" w14:paraId="0A4F5915" w14:textId="77777777" w:rsidTr="0036239E">
        <w:tc>
          <w:tcPr>
            <w:tcW w:w="1413" w:type="dxa"/>
          </w:tcPr>
          <w:p w14:paraId="31F5E6AB" w14:textId="77777777" w:rsidR="003A70BB" w:rsidRPr="00D03260" w:rsidRDefault="003A70BB" w:rsidP="0032596A">
            <w:pPr>
              <w:pStyle w:val="Tabletextleft"/>
            </w:pPr>
            <w:r w:rsidRPr="00D03260">
              <w:t>TGA</w:t>
            </w:r>
          </w:p>
        </w:tc>
        <w:tc>
          <w:tcPr>
            <w:tcW w:w="7510" w:type="dxa"/>
          </w:tcPr>
          <w:p w14:paraId="419EF5FA" w14:textId="3CBA65A9" w:rsidR="003A70BB" w:rsidRPr="00D03260" w:rsidRDefault="003A70BB">
            <w:pPr>
              <w:pStyle w:val="Tabletextleft"/>
            </w:pPr>
            <w:r w:rsidRPr="00D03260">
              <w:t>Therapeutic Goods Administration</w:t>
            </w:r>
          </w:p>
        </w:tc>
      </w:tr>
      <w:tr w:rsidR="00735BE6" w:rsidRPr="00D03260" w14:paraId="7C3DB90E" w14:textId="77777777" w:rsidTr="0036239E">
        <w:tc>
          <w:tcPr>
            <w:tcW w:w="1413" w:type="dxa"/>
          </w:tcPr>
          <w:p w14:paraId="5AE13384" w14:textId="62723C2C" w:rsidR="00735BE6" w:rsidRPr="00D03260" w:rsidRDefault="00735BE6" w:rsidP="0032596A">
            <w:pPr>
              <w:pStyle w:val="Tabletextleft"/>
            </w:pPr>
            <w:r w:rsidRPr="00D03260">
              <w:t>TMS</w:t>
            </w:r>
          </w:p>
        </w:tc>
        <w:tc>
          <w:tcPr>
            <w:tcW w:w="7510" w:type="dxa"/>
          </w:tcPr>
          <w:p w14:paraId="0C82427F" w14:textId="72D90566" w:rsidR="00735BE6" w:rsidRPr="00D03260" w:rsidRDefault="00735BE6">
            <w:pPr>
              <w:pStyle w:val="Tabletextleft"/>
            </w:pPr>
            <w:r w:rsidRPr="00D03260">
              <w:t>Toxic mold syndrome</w:t>
            </w:r>
          </w:p>
        </w:tc>
      </w:tr>
      <w:tr w:rsidR="00624641" w:rsidRPr="00D03260" w14:paraId="2F4EC6D3" w14:textId="77777777" w:rsidTr="0036239E">
        <w:tc>
          <w:tcPr>
            <w:tcW w:w="1413" w:type="dxa"/>
          </w:tcPr>
          <w:p w14:paraId="0226CE0F" w14:textId="6F26A84B" w:rsidR="00624641" w:rsidRPr="00D03260" w:rsidRDefault="00624641" w:rsidP="0032596A">
            <w:pPr>
              <w:pStyle w:val="Tabletextleft"/>
            </w:pPr>
            <w:r w:rsidRPr="00D03260">
              <w:t>TMSA</w:t>
            </w:r>
          </w:p>
        </w:tc>
        <w:tc>
          <w:tcPr>
            <w:tcW w:w="7510" w:type="dxa"/>
          </w:tcPr>
          <w:p w14:paraId="25BBC3AF" w14:textId="7E736BD5" w:rsidR="00624641" w:rsidRPr="00D03260" w:rsidRDefault="00B443B1">
            <w:pPr>
              <w:pStyle w:val="Tabletextleft"/>
            </w:pPr>
            <w:r w:rsidRPr="00D03260">
              <w:t>Toxic Mould Support Australia</w:t>
            </w:r>
          </w:p>
        </w:tc>
      </w:tr>
      <w:tr w:rsidR="003A70BB" w:rsidRPr="00D03260" w14:paraId="0253DFFB" w14:textId="77777777" w:rsidTr="0036239E">
        <w:tc>
          <w:tcPr>
            <w:tcW w:w="1413" w:type="dxa"/>
          </w:tcPr>
          <w:p w14:paraId="21192544" w14:textId="77F04A2F" w:rsidR="003A70BB" w:rsidRPr="00D03260" w:rsidRDefault="00BE12C1" w:rsidP="0032596A">
            <w:pPr>
              <w:pStyle w:val="Tabletextleft"/>
            </w:pPr>
            <w:r w:rsidRPr="00D03260">
              <w:t>UK</w:t>
            </w:r>
          </w:p>
        </w:tc>
        <w:tc>
          <w:tcPr>
            <w:tcW w:w="7510" w:type="dxa"/>
          </w:tcPr>
          <w:p w14:paraId="5CB762BD" w14:textId="60A9C641" w:rsidR="003A70BB" w:rsidRPr="00D03260" w:rsidRDefault="00BE12C1">
            <w:pPr>
              <w:pStyle w:val="Tabletextleft"/>
            </w:pPr>
            <w:r w:rsidRPr="00D03260">
              <w:t>United Kingdom</w:t>
            </w:r>
          </w:p>
        </w:tc>
      </w:tr>
      <w:tr w:rsidR="003A70BB" w:rsidRPr="00D03260" w14:paraId="51BEB80B" w14:textId="77777777" w:rsidTr="0036239E">
        <w:tc>
          <w:tcPr>
            <w:tcW w:w="1413" w:type="dxa"/>
          </w:tcPr>
          <w:p w14:paraId="66C44233" w14:textId="5F8BED92" w:rsidR="003A70BB" w:rsidRPr="00D03260" w:rsidRDefault="00BE12C1" w:rsidP="0032596A">
            <w:pPr>
              <w:pStyle w:val="Tabletextleft"/>
            </w:pPr>
            <w:r w:rsidRPr="00D03260">
              <w:t>US</w:t>
            </w:r>
          </w:p>
        </w:tc>
        <w:tc>
          <w:tcPr>
            <w:tcW w:w="7510" w:type="dxa"/>
          </w:tcPr>
          <w:p w14:paraId="122C8A34" w14:textId="1162D60E" w:rsidR="003A70BB" w:rsidRPr="00D03260" w:rsidRDefault="00BE12C1">
            <w:pPr>
              <w:pStyle w:val="Tabletextleft"/>
            </w:pPr>
            <w:r w:rsidRPr="00D03260">
              <w:t>United States</w:t>
            </w:r>
          </w:p>
        </w:tc>
      </w:tr>
      <w:tr w:rsidR="00D266D1" w:rsidRPr="00D03260" w14:paraId="0D8075EE" w14:textId="77777777" w:rsidTr="0036239E">
        <w:tc>
          <w:tcPr>
            <w:tcW w:w="1413" w:type="dxa"/>
          </w:tcPr>
          <w:p w14:paraId="57313A06" w14:textId="258F925B" w:rsidR="00D266D1" w:rsidRPr="00D03260" w:rsidRDefault="00D266D1" w:rsidP="0032596A">
            <w:pPr>
              <w:pStyle w:val="Tabletextleft"/>
            </w:pPr>
            <w:r w:rsidRPr="00D03260">
              <w:t>VCS</w:t>
            </w:r>
          </w:p>
        </w:tc>
        <w:tc>
          <w:tcPr>
            <w:tcW w:w="7510" w:type="dxa"/>
          </w:tcPr>
          <w:p w14:paraId="168BD53E" w14:textId="48C42500" w:rsidR="00D266D1" w:rsidRPr="00D03260" w:rsidRDefault="00D266D1">
            <w:pPr>
              <w:pStyle w:val="Tabletextleft"/>
            </w:pPr>
            <w:r w:rsidRPr="00D03260">
              <w:t>Visual contrast sensitivity</w:t>
            </w:r>
          </w:p>
        </w:tc>
      </w:tr>
      <w:tr w:rsidR="00FD0EDA" w:rsidRPr="00D03260" w14:paraId="57AB023D" w14:textId="77777777" w:rsidTr="0036239E">
        <w:tc>
          <w:tcPr>
            <w:tcW w:w="1413" w:type="dxa"/>
          </w:tcPr>
          <w:p w14:paraId="372BB448" w14:textId="5964B691" w:rsidR="00FD0EDA" w:rsidRPr="00D03260" w:rsidRDefault="00FD0EDA" w:rsidP="0032596A">
            <w:pPr>
              <w:pStyle w:val="Tabletextleft"/>
            </w:pPr>
            <w:r w:rsidRPr="00D03260">
              <w:t>VIP</w:t>
            </w:r>
          </w:p>
        </w:tc>
        <w:tc>
          <w:tcPr>
            <w:tcW w:w="7510" w:type="dxa"/>
          </w:tcPr>
          <w:p w14:paraId="22B011E3" w14:textId="6D68602B" w:rsidR="00FD0EDA" w:rsidRPr="00D03260" w:rsidRDefault="007C49F4">
            <w:pPr>
              <w:pStyle w:val="Tabletextleft"/>
            </w:pPr>
            <w:r w:rsidRPr="00D03260">
              <w:t xml:space="preserve">Vasoactive intestinal </w:t>
            </w:r>
            <w:r w:rsidR="00AE07D5" w:rsidRPr="00D03260">
              <w:t>polypeptide</w:t>
            </w:r>
          </w:p>
        </w:tc>
      </w:tr>
      <w:tr w:rsidR="00FD2581" w:rsidRPr="00D03260" w14:paraId="0AD983C2" w14:textId="77777777" w:rsidTr="0036239E">
        <w:tc>
          <w:tcPr>
            <w:tcW w:w="1413" w:type="dxa"/>
          </w:tcPr>
          <w:p w14:paraId="4D669C92" w14:textId="7C1A8741" w:rsidR="00FD2581" w:rsidRPr="00D03260" w:rsidRDefault="00FD2581" w:rsidP="0032596A">
            <w:pPr>
              <w:pStyle w:val="Tabletextleft"/>
            </w:pPr>
            <w:r w:rsidRPr="00D03260">
              <w:t>WHO</w:t>
            </w:r>
          </w:p>
        </w:tc>
        <w:tc>
          <w:tcPr>
            <w:tcW w:w="7510" w:type="dxa"/>
          </w:tcPr>
          <w:p w14:paraId="74917244" w14:textId="0D635E08" w:rsidR="00FD2581" w:rsidRPr="00D03260" w:rsidRDefault="00FD2581">
            <w:pPr>
              <w:pStyle w:val="Tabletextleft"/>
            </w:pPr>
            <w:r w:rsidRPr="00D03260">
              <w:t>World Health Organization</w:t>
            </w:r>
          </w:p>
        </w:tc>
      </w:tr>
    </w:tbl>
    <w:p w14:paraId="24E353FF" w14:textId="77777777" w:rsidR="000325B6" w:rsidRPr="00D03260" w:rsidRDefault="000325B6" w:rsidP="00346C4A"/>
    <w:p w14:paraId="0F87885F" w14:textId="3429064C" w:rsidR="000325B6" w:rsidRPr="00D03260" w:rsidRDefault="000325B6" w:rsidP="00346C4A">
      <w:pPr>
        <w:sectPr w:rsidR="000325B6" w:rsidRPr="00D03260" w:rsidSect="00205A93">
          <w:footerReference w:type="default" r:id="rId95"/>
          <w:pgSz w:w="11906" w:h="16838"/>
          <w:pgMar w:top="1701" w:right="1418" w:bottom="1418" w:left="1418" w:header="709" w:footer="709" w:gutter="0"/>
          <w:cols w:space="708"/>
          <w:docGrid w:linePitch="360"/>
        </w:sectPr>
      </w:pPr>
    </w:p>
    <w:p w14:paraId="5D8750A5" w14:textId="77777777" w:rsidR="00205A93" w:rsidRPr="00D03260" w:rsidRDefault="00205A93" w:rsidP="00346C4A">
      <w:pPr>
        <w:pStyle w:val="URL"/>
      </w:pPr>
      <w:r w:rsidRPr="00D03260">
        <w:t>Health.gov.au</w:t>
      </w:r>
    </w:p>
    <w:p w14:paraId="2B2DA342" w14:textId="28A0F957" w:rsidR="00205A93" w:rsidRPr="00D03260" w:rsidRDefault="00205A93" w:rsidP="004D1339">
      <w:pPr>
        <w:jc w:val="center"/>
      </w:pPr>
      <w:r w:rsidRPr="00D03260">
        <w:t xml:space="preserve">All information in this publication is correct as at </w:t>
      </w:r>
      <w:r w:rsidR="00512A02" w:rsidRPr="00D03260">
        <w:t>1</w:t>
      </w:r>
      <w:r w:rsidR="00D63E8A" w:rsidRPr="00D03260">
        <w:t>5</w:t>
      </w:r>
      <w:r w:rsidR="002B56DB" w:rsidRPr="00D03260">
        <w:t xml:space="preserve"> </w:t>
      </w:r>
      <w:r w:rsidR="00512A02" w:rsidRPr="00D03260">
        <w:t>December</w:t>
      </w:r>
      <w:r w:rsidRPr="00D03260">
        <w:t xml:space="preserve"> </w:t>
      </w:r>
      <w:r w:rsidR="003A70BB" w:rsidRPr="00D03260">
        <w:t>2022</w:t>
      </w:r>
      <w:r w:rsidR="002B56DB" w:rsidRPr="00D03260">
        <w:t>.</w:t>
      </w:r>
    </w:p>
    <w:sectPr w:rsidR="00205A93" w:rsidRPr="00D03260" w:rsidSect="00205A93">
      <w:headerReference w:type="even" r:id="rId96"/>
      <w:headerReference w:type="default" r:id="rId97"/>
      <w:footerReference w:type="default" r:id="rId98"/>
      <w:headerReference w:type="first" r:id="rId99"/>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2D3B6" w14:textId="77777777" w:rsidR="00400BDA" w:rsidRDefault="00400BDA" w:rsidP="00346C4A">
      <w:r>
        <w:separator/>
      </w:r>
    </w:p>
    <w:p w14:paraId="7620F7CE" w14:textId="77777777" w:rsidR="00400BDA" w:rsidRDefault="00400BDA" w:rsidP="00346C4A"/>
  </w:endnote>
  <w:endnote w:type="continuationSeparator" w:id="0">
    <w:p w14:paraId="5D9734E5" w14:textId="77777777" w:rsidR="00400BDA" w:rsidRDefault="00400BDA" w:rsidP="00346C4A">
      <w:r>
        <w:continuationSeparator/>
      </w:r>
    </w:p>
    <w:p w14:paraId="0CD5145B" w14:textId="77777777" w:rsidR="00400BDA" w:rsidRDefault="00400BDA" w:rsidP="00346C4A"/>
  </w:endnote>
  <w:endnote w:type="continuationNotice" w:id="1">
    <w:p w14:paraId="29B5A065" w14:textId="77777777" w:rsidR="00400BDA" w:rsidRDefault="00400BDA"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28BB0"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4A0DACE4" w14:textId="3AC564D6" w:rsidR="00236073" w:rsidRDefault="002D6106" w:rsidP="000D56E4">
        <w:pPr>
          <w:pStyle w:val="Footer"/>
        </w:pPr>
        <w:r w:rsidRPr="002D6106">
          <w:t>Biotoxins (</w:t>
        </w:r>
        <w:r w:rsidR="008153C7">
          <w:t>i</w:t>
        </w:r>
        <w:r w:rsidRPr="002D6106">
          <w:t>ndoor damp and mould) Clinical Pathway</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41A1438C"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3A1B" w14:textId="468E26B2" w:rsidR="007D62A7" w:rsidRDefault="00000000" w:rsidP="00A43D7F">
    <w:pPr>
      <w:pStyle w:val="Footer"/>
      <w:tabs>
        <w:tab w:val="clear" w:pos="9026"/>
        <w:tab w:val="right" w:pos="13719"/>
      </w:tabs>
      <w:jc w:val="left"/>
    </w:pPr>
    <w:sdt>
      <w:sdtPr>
        <w:id w:val="1414655591"/>
        <w:docPartObj>
          <w:docPartGallery w:val="Page Numbers (Bottom of Page)"/>
          <w:docPartUnique/>
        </w:docPartObj>
      </w:sdtPr>
      <w:sdtEndPr>
        <w:rPr>
          <w:noProof/>
        </w:rPr>
      </w:sdtEndPr>
      <w:sdtContent>
        <w:r w:rsidR="007D62A7" w:rsidRPr="002D6106">
          <w:t>Biotoxins (</w:t>
        </w:r>
        <w:r w:rsidR="007D62A7">
          <w:t>i</w:t>
        </w:r>
        <w:r w:rsidR="007D62A7" w:rsidRPr="002D6106">
          <w:t>ndoor damp and mould) Clinical Pathway</w:t>
        </w:r>
      </w:sdtContent>
    </w:sdt>
    <w:r w:rsidR="007D62A7">
      <w:rPr>
        <w:noProof/>
      </w:rPr>
      <w:tab/>
    </w:r>
    <w:r w:rsidR="007D62A7">
      <w:fldChar w:fldCharType="begin"/>
    </w:r>
    <w:r w:rsidR="007D62A7">
      <w:instrText xml:space="preserve"> PAGE   \* MERGEFORMAT </w:instrText>
    </w:r>
    <w:r w:rsidR="007D62A7">
      <w:fldChar w:fldCharType="separate"/>
    </w:r>
    <w:r w:rsidR="007D62A7">
      <w:t>70</w:t>
    </w:r>
    <w:r w:rsidR="007D62A7">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809270"/>
      <w:docPartObj>
        <w:docPartGallery w:val="Page Numbers (Bottom of Page)"/>
        <w:docPartUnique/>
      </w:docPartObj>
    </w:sdtPr>
    <w:sdtEndPr>
      <w:rPr>
        <w:noProof/>
      </w:rPr>
    </w:sdtEndPr>
    <w:sdtContent>
      <w:p w14:paraId="6B901C13" w14:textId="3F02463B" w:rsidR="001B6483" w:rsidRDefault="001B6483">
        <w:pPr>
          <w:pStyle w:val="Footer"/>
        </w:pPr>
        <w:r>
          <w:fldChar w:fldCharType="begin"/>
        </w:r>
        <w:r>
          <w:instrText xml:space="preserve"> PAGE   \* MERGEFORMAT </w:instrText>
        </w:r>
        <w:r>
          <w:fldChar w:fldCharType="separate"/>
        </w:r>
        <w:r>
          <w:rPr>
            <w:noProof/>
          </w:rPr>
          <w:t>2</w:t>
        </w:r>
        <w:r>
          <w:rPr>
            <w:noProof/>
          </w:rPr>
          <w:fldChar w:fldCharType="end"/>
        </w:r>
      </w:p>
    </w:sdtContent>
  </w:sdt>
  <w:p w14:paraId="30BCD765" w14:textId="475A3AD7" w:rsidR="00A5692F" w:rsidRDefault="00A5692F">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186969"/>
      <w:docPartObj>
        <w:docPartGallery w:val="Page Numbers (Bottom of Page)"/>
        <w:docPartUnique/>
      </w:docPartObj>
    </w:sdtPr>
    <w:sdtEndPr>
      <w:rPr>
        <w:noProof/>
      </w:rPr>
    </w:sdtEndPr>
    <w:sdtContent>
      <w:p w14:paraId="69F840E1" w14:textId="551874A0" w:rsidR="007D62A7" w:rsidRDefault="007D62A7" w:rsidP="000D56E4">
        <w:pPr>
          <w:pStyle w:val="Footer"/>
        </w:pPr>
        <w:r w:rsidRPr="002D6106">
          <w:t>Biotoxins (</w:t>
        </w:r>
        <w:r>
          <w:t>i</w:t>
        </w:r>
        <w:r w:rsidRPr="002D6106">
          <w:t>ndoor damp and mould) Clinical Pathway</w:t>
        </w:r>
        <w:r>
          <w:tab/>
        </w:r>
        <w:r>
          <w:fldChar w:fldCharType="begin"/>
        </w:r>
        <w:r>
          <w:instrText xml:space="preserve"> PAGE   \* MERGEFORMAT </w:instrText>
        </w:r>
        <w:r>
          <w:fldChar w:fldCharType="separate"/>
        </w:r>
        <w:r>
          <w:rPr>
            <w:noProof/>
          </w:rPr>
          <w:t>3</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E1B84"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910FA" w14:textId="77777777" w:rsidR="00400BDA" w:rsidRDefault="00400BDA" w:rsidP="00346C4A">
      <w:r>
        <w:separator/>
      </w:r>
    </w:p>
  </w:footnote>
  <w:footnote w:type="continuationSeparator" w:id="0">
    <w:p w14:paraId="4A26DBE2" w14:textId="77777777" w:rsidR="00400BDA" w:rsidRDefault="00400BDA" w:rsidP="00346C4A">
      <w:r>
        <w:continuationSeparator/>
      </w:r>
    </w:p>
    <w:p w14:paraId="4FCE54CD" w14:textId="77777777" w:rsidR="00400BDA" w:rsidRDefault="00400BDA" w:rsidP="00346C4A"/>
  </w:footnote>
  <w:footnote w:type="continuationNotice" w:id="1">
    <w:p w14:paraId="1CDBB2DF" w14:textId="77777777" w:rsidR="00400BDA" w:rsidRDefault="00400BDA" w:rsidP="00346C4A"/>
  </w:footnote>
  <w:footnote w:id="2">
    <w:p w14:paraId="7D8166C2" w14:textId="77777777" w:rsidR="00F22486" w:rsidRPr="005D4846" w:rsidRDefault="00F22486" w:rsidP="00F22486">
      <w:pPr>
        <w:pStyle w:val="FootnoteText"/>
        <w:rPr>
          <w:lang w:val="en-US"/>
        </w:rPr>
      </w:pPr>
      <w:r>
        <w:rPr>
          <w:rStyle w:val="FootnoteReference"/>
        </w:rPr>
        <w:footnoteRef/>
      </w:r>
      <w:r>
        <w:t xml:space="preserve"> </w:t>
      </w:r>
      <w:r>
        <w:rPr>
          <w:lang w:val="en-US"/>
        </w:rPr>
        <w:t xml:space="preserve">References to the Department in this document refer to the </w:t>
      </w:r>
      <w:r w:rsidRPr="005D4846">
        <w:rPr>
          <w:lang w:val="en-US"/>
        </w:rPr>
        <w:t xml:space="preserve">Australian Government </w:t>
      </w:r>
      <w:r>
        <w:rPr>
          <w:lang w:val="en-US"/>
        </w:rPr>
        <w:t>Department of Health and Aged Care, and its predecessor the Australian Government Department of Health. The Department of Health and Aged Care name took effect from 23 June 2022.</w:t>
      </w:r>
    </w:p>
  </w:footnote>
  <w:footnote w:id="3">
    <w:p w14:paraId="06B07E71" w14:textId="0E458E04" w:rsidR="00E00F22" w:rsidRPr="00E00F22" w:rsidRDefault="00E00F22">
      <w:pPr>
        <w:pStyle w:val="FootnoteText"/>
        <w:rPr>
          <w:lang w:val="en-NZ"/>
        </w:rPr>
      </w:pPr>
      <w:r>
        <w:rPr>
          <w:rStyle w:val="FootnoteReference"/>
        </w:rPr>
        <w:footnoteRef/>
      </w:r>
      <w:r>
        <w:t xml:space="preserve"> </w:t>
      </w:r>
      <w:r w:rsidR="00044D60" w:rsidRPr="00044D60">
        <w:t>The Inquiry report did not define 'biotoxin'. A number of submitters provided information to answer the Inquiry’s question ‘What is a biotoxin-related illness? The R</w:t>
      </w:r>
      <w:r w:rsidR="00044D60">
        <w:t xml:space="preserve">oyal </w:t>
      </w:r>
      <w:r w:rsidR="00044D60" w:rsidRPr="00044D60">
        <w:t>A</w:t>
      </w:r>
      <w:r w:rsidR="00044D60">
        <w:t xml:space="preserve">ustralasian </w:t>
      </w:r>
      <w:r w:rsidR="00044D60" w:rsidRPr="00044D60">
        <w:t>C</w:t>
      </w:r>
      <w:r w:rsidR="00044D60">
        <w:t xml:space="preserve">ollege of </w:t>
      </w:r>
      <w:r w:rsidR="00044D60" w:rsidRPr="00044D60">
        <w:t>P</w:t>
      </w:r>
      <w:r w:rsidR="00044D60">
        <w:t xml:space="preserve">hysicians (RACP) </w:t>
      </w:r>
      <w:r w:rsidR="00044D60" w:rsidRPr="00044D60">
        <w:t>advised the Inquiry “biotoxins” is an umbrella term for substances of biological origin, some of which can produce toxic effects in humans".</w:t>
      </w:r>
    </w:p>
  </w:footnote>
  <w:footnote w:id="4">
    <w:p w14:paraId="5959A9B8" w14:textId="520B205B" w:rsidR="003055EA" w:rsidRPr="00453627" w:rsidRDefault="003055EA">
      <w:pPr>
        <w:pStyle w:val="FootnoteText"/>
        <w:rPr>
          <w:lang w:val="en-NZ"/>
        </w:rPr>
      </w:pPr>
      <w:r>
        <w:rPr>
          <w:rStyle w:val="FootnoteReference"/>
        </w:rPr>
        <w:footnoteRef/>
      </w:r>
      <w:r>
        <w:t xml:space="preserve"> </w:t>
      </w:r>
      <w:r w:rsidRPr="003055EA">
        <w:t>Mould assessment typically contrasts ambient outdoor spore concentrations with indoor concentrations when investigating potential issues</w:t>
      </w:r>
      <w:r w:rsidR="00095ECF">
        <w:t>.</w:t>
      </w:r>
    </w:p>
  </w:footnote>
  <w:footnote w:id="5">
    <w:p w14:paraId="07029633" w14:textId="09174CCC" w:rsidR="00C15B1A" w:rsidRPr="00A43D7F" w:rsidRDefault="00C15B1A">
      <w:pPr>
        <w:pStyle w:val="FootnoteText"/>
        <w:rPr>
          <w:rFonts w:cs="Arial"/>
          <w:lang w:val="en-NZ"/>
        </w:rPr>
      </w:pPr>
      <w:r w:rsidRPr="00344317">
        <w:rPr>
          <w:rStyle w:val="FootnoteReference"/>
          <w:rFonts w:cs="Arial"/>
        </w:rPr>
        <w:footnoteRef/>
      </w:r>
      <w:r w:rsidRPr="00344317">
        <w:rPr>
          <w:rFonts w:cs="Arial"/>
        </w:rPr>
        <w:t xml:space="preserve"> </w:t>
      </w:r>
      <w:r w:rsidRPr="00A43D7F">
        <w:rPr>
          <w:rFonts w:cs="Arial"/>
        </w:rPr>
        <w:t>P2 face mask is recommended for people who have a pre-existing health condition as they may be vulnerable to ill-health as a result of exposure to indoor damp or mould or poor indoor air quality, including mould.</w:t>
      </w:r>
    </w:p>
  </w:footnote>
  <w:footnote w:id="6">
    <w:p w14:paraId="099FF793" w14:textId="4FA717B6" w:rsidR="00E55FF8" w:rsidRPr="00453627" w:rsidRDefault="00E55FF8">
      <w:pPr>
        <w:pStyle w:val="FootnoteText"/>
        <w:rPr>
          <w:lang w:val="en-NZ"/>
        </w:rPr>
      </w:pPr>
      <w:r>
        <w:rPr>
          <w:rStyle w:val="FootnoteReference"/>
        </w:rPr>
        <w:footnoteRef/>
      </w:r>
      <w:r>
        <w:t xml:space="preserve"> </w:t>
      </w:r>
      <w:r w:rsidRPr="00E55FF8">
        <w:t>Green Book - Recognition Evaluation and Control of Indoor Mold 2nd edition</w:t>
      </w:r>
    </w:p>
  </w:footnote>
  <w:footnote w:id="7">
    <w:p w14:paraId="3DDB1774" w14:textId="22C7BC8F" w:rsidR="006F0F2C" w:rsidRPr="00453627" w:rsidRDefault="006F0F2C">
      <w:pPr>
        <w:pStyle w:val="FootnoteText"/>
        <w:rPr>
          <w:lang w:val="en-NZ"/>
        </w:rPr>
      </w:pPr>
      <w:r>
        <w:rPr>
          <w:rStyle w:val="FootnoteReference"/>
        </w:rPr>
        <w:footnoteRef/>
      </w:r>
      <w:r>
        <w:t xml:space="preserve"> </w:t>
      </w:r>
      <w:r w:rsidRPr="006F0F2C">
        <w:t>ASTM-D7338-Assessment-Of-Fungal-Growth-in-Buildings</w:t>
      </w:r>
    </w:p>
  </w:footnote>
  <w:footnote w:id="8">
    <w:p w14:paraId="41E2E611" w14:textId="77777777" w:rsidR="007D6C44" w:rsidRDefault="007D6C44" w:rsidP="007D6C44">
      <w:pPr>
        <w:pStyle w:val="FootnoteText"/>
      </w:pPr>
      <w:r w:rsidRPr="00287F52">
        <w:rPr>
          <w:rStyle w:val="FootnoteReference"/>
        </w:rPr>
        <w:footnoteRef/>
      </w:r>
      <w:r>
        <w:t xml:space="preserve"> United States Environmental Protection Agency. (2021). </w:t>
      </w:r>
      <w:r w:rsidRPr="004943C9">
        <w:t>ERMI</w:t>
      </w:r>
      <w:r>
        <w:t xml:space="preserve"> factsheet. </w:t>
      </w:r>
      <w:hyperlink r:id="rId1" w:history="1">
        <w:r w:rsidRPr="00140A78">
          <w:rPr>
            <w:rStyle w:val="Hyperlink"/>
          </w:rPr>
          <w:t>https://www.epa.gov/air-research/environmental-relative-moldiness-index-ermi</w:t>
        </w:r>
      </w:hyperlink>
    </w:p>
  </w:footnote>
  <w:footnote w:id="9">
    <w:p w14:paraId="01F4ADA5" w14:textId="5CB1B861" w:rsidR="002B0C40" w:rsidRPr="008B72E4" w:rsidRDefault="002B0C40" w:rsidP="008C7ABA">
      <w:pPr>
        <w:pStyle w:val="Footer"/>
        <w:jc w:val="left"/>
      </w:pPr>
      <w:r w:rsidRPr="00287F52">
        <w:rPr>
          <w:rStyle w:val="FootnoteReference"/>
        </w:rPr>
        <w:footnoteRef/>
      </w:r>
      <w:r w:rsidRPr="008B72E4">
        <w:t xml:space="preserve"> The 2017 review by Denning &amp; Chakrabati was published in the Lancet-Infectious Diseases (IF:</w:t>
      </w:r>
      <w:r w:rsidR="00177BE0">
        <w:t> </w:t>
      </w:r>
      <w:r w:rsidRPr="008B72E4">
        <w:t>25.071). The lead author is an expert in the field of Aspergillosis and medical mycology including being involved with the North American and European production of Aspergillosis guidelines and medical mycology standards of care.</w:t>
      </w:r>
    </w:p>
  </w:footnote>
  <w:footnote w:id="10">
    <w:p w14:paraId="2BFEC3FD" w14:textId="31221AB8" w:rsidR="00BA278B" w:rsidRPr="000C21B5" w:rsidRDefault="00BA278B" w:rsidP="00A15AE1">
      <w:pPr>
        <w:pStyle w:val="Footer"/>
        <w:jc w:val="left"/>
        <w:rPr>
          <w:szCs w:val="20"/>
        </w:rPr>
      </w:pPr>
      <w:r w:rsidRPr="00287F52">
        <w:rPr>
          <w:rStyle w:val="FootnoteReference"/>
        </w:rPr>
        <w:footnoteRef/>
      </w:r>
      <w:r w:rsidRPr="00764F55">
        <w:t xml:space="preserve"> </w:t>
      </w:r>
      <w:r w:rsidRPr="000C21B5">
        <w:rPr>
          <w:szCs w:val="20"/>
        </w:rPr>
        <w:t xml:space="preserve">A database of NATA accredited facilities </w:t>
      </w:r>
      <w:r w:rsidR="00402833">
        <w:rPr>
          <w:szCs w:val="20"/>
        </w:rPr>
        <w:t>is available here</w:t>
      </w:r>
      <w:r w:rsidRPr="000C21B5">
        <w:rPr>
          <w:szCs w:val="20"/>
        </w:rPr>
        <w:t xml:space="preserve">: </w:t>
      </w:r>
      <w:hyperlink r:id="rId2" w:history="1">
        <w:r w:rsidRPr="000C21B5">
          <w:rPr>
            <w:rStyle w:val="Hyperlink"/>
            <w:szCs w:val="20"/>
          </w:rPr>
          <w:t>https://www.nata.com.au/accredited-facility</w:t>
        </w:r>
      </w:hyperlink>
      <w:r w:rsidRPr="000C21B5">
        <w:rPr>
          <w:szCs w:val="20"/>
        </w:rPr>
        <w:t>.</w:t>
      </w:r>
    </w:p>
  </w:footnote>
  <w:footnote w:id="11">
    <w:p w14:paraId="7C6EB116" w14:textId="603D1B6E" w:rsidR="00A9045F" w:rsidRPr="00A43D7F" w:rsidRDefault="00A9045F">
      <w:pPr>
        <w:pStyle w:val="FootnoteText"/>
        <w:rPr>
          <w:rFonts w:asciiTheme="minorHAnsi" w:hAnsiTheme="minorHAnsi" w:cstheme="minorHAnsi"/>
          <w:sz w:val="18"/>
          <w:szCs w:val="18"/>
          <w:lang w:val="en-NZ"/>
        </w:rPr>
      </w:pPr>
      <w:r>
        <w:rPr>
          <w:rStyle w:val="FootnoteReference"/>
        </w:rPr>
        <w:footnoteRef/>
      </w:r>
      <w:r w:rsidRPr="00E7642D">
        <w:rPr>
          <w:rFonts w:cs="Arial"/>
        </w:rPr>
        <w:t xml:space="preserve"> </w:t>
      </w:r>
      <w:r w:rsidR="005E583F" w:rsidRPr="00E7642D">
        <w:rPr>
          <w:rFonts w:cs="Arial"/>
          <w:lang w:val="en-NZ"/>
        </w:rPr>
        <w:t xml:space="preserve">The NICE committee noted in their </w:t>
      </w:r>
      <w:r w:rsidR="00D369C8" w:rsidRPr="00E7642D">
        <w:rPr>
          <w:rFonts w:cs="Arial"/>
          <w:lang w:val="en-NZ"/>
        </w:rPr>
        <w:t xml:space="preserve">indoor air quality at home </w:t>
      </w:r>
      <w:r w:rsidR="005E583F" w:rsidRPr="00E7642D">
        <w:rPr>
          <w:rFonts w:cs="Arial"/>
          <w:lang w:val="en-NZ"/>
        </w:rPr>
        <w:t xml:space="preserve">evidence review </w:t>
      </w:r>
      <w:r w:rsidR="00396057" w:rsidRPr="00E7642D">
        <w:rPr>
          <w:rFonts w:cs="Arial"/>
          <w:lang w:val="en-NZ"/>
        </w:rPr>
        <w:t xml:space="preserve">for exposure to pollutants and health outcomes </w:t>
      </w:r>
      <w:r w:rsidR="005E583F" w:rsidRPr="00E7642D">
        <w:rPr>
          <w:rFonts w:cs="Arial"/>
          <w:lang w:val="en-NZ"/>
        </w:rPr>
        <w:t xml:space="preserve">that </w:t>
      </w:r>
      <w:r w:rsidR="005E583F" w:rsidRPr="00A43D7F">
        <w:rPr>
          <w:rFonts w:cs="Arial"/>
        </w:rPr>
        <w:t>pollutants such as NO</w:t>
      </w:r>
      <w:r w:rsidR="005E583F" w:rsidRPr="00A43D7F">
        <w:rPr>
          <w:rFonts w:cs="Arial"/>
          <w:vertAlign w:val="subscript"/>
        </w:rPr>
        <w:t xml:space="preserve">2 </w:t>
      </w:r>
      <w:r w:rsidR="005E583F" w:rsidRPr="00A43D7F">
        <w:rPr>
          <w:rFonts w:cs="Arial"/>
        </w:rPr>
        <w:t xml:space="preserve">[nitrous dioxide], volatile organic compounds (VOCs), particulate matter (PM) from open solid-fuel fires, polycyclic aromatic hydrocarbons (PAHs) and biological agents such as mould and pet dander are sometimes associated with many symptoms including those affecting the respiratory, cardiovascular and neurological systems. </w:t>
      </w:r>
      <w:r w:rsidR="005E583F" w:rsidRPr="00A43D7F">
        <w:rPr>
          <w:rFonts w:cs="Arial"/>
          <w:i/>
          <w:iCs/>
        </w:rPr>
        <w:fldChar w:fldCharType="begin"/>
      </w:r>
      <w:r w:rsidR="00707A99">
        <w:rPr>
          <w:rFonts w:cs="Arial"/>
        </w:rPr>
        <w:instrText xml:space="preserve"> ADDIN ZOTERO_ITEM CSL_CITATION {"citationID":"wtFB9F8l","properties":{"formattedCitation":"(National Institute for Health and Care Excellence, 2020b, p. 66)","plainCitation":"(National Institute for Health and Care Excellence, 2020b, p. 66)","noteIndex":10},"citationItems":[{"id":2056,"uris":["http://zotero.org/groups/4371185/items/7T3KG6B7"],"itemData":{"id":2056,"type":"document","publisher":"National Institute for Health and Care Excellence","title":"Indoor air quality at home [2] Evidence review for exposure to pollutants and health outcomes NICE Guideline NG149 Evidence Review","author":[{"literal":"National Institute for Health and Care Excellence"}],"accessed":{"date-parts":[["2021",9,3]]},"issued":{"literal":"2020b"}},"locator":"66"}],"schema":"https://github.com/citation-style-language/schema/raw/master/csl-citation.json"} </w:instrText>
      </w:r>
      <w:r w:rsidR="005E583F" w:rsidRPr="00A43D7F">
        <w:rPr>
          <w:rFonts w:cs="Arial"/>
          <w:i/>
          <w:iCs/>
        </w:rPr>
        <w:fldChar w:fldCharType="separate"/>
      </w:r>
      <w:r w:rsidR="00707A99" w:rsidRPr="00707A99">
        <w:rPr>
          <w:rFonts w:cs="Arial"/>
        </w:rPr>
        <w:t>(National Institute for Health and Care Excellence, 2020b, p. 66)</w:t>
      </w:r>
      <w:r w:rsidR="005E583F" w:rsidRPr="00A43D7F">
        <w:rPr>
          <w:rFonts w:cs="Arial"/>
          <w:i/>
          <w:iCs/>
        </w:rPr>
        <w:fldChar w:fldCharType="end"/>
      </w:r>
      <w:r w:rsidR="005E583F" w:rsidRPr="00A43D7F">
        <w:rPr>
          <w:rFonts w:cs="Arial"/>
        </w:rPr>
        <w:t>.</w:t>
      </w:r>
    </w:p>
  </w:footnote>
  <w:footnote w:id="12">
    <w:p w14:paraId="260FDC55" w14:textId="00DB4842" w:rsidR="00C044AF" w:rsidRPr="00A43D7F" w:rsidRDefault="00C044AF">
      <w:pPr>
        <w:pStyle w:val="FootnoteText"/>
        <w:rPr>
          <w:rFonts w:cs="Arial"/>
          <w:lang w:val="en-NZ"/>
        </w:rPr>
      </w:pPr>
      <w:r w:rsidRPr="007D62A7">
        <w:rPr>
          <w:rStyle w:val="FootnoteReference"/>
          <w:rFonts w:cs="Arial"/>
        </w:rPr>
        <w:footnoteRef/>
      </w:r>
      <w:r w:rsidRPr="007D62A7">
        <w:rPr>
          <w:rFonts w:cs="Arial"/>
        </w:rPr>
        <w:t xml:space="preserve"> </w:t>
      </w:r>
      <w:r w:rsidRPr="00A43D7F">
        <w:rPr>
          <w:rFonts w:cs="Arial"/>
        </w:rPr>
        <w:t>A</w:t>
      </w:r>
      <w:r w:rsidRPr="00A43D7F">
        <w:rPr>
          <w:rStyle w:val="cf01"/>
          <w:rFonts w:ascii="Arial" w:eastAsiaTheme="minorHAnsi" w:hAnsi="Arial" w:cs="Arial"/>
          <w:sz w:val="20"/>
          <w:szCs w:val="20"/>
        </w:rPr>
        <w:t>ll potential pharmaceuticals, and their side effects, used in the and as described in the ACIIDS submission to the Inquiry to treat Australian patients were included to maximize clinicians’ knowledge to enable best practice and duty of care</w:t>
      </w:r>
      <w:r w:rsidR="007D62A7">
        <w:rPr>
          <w:rStyle w:val="cf01"/>
          <w:rFonts w:ascii="Arial" w:eastAsiaTheme="minorHAnsi"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5C716" w14:textId="31F16896" w:rsidR="008E0C77" w:rsidRDefault="00CA79CF" w:rsidP="008E0C77">
    <w:pPr>
      <w:pStyle w:val="Headertext"/>
      <w:spacing w:after="180"/>
      <w:jc w:val="left"/>
    </w:pPr>
    <w:r>
      <w:rPr>
        <w:noProof/>
        <w:lang w:eastAsia="en-AU"/>
      </w:rPr>
      <w:drawing>
        <wp:anchor distT="0" distB="0" distL="114300" distR="114300" simplePos="0" relativeHeight="251658240" behindDoc="1" locked="0" layoutInCell="1" allowOverlap="1" wp14:anchorId="4C00DF53" wp14:editId="58844EF0">
          <wp:simplePos x="0" y="0"/>
          <wp:positionH relativeFrom="page">
            <wp:align>center</wp:align>
          </wp:positionH>
          <wp:positionV relativeFrom="page">
            <wp:align>center</wp:align>
          </wp:positionV>
          <wp:extent cx="7560000" cy="10692000"/>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4B3C9" w14:textId="68482EEE" w:rsidR="00CA79CF" w:rsidRDefault="00D01989" w:rsidP="00205A93">
    <w:pPr>
      <w:pStyle w:val="Header"/>
      <w:tabs>
        <w:tab w:val="clear" w:pos="4513"/>
        <w:tab w:val="clear" w:pos="9026"/>
        <w:tab w:val="center" w:pos="4535"/>
      </w:tabs>
    </w:pPr>
    <w:r>
      <w:rPr>
        <w:noProof/>
      </w:rPr>
      <w:drawing>
        <wp:anchor distT="0" distB="0" distL="114300" distR="114300" simplePos="0" relativeHeight="251658243" behindDoc="1" locked="0" layoutInCell="1" allowOverlap="1" wp14:anchorId="51D8681B" wp14:editId="40E0D441">
          <wp:simplePos x="0" y="0"/>
          <wp:positionH relativeFrom="margin">
            <wp:posOffset>-577850</wp:posOffset>
          </wp:positionH>
          <wp:positionV relativeFrom="paragraph">
            <wp:posOffset>3455035</wp:posOffset>
          </wp:positionV>
          <wp:extent cx="6915150" cy="636896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070" t="33240" r="5070" b="8250"/>
                  <a:stretch/>
                </pic:blipFill>
                <pic:spPr bwMode="auto">
                  <a:xfrm>
                    <a:off x="0" y="0"/>
                    <a:ext cx="6915150" cy="636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9CF">
      <w:rPr>
        <w:noProof/>
        <w:lang w:eastAsia="en-AU"/>
      </w:rPr>
      <w:drawing>
        <wp:anchor distT="0" distB="0" distL="114300" distR="114300" simplePos="0" relativeHeight="251658242" behindDoc="1" locked="0" layoutInCell="1" allowOverlap="1" wp14:anchorId="66D53A95" wp14:editId="0D271A74">
          <wp:simplePos x="0" y="0"/>
          <wp:positionH relativeFrom="page">
            <wp:align>center</wp:align>
          </wp:positionH>
          <wp:positionV relativeFrom="page">
            <wp:align>center</wp:align>
          </wp:positionV>
          <wp:extent cx="7558768" cy="10692000"/>
          <wp:effectExtent l="0" t="0" r="0" b="190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rsidR="00205A9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CD5DA" w14:textId="3B91D362"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A058F" w14:textId="0B004769" w:rsidR="000D56E4" w:rsidRDefault="006975DB" w:rsidP="008E0C77">
    <w:pPr>
      <w:pStyle w:val="Headertext"/>
      <w:spacing w:after="180"/>
      <w:jc w:val="left"/>
    </w:pPr>
    <w:r>
      <w:t xml:space="preserve">August </w:t>
    </w:r>
    <w:r w:rsidR="002D6106">
      <w:t>202</w:t>
    </w:r>
    <w:r w:rsidR="00A8569D">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35558" w14:textId="15460DF3"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2923E" w14:textId="68761C3E" w:rsidR="00140A72" w:rsidRDefault="00140A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226BC" w14:textId="16266DAA" w:rsidR="00205A93" w:rsidRDefault="00205A93" w:rsidP="008E0C77">
    <w:pPr>
      <w:pStyle w:val="Headertext"/>
      <w:spacing w:after="180"/>
      <w:jc w:val="left"/>
    </w:pPr>
    <w:r>
      <w:rPr>
        <w:noProof/>
        <w:lang w:eastAsia="en-AU"/>
      </w:rPr>
      <w:drawing>
        <wp:anchor distT="0" distB="0" distL="114300" distR="114300" simplePos="0" relativeHeight="251658241" behindDoc="1" locked="0" layoutInCell="1" allowOverlap="1" wp14:anchorId="200351D6" wp14:editId="3A673BA9">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6F8E" w14:textId="63810A54" w:rsidR="00140A72" w:rsidRDefault="00140A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6419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36EC885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2682CAA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9EDE45B6"/>
    <w:lvl w:ilvl="0">
      <w:start w:val="1"/>
      <w:numFmt w:val="decimal"/>
      <w:pStyle w:val="ListNumber"/>
      <w:lvlText w:val="%1."/>
      <w:lvlJc w:val="left"/>
      <w:pPr>
        <w:tabs>
          <w:tab w:val="num" w:pos="360"/>
        </w:tabs>
        <w:ind w:left="360" w:hanging="360"/>
      </w:pPr>
      <w:rPr>
        <w:b/>
        <w:bCs/>
      </w:rPr>
    </w:lvl>
  </w:abstractNum>
  <w:abstractNum w:abstractNumId="7" w15:restartNumberingAfterBreak="0">
    <w:nsid w:val="FFFFFF89"/>
    <w:multiLevelType w:val="singleLevel"/>
    <w:tmpl w:val="23AE109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AB3CCB"/>
    <w:multiLevelType w:val="hybridMultilevel"/>
    <w:tmpl w:val="F482C2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19F6B52"/>
    <w:multiLevelType w:val="hybridMultilevel"/>
    <w:tmpl w:val="5142D86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2E753D"/>
    <w:multiLevelType w:val="multilevel"/>
    <w:tmpl w:val="0618373E"/>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06CE4A43"/>
    <w:multiLevelType w:val="multilevel"/>
    <w:tmpl w:val="0734B42C"/>
    <w:styleLink w:val="Numberedlist"/>
    <w:lvl w:ilvl="0">
      <w:start w:val="1"/>
      <w:numFmt w:val="decimal"/>
      <w:lvlText w:val="%1."/>
      <w:lvlJc w:val="left"/>
      <w:pPr>
        <w:ind w:left="624" w:hanging="454"/>
      </w:pPr>
      <w:rPr>
        <w:rFonts w:ascii="Arial" w:hAnsi="Arial" w:hint="default"/>
        <w:b/>
        <w:i w:val="0"/>
        <w:sz w:val="22"/>
      </w:rPr>
    </w:lvl>
    <w:lvl w:ilvl="1">
      <w:start w:val="1"/>
      <w:numFmt w:val="lowerLetter"/>
      <w:lvlText w:val="%2."/>
      <w:lvlJc w:val="left"/>
      <w:pPr>
        <w:ind w:left="1021" w:hanging="397"/>
      </w:pPr>
      <w:rPr>
        <w:rFonts w:ascii="Arial" w:hAnsi="Arial" w:hint="default"/>
        <w:b/>
        <w:i w:val="0"/>
        <w:sz w:val="22"/>
      </w:rPr>
    </w:lvl>
    <w:lvl w:ilvl="2">
      <w:start w:val="1"/>
      <w:numFmt w:val="lowerRoman"/>
      <w:lvlText w:val="%3)"/>
      <w:lvlJc w:val="left"/>
      <w:pPr>
        <w:ind w:left="1418" w:hanging="397"/>
      </w:pPr>
      <w:rPr>
        <w:rFonts w:ascii="Arial" w:hAnsi="Arial" w:hint="default"/>
        <w:b/>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94955BD"/>
    <w:multiLevelType w:val="hybridMultilevel"/>
    <w:tmpl w:val="A6FA5ADC"/>
    <w:lvl w:ilvl="0" w:tplc="432EC2A8">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7817C3"/>
    <w:multiLevelType w:val="hybridMultilevel"/>
    <w:tmpl w:val="946EAFE2"/>
    <w:lvl w:ilvl="0" w:tplc="185A728E">
      <w:numFmt w:val="bullet"/>
      <w:lvlText w:val=""/>
      <w:lvlJc w:val="left"/>
      <w:pPr>
        <w:ind w:left="820" w:hanging="360"/>
      </w:pPr>
      <w:rPr>
        <w:rFonts w:ascii="Symbol" w:eastAsia="Symbol" w:hAnsi="Symbol" w:cs="Symbol" w:hint="default"/>
        <w:b w:val="0"/>
        <w:bCs w:val="0"/>
        <w:i w:val="0"/>
        <w:iCs w:val="0"/>
        <w:color w:val="484848"/>
        <w:w w:val="100"/>
        <w:sz w:val="24"/>
        <w:szCs w:val="24"/>
        <w:lang w:val="en-US" w:eastAsia="en-US" w:bidi="ar-SA"/>
      </w:rPr>
    </w:lvl>
    <w:lvl w:ilvl="1" w:tplc="3BEE83AE">
      <w:numFmt w:val="bullet"/>
      <w:lvlText w:val="•"/>
      <w:lvlJc w:val="left"/>
      <w:pPr>
        <w:ind w:left="1660" w:hanging="360"/>
      </w:pPr>
      <w:rPr>
        <w:rFonts w:hint="default"/>
        <w:lang w:val="en-US" w:eastAsia="en-US" w:bidi="ar-SA"/>
      </w:rPr>
    </w:lvl>
    <w:lvl w:ilvl="2" w:tplc="2F8EAACE">
      <w:numFmt w:val="bullet"/>
      <w:lvlText w:val="•"/>
      <w:lvlJc w:val="left"/>
      <w:pPr>
        <w:ind w:left="2501" w:hanging="360"/>
      </w:pPr>
      <w:rPr>
        <w:rFonts w:hint="default"/>
        <w:lang w:val="en-US" w:eastAsia="en-US" w:bidi="ar-SA"/>
      </w:rPr>
    </w:lvl>
    <w:lvl w:ilvl="3" w:tplc="24064392">
      <w:numFmt w:val="bullet"/>
      <w:lvlText w:val="•"/>
      <w:lvlJc w:val="left"/>
      <w:pPr>
        <w:ind w:left="3341" w:hanging="360"/>
      </w:pPr>
      <w:rPr>
        <w:rFonts w:hint="default"/>
        <w:lang w:val="en-US" w:eastAsia="en-US" w:bidi="ar-SA"/>
      </w:rPr>
    </w:lvl>
    <w:lvl w:ilvl="4" w:tplc="83DCFFD8">
      <w:numFmt w:val="bullet"/>
      <w:lvlText w:val="•"/>
      <w:lvlJc w:val="left"/>
      <w:pPr>
        <w:ind w:left="4182" w:hanging="360"/>
      </w:pPr>
      <w:rPr>
        <w:rFonts w:hint="default"/>
        <w:lang w:val="en-US" w:eastAsia="en-US" w:bidi="ar-SA"/>
      </w:rPr>
    </w:lvl>
    <w:lvl w:ilvl="5" w:tplc="9932AAEA">
      <w:numFmt w:val="bullet"/>
      <w:lvlText w:val="•"/>
      <w:lvlJc w:val="left"/>
      <w:pPr>
        <w:ind w:left="5023" w:hanging="360"/>
      </w:pPr>
      <w:rPr>
        <w:rFonts w:hint="default"/>
        <w:lang w:val="en-US" w:eastAsia="en-US" w:bidi="ar-SA"/>
      </w:rPr>
    </w:lvl>
    <w:lvl w:ilvl="6" w:tplc="72E63F5C">
      <w:numFmt w:val="bullet"/>
      <w:lvlText w:val="•"/>
      <w:lvlJc w:val="left"/>
      <w:pPr>
        <w:ind w:left="5863" w:hanging="360"/>
      </w:pPr>
      <w:rPr>
        <w:rFonts w:hint="default"/>
        <w:lang w:val="en-US" w:eastAsia="en-US" w:bidi="ar-SA"/>
      </w:rPr>
    </w:lvl>
    <w:lvl w:ilvl="7" w:tplc="3A24CA9A">
      <w:numFmt w:val="bullet"/>
      <w:lvlText w:val="•"/>
      <w:lvlJc w:val="left"/>
      <w:pPr>
        <w:ind w:left="6704" w:hanging="360"/>
      </w:pPr>
      <w:rPr>
        <w:rFonts w:hint="default"/>
        <w:lang w:val="en-US" w:eastAsia="en-US" w:bidi="ar-SA"/>
      </w:rPr>
    </w:lvl>
    <w:lvl w:ilvl="8" w:tplc="35402F30">
      <w:numFmt w:val="bullet"/>
      <w:lvlText w:val="•"/>
      <w:lvlJc w:val="left"/>
      <w:pPr>
        <w:ind w:left="7545" w:hanging="360"/>
      </w:pPr>
      <w:rPr>
        <w:rFonts w:hint="default"/>
        <w:lang w:val="en-US" w:eastAsia="en-US" w:bidi="ar-SA"/>
      </w:rPr>
    </w:lvl>
  </w:abstractNum>
  <w:abstractNum w:abstractNumId="17" w15:restartNumberingAfterBreak="0">
    <w:nsid w:val="14720DAB"/>
    <w:multiLevelType w:val="hybridMultilevel"/>
    <w:tmpl w:val="29065832"/>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5157B70"/>
    <w:multiLevelType w:val="hybridMultilevel"/>
    <w:tmpl w:val="FB92B4B8"/>
    <w:lvl w:ilvl="0" w:tplc="A0A454EE">
      <w:start w:val="1"/>
      <w:numFmt w:val="bullet"/>
      <w:pStyle w:val="Tablelistbullet"/>
      <w:lvlText w:val=""/>
      <w:lvlJc w:val="left"/>
      <w:rPr>
        <w:rFonts w:ascii="Symbol" w:hAnsi="Symbol" w:hint="default"/>
      </w:rPr>
    </w:lvl>
    <w:lvl w:ilvl="1" w:tplc="FFFFFFFF">
      <w:numFmt w:val="decimal"/>
      <w:lvlText w:val=""/>
      <w:lvlJc w:val="left"/>
    </w:lvl>
    <w:lvl w:ilvl="2" w:tplc="FFFFFFFF">
      <w:numFmt w:val="decimal"/>
      <w:lvlText w:val=""/>
      <w:lvlJc w:val="left"/>
    </w:lvl>
    <w:lvl w:ilvl="3" w:tplc="14090001">
      <w:start w:val="1"/>
      <w:numFmt w:val="bullet"/>
      <w:lvlText w:val=""/>
      <w:lvlJc w:val="left"/>
      <w:pPr>
        <w:ind w:left="36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6A270D4"/>
    <w:multiLevelType w:val="hybridMultilevel"/>
    <w:tmpl w:val="94480854"/>
    <w:lvl w:ilvl="0" w:tplc="432EC2A8">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1C5D4DF3"/>
    <w:multiLevelType w:val="hybridMultilevel"/>
    <w:tmpl w:val="30F0E7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563528"/>
    <w:multiLevelType w:val="hybridMultilevel"/>
    <w:tmpl w:val="0750CD8A"/>
    <w:lvl w:ilvl="0" w:tplc="C27CBE12">
      <w:start w:val="1"/>
      <w:numFmt w:val="bullet"/>
      <w:lvlText w:val=""/>
      <w:lvlJc w:val="left"/>
      <w:pPr>
        <w:ind w:left="720" w:hanging="360"/>
      </w:pPr>
      <w:rPr>
        <w:rFonts w:ascii="Symbol" w:hAnsi="Symbol" w:hint="default"/>
        <w:color w:val="3F4A75"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6B2B40"/>
    <w:multiLevelType w:val="hybridMultilevel"/>
    <w:tmpl w:val="C3622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2EC7272"/>
    <w:multiLevelType w:val="hybridMultilevel"/>
    <w:tmpl w:val="3D86AAC2"/>
    <w:lvl w:ilvl="0" w:tplc="E350F702">
      <w:numFmt w:val="none"/>
      <w:pStyle w:val="List-AlphanumericLvl1"/>
      <w:lvlText w:val=""/>
      <w:lvlJc w:val="left"/>
      <w:pPr>
        <w:tabs>
          <w:tab w:val="num" w:pos="360"/>
        </w:tabs>
      </w:pPr>
    </w:lvl>
    <w:lvl w:ilvl="1" w:tplc="A664F336">
      <w:numFmt w:val="decimal"/>
      <w:pStyle w:val="List-AlphanumericLvl2"/>
      <w:lvlText w:val=""/>
      <w:lvlJc w:val="left"/>
    </w:lvl>
    <w:lvl w:ilvl="2" w:tplc="F93051E0">
      <w:numFmt w:val="decimal"/>
      <w:pStyle w:val="List-AlphanumericLvl3"/>
      <w:lvlText w:val=""/>
      <w:lvlJc w:val="left"/>
    </w:lvl>
    <w:lvl w:ilvl="3" w:tplc="71C862E8">
      <w:numFmt w:val="decimal"/>
      <w:lvlText w:val=""/>
      <w:lvlJc w:val="left"/>
    </w:lvl>
    <w:lvl w:ilvl="4" w:tplc="FBB4CDCE">
      <w:numFmt w:val="decimal"/>
      <w:lvlText w:val=""/>
      <w:lvlJc w:val="left"/>
    </w:lvl>
    <w:lvl w:ilvl="5" w:tplc="E012C7E6">
      <w:numFmt w:val="decimal"/>
      <w:lvlText w:val=""/>
      <w:lvlJc w:val="left"/>
    </w:lvl>
    <w:lvl w:ilvl="6" w:tplc="6116176E">
      <w:numFmt w:val="decimal"/>
      <w:lvlText w:val=""/>
      <w:lvlJc w:val="left"/>
    </w:lvl>
    <w:lvl w:ilvl="7" w:tplc="4650D0CA">
      <w:numFmt w:val="decimal"/>
      <w:lvlText w:val=""/>
      <w:lvlJc w:val="left"/>
    </w:lvl>
    <w:lvl w:ilvl="8" w:tplc="8DBA92FC">
      <w:numFmt w:val="decimal"/>
      <w:lvlText w:val=""/>
      <w:lvlJc w:val="left"/>
    </w:lvl>
  </w:abstractNum>
  <w:abstractNum w:abstractNumId="25" w15:restartNumberingAfterBreak="0">
    <w:nsid w:val="22ED286C"/>
    <w:multiLevelType w:val="hybridMultilevel"/>
    <w:tmpl w:val="EE362496"/>
    <w:lvl w:ilvl="0" w:tplc="11DEE9D4">
      <w:numFmt w:val="decimal"/>
      <w:pStyle w:val="TableDot-point"/>
      <w:lvlText w:val=""/>
      <w:lvlJc w:val="left"/>
    </w:lvl>
    <w:lvl w:ilvl="1" w:tplc="0C090003">
      <w:numFmt w:val="none"/>
      <w:lvlText w:val=""/>
      <w:lvlJc w:val="left"/>
      <w:pPr>
        <w:tabs>
          <w:tab w:val="num" w:pos="360"/>
        </w:tabs>
      </w:pPr>
    </w:lvl>
    <w:lvl w:ilvl="2" w:tplc="0C090005">
      <w:numFmt w:val="decimal"/>
      <w:lvlText w:val=""/>
      <w:lvlJc w:val="left"/>
    </w:lvl>
    <w:lvl w:ilvl="3" w:tplc="0C090001">
      <w:numFmt w:val="decimal"/>
      <w:lvlText w:val=""/>
      <w:lvlJc w:val="left"/>
    </w:lvl>
    <w:lvl w:ilvl="4" w:tplc="0C090003">
      <w:numFmt w:val="none"/>
      <w:lvlText w:val=""/>
      <w:lvlJc w:val="left"/>
      <w:pPr>
        <w:tabs>
          <w:tab w:val="num" w:pos="360"/>
        </w:tabs>
      </w:pPr>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6" w15:restartNumberingAfterBreak="0">
    <w:nsid w:val="23B92EB2"/>
    <w:multiLevelType w:val="hybridMultilevel"/>
    <w:tmpl w:val="349C93AC"/>
    <w:lvl w:ilvl="0" w:tplc="A1AE10A4">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7" w15:restartNumberingAfterBreak="0">
    <w:nsid w:val="24551C39"/>
    <w:multiLevelType w:val="hybridMultilevel"/>
    <w:tmpl w:val="D04C96AA"/>
    <w:lvl w:ilvl="0" w:tplc="432EC2A8">
      <w:start w:val="1"/>
      <w:numFmt w:val="bullet"/>
      <w:lvlText w:val=""/>
      <w:lvlJc w:val="left"/>
      <w:pPr>
        <w:ind w:left="643"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25240C7B"/>
    <w:multiLevelType w:val="multilevel"/>
    <w:tmpl w:val="F73A121E"/>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267F14CE"/>
    <w:multiLevelType w:val="hybridMultilevel"/>
    <w:tmpl w:val="8DE865B4"/>
    <w:lvl w:ilvl="0" w:tplc="49442A1A">
      <w:start w:val="1"/>
      <w:numFmt w:val="bullet"/>
      <w:pStyle w:val="Tablelistbullet2"/>
      <w:lvlText w:val=""/>
      <w:lvlJc w:val="left"/>
      <w:pPr>
        <w:ind w:left="643"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7743DFB"/>
    <w:multiLevelType w:val="multilevel"/>
    <w:tmpl w:val="A89ABB4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pStyle w:val="NumberedHeading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8B56031"/>
    <w:multiLevelType w:val="hybridMultilevel"/>
    <w:tmpl w:val="72EAFDAC"/>
    <w:lvl w:ilvl="0" w:tplc="26ACFB08">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9BF4734"/>
    <w:multiLevelType w:val="hybridMultilevel"/>
    <w:tmpl w:val="D79AD45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9E5021D"/>
    <w:multiLevelType w:val="hybridMultilevel"/>
    <w:tmpl w:val="6338E8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21C1152"/>
    <w:multiLevelType w:val="hybridMultilevel"/>
    <w:tmpl w:val="4D8C83D0"/>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5" w15:restartNumberingAfterBreak="0">
    <w:nsid w:val="33BF7059"/>
    <w:multiLevelType w:val="hybridMultilevel"/>
    <w:tmpl w:val="EEF01FA8"/>
    <w:lvl w:ilvl="0" w:tplc="B7BAD1B6">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6" w15:restartNumberingAfterBreak="0">
    <w:nsid w:val="33D06383"/>
    <w:multiLevelType w:val="hybridMultilevel"/>
    <w:tmpl w:val="A3F4779E"/>
    <w:lvl w:ilvl="0" w:tplc="4CA6EF9A">
      <w:start w:val="1"/>
      <w:numFmt w:val="bullet"/>
      <w:lvlText w:val=""/>
      <w:lvlJc w:val="left"/>
      <w:pPr>
        <w:ind w:left="360" w:hanging="360"/>
      </w:pPr>
      <w:rPr>
        <w:rFonts w:ascii="Symbol" w:hAnsi="Symbol" w:hint="default"/>
        <w:color w:val="3F4A75" w:themeColor="text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341830D6"/>
    <w:multiLevelType w:val="hybridMultilevel"/>
    <w:tmpl w:val="75969568"/>
    <w:lvl w:ilvl="0" w:tplc="432EC2A8">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34862B97"/>
    <w:multiLevelType w:val="hybridMultilevel"/>
    <w:tmpl w:val="79A6576E"/>
    <w:lvl w:ilvl="0" w:tplc="8690AAF6">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9" w15:restartNumberingAfterBreak="0">
    <w:nsid w:val="34CD50FD"/>
    <w:multiLevelType w:val="hybridMultilevel"/>
    <w:tmpl w:val="B78CF8BA"/>
    <w:lvl w:ilvl="0" w:tplc="C2F84D36">
      <w:numFmt w:val="decimal"/>
      <w:pStyle w:val="ListNumber2"/>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0" w15:restartNumberingAfterBreak="0">
    <w:nsid w:val="351D697F"/>
    <w:multiLevelType w:val="hybridMultilevel"/>
    <w:tmpl w:val="E2F8E7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37D92C3E"/>
    <w:multiLevelType w:val="hybridMultilevel"/>
    <w:tmpl w:val="1CCE8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AA470E6"/>
    <w:multiLevelType w:val="hybridMultilevel"/>
    <w:tmpl w:val="2A72C332"/>
    <w:lvl w:ilvl="0" w:tplc="C7E896B0">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43" w15:restartNumberingAfterBreak="0">
    <w:nsid w:val="3D9A7DB6"/>
    <w:multiLevelType w:val="multilevel"/>
    <w:tmpl w:val="91F4CDF4"/>
    <w:styleLink w:val="Dot-point"/>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0541033"/>
    <w:multiLevelType w:val="multilevel"/>
    <w:tmpl w:val="7054A564"/>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41AE7743"/>
    <w:multiLevelType w:val="hybridMultilevel"/>
    <w:tmpl w:val="85686F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4354390E"/>
    <w:multiLevelType w:val="hybridMultilevel"/>
    <w:tmpl w:val="221CF9CA"/>
    <w:lvl w:ilvl="0" w:tplc="6556FF00">
      <w:numFmt w:val="decimal"/>
      <w:lvlText w:val=""/>
      <w:lvlJc w:val="left"/>
    </w:lvl>
    <w:lvl w:ilvl="1" w:tplc="B770D50E">
      <w:numFmt w:val="decimal"/>
      <w:lvlText w:val=""/>
      <w:lvlJc w:val="left"/>
    </w:lvl>
    <w:lvl w:ilvl="2" w:tplc="D1AC3FE6">
      <w:numFmt w:val="decimal"/>
      <w:lvlText w:val=""/>
      <w:lvlJc w:val="left"/>
    </w:lvl>
    <w:lvl w:ilvl="3" w:tplc="2E722BD4">
      <w:numFmt w:val="decimal"/>
      <w:lvlText w:val=""/>
      <w:lvlJc w:val="left"/>
    </w:lvl>
    <w:lvl w:ilvl="4" w:tplc="CDB2B8BC">
      <w:numFmt w:val="decimal"/>
      <w:lvlText w:val=""/>
      <w:lvlJc w:val="left"/>
    </w:lvl>
    <w:lvl w:ilvl="5" w:tplc="7D8CFA76">
      <w:numFmt w:val="decimal"/>
      <w:lvlText w:val=""/>
      <w:lvlJc w:val="left"/>
    </w:lvl>
    <w:lvl w:ilvl="6" w:tplc="349224D0">
      <w:numFmt w:val="decimal"/>
      <w:lvlText w:val=""/>
      <w:lvlJc w:val="left"/>
    </w:lvl>
    <w:lvl w:ilvl="7" w:tplc="AD2E393C">
      <w:numFmt w:val="decimal"/>
      <w:lvlText w:val=""/>
      <w:lvlJc w:val="left"/>
    </w:lvl>
    <w:lvl w:ilvl="8" w:tplc="22B27F60">
      <w:numFmt w:val="decimal"/>
      <w:lvlText w:val=""/>
      <w:lvlJc w:val="left"/>
    </w:lvl>
  </w:abstractNum>
  <w:abstractNum w:abstractNumId="47" w15:restartNumberingAfterBreak="0">
    <w:nsid w:val="44025496"/>
    <w:multiLevelType w:val="hybridMultilevel"/>
    <w:tmpl w:val="BC244596"/>
    <w:lvl w:ilvl="0" w:tplc="F9364B7C">
      <w:numFmt w:val="decimal"/>
      <w:lvlText w:val=""/>
      <w:lvlJc w:val="left"/>
    </w:lvl>
    <w:lvl w:ilvl="1" w:tplc="D79E5032">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8" w15:restartNumberingAfterBreak="0">
    <w:nsid w:val="445E1CCE"/>
    <w:multiLevelType w:val="multilevel"/>
    <w:tmpl w:val="5A66744A"/>
    <w:lvl w:ilvl="0">
      <w:start w:val="1"/>
      <w:numFmt w:val="decimal"/>
      <w:pStyle w:val="NumberedHeading1"/>
      <w:lvlText w:val="%1."/>
      <w:lvlJc w:val="left"/>
      <w:pPr>
        <w:ind w:left="720" w:hanging="360"/>
      </w:pPr>
      <w:rPr>
        <w:rFonts w:hint="default"/>
      </w:rPr>
    </w:lvl>
    <w:lvl w:ilvl="1">
      <w:start w:val="2"/>
      <w:numFmt w:val="decimal"/>
      <w:isLgl/>
      <w:lvlText w:val="%1.%2"/>
      <w:lvlJc w:val="left"/>
      <w:pPr>
        <w:ind w:left="937" w:hanging="795"/>
      </w:pPr>
      <w:rPr>
        <w:rFonts w:hint="default"/>
      </w:rPr>
    </w:lvl>
    <w:lvl w:ilvl="2">
      <w:start w:val="2"/>
      <w:numFmt w:val="decimal"/>
      <w:pStyle w:val="NumberedHeading3"/>
      <w:isLgl/>
      <w:lvlText w:val="%1.%2.1."/>
      <w:lvlJc w:val="left"/>
      <w:pPr>
        <w:ind w:left="1155" w:hanging="795"/>
      </w:p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9" w15:restartNumberingAfterBreak="0">
    <w:nsid w:val="457845EF"/>
    <w:multiLevelType w:val="hybridMultilevel"/>
    <w:tmpl w:val="4B6490C6"/>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50" w15:restartNumberingAfterBreak="0">
    <w:nsid w:val="4B3C7FCB"/>
    <w:multiLevelType w:val="hybridMultilevel"/>
    <w:tmpl w:val="B36CB3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4C5B741A"/>
    <w:multiLevelType w:val="multilevel"/>
    <w:tmpl w:val="A5FC3E1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C5E087D"/>
    <w:multiLevelType w:val="multilevel"/>
    <w:tmpl w:val="82126C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E6E0996"/>
    <w:multiLevelType w:val="hybridMultilevel"/>
    <w:tmpl w:val="B57E1748"/>
    <w:lvl w:ilvl="0" w:tplc="CFFCAAB0">
      <w:numFmt w:val="decimal"/>
      <w:pStyle w:val="List-BulletLvl1"/>
      <w:lvlText w:val=""/>
      <w:lvlJc w:val="left"/>
    </w:lvl>
    <w:lvl w:ilvl="1" w:tplc="AF20E4FE">
      <w:numFmt w:val="decimal"/>
      <w:pStyle w:val="List-BulletLvl2"/>
      <w:lvlText w:val=""/>
      <w:lvlJc w:val="left"/>
    </w:lvl>
    <w:lvl w:ilvl="2" w:tplc="71A0A890">
      <w:numFmt w:val="decimal"/>
      <w:pStyle w:val="List-BulletLvl3"/>
      <w:lvlText w:val=""/>
      <w:lvlJc w:val="left"/>
    </w:lvl>
    <w:lvl w:ilvl="3" w:tplc="21A643CC">
      <w:numFmt w:val="decimal"/>
      <w:lvlText w:val=""/>
      <w:lvlJc w:val="left"/>
    </w:lvl>
    <w:lvl w:ilvl="4" w:tplc="3A6CD24A">
      <w:numFmt w:val="decimal"/>
      <w:lvlText w:val=""/>
      <w:lvlJc w:val="left"/>
    </w:lvl>
    <w:lvl w:ilvl="5" w:tplc="0DE6988A">
      <w:numFmt w:val="decimal"/>
      <w:lvlText w:val=""/>
      <w:lvlJc w:val="left"/>
    </w:lvl>
    <w:lvl w:ilvl="6" w:tplc="8E9C7E12">
      <w:numFmt w:val="decimal"/>
      <w:lvlText w:val=""/>
      <w:lvlJc w:val="left"/>
    </w:lvl>
    <w:lvl w:ilvl="7" w:tplc="1540AF5A">
      <w:numFmt w:val="decimal"/>
      <w:lvlText w:val=""/>
      <w:lvlJc w:val="left"/>
    </w:lvl>
    <w:lvl w:ilvl="8" w:tplc="8368AB70">
      <w:numFmt w:val="decimal"/>
      <w:lvlText w:val=""/>
      <w:lvlJc w:val="left"/>
    </w:lvl>
  </w:abstractNum>
  <w:abstractNum w:abstractNumId="54" w15:restartNumberingAfterBreak="0">
    <w:nsid w:val="500A4EAD"/>
    <w:multiLevelType w:val="hybridMultilevel"/>
    <w:tmpl w:val="2654DC9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5" w15:restartNumberingAfterBreak="0">
    <w:nsid w:val="517539AE"/>
    <w:multiLevelType w:val="hybridMultilevel"/>
    <w:tmpl w:val="16D434C6"/>
    <w:lvl w:ilvl="0" w:tplc="432EC2A8">
      <w:start w:val="1"/>
      <w:numFmt w:val="bullet"/>
      <w:lvlText w:val=""/>
      <w:lvlJc w:val="left"/>
      <w:pPr>
        <w:ind w:left="643"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518A5A25"/>
    <w:multiLevelType w:val="hybridMultilevel"/>
    <w:tmpl w:val="617E77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51E0409D"/>
    <w:multiLevelType w:val="hybridMultilevel"/>
    <w:tmpl w:val="B9020172"/>
    <w:lvl w:ilvl="0" w:tplc="C4020892">
      <w:numFmt w:val="none"/>
      <w:pStyle w:val="ListNumber3"/>
      <w:lvlText w:val=""/>
      <w:lvlJc w:val="left"/>
      <w:pPr>
        <w:tabs>
          <w:tab w:val="num" w:pos="360"/>
        </w:tabs>
      </w:p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8" w15:restartNumberingAfterBreak="0">
    <w:nsid w:val="52927332"/>
    <w:multiLevelType w:val="hybridMultilevel"/>
    <w:tmpl w:val="46523D22"/>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59" w15:restartNumberingAfterBreak="0">
    <w:nsid w:val="59C80FC9"/>
    <w:multiLevelType w:val="singleLevel"/>
    <w:tmpl w:val="14090001"/>
    <w:lvl w:ilvl="0">
      <w:start w:val="1"/>
      <w:numFmt w:val="bullet"/>
      <w:lvlText w:val=""/>
      <w:lvlJc w:val="left"/>
      <w:pPr>
        <w:ind w:left="360" w:hanging="360"/>
      </w:pPr>
      <w:rPr>
        <w:rFonts w:ascii="Symbol" w:hAnsi="Symbol" w:hint="default"/>
      </w:rPr>
    </w:lvl>
  </w:abstractNum>
  <w:abstractNum w:abstractNumId="60" w15:restartNumberingAfterBreak="0">
    <w:nsid w:val="5D7B730B"/>
    <w:multiLevelType w:val="hybridMultilevel"/>
    <w:tmpl w:val="45B46180"/>
    <w:lvl w:ilvl="0" w:tplc="E182D580">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61" w15:restartNumberingAfterBreak="0">
    <w:nsid w:val="5D7F1BA3"/>
    <w:multiLevelType w:val="hybridMultilevel"/>
    <w:tmpl w:val="5F409F00"/>
    <w:lvl w:ilvl="0" w:tplc="432EC2A8">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5E6F0DC9"/>
    <w:multiLevelType w:val="hybridMultilevel"/>
    <w:tmpl w:val="1EECAFDE"/>
    <w:lvl w:ilvl="0" w:tplc="432EC2A8">
      <w:start w:val="1"/>
      <w:numFmt w:val="bullet"/>
      <w:lvlText w:val=""/>
      <w:lvlJc w:val="left"/>
      <w:pPr>
        <w:ind w:left="643"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5F06262A"/>
    <w:multiLevelType w:val="hybridMultilevel"/>
    <w:tmpl w:val="871EFFB2"/>
    <w:lvl w:ilvl="0" w:tplc="03E819DA">
      <w:numFmt w:val="bullet"/>
      <w:lvlText w:val=""/>
      <w:lvlJc w:val="left"/>
      <w:pPr>
        <w:ind w:left="460" w:hanging="360"/>
      </w:pPr>
      <w:rPr>
        <w:rFonts w:ascii="Symbol" w:eastAsia="Symbol" w:hAnsi="Symbol" w:cs="Symbol" w:hint="default"/>
        <w:b w:val="0"/>
        <w:bCs w:val="0"/>
        <w:i w:val="0"/>
        <w:iCs w:val="0"/>
        <w:color w:val="484848"/>
        <w:w w:val="100"/>
        <w:sz w:val="24"/>
        <w:szCs w:val="24"/>
        <w:lang w:val="en-US" w:eastAsia="en-US" w:bidi="ar-SA"/>
      </w:rPr>
    </w:lvl>
    <w:lvl w:ilvl="1" w:tplc="432EB730">
      <w:numFmt w:val="bullet"/>
      <w:lvlText w:val="•"/>
      <w:lvlJc w:val="left"/>
      <w:pPr>
        <w:ind w:left="1336" w:hanging="360"/>
      </w:pPr>
      <w:rPr>
        <w:rFonts w:hint="default"/>
        <w:lang w:val="en-US" w:eastAsia="en-US" w:bidi="ar-SA"/>
      </w:rPr>
    </w:lvl>
    <w:lvl w:ilvl="2" w:tplc="423678A6">
      <w:numFmt w:val="bullet"/>
      <w:lvlText w:val="•"/>
      <w:lvlJc w:val="left"/>
      <w:pPr>
        <w:ind w:left="2213" w:hanging="360"/>
      </w:pPr>
      <w:rPr>
        <w:rFonts w:hint="default"/>
        <w:lang w:val="en-US" w:eastAsia="en-US" w:bidi="ar-SA"/>
      </w:rPr>
    </w:lvl>
    <w:lvl w:ilvl="3" w:tplc="1AA446C2">
      <w:numFmt w:val="bullet"/>
      <w:lvlText w:val="•"/>
      <w:lvlJc w:val="left"/>
      <w:pPr>
        <w:ind w:left="3089" w:hanging="360"/>
      </w:pPr>
      <w:rPr>
        <w:rFonts w:hint="default"/>
        <w:lang w:val="en-US" w:eastAsia="en-US" w:bidi="ar-SA"/>
      </w:rPr>
    </w:lvl>
    <w:lvl w:ilvl="4" w:tplc="D7240644">
      <w:numFmt w:val="bullet"/>
      <w:lvlText w:val="•"/>
      <w:lvlJc w:val="left"/>
      <w:pPr>
        <w:ind w:left="3966" w:hanging="360"/>
      </w:pPr>
      <w:rPr>
        <w:rFonts w:hint="default"/>
        <w:lang w:val="en-US" w:eastAsia="en-US" w:bidi="ar-SA"/>
      </w:rPr>
    </w:lvl>
    <w:lvl w:ilvl="5" w:tplc="C3CE7262">
      <w:numFmt w:val="bullet"/>
      <w:lvlText w:val="•"/>
      <w:lvlJc w:val="left"/>
      <w:pPr>
        <w:ind w:left="4843" w:hanging="360"/>
      </w:pPr>
      <w:rPr>
        <w:rFonts w:hint="default"/>
        <w:lang w:val="en-US" w:eastAsia="en-US" w:bidi="ar-SA"/>
      </w:rPr>
    </w:lvl>
    <w:lvl w:ilvl="6" w:tplc="761A5E14">
      <w:numFmt w:val="bullet"/>
      <w:lvlText w:val="•"/>
      <w:lvlJc w:val="left"/>
      <w:pPr>
        <w:ind w:left="5719" w:hanging="360"/>
      </w:pPr>
      <w:rPr>
        <w:rFonts w:hint="default"/>
        <w:lang w:val="en-US" w:eastAsia="en-US" w:bidi="ar-SA"/>
      </w:rPr>
    </w:lvl>
    <w:lvl w:ilvl="7" w:tplc="A4F6E8A2">
      <w:numFmt w:val="bullet"/>
      <w:lvlText w:val="•"/>
      <w:lvlJc w:val="left"/>
      <w:pPr>
        <w:ind w:left="6596" w:hanging="360"/>
      </w:pPr>
      <w:rPr>
        <w:rFonts w:hint="default"/>
        <w:lang w:val="en-US" w:eastAsia="en-US" w:bidi="ar-SA"/>
      </w:rPr>
    </w:lvl>
    <w:lvl w:ilvl="8" w:tplc="56683524">
      <w:numFmt w:val="bullet"/>
      <w:lvlText w:val="•"/>
      <w:lvlJc w:val="left"/>
      <w:pPr>
        <w:ind w:left="7473" w:hanging="360"/>
      </w:pPr>
      <w:rPr>
        <w:rFonts w:hint="default"/>
        <w:lang w:val="en-US" w:eastAsia="en-US" w:bidi="ar-SA"/>
      </w:rPr>
    </w:lvl>
  </w:abstractNum>
  <w:abstractNum w:abstractNumId="64" w15:restartNumberingAfterBreak="0">
    <w:nsid w:val="5FCE287F"/>
    <w:multiLevelType w:val="hybridMultilevel"/>
    <w:tmpl w:val="8DF470F6"/>
    <w:lvl w:ilvl="0" w:tplc="432EC2A8">
      <w:start w:val="1"/>
      <w:numFmt w:val="bullet"/>
      <w:lvlText w:val=""/>
      <w:lvlJc w:val="left"/>
      <w:pPr>
        <w:ind w:left="643"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600F6649"/>
    <w:multiLevelType w:val="hybridMultilevel"/>
    <w:tmpl w:val="D5CCA11A"/>
    <w:lvl w:ilvl="0" w:tplc="ECB808F4">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6" w15:restartNumberingAfterBreak="0">
    <w:nsid w:val="66772780"/>
    <w:multiLevelType w:val="hybridMultilevel"/>
    <w:tmpl w:val="39B095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7655E92"/>
    <w:multiLevelType w:val="hybridMultilevel"/>
    <w:tmpl w:val="716EEFF4"/>
    <w:lvl w:ilvl="0" w:tplc="323EEBF4">
      <w:numFmt w:val="bullet"/>
      <w:lvlText w:val="-"/>
      <w:lvlJc w:val="left"/>
      <w:pPr>
        <w:ind w:left="720" w:hanging="360"/>
      </w:pPr>
      <w:rPr>
        <w:rFonts w:ascii="Arial" w:eastAsia="Times New Roman" w:hAnsi="Arial" w:cs="Arial" w:hint="default"/>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7A8699D"/>
    <w:multiLevelType w:val="hybridMultilevel"/>
    <w:tmpl w:val="2788F0C4"/>
    <w:lvl w:ilvl="0" w:tplc="66FAEC08">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68F41A2F"/>
    <w:multiLevelType w:val="hybridMultilevel"/>
    <w:tmpl w:val="50320C18"/>
    <w:lvl w:ilvl="0" w:tplc="0C09000F">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70" w15:restartNumberingAfterBreak="0">
    <w:nsid w:val="6BC5380D"/>
    <w:multiLevelType w:val="hybridMultilevel"/>
    <w:tmpl w:val="1CA448E0"/>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71" w15:restartNumberingAfterBreak="0">
    <w:nsid w:val="6C036E3C"/>
    <w:multiLevelType w:val="hybridMultilevel"/>
    <w:tmpl w:val="81B80908"/>
    <w:lvl w:ilvl="0" w:tplc="432EC2A8">
      <w:start w:val="1"/>
      <w:numFmt w:val="bullet"/>
      <w:lvlText w:val=""/>
      <w:lvlJc w:val="left"/>
      <w:pPr>
        <w:ind w:left="643"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6CBE7989"/>
    <w:multiLevelType w:val="hybridMultilevel"/>
    <w:tmpl w:val="F46A3240"/>
    <w:lvl w:ilvl="0" w:tplc="0B30B390">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6CF8287E"/>
    <w:multiLevelType w:val="hybridMultilevel"/>
    <w:tmpl w:val="D2DE3CE2"/>
    <w:lvl w:ilvl="0" w:tplc="36805280">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4" w15:restartNumberingAfterBreak="0">
    <w:nsid w:val="6DE77CC9"/>
    <w:multiLevelType w:val="hybridMultilevel"/>
    <w:tmpl w:val="00E6C6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6FAB44A6"/>
    <w:multiLevelType w:val="multilevel"/>
    <w:tmpl w:val="585652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NotNumbered"/>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3A42673"/>
    <w:multiLevelType w:val="hybridMultilevel"/>
    <w:tmpl w:val="C58C342A"/>
    <w:lvl w:ilvl="0" w:tplc="ACE4523C">
      <w:numFmt w:val="bullet"/>
      <w:lvlText w:val="-"/>
      <w:lvlJc w:val="left"/>
      <w:pPr>
        <w:ind w:left="720" w:hanging="360"/>
      </w:pPr>
      <w:rPr>
        <w:rFonts w:ascii="Calibri" w:eastAsiaTheme="minorHAnsi" w:hAnsi="Calibri" w:cs="Calibri" w:hint="default"/>
        <w:color w:val="3F4A75" w:themeColor="tex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742512A6"/>
    <w:multiLevelType w:val="hybridMultilevel"/>
    <w:tmpl w:val="4A4246B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8" w15:restartNumberingAfterBreak="0">
    <w:nsid w:val="77193B6A"/>
    <w:multiLevelType w:val="hybridMultilevel"/>
    <w:tmpl w:val="2FF64592"/>
    <w:lvl w:ilvl="0" w:tplc="432EC2A8">
      <w:start w:val="1"/>
      <w:numFmt w:val="bullet"/>
      <w:lvlText w:val=""/>
      <w:lvlJc w:val="left"/>
      <w:pPr>
        <w:ind w:left="643"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795B776D"/>
    <w:multiLevelType w:val="hybridMultilevel"/>
    <w:tmpl w:val="638A0FF4"/>
    <w:lvl w:ilvl="0" w:tplc="C61CC438">
      <w:numFmt w:val="decimal"/>
      <w:pStyle w:val="ListBullet3"/>
      <w:lvlText w:val=""/>
      <w:lvlJc w:val="left"/>
    </w:lvl>
    <w:lvl w:ilvl="1" w:tplc="42CCDA4C">
      <w:numFmt w:val="decimal"/>
      <w:lvlText w:val=""/>
      <w:lvlJc w:val="left"/>
    </w:lvl>
    <w:lvl w:ilvl="2" w:tplc="DE422694">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7E1E21D7"/>
    <w:multiLevelType w:val="hybridMultilevel"/>
    <w:tmpl w:val="FC1084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E391716"/>
    <w:multiLevelType w:val="hybridMultilevel"/>
    <w:tmpl w:val="DDBC3032"/>
    <w:lvl w:ilvl="0" w:tplc="F4C86310">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82" w15:restartNumberingAfterBreak="0">
    <w:nsid w:val="7FC33BBF"/>
    <w:multiLevelType w:val="hybridMultilevel"/>
    <w:tmpl w:val="5AC8FF94"/>
    <w:lvl w:ilvl="0" w:tplc="812AC2DC">
      <w:start w:val="1"/>
      <w:numFmt w:val="decimal"/>
      <w:pStyle w:val="NumberedHeading2"/>
      <w:lvlText w:val="%1.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00633563">
    <w:abstractNumId w:val="7"/>
  </w:num>
  <w:num w:numId="2" w16cid:durableId="1615137224">
    <w:abstractNumId w:val="57"/>
  </w:num>
  <w:num w:numId="3" w16cid:durableId="870726286">
    <w:abstractNumId w:val="73"/>
  </w:num>
  <w:num w:numId="4" w16cid:durableId="243926334">
    <w:abstractNumId w:val="10"/>
  </w:num>
  <w:num w:numId="5" w16cid:durableId="480467523">
    <w:abstractNumId w:val="10"/>
    <w:lvlOverride w:ilvl="0">
      <w:startOverride w:val="1"/>
    </w:lvlOverride>
  </w:num>
  <w:num w:numId="6" w16cid:durableId="426771285">
    <w:abstractNumId w:val="14"/>
  </w:num>
  <w:num w:numId="7" w16cid:durableId="1747872450">
    <w:abstractNumId w:val="46"/>
  </w:num>
  <w:num w:numId="8" w16cid:durableId="1621256825">
    <w:abstractNumId w:val="69"/>
  </w:num>
  <w:num w:numId="9" w16cid:durableId="1637418260">
    <w:abstractNumId w:val="5"/>
  </w:num>
  <w:num w:numId="10" w16cid:durableId="310133613">
    <w:abstractNumId w:val="4"/>
  </w:num>
  <w:num w:numId="11" w16cid:durableId="1225948980">
    <w:abstractNumId w:val="3"/>
  </w:num>
  <w:num w:numId="12" w16cid:durableId="335575940">
    <w:abstractNumId w:val="2"/>
  </w:num>
  <w:num w:numId="13" w16cid:durableId="815756775">
    <w:abstractNumId w:val="6"/>
  </w:num>
  <w:num w:numId="14" w16cid:durableId="14038548">
    <w:abstractNumId w:val="1"/>
  </w:num>
  <w:num w:numId="15" w16cid:durableId="586309812">
    <w:abstractNumId w:val="0"/>
  </w:num>
  <w:num w:numId="16" w16cid:durableId="601573559">
    <w:abstractNumId w:val="81"/>
  </w:num>
  <w:num w:numId="17" w16cid:durableId="1810783284">
    <w:abstractNumId w:val="15"/>
  </w:num>
  <w:num w:numId="18" w16cid:durableId="1044409175">
    <w:abstractNumId w:val="21"/>
  </w:num>
  <w:num w:numId="19" w16cid:durableId="1044984959">
    <w:abstractNumId w:val="39"/>
  </w:num>
  <w:num w:numId="20" w16cid:durableId="1460950562">
    <w:abstractNumId w:val="54"/>
  </w:num>
  <w:num w:numId="21" w16cid:durableId="937059858">
    <w:abstractNumId w:val="35"/>
  </w:num>
  <w:num w:numId="22" w16cid:durableId="937373109">
    <w:abstractNumId w:val="51"/>
  </w:num>
  <w:num w:numId="23" w16cid:durableId="1990553814">
    <w:abstractNumId w:val="43"/>
  </w:num>
  <w:num w:numId="24" w16cid:durableId="1743673810">
    <w:abstractNumId w:val="59"/>
  </w:num>
  <w:num w:numId="25" w16cid:durableId="553001821">
    <w:abstractNumId w:val="53"/>
  </w:num>
  <w:num w:numId="26" w16cid:durableId="668295735">
    <w:abstractNumId w:val="22"/>
  </w:num>
  <w:num w:numId="27" w16cid:durableId="80565056">
    <w:abstractNumId w:val="30"/>
  </w:num>
  <w:num w:numId="28" w16cid:durableId="1112632884">
    <w:abstractNumId w:val="79"/>
  </w:num>
  <w:num w:numId="29" w16cid:durableId="898516542">
    <w:abstractNumId w:val="65"/>
  </w:num>
  <w:num w:numId="30" w16cid:durableId="1396326">
    <w:abstractNumId w:val="25"/>
  </w:num>
  <w:num w:numId="31" w16cid:durableId="1828783526">
    <w:abstractNumId w:val="60"/>
  </w:num>
  <w:num w:numId="32" w16cid:durableId="1169294207">
    <w:abstractNumId w:val="59"/>
  </w:num>
  <w:num w:numId="33" w16cid:durableId="12480346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55935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99833930">
    <w:abstractNumId w:val="24"/>
  </w:num>
  <w:num w:numId="36" w16cid:durableId="656609650">
    <w:abstractNumId w:val="47"/>
  </w:num>
  <w:num w:numId="37" w16cid:durableId="1182357624">
    <w:abstractNumId w:val="26"/>
  </w:num>
  <w:num w:numId="38" w16cid:durableId="1372992417">
    <w:abstractNumId w:val="38"/>
  </w:num>
  <w:num w:numId="39" w16cid:durableId="261570216">
    <w:abstractNumId w:val="42"/>
  </w:num>
  <w:num w:numId="40" w16cid:durableId="462622787">
    <w:abstractNumId w:val="30"/>
  </w:num>
  <w:num w:numId="41" w16cid:durableId="268658213">
    <w:abstractNumId w:val="12"/>
  </w:num>
  <w:num w:numId="42" w16cid:durableId="1803231835">
    <w:abstractNumId w:val="52"/>
  </w:num>
  <w:num w:numId="43" w16cid:durableId="1730373894">
    <w:abstractNumId w:val="70"/>
  </w:num>
  <w:num w:numId="44" w16cid:durableId="1010372736">
    <w:abstractNumId w:val="34"/>
  </w:num>
  <w:num w:numId="45" w16cid:durableId="2011634042">
    <w:abstractNumId w:val="49"/>
  </w:num>
  <w:num w:numId="46" w16cid:durableId="1422677852">
    <w:abstractNumId w:val="23"/>
  </w:num>
  <w:num w:numId="47" w16cid:durableId="1806317079">
    <w:abstractNumId w:val="58"/>
  </w:num>
  <w:num w:numId="48" w16cid:durableId="1082489038">
    <w:abstractNumId w:val="20"/>
  </w:num>
  <w:num w:numId="49" w16cid:durableId="1721055320">
    <w:abstractNumId w:val="31"/>
  </w:num>
  <w:num w:numId="50" w16cid:durableId="806896201">
    <w:abstractNumId w:val="68"/>
  </w:num>
  <w:num w:numId="51" w16cid:durableId="1910575772">
    <w:abstractNumId w:val="13"/>
  </w:num>
  <w:num w:numId="52" w16cid:durableId="1651473189">
    <w:abstractNumId w:val="29"/>
  </w:num>
  <w:num w:numId="53" w16cid:durableId="2109886714">
    <w:abstractNumId w:val="32"/>
  </w:num>
  <w:num w:numId="54" w16cid:durableId="182480488">
    <w:abstractNumId w:val="72"/>
  </w:num>
  <w:num w:numId="55" w16cid:durableId="447355127">
    <w:abstractNumId w:val="18"/>
  </w:num>
  <w:num w:numId="56" w16cid:durableId="377319996">
    <w:abstractNumId w:val="48"/>
  </w:num>
  <w:num w:numId="57" w16cid:durableId="579173339">
    <w:abstractNumId w:val="82"/>
  </w:num>
  <w:num w:numId="58" w16cid:durableId="937759270">
    <w:abstractNumId w:val="48"/>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08749627">
    <w:abstractNumId w:val="13"/>
  </w:num>
  <w:num w:numId="60" w16cid:durableId="1627158629">
    <w:abstractNumId w:val="13"/>
  </w:num>
  <w:num w:numId="61" w16cid:durableId="832138142">
    <w:abstractNumId w:val="13"/>
  </w:num>
  <w:num w:numId="62" w16cid:durableId="776483281">
    <w:abstractNumId w:val="48"/>
    <w:lvlOverride w:ilvl="0">
      <w:startOverride w:val="1"/>
    </w:lvlOverride>
    <w:lvlOverride w:ilvl="1">
      <w:startOverride w:val="3"/>
    </w:lvlOverride>
  </w:num>
  <w:num w:numId="63" w16cid:durableId="1856267636">
    <w:abstractNumId w:val="48"/>
    <w:lvlOverride w:ilvl="0">
      <w:startOverride w:val="1"/>
    </w:lvlOverride>
    <w:lvlOverride w:ilvl="1">
      <w:startOverride w:val="3"/>
    </w:lvlOverride>
  </w:num>
  <w:num w:numId="64" w16cid:durableId="1352149946">
    <w:abstractNumId w:val="48"/>
  </w:num>
  <w:num w:numId="65" w16cid:durableId="1716080678">
    <w:abstractNumId w:val="36"/>
  </w:num>
  <w:num w:numId="66" w16cid:durableId="1649478403">
    <w:abstractNumId w:val="76"/>
  </w:num>
  <w:num w:numId="67" w16cid:durableId="482813608">
    <w:abstractNumId w:val="82"/>
    <w:lvlOverride w:ilvl="0">
      <w:startOverride w:val="1"/>
    </w:lvlOverride>
  </w:num>
  <w:num w:numId="68" w16cid:durableId="992298002">
    <w:abstractNumId w:val="13"/>
    <w:lvlOverride w:ilvl="0">
      <w:startOverride w:val="1"/>
    </w:lvlOverride>
  </w:num>
  <w:num w:numId="69" w16cid:durableId="1047341454">
    <w:abstractNumId w:val="29"/>
    <w:lvlOverride w:ilvl="0">
      <w:startOverride w:val="1"/>
    </w:lvlOverride>
  </w:num>
  <w:num w:numId="70" w16cid:durableId="1165392282">
    <w:abstractNumId w:val="29"/>
  </w:num>
  <w:num w:numId="71" w16cid:durableId="8485745">
    <w:abstractNumId w:val="29"/>
  </w:num>
  <w:num w:numId="72" w16cid:durableId="1594968077">
    <w:abstractNumId w:val="29"/>
  </w:num>
  <w:num w:numId="73" w16cid:durableId="378752234">
    <w:abstractNumId w:val="75"/>
  </w:num>
  <w:num w:numId="74" w16cid:durableId="764301454">
    <w:abstractNumId w:val="45"/>
  </w:num>
  <w:num w:numId="75" w16cid:durableId="1710179783">
    <w:abstractNumId w:val="18"/>
  </w:num>
  <w:num w:numId="76" w16cid:durableId="1579365576">
    <w:abstractNumId w:val="18"/>
  </w:num>
  <w:num w:numId="77" w16cid:durableId="996769149">
    <w:abstractNumId w:val="18"/>
  </w:num>
  <w:num w:numId="78" w16cid:durableId="1611399650">
    <w:abstractNumId w:val="18"/>
  </w:num>
  <w:num w:numId="79" w16cid:durableId="722606881">
    <w:abstractNumId w:val="56"/>
  </w:num>
  <w:num w:numId="80" w16cid:durableId="1200625641">
    <w:abstractNumId w:val="9"/>
  </w:num>
  <w:num w:numId="81" w16cid:durableId="829102254">
    <w:abstractNumId w:val="74"/>
  </w:num>
  <w:num w:numId="82" w16cid:durableId="1143540914">
    <w:abstractNumId w:val="17"/>
  </w:num>
  <w:num w:numId="83" w16cid:durableId="871188872">
    <w:abstractNumId w:val="8"/>
  </w:num>
  <w:num w:numId="84" w16cid:durableId="1110466079">
    <w:abstractNumId w:val="40"/>
  </w:num>
  <w:num w:numId="85" w16cid:durableId="906301643">
    <w:abstractNumId w:val="77"/>
  </w:num>
  <w:num w:numId="86" w16cid:durableId="307367721">
    <w:abstractNumId w:val="63"/>
  </w:num>
  <w:num w:numId="87" w16cid:durableId="1115444765">
    <w:abstractNumId w:val="16"/>
  </w:num>
  <w:num w:numId="88" w16cid:durableId="1870727208">
    <w:abstractNumId w:val="61"/>
  </w:num>
  <w:num w:numId="89" w16cid:durableId="512502480">
    <w:abstractNumId w:val="18"/>
  </w:num>
  <w:num w:numId="90" w16cid:durableId="1841117398">
    <w:abstractNumId w:val="11"/>
  </w:num>
  <w:num w:numId="91" w16cid:durableId="1672751732">
    <w:abstractNumId w:val="50"/>
  </w:num>
  <w:num w:numId="92" w16cid:durableId="709302390">
    <w:abstractNumId w:val="28"/>
  </w:num>
  <w:num w:numId="93" w16cid:durableId="2068726715">
    <w:abstractNumId w:val="44"/>
  </w:num>
  <w:num w:numId="94" w16cid:durableId="1889606005">
    <w:abstractNumId w:val="18"/>
  </w:num>
  <w:num w:numId="95" w16cid:durableId="1146892857">
    <w:abstractNumId w:val="78"/>
  </w:num>
  <w:num w:numId="96" w16cid:durableId="1567373404">
    <w:abstractNumId w:val="55"/>
  </w:num>
  <w:num w:numId="97" w16cid:durableId="616914608">
    <w:abstractNumId w:val="62"/>
  </w:num>
  <w:num w:numId="98" w16cid:durableId="1542592987">
    <w:abstractNumId w:val="64"/>
  </w:num>
  <w:num w:numId="99" w16cid:durableId="1964727441">
    <w:abstractNumId w:val="27"/>
  </w:num>
  <w:num w:numId="100" w16cid:durableId="1811745743">
    <w:abstractNumId w:val="71"/>
  </w:num>
  <w:num w:numId="101" w16cid:durableId="208693496">
    <w:abstractNumId w:val="37"/>
  </w:num>
  <w:num w:numId="102" w16cid:durableId="1860848050">
    <w:abstractNumId w:val="19"/>
  </w:num>
  <w:num w:numId="103" w16cid:durableId="2019849829">
    <w:abstractNumId w:val="41"/>
  </w:num>
  <w:num w:numId="104" w16cid:durableId="654265953">
    <w:abstractNumId w:val="66"/>
  </w:num>
  <w:num w:numId="105" w16cid:durableId="1443264856">
    <w:abstractNumId w:val="33"/>
  </w:num>
  <w:num w:numId="106" w16cid:durableId="1013341822">
    <w:abstractNumId w:val="80"/>
  </w:num>
  <w:num w:numId="107" w16cid:durableId="896475285">
    <w:abstractNumId w:val="67"/>
  </w:num>
  <w:num w:numId="108" w16cid:durableId="254360165">
    <w:abstractNumId w:val="18"/>
  </w:num>
  <w:num w:numId="109" w16cid:durableId="1877544834">
    <w:abstractNumId w:val="18"/>
  </w:num>
  <w:num w:numId="110" w16cid:durableId="1701738299">
    <w:abstractNumId w:val="18"/>
  </w:num>
  <w:num w:numId="111" w16cid:durableId="982350875">
    <w:abstractNumId w:val="18"/>
  </w:num>
  <w:num w:numId="112" w16cid:durableId="955214148">
    <w:abstractNumId w:val="18"/>
  </w:num>
  <w:num w:numId="113" w16cid:durableId="1340935087">
    <w:abstractNumId w:val="18"/>
  </w:num>
  <w:num w:numId="114" w16cid:durableId="879978094">
    <w:abstractNumId w:val="18"/>
  </w:num>
  <w:num w:numId="115" w16cid:durableId="195168089">
    <w:abstractNumId w:val="18"/>
  </w:num>
  <w:num w:numId="116" w16cid:durableId="2078476218">
    <w:abstractNumId w:val="18"/>
  </w:num>
  <w:num w:numId="117" w16cid:durableId="384303645">
    <w:abstractNumId w:val="18"/>
  </w:num>
  <w:num w:numId="118" w16cid:durableId="701906715">
    <w:abstractNumId w:val="18"/>
  </w:num>
  <w:num w:numId="119" w16cid:durableId="1749375477">
    <w:abstractNumId w:val="18"/>
  </w:num>
  <w:num w:numId="120" w16cid:durableId="1519661590">
    <w:abstractNumId w:val="18"/>
  </w:num>
  <w:num w:numId="121" w16cid:durableId="840394411">
    <w:abstractNumId w:val="18"/>
  </w:num>
  <w:num w:numId="122" w16cid:durableId="743718062">
    <w:abstractNumId w:val="18"/>
  </w:num>
  <w:num w:numId="123" w16cid:durableId="1369724852">
    <w:abstractNumId w:val="82"/>
    <w:lvlOverride w:ilvl="0">
      <w:startOverride w:val="1"/>
    </w:lvlOverride>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CA5"/>
    <w:rsid w:val="00000804"/>
    <w:rsid w:val="0000152A"/>
    <w:rsid w:val="0000179C"/>
    <w:rsid w:val="00002277"/>
    <w:rsid w:val="0000248C"/>
    <w:rsid w:val="00002D44"/>
    <w:rsid w:val="00002ECA"/>
    <w:rsid w:val="00003743"/>
    <w:rsid w:val="00003A6C"/>
    <w:rsid w:val="000047B4"/>
    <w:rsid w:val="000056EB"/>
    <w:rsid w:val="00005712"/>
    <w:rsid w:val="000058FB"/>
    <w:rsid w:val="00006591"/>
    <w:rsid w:val="00007305"/>
    <w:rsid w:val="00007D68"/>
    <w:rsid w:val="00007DF1"/>
    <w:rsid w:val="00007FD8"/>
    <w:rsid w:val="00010899"/>
    <w:rsid w:val="000117F8"/>
    <w:rsid w:val="00011853"/>
    <w:rsid w:val="00011A16"/>
    <w:rsid w:val="00011C69"/>
    <w:rsid w:val="00011CC2"/>
    <w:rsid w:val="000125E9"/>
    <w:rsid w:val="000136F5"/>
    <w:rsid w:val="00013CDD"/>
    <w:rsid w:val="00014466"/>
    <w:rsid w:val="00015778"/>
    <w:rsid w:val="00015A9D"/>
    <w:rsid w:val="00016059"/>
    <w:rsid w:val="0001674B"/>
    <w:rsid w:val="00017B53"/>
    <w:rsid w:val="000236F6"/>
    <w:rsid w:val="00023868"/>
    <w:rsid w:val="00023958"/>
    <w:rsid w:val="00023994"/>
    <w:rsid w:val="00023E26"/>
    <w:rsid w:val="00023E44"/>
    <w:rsid w:val="000243AD"/>
    <w:rsid w:val="000248B1"/>
    <w:rsid w:val="00024EBB"/>
    <w:rsid w:val="0002569A"/>
    <w:rsid w:val="00025BB6"/>
    <w:rsid w:val="00026139"/>
    <w:rsid w:val="0002648D"/>
    <w:rsid w:val="00027046"/>
    <w:rsid w:val="00027071"/>
    <w:rsid w:val="000270B1"/>
    <w:rsid w:val="00027601"/>
    <w:rsid w:val="00030B42"/>
    <w:rsid w:val="0003107F"/>
    <w:rsid w:val="00031388"/>
    <w:rsid w:val="00031D59"/>
    <w:rsid w:val="00031DBD"/>
    <w:rsid w:val="000325B6"/>
    <w:rsid w:val="00032904"/>
    <w:rsid w:val="00033321"/>
    <w:rsid w:val="000338E5"/>
    <w:rsid w:val="00033E67"/>
    <w:rsid w:val="00033ECC"/>
    <w:rsid w:val="0003422F"/>
    <w:rsid w:val="00034371"/>
    <w:rsid w:val="00034401"/>
    <w:rsid w:val="000355DA"/>
    <w:rsid w:val="00035A58"/>
    <w:rsid w:val="00035CF9"/>
    <w:rsid w:val="000362E9"/>
    <w:rsid w:val="0003651B"/>
    <w:rsid w:val="00037999"/>
    <w:rsid w:val="000408CF"/>
    <w:rsid w:val="00040924"/>
    <w:rsid w:val="00040F97"/>
    <w:rsid w:val="000413CB"/>
    <w:rsid w:val="00041B25"/>
    <w:rsid w:val="0004218D"/>
    <w:rsid w:val="00042272"/>
    <w:rsid w:val="00042355"/>
    <w:rsid w:val="00043D05"/>
    <w:rsid w:val="00043D55"/>
    <w:rsid w:val="00043DBC"/>
    <w:rsid w:val="00044517"/>
    <w:rsid w:val="00044840"/>
    <w:rsid w:val="00044D60"/>
    <w:rsid w:val="00044F41"/>
    <w:rsid w:val="00044FBE"/>
    <w:rsid w:val="00045430"/>
    <w:rsid w:val="00045724"/>
    <w:rsid w:val="00045BEA"/>
    <w:rsid w:val="00046FF0"/>
    <w:rsid w:val="00047047"/>
    <w:rsid w:val="000475A7"/>
    <w:rsid w:val="000478D5"/>
    <w:rsid w:val="00047D44"/>
    <w:rsid w:val="00050176"/>
    <w:rsid w:val="00051617"/>
    <w:rsid w:val="00052859"/>
    <w:rsid w:val="00052AA8"/>
    <w:rsid w:val="0005398D"/>
    <w:rsid w:val="00054187"/>
    <w:rsid w:val="00054483"/>
    <w:rsid w:val="0005485D"/>
    <w:rsid w:val="00055196"/>
    <w:rsid w:val="00055CD3"/>
    <w:rsid w:val="00056CB2"/>
    <w:rsid w:val="00056D37"/>
    <w:rsid w:val="000573B8"/>
    <w:rsid w:val="00057B51"/>
    <w:rsid w:val="00057BC8"/>
    <w:rsid w:val="000601A1"/>
    <w:rsid w:val="000603B6"/>
    <w:rsid w:val="00060980"/>
    <w:rsid w:val="000611C5"/>
    <w:rsid w:val="0006181A"/>
    <w:rsid w:val="00061C53"/>
    <w:rsid w:val="00062322"/>
    <w:rsid w:val="000624E6"/>
    <w:rsid w:val="00062B14"/>
    <w:rsid w:val="00062B65"/>
    <w:rsid w:val="00062E86"/>
    <w:rsid w:val="00063236"/>
    <w:rsid w:val="00063812"/>
    <w:rsid w:val="00063A36"/>
    <w:rsid w:val="00063D4B"/>
    <w:rsid w:val="00063DC2"/>
    <w:rsid w:val="00063F39"/>
    <w:rsid w:val="000642A3"/>
    <w:rsid w:val="00064353"/>
    <w:rsid w:val="000645B4"/>
    <w:rsid w:val="00064ECE"/>
    <w:rsid w:val="00065300"/>
    <w:rsid w:val="00065683"/>
    <w:rsid w:val="000657E6"/>
    <w:rsid w:val="000666D4"/>
    <w:rsid w:val="00067456"/>
    <w:rsid w:val="00067CC1"/>
    <w:rsid w:val="00067D18"/>
    <w:rsid w:val="00067E5A"/>
    <w:rsid w:val="00067E8D"/>
    <w:rsid w:val="00071415"/>
    <w:rsid w:val="00071506"/>
    <w:rsid w:val="0007154F"/>
    <w:rsid w:val="00072693"/>
    <w:rsid w:val="00072B54"/>
    <w:rsid w:val="00073030"/>
    <w:rsid w:val="000738CA"/>
    <w:rsid w:val="0007495B"/>
    <w:rsid w:val="00074E85"/>
    <w:rsid w:val="000750A3"/>
    <w:rsid w:val="00075541"/>
    <w:rsid w:val="00076DE0"/>
    <w:rsid w:val="00076FA0"/>
    <w:rsid w:val="00077129"/>
    <w:rsid w:val="00077657"/>
    <w:rsid w:val="00077753"/>
    <w:rsid w:val="000800D6"/>
    <w:rsid w:val="000800FF"/>
    <w:rsid w:val="0008021D"/>
    <w:rsid w:val="00080AF3"/>
    <w:rsid w:val="00080BF2"/>
    <w:rsid w:val="00080E0E"/>
    <w:rsid w:val="00080EA4"/>
    <w:rsid w:val="0008126D"/>
    <w:rsid w:val="00081512"/>
    <w:rsid w:val="000815A5"/>
    <w:rsid w:val="00081AB1"/>
    <w:rsid w:val="00081FC4"/>
    <w:rsid w:val="00082AA0"/>
    <w:rsid w:val="00083283"/>
    <w:rsid w:val="00083BF6"/>
    <w:rsid w:val="00083F75"/>
    <w:rsid w:val="000845CF"/>
    <w:rsid w:val="0008493E"/>
    <w:rsid w:val="00085877"/>
    <w:rsid w:val="0008657F"/>
    <w:rsid w:val="00086F0D"/>
    <w:rsid w:val="000870FD"/>
    <w:rsid w:val="00090316"/>
    <w:rsid w:val="000904AA"/>
    <w:rsid w:val="00091960"/>
    <w:rsid w:val="00091CB9"/>
    <w:rsid w:val="000926EB"/>
    <w:rsid w:val="00092C61"/>
    <w:rsid w:val="00093424"/>
    <w:rsid w:val="000935ED"/>
    <w:rsid w:val="00093981"/>
    <w:rsid w:val="00093CD9"/>
    <w:rsid w:val="00093EA4"/>
    <w:rsid w:val="0009423C"/>
    <w:rsid w:val="00094482"/>
    <w:rsid w:val="00094636"/>
    <w:rsid w:val="00094776"/>
    <w:rsid w:val="00094A72"/>
    <w:rsid w:val="00095002"/>
    <w:rsid w:val="00095A1C"/>
    <w:rsid w:val="00095ECF"/>
    <w:rsid w:val="000965FD"/>
    <w:rsid w:val="00096776"/>
    <w:rsid w:val="00096AD2"/>
    <w:rsid w:val="00097792"/>
    <w:rsid w:val="000977A4"/>
    <w:rsid w:val="00097B8B"/>
    <w:rsid w:val="000A0FAD"/>
    <w:rsid w:val="000A13DF"/>
    <w:rsid w:val="000A1CAC"/>
    <w:rsid w:val="000A2A44"/>
    <w:rsid w:val="000A2D77"/>
    <w:rsid w:val="000A3148"/>
    <w:rsid w:val="000A3398"/>
    <w:rsid w:val="000A39D5"/>
    <w:rsid w:val="000A40D8"/>
    <w:rsid w:val="000A4204"/>
    <w:rsid w:val="000A4C58"/>
    <w:rsid w:val="000A4CD9"/>
    <w:rsid w:val="000A4E25"/>
    <w:rsid w:val="000A4ED2"/>
    <w:rsid w:val="000A4FA2"/>
    <w:rsid w:val="000A57C4"/>
    <w:rsid w:val="000A6103"/>
    <w:rsid w:val="000A70A8"/>
    <w:rsid w:val="000A7797"/>
    <w:rsid w:val="000A7F36"/>
    <w:rsid w:val="000B067A"/>
    <w:rsid w:val="000B079D"/>
    <w:rsid w:val="000B1211"/>
    <w:rsid w:val="000B1540"/>
    <w:rsid w:val="000B159B"/>
    <w:rsid w:val="000B17D0"/>
    <w:rsid w:val="000B3267"/>
    <w:rsid w:val="000B33FD"/>
    <w:rsid w:val="000B3C35"/>
    <w:rsid w:val="000B3D96"/>
    <w:rsid w:val="000B4083"/>
    <w:rsid w:val="000B4336"/>
    <w:rsid w:val="000B4ABA"/>
    <w:rsid w:val="000B52AE"/>
    <w:rsid w:val="000B5E64"/>
    <w:rsid w:val="000B6ED4"/>
    <w:rsid w:val="000C008C"/>
    <w:rsid w:val="000C0BE8"/>
    <w:rsid w:val="000C1029"/>
    <w:rsid w:val="000C1264"/>
    <w:rsid w:val="000C21B5"/>
    <w:rsid w:val="000C38C8"/>
    <w:rsid w:val="000C3ADF"/>
    <w:rsid w:val="000C480B"/>
    <w:rsid w:val="000C4B16"/>
    <w:rsid w:val="000C50C3"/>
    <w:rsid w:val="000C57EF"/>
    <w:rsid w:val="000C5869"/>
    <w:rsid w:val="000C5BC3"/>
    <w:rsid w:val="000C5E70"/>
    <w:rsid w:val="000C64C5"/>
    <w:rsid w:val="000C66E2"/>
    <w:rsid w:val="000C6E6B"/>
    <w:rsid w:val="000C75F2"/>
    <w:rsid w:val="000C781B"/>
    <w:rsid w:val="000C79BB"/>
    <w:rsid w:val="000D0B2B"/>
    <w:rsid w:val="000D12D1"/>
    <w:rsid w:val="000D17B0"/>
    <w:rsid w:val="000D1D25"/>
    <w:rsid w:val="000D21F6"/>
    <w:rsid w:val="000D2651"/>
    <w:rsid w:val="000D29AD"/>
    <w:rsid w:val="000D2F49"/>
    <w:rsid w:val="000D300A"/>
    <w:rsid w:val="000D33DE"/>
    <w:rsid w:val="000D37B3"/>
    <w:rsid w:val="000D3A58"/>
    <w:rsid w:val="000D3A62"/>
    <w:rsid w:val="000D42C3"/>
    <w:rsid w:val="000D4500"/>
    <w:rsid w:val="000D454C"/>
    <w:rsid w:val="000D460E"/>
    <w:rsid w:val="000D476C"/>
    <w:rsid w:val="000D55C7"/>
    <w:rsid w:val="000D56D9"/>
    <w:rsid w:val="000D56E4"/>
    <w:rsid w:val="000D64E3"/>
    <w:rsid w:val="000D67D3"/>
    <w:rsid w:val="000D6F52"/>
    <w:rsid w:val="000D7AEA"/>
    <w:rsid w:val="000E01A9"/>
    <w:rsid w:val="000E0823"/>
    <w:rsid w:val="000E085C"/>
    <w:rsid w:val="000E0E54"/>
    <w:rsid w:val="000E12A2"/>
    <w:rsid w:val="000E1447"/>
    <w:rsid w:val="000E196A"/>
    <w:rsid w:val="000E1AC0"/>
    <w:rsid w:val="000E1B69"/>
    <w:rsid w:val="000E1BF6"/>
    <w:rsid w:val="000E1F2E"/>
    <w:rsid w:val="000E2C66"/>
    <w:rsid w:val="000E34ED"/>
    <w:rsid w:val="000E37B8"/>
    <w:rsid w:val="000E3EC2"/>
    <w:rsid w:val="000E4132"/>
    <w:rsid w:val="000E428C"/>
    <w:rsid w:val="000E4A73"/>
    <w:rsid w:val="000E5531"/>
    <w:rsid w:val="000E5A70"/>
    <w:rsid w:val="000E5CAA"/>
    <w:rsid w:val="000E6365"/>
    <w:rsid w:val="000E66DC"/>
    <w:rsid w:val="000E6E7D"/>
    <w:rsid w:val="000E7EB8"/>
    <w:rsid w:val="000F02EC"/>
    <w:rsid w:val="000F123C"/>
    <w:rsid w:val="000F1ABD"/>
    <w:rsid w:val="000F1C1C"/>
    <w:rsid w:val="000F1C4F"/>
    <w:rsid w:val="000F2869"/>
    <w:rsid w:val="000F2FED"/>
    <w:rsid w:val="000F3582"/>
    <w:rsid w:val="000F3C3A"/>
    <w:rsid w:val="000F4072"/>
    <w:rsid w:val="000F48DB"/>
    <w:rsid w:val="000F5196"/>
    <w:rsid w:val="000F5B95"/>
    <w:rsid w:val="000F619D"/>
    <w:rsid w:val="000F6598"/>
    <w:rsid w:val="000F6F55"/>
    <w:rsid w:val="000F7606"/>
    <w:rsid w:val="000F79DB"/>
    <w:rsid w:val="001009B7"/>
    <w:rsid w:val="00100F6D"/>
    <w:rsid w:val="001011A6"/>
    <w:rsid w:val="001011F9"/>
    <w:rsid w:val="001013E7"/>
    <w:rsid w:val="00101E8D"/>
    <w:rsid w:val="001020C0"/>
    <w:rsid w:val="00102F19"/>
    <w:rsid w:val="001036B7"/>
    <w:rsid w:val="001039C0"/>
    <w:rsid w:val="001041B6"/>
    <w:rsid w:val="00104378"/>
    <w:rsid w:val="001048FB"/>
    <w:rsid w:val="001049B5"/>
    <w:rsid w:val="00104A9C"/>
    <w:rsid w:val="0010616D"/>
    <w:rsid w:val="00106432"/>
    <w:rsid w:val="001067B0"/>
    <w:rsid w:val="001067FF"/>
    <w:rsid w:val="00107219"/>
    <w:rsid w:val="001103CC"/>
    <w:rsid w:val="00110478"/>
    <w:rsid w:val="00110BF5"/>
    <w:rsid w:val="00110C2C"/>
    <w:rsid w:val="00110E0F"/>
    <w:rsid w:val="0011162E"/>
    <w:rsid w:val="0011215C"/>
    <w:rsid w:val="00112D79"/>
    <w:rsid w:val="00113518"/>
    <w:rsid w:val="00114429"/>
    <w:rsid w:val="00115400"/>
    <w:rsid w:val="001157F9"/>
    <w:rsid w:val="00115AB6"/>
    <w:rsid w:val="00115B16"/>
    <w:rsid w:val="00116557"/>
    <w:rsid w:val="00116BFD"/>
    <w:rsid w:val="0011711B"/>
    <w:rsid w:val="0011749B"/>
    <w:rsid w:val="00117525"/>
    <w:rsid w:val="00117F8A"/>
    <w:rsid w:val="00121674"/>
    <w:rsid w:val="001216E8"/>
    <w:rsid w:val="00121B9B"/>
    <w:rsid w:val="00122328"/>
    <w:rsid w:val="00122977"/>
    <w:rsid w:val="00122A9C"/>
    <w:rsid w:val="00122ADC"/>
    <w:rsid w:val="00123AB7"/>
    <w:rsid w:val="00124D83"/>
    <w:rsid w:val="00125076"/>
    <w:rsid w:val="00125CD8"/>
    <w:rsid w:val="00126031"/>
    <w:rsid w:val="00126347"/>
    <w:rsid w:val="00126729"/>
    <w:rsid w:val="00126DC5"/>
    <w:rsid w:val="00130305"/>
    <w:rsid w:val="00130C58"/>
    <w:rsid w:val="00130F59"/>
    <w:rsid w:val="00131DD2"/>
    <w:rsid w:val="00131EBD"/>
    <w:rsid w:val="00132475"/>
    <w:rsid w:val="00132516"/>
    <w:rsid w:val="00132DD4"/>
    <w:rsid w:val="00133040"/>
    <w:rsid w:val="0013399E"/>
    <w:rsid w:val="00133EC0"/>
    <w:rsid w:val="00134761"/>
    <w:rsid w:val="00134A30"/>
    <w:rsid w:val="00134CD8"/>
    <w:rsid w:val="001352F8"/>
    <w:rsid w:val="0013553F"/>
    <w:rsid w:val="0013605B"/>
    <w:rsid w:val="001360D7"/>
    <w:rsid w:val="001361E7"/>
    <w:rsid w:val="00136BD5"/>
    <w:rsid w:val="0014039A"/>
    <w:rsid w:val="00140A72"/>
    <w:rsid w:val="00141057"/>
    <w:rsid w:val="0014107C"/>
    <w:rsid w:val="00141114"/>
    <w:rsid w:val="00141659"/>
    <w:rsid w:val="00141CE5"/>
    <w:rsid w:val="00141E4B"/>
    <w:rsid w:val="00142CAC"/>
    <w:rsid w:val="00142CB9"/>
    <w:rsid w:val="001437DE"/>
    <w:rsid w:val="00143F73"/>
    <w:rsid w:val="001447AA"/>
    <w:rsid w:val="00144908"/>
    <w:rsid w:val="00144F17"/>
    <w:rsid w:val="00144F65"/>
    <w:rsid w:val="00146292"/>
    <w:rsid w:val="00146596"/>
    <w:rsid w:val="00146EA4"/>
    <w:rsid w:val="00146ED6"/>
    <w:rsid w:val="0014792A"/>
    <w:rsid w:val="00150571"/>
    <w:rsid w:val="0015107E"/>
    <w:rsid w:val="00152764"/>
    <w:rsid w:val="00152C90"/>
    <w:rsid w:val="0015383F"/>
    <w:rsid w:val="00153DC0"/>
    <w:rsid w:val="00153F54"/>
    <w:rsid w:val="0015464E"/>
    <w:rsid w:val="00154A09"/>
    <w:rsid w:val="00154C53"/>
    <w:rsid w:val="00154D45"/>
    <w:rsid w:val="00154F3F"/>
    <w:rsid w:val="001550F2"/>
    <w:rsid w:val="001551F8"/>
    <w:rsid w:val="00155A15"/>
    <w:rsid w:val="001571C7"/>
    <w:rsid w:val="00160082"/>
    <w:rsid w:val="0016016A"/>
    <w:rsid w:val="0016073E"/>
    <w:rsid w:val="00161094"/>
    <w:rsid w:val="001619F5"/>
    <w:rsid w:val="00162FEF"/>
    <w:rsid w:val="0016371F"/>
    <w:rsid w:val="00164709"/>
    <w:rsid w:val="001647BE"/>
    <w:rsid w:val="00164B9B"/>
    <w:rsid w:val="00164EEA"/>
    <w:rsid w:val="001657E8"/>
    <w:rsid w:val="00165C53"/>
    <w:rsid w:val="0016672C"/>
    <w:rsid w:val="00166CA8"/>
    <w:rsid w:val="001672FC"/>
    <w:rsid w:val="0017030F"/>
    <w:rsid w:val="00170CC4"/>
    <w:rsid w:val="00171216"/>
    <w:rsid w:val="001715A7"/>
    <w:rsid w:val="001716D2"/>
    <w:rsid w:val="001716E3"/>
    <w:rsid w:val="00171701"/>
    <w:rsid w:val="00171D70"/>
    <w:rsid w:val="001723EE"/>
    <w:rsid w:val="001727E8"/>
    <w:rsid w:val="00172A55"/>
    <w:rsid w:val="00172B12"/>
    <w:rsid w:val="001736D9"/>
    <w:rsid w:val="00173943"/>
    <w:rsid w:val="001748E3"/>
    <w:rsid w:val="00174A60"/>
    <w:rsid w:val="00174B03"/>
    <w:rsid w:val="00174EEB"/>
    <w:rsid w:val="00174F53"/>
    <w:rsid w:val="00174FB4"/>
    <w:rsid w:val="001758CD"/>
    <w:rsid w:val="00175A84"/>
    <w:rsid w:val="00175B42"/>
    <w:rsid w:val="00175BB4"/>
    <w:rsid w:val="00175D88"/>
    <w:rsid w:val="0017665C"/>
    <w:rsid w:val="001773BE"/>
    <w:rsid w:val="0017744D"/>
    <w:rsid w:val="001776F8"/>
    <w:rsid w:val="00177AD2"/>
    <w:rsid w:val="00177BE0"/>
    <w:rsid w:val="00180165"/>
    <w:rsid w:val="001810E8"/>
    <w:rsid w:val="00181592"/>
    <w:rsid w:val="001815A8"/>
    <w:rsid w:val="0018187C"/>
    <w:rsid w:val="00181A3C"/>
    <w:rsid w:val="00181D96"/>
    <w:rsid w:val="00182619"/>
    <w:rsid w:val="0018299C"/>
    <w:rsid w:val="00183643"/>
    <w:rsid w:val="001839F7"/>
    <w:rsid w:val="00184005"/>
    <w:rsid w:val="001840FA"/>
    <w:rsid w:val="001841FF"/>
    <w:rsid w:val="00184F38"/>
    <w:rsid w:val="00184FEF"/>
    <w:rsid w:val="00185B5C"/>
    <w:rsid w:val="001868FA"/>
    <w:rsid w:val="001869D6"/>
    <w:rsid w:val="00187290"/>
    <w:rsid w:val="00187568"/>
    <w:rsid w:val="00187770"/>
    <w:rsid w:val="00190079"/>
    <w:rsid w:val="001918A2"/>
    <w:rsid w:val="00192377"/>
    <w:rsid w:val="0019342B"/>
    <w:rsid w:val="0019388F"/>
    <w:rsid w:val="00193E09"/>
    <w:rsid w:val="00193E50"/>
    <w:rsid w:val="00195027"/>
    <w:rsid w:val="0019558E"/>
    <w:rsid w:val="00195F03"/>
    <w:rsid w:val="0019622E"/>
    <w:rsid w:val="001966A7"/>
    <w:rsid w:val="00196B1F"/>
    <w:rsid w:val="0019701C"/>
    <w:rsid w:val="00197E07"/>
    <w:rsid w:val="001A02D5"/>
    <w:rsid w:val="001A061C"/>
    <w:rsid w:val="001A092E"/>
    <w:rsid w:val="001A116F"/>
    <w:rsid w:val="001A1BEE"/>
    <w:rsid w:val="001A2476"/>
    <w:rsid w:val="001A2571"/>
    <w:rsid w:val="001A261B"/>
    <w:rsid w:val="001A297B"/>
    <w:rsid w:val="001A2B46"/>
    <w:rsid w:val="001A3825"/>
    <w:rsid w:val="001A38A7"/>
    <w:rsid w:val="001A3A40"/>
    <w:rsid w:val="001A3E43"/>
    <w:rsid w:val="001A4371"/>
    <w:rsid w:val="001A4627"/>
    <w:rsid w:val="001A48E7"/>
    <w:rsid w:val="001A4979"/>
    <w:rsid w:val="001A4A21"/>
    <w:rsid w:val="001A53A8"/>
    <w:rsid w:val="001A552B"/>
    <w:rsid w:val="001A6E4D"/>
    <w:rsid w:val="001A6FC2"/>
    <w:rsid w:val="001A716A"/>
    <w:rsid w:val="001A7395"/>
    <w:rsid w:val="001A7944"/>
    <w:rsid w:val="001B041A"/>
    <w:rsid w:val="001B0846"/>
    <w:rsid w:val="001B0C0C"/>
    <w:rsid w:val="001B0CED"/>
    <w:rsid w:val="001B0F9A"/>
    <w:rsid w:val="001B11CA"/>
    <w:rsid w:val="001B12C2"/>
    <w:rsid w:val="001B12D4"/>
    <w:rsid w:val="001B1320"/>
    <w:rsid w:val="001B15D3"/>
    <w:rsid w:val="001B181D"/>
    <w:rsid w:val="001B1870"/>
    <w:rsid w:val="001B1C11"/>
    <w:rsid w:val="001B25B3"/>
    <w:rsid w:val="001B2EFD"/>
    <w:rsid w:val="001B3443"/>
    <w:rsid w:val="001B3783"/>
    <w:rsid w:val="001B3B0C"/>
    <w:rsid w:val="001B3EE2"/>
    <w:rsid w:val="001B4477"/>
    <w:rsid w:val="001B45CA"/>
    <w:rsid w:val="001B50D9"/>
    <w:rsid w:val="001B51ED"/>
    <w:rsid w:val="001B51F1"/>
    <w:rsid w:val="001B56C4"/>
    <w:rsid w:val="001B583A"/>
    <w:rsid w:val="001B5A25"/>
    <w:rsid w:val="001B5DDB"/>
    <w:rsid w:val="001B5DE6"/>
    <w:rsid w:val="001B6483"/>
    <w:rsid w:val="001B790C"/>
    <w:rsid w:val="001B7A76"/>
    <w:rsid w:val="001C0326"/>
    <w:rsid w:val="001C089F"/>
    <w:rsid w:val="001C0A7C"/>
    <w:rsid w:val="001C0BBA"/>
    <w:rsid w:val="001C0C75"/>
    <w:rsid w:val="001C0DD7"/>
    <w:rsid w:val="001C10BB"/>
    <w:rsid w:val="001C192F"/>
    <w:rsid w:val="001C2A42"/>
    <w:rsid w:val="001C37BB"/>
    <w:rsid w:val="001C37E6"/>
    <w:rsid w:val="001C3C42"/>
    <w:rsid w:val="001C3C4B"/>
    <w:rsid w:val="001C3DFB"/>
    <w:rsid w:val="001C43B3"/>
    <w:rsid w:val="001C4528"/>
    <w:rsid w:val="001C4D08"/>
    <w:rsid w:val="001C5C3C"/>
    <w:rsid w:val="001C624A"/>
    <w:rsid w:val="001C673E"/>
    <w:rsid w:val="001C754E"/>
    <w:rsid w:val="001C75F2"/>
    <w:rsid w:val="001C78BD"/>
    <w:rsid w:val="001D0236"/>
    <w:rsid w:val="001D0BA5"/>
    <w:rsid w:val="001D0D05"/>
    <w:rsid w:val="001D1110"/>
    <w:rsid w:val="001D1717"/>
    <w:rsid w:val="001D205B"/>
    <w:rsid w:val="001D2402"/>
    <w:rsid w:val="001D2817"/>
    <w:rsid w:val="001D2E3C"/>
    <w:rsid w:val="001D4503"/>
    <w:rsid w:val="001D50B0"/>
    <w:rsid w:val="001D5954"/>
    <w:rsid w:val="001D61AF"/>
    <w:rsid w:val="001D61F0"/>
    <w:rsid w:val="001D650E"/>
    <w:rsid w:val="001D6839"/>
    <w:rsid w:val="001D7350"/>
    <w:rsid w:val="001D7869"/>
    <w:rsid w:val="001D7DB3"/>
    <w:rsid w:val="001E0639"/>
    <w:rsid w:val="001E103D"/>
    <w:rsid w:val="001E2E88"/>
    <w:rsid w:val="001E32BB"/>
    <w:rsid w:val="001E3C06"/>
    <w:rsid w:val="001E43C8"/>
    <w:rsid w:val="001E4E33"/>
    <w:rsid w:val="001E551E"/>
    <w:rsid w:val="001E5AB0"/>
    <w:rsid w:val="001E5CA3"/>
    <w:rsid w:val="001E61FF"/>
    <w:rsid w:val="001E64DE"/>
    <w:rsid w:val="001E6B0C"/>
    <w:rsid w:val="001E6C83"/>
    <w:rsid w:val="001E6FE7"/>
    <w:rsid w:val="001E741E"/>
    <w:rsid w:val="001E75ED"/>
    <w:rsid w:val="001E7BA6"/>
    <w:rsid w:val="001E7E79"/>
    <w:rsid w:val="001F01DF"/>
    <w:rsid w:val="001F0BC3"/>
    <w:rsid w:val="001F0FD8"/>
    <w:rsid w:val="001F2887"/>
    <w:rsid w:val="001F2ABB"/>
    <w:rsid w:val="001F2F78"/>
    <w:rsid w:val="001F3800"/>
    <w:rsid w:val="001F3E61"/>
    <w:rsid w:val="001F411B"/>
    <w:rsid w:val="001F462C"/>
    <w:rsid w:val="001F47CE"/>
    <w:rsid w:val="001F494C"/>
    <w:rsid w:val="001F4D8A"/>
    <w:rsid w:val="001F4EED"/>
    <w:rsid w:val="001F5102"/>
    <w:rsid w:val="001F595A"/>
    <w:rsid w:val="001F67BD"/>
    <w:rsid w:val="001F7046"/>
    <w:rsid w:val="001F779A"/>
    <w:rsid w:val="002001B7"/>
    <w:rsid w:val="00200935"/>
    <w:rsid w:val="0020167E"/>
    <w:rsid w:val="00201E97"/>
    <w:rsid w:val="0020209E"/>
    <w:rsid w:val="00202213"/>
    <w:rsid w:val="00202319"/>
    <w:rsid w:val="002025A7"/>
    <w:rsid w:val="002026CD"/>
    <w:rsid w:val="00202E7C"/>
    <w:rsid w:val="002033FC"/>
    <w:rsid w:val="00203821"/>
    <w:rsid w:val="002044BB"/>
    <w:rsid w:val="00205289"/>
    <w:rsid w:val="00205713"/>
    <w:rsid w:val="002057AF"/>
    <w:rsid w:val="00205A1A"/>
    <w:rsid w:val="00205A93"/>
    <w:rsid w:val="00206D80"/>
    <w:rsid w:val="00206FCF"/>
    <w:rsid w:val="00207793"/>
    <w:rsid w:val="00207ADD"/>
    <w:rsid w:val="00207AF5"/>
    <w:rsid w:val="00210B09"/>
    <w:rsid w:val="00210C64"/>
    <w:rsid w:val="00210C9E"/>
    <w:rsid w:val="00211840"/>
    <w:rsid w:val="00212024"/>
    <w:rsid w:val="002128E4"/>
    <w:rsid w:val="00212CCE"/>
    <w:rsid w:val="00212E1C"/>
    <w:rsid w:val="00212F19"/>
    <w:rsid w:val="00212F6E"/>
    <w:rsid w:val="00213298"/>
    <w:rsid w:val="0021358F"/>
    <w:rsid w:val="002137E6"/>
    <w:rsid w:val="00213C36"/>
    <w:rsid w:val="00215ED2"/>
    <w:rsid w:val="00215F49"/>
    <w:rsid w:val="00216931"/>
    <w:rsid w:val="00216F12"/>
    <w:rsid w:val="002176D0"/>
    <w:rsid w:val="00217980"/>
    <w:rsid w:val="002200AD"/>
    <w:rsid w:val="00220200"/>
    <w:rsid w:val="00220D38"/>
    <w:rsid w:val="00220E5F"/>
    <w:rsid w:val="00221251"/>
    <w:rsid w:val="002212B5"/>
    <w:rsid w:val="00221665"/>
    <w:rsid w:val="002218D8"/>
    <w:rsid w:val="002219C2"/>
    <w:rsid w:val="002232EB"/>
    <w:rsid w:val="0022330D"/>
    <w:rsid w:val="00223455"/>
    <w:rsid w:val="002237A5"/>
    <w:rsid w:val="002248E6"/>
    <w:rsid w:val="002249A7"/>
    <w:rsid w:val="00224DD0"/>
    <w:rsid w:val="0022637F"/>
    <w:rsid w:val="002265D1"/>
    <w:rsid w:val="00226668"/>
    <w:rsid w:val="00226CD5"/>
    <w:rsid w:val="002271FA"/>
    <w:rsid w:val="002277E5"/>
    <w:rsid w:val="00227B8C"/>
    <w:rsid w:val="00227C4E"/>
    <w:rsid w:val="002305C8"/>
    <w:rsid w:val="00230742"/>
    <w:rsid w:val="00230C19"/>
    <w:rsid w:val="00230CBB"/>
    <w:rsid w:val="00230F41"/>
    <w:rsid w:val="00231C8A"/>
    <w:rsid w:val="00232CC5"/>
    <w:rsid w:val="00232F13"/>
    <w:rsid w:val="0023326D"/>
    <w:rsid w:val="002333DE"/>
    <w:rsid w:val="00233809"/>
    <w:rsid w:val="002355EB"/>
    <w:rsid w:val="00236073"/>
    <w:rsid w:val="0023709F"/>
    <w:rsid w:val="00237D4E"/>
    <w:rsid w:val="00240046"/>
    <w:rsid w:val="00240591"/>
    <w:rsid w:val="0024079B"/>
    <w:rsid w:val="002409EF"/>
    <w:rsid w:val="00240F07"/>
    <w:rsid w:val="00241B9E"/>
    <w:rsid w:val="00242285"/>
    <w:rsid w:val="0024242E"/>
    <w:rsid w:val="002427AF"/>
    <w:rsid w:val="0024356F"/>
    <w:rsid w:val="002435D2"/>
    <w:rsid w:val="00243E6A"/>
    <w:rsid w:val="00244103"/>
    <w:rsid w:val="00245469"/>
    <w:rsid w:val="002474BC"/>
    <w:rsid w:val="00247701"/>
    <w:rsid w:val="0024797F"/>
    <w:rsid w:val="002479D3"/>
    <w:rsid w:val="00247A60"/>
    <w:rsid w:val="00250D95"/>
    <w:rsid w:val="0025119E"/>
    <w:rsid w:val="00251269"/>
    <w:rsid w:val="00252A7C"/>
    <w:rsid w:val="0025324E"/>
    <w:rsid w:val="00253599"/>
    <w:rsid w:val="002535C0"/>
    <w:rsid w:val="002535C7"/>
    <w:rsid w:val="00253A95"/>
    <w:rsid w:val="00254196"/>
    <w:rsid w:val="002548EF"/>
    <w:rsid w:val="00255605"/>
    <w:rsid w:val="00256629"/>
    <w:rsid w:val="00257574"/>
    <w:rsid w:val="002579FE"/>
    <w:rsid w:val="00257C59"/>
    <w:rsid w:val="00261011"/>
    <w:rsid w:val="002621C6"/>
    <w:rsid w:val="00262661"/>
    <w:rsid w:val="0026311C"/>
    <w:rsid w:val="0026355A"/>
    <w:rsid w:val="00264505"/>
    <w:rsid w:val="00265001"/>
    <w:rsid w:val="00265242"/>
    <w:rsid w:val="00265280"/>
    <w:rsid w:val="00265462"/>
    <w:rsid w:val="00265FC3"/>
    <w:rsid w:val="0026668C"/>
    <w:rsid w:val="00266AC1"/>
    <w:rsid w:val="00270FE2"/>
    <w:rsid w:val="00271636"/>
    <w:rsid w:val="0027178C"/>
    <w:rsid w:val="002719FA"/>
    <w:rsid w:val="00271A1A"/>
    <w:rsid w:val="00271C28"/>
    <w:rsid w:val="00272223"/>
    <w:rsid w:val="00272320"/>
    <w:rsid w:val="00272513"/>
    <w:rsid w:val="00272668"/>
    <w:rsid w:val="002728AB"/>
    <w:rsid w:val="0027330B"/>
    <w:rsid w:val="002744EA"/>
    <w:rsid w:val="0027493C"/>
    <w:rsid w:val="00275C39"/>
    <w:rsid w:val="00276149"/>
    <w:rsid w:val="002767B1"/>
    <w:rsid w:val="00276B77"/>
    <w:rsid w:val="00276DA4"/>
    <w:rsid w:val="00277683"/>
    <w:rsid w:val="0027790A"/>
    <w:rsid w:val="00277A93"/>
    <w:rsid w:val="002803AD"/>
    <w:rsid w:val="00280667"/>
    <w:rsid w:val="002810E0"/>
    <w:rsid w:val="002810EE"/>
    <w:rsid w:val="00281B26"/>
    <w:rsid w:val="00281D82"/>
    <w:rsid w:val="00282052"/>
    <w:rsid w:val="00282767"/>
    <w:rsid w:val="00283B7D"/>
    <w:rsid w:val="002841ED"/>
    <w:rsid w:val="00284E18"/>
    <w:rsid w:val="00284F6F"/>
    <w:rsid w:val="0028519E"/>
    <w:rsid w:val="002852E1"/>
    <w:rsid w:val="002856A5"/>
    <w:rsid w:val="00285A68"/>
    <w:rsid w:val="00285DAA"/>
    <w:rsid w:val="0028680B"/>
    <w:rsid w:val="002872ED"/>
    <w:rsid w:val="00287D72"/>
    <w:rsid w:val="00287F52"/>
    <w:rsid w:val="00290011"/>
    <w:rsid w:val="00290193"/>
    <w:rsid w:val="00290497"/>
    <w:rsid w:val="002905C2"/>
    <w:rsid w:val="002905CB"/>
    <w:rsid w:val="002905F1"/>
    <w:rsid w:val="0029089A"/>
    <w:rsid w:val="00290A60"/>
    <w:rsid w:val="002913E8"/>
    <w:rsid w:val="00291B68"/>
    <w:rsid w:val="00291F6C"/>
    <w:rsid w:val="00291F96"/>
    <w:rsid w:val="00292506"/>
    <w:rsid w:val="0029268D"/>
    <w:rsid w:val="00292974"/>
    <w:rsid w:val="002929CE"/>
    <w:rsid w:val="00292DE9"/>
    <w:rsid w:val="002936E5"/>
    <w:rsid w:val="00293733"/>
    <w:rsid w:val="00293DE6"/>
    <w:rsid w:val="00295AF0"/>
    <w:rsid w:val="00295AF2"/>
    <w:rsid w:val="00295C91"/>
    <w:rsid w:val="0029676A"/>
    <w:rsid w:val="00297151"/>
    <w:rsid w:val="00297547"/>
    <w:rsid w:val="00297844"/>
    <w:rsid w:val="00297B8A"/>
    <w:rsid w:val="002A000B"/>
    <w:rsid w:val="002A0229"/>
    <w:rsid w:val="002A0494"/>
    <w:rsid w:val="002A06EC"/>
    <w:rsid w:val="002A0819"/>
    <w:rsid w:val="002A0C19"/>
    <w:rsid w:val="002A0FF8"/>
    <w:rsid w:val="002A1137"/>
    <w:rsid w:val="002A17EA"/>
    <w:rsid w:val="002A2589"/>
    <w:rsid w:val="002A2951"/>
    <w:rsid w:val="002A2B8E"/>
    <w:rsid w:val="002A3128"/>
    <w:rsid w:val="002A3201"/>
    <w:rsid w:val="002A3C86"/>
    <w:rsid w:val="002A3F0E"/>
    <w:rsid w:val="002A3FAF"/>
    <w:rsid w:val="002A4AD6"/>
    <w:rsid w:val="002A4CB8"/>
    <w:rsid w:val="002A519B"/>
    <w:rsid w:val="002A5E97"/>
    <w:rsid w:val="002A7D46"/>
    <w:rsid w:val="002A7F62"/>
    <w:rsid w:val="002B0561"/>
    <w:rsid w:val="002B0C26"/>
    <w:rsid w:val="002B0C40"/>
    <w:rsid w:val="002B0CB2"/>
    <w:rsid w:val="002B0F71"/>
    <w:rsid w:val="002B2090"/>
    <w:rsid w:val="002B20E6"/>
    <w:rsid w:val="002B2F7F"/>
    <w:rsid w:val="002B3070"/>
    <w:rsid w:val="002B3861"/>
    <w:rsid w:val="002B3CC7"/>
    <w:rsid w:val="002B42A3"/>
    <w:rsid w:val="002B45AA"/>
    <w:rsid w:val="002B4CCB"/>
    <w:rsid w:val="002B50C2"/>
    <w:rsid w:val="002B56DB"/>
    <w:rsid w:val="002B5BB4"/>
    <w:rsid w:val="002B6775"/>
    <w:rsid w:val="002B6D18"/>
    <w:rsid w:val="002B7693"/>
    <w:rsid w:val="002C056F"/>
    <w:rsid w:val="002C0BAA"/>
    <w:rsid w:val="002C0CDD"/>
    <w:rsid w:val="002C0F71"/>
    <w:rsid w:val="002C10CF"/>
    <w:rsid w:val="002C1CC0"/>
    <w:rsid w:val="002C238D"/>
    <w:rsid w:val="002C2EEB"/>
    <w:rsid w:val="002C35C7"/>
    <w:rsid w:val="002C399B"/>
    <w:rsid w:val="002C39EB"/>
    <w:rsid w:val="002C40A7"/>
    <w:rsid w:val="002C423B"/>
    <w:rsid w:val="002C433D"/>
    <w:rsid w:val="002C4686"/>
    <w:rsid w:val="002C4881"/>
    <w:rsid w:val="002C4B3D"/>
    <w:rsid w:val="002C4CA0"/>
    <w:rsid w:val="002C4EF6"/>
    <w:rsid w:val="002C56B5"/>
    <w:rsid w:val="002C6A08"/>
    <w:rsid w:val="002C6B2E"/>
    <w:rsid w:val="002C70A6"/>
    <w:rsid w:val="002C799D"/>
    <w:rsid w:val="002D00D7"/>
    <w:rsid w:val="002D0C73"/>
    <w:rsid w:val="002D113E"/>
    <w:rsid w:val="002D37DA"/>
    <w:rsid w:val="002D3823"/>
    <w:rsid w:val="002D47D1"/>
    <w:rsid w:val="002D54F5"/>
    <w:rsid w:val="002D5DCD"/>
    <w:rsid w:val="002D6106"/>
    <w:rsid w:val="002D6C0A"/>
    <w:rsid w:val="002D6FDF"/>
    <w:rsid w:val="002D7A70"/>
    <w:rsid w:val="002D7C0E"/>
    <w:rsid w:val="002E078C"/>
    <w:rsid w:val="002E1A1D"/>
    <w:rsid w:val="002E1E6E"/>
    <w:rsid w:val="002E3418"/>
    <w:rsid w:val="002E402B"/>
    <w:rsid w:val="002E4081"/>
    <w:rsid w:val="002E41E9"/>
    <w:rsid w:val="002E4CE7"/>
    <w:rsid w:val="002E5074"/>
    <w:rsid w:val="002E5329"/>
    <w:rsid w:val="002E5768"/>
    <w:rsid w:val="002E5865"/>
    <w:rsid w:val="002E5B78"/>
    <w:rsid w:val="002E77EA"/>
    <w:rsid w:val="002E7F06"/>
    <w:rsid w:val="002F0365"/>
    <w:rsid w:val="002F05A6"/>
    <w:rsid w:val="002F0EFB"/>
    <w:rsid w:val="002F18A2"/>
    <w:rsid w:val="002F2239"/>
    <w:rsid w:val="002F3AE3"/>
    <w:rsid w:val="002F3DAF"/>
    <w:rsid w:val="002F3ECD"/>
    <w:rsid w:val="002F4733"/>
    <w:rsid w:val="002F49BD"/>
    <w:rsid w:val="002F4BEC"/>
    <w:rsid w:val="002F4E44"/>
    <w:rsid w:val="002F4FE6"/>
    <w:rsid w:val="002F7028"/>
    <w:rsid w:val="002F7979"/>
    <w:rsid w:val="002F7991"/>
    <w:rsid w:val="002F7C51"/>
    <w:rsid w:val="003010ED"/>
    <w:rsid w:val="00301CD9"/>
    <w:rsid w:val="00302443"/>
    <w:rsid w:val="003032CC"/>
    <w:rsid w:val="0030464B"/>
    <w:rsid w:val="00304D70"/>
    <w:rsid w:val="0030513B"/>
    <w:rsid w:val="0030515E"/>
    <w:rsid w:val="003055EA"/>
    <w:rsid w:val="00305E12"/>
    <w:rsid w:val="00305F21"/>
    <w:rsid w:val="00306567"/>
    <w:rsid w:val="003069D4"/>
    <w:rsid w:val="00306EF2"/>
    <w:rsid w:val="0030712B"/>
    <w:rsid w:val="003077E2"/>
    <w:rsid w:val="0030786C"/>
    <w:rsid w:val="003078A8"/>
    <w:rsid w:val="00307CD7"/>
    <w:rsid w:val="00307EC1"/>
    <w:rsid w:val="00310F9E"/>
    <w:rsid w:val="003122F9"/>
    <w:rsid w:val="0031312E"/>
    <w:rsid w:val="003136BB"/>
    <w:rsid w:val="00313B08"/>
    <w:rsid w:val="00314279"/>
    <w:rsid w:val="00315D1E"/>
    <w:rsid w:val="00315E73"/>
    <w:rsid w:val="0031694E"/>
    <w:rsid w:val="00317523"/>
    <w:rsid w:val="00317649"/>
    <w:rsid w:val="003179A7"/>
    <w:rsid w:val="00317A21"/>
    <w:rsid w:val="00317B13"/>
    <w:rsid w:val="003201C7"/>
    <w:rsid w:val="00320486"/>
    <w:rsid w:val="00321636"/>
    <w:rsid w:val="00321D8E"/>
    <w:rsid w:val="00322A4A"/>
    <w:rsid w:val="00322CAF"/>
    <w:rsid w:val="00322F54"/>
    <w:rsid w:val="003233DE"/>
    <w:rsid w:val="00323A53"/>
    <w:rsid w:val="0032466B"/>
    <w:rsid w:val="00324CA5"/>
    <w:rsid w:val="0032596A"/>
    <w:rsid w:val="00327322"/>
    <w:rsid w:val="003278DA"/>
    <w:rsid w:val="00327B44"/>
    <w:rsid w:val="00327BEA"/>
    <w:rsid w:val="0033047E"/>
    <w:rsid w:val="003314E4"/>
    <w:rsid w:val="00331EE9"/>
    <w:rsid w:val="0033226C"/>
    <w:rsid w:val="003322CA"/>
    <w:rsid w:val="0033230F"/>
    <w:rsid w:val="00332454"/>
    <w:rsid w:val="00332856"/>
    <w:rsid w:val="00332B3D"/>
    <w:rsid w:val="00332BC0"/>
    <w:rsid w:val="00332C3E"/>
    <w:rsid w:val="0033302A"/>
    <w:rsid w:val="003330EB"/>
    <w:rsid w:val="00334174"/>
    <w:rsid w:val="00334212"/>
    <w:rsid w:val="00334C2A"/>
    <w:rsid w:val="00334D9D"/>
    <w:rsid w:val="00335450"/>
    <w:rsid w:val="0033645D"/>
    <w:rsid w:val="00336605"/>
    <w:rsid w:val="003368BC"/>
    <w:rsid w:val="00336BE5"/>
    <w:rsid w:val="00336D0B"/>
    <w:rsid w:val="0033731E"/>
    <w:rsid w:val="0033754D"/>
    <w:rsid w:val="0033764B"/>
    <w:rsid w:val="00337710"/>
    <w:rsid w:val="0034071F"/>
    <w:rsid w:val="003411D3"/>
    <w:rsid w:val="0034135F"/>
    <w:rsid w:val="003415FD"/>
    <w:rsid w:val="00341B1F"/>
    <w:rsid w:val="00342191"/>
    <w:rsid w:val="0034227A"/>
    <w:rsid w:val="00342347"/>
    <w:rsid w:val="00342560"/>
    <w:rsid w:val="0034286F"/>
    <w:rsid w:val="003429F0"/>
    <w:rsid w:val="00343200"/>
    <w:rsid w:val="003432E9"/>
    <w:rsid w:val="0034349F"/>
    <w:rsid w:val="00343C6E"/>
    <w:rsid w:val="00344317"/>
    <w:rsid w:val="00344849"/>
    <w:rsid w:val="003451AA"/>
    <w:rsid w:val="0034608A"/>
    <w:rsid w:val="003460B4"/>
    <w:rsid w:val="00346A0A"/>
    <w:rsid w:val="00346C4A"/>
    <w:rsid w:val="00346CCA"/>
    <w:rsid w:val="00346F35"/>
    <w:rsid w:val="003472B4"/>
    <w:rsid w:val="00347D52"/>
    <w:rsid w:val="0035045A"/>
    <w:rsid w:val="003505F1"/>
    <w:rsid w:val="00350719"/>
    <w:rsid w:val="00350845"/>
    <w:rsid w:val="0035097A"/>
    <w:rsid w:val="00351542"/>
    <w:rsid w:val="00351A90"/>
    <w:rsid w:val="003520BB"/>
    <w:rsid w:val="00352348"/>
    <w:rsid w:val="0035358D"/>
    <w:rsid w:val="003535AA"/>
    <w:rsid w:val="00353CC5"/>
    <w:rsid w:val="003540A4"/>
    <w:rsid w:val="0035413D"/>
    <w:rsid w:val="003543D5"/>
    <w:rsid w:val="0035476B"/>
    <w:rsid w:val="00355050"/>
    <w:rsid w:val="003551A0"/>
    <w:rsid w:val="00355214"/>
    <w:rsid w:val="003552B6"/>
    <w:rsid w:val="00355D2F"/>
    <w:rsid w:val="00355EEE"/>
    <w:rsid w:val="00356CE3"/>
    <w:rsid w:val="00357471"/>
    <w:rsid w:val="003575F3"/>
    <w:rsid w:val="003579A7"/>
    <w:rsid w:val="003600D3"/>
    <w:rsid w:val="00360737"/>
    <w:rsid w:val="00360E4E"/>
    <w:rsid w:val="00361074"/>
    <w:rsid w:val="0036239E"/>
    <w:rsid w:val="003638A8"/>
    <w:rsid w:val="00363BF4"/>
    <w:rsid w:val="0036409F"/>
    <w:rsid w:val="003640C9"/>
    <w:rsid w:val="00364EB0"/>
    <w:rsid w:val="0036599C"/>
    <w:rsid w:val="00365CEC"/>
    <w:rsid w:val="00365D3C"/>
    <w:rsid w:val="00365F47"/>
    <w:rsid w:val="00365F56"/>
    <w:rsid w:val="00366302"/>
    <w:rsid w:val="0036637D"/>
    <w:rsid w:val="003664AB"/>
    <w:rsid w:val="003667EE"/>
    <w:rsid w:val="0036693A"/>
    <w:rsid w:val="00366AE2"/>
    <w:rsid w:val="003678A8"/>
    <w:rsid w:val="00367A31"/>
    <w:rsid w:val="00370144"/>
    <w:rsid w:val="003709AE"/>
    <w:rsid w:val="00370AAA"/>
    <w:rsid w:val="00371063"/>
    <w:rsid w:val="00372428"/>
    <w:rsid w:val="00372840"/>
    <w:rsid w:val="00373443"/>
    <w:rsid w:val="003742B9"/>
    <w:rsid w:val="00374885"/>
    <w:rsid w:val="003748DF"/>
    <w:rsid w:val="00375B00"/>
    <w:rsid w:val="00375DF6"/>
    <w:rsid w:val="00375F77"/>
    <w:rsid w:val="0037683B"/>
    <w:rsid w:val="00377588"/>
    <w:rsid w:val="003776A2"/>
    <w:rsid w:val="003776C4"/>
    <w:rsid w:val="00377A26"/>
    <w:rsid w:val="00377A78"/>
    <w:rsid w:val="00381BBE"/>
    <w:rsid w:val="00382903"/>
    <w:rsid w:val="0038296F"/>
    <w:rsid w:val="00382D65"/>
    <w:rsid w:val="00383A3D"/>
    <w:rsid w:val="00384588"/>
    <w:rsid w:val="003846FF"/>
    <w:rsid w:val="00384D6D"/>
    <w:rsid w:val="003850B4"/>
    <w:rsid w:val="00385AD4"/>
    <w:rsid w:val="00386369"/>
    <w:rsid w:val="00386AD0"/>
    <w:rsid w:val="00386FE2"/>
    <w:rsid w:val="00387093"/>
    <w:rsid w:val="00387885"/>
    <w:rsid w:val="00387886"/>
    <w:rsid w:val="00387924"/>
    <w:rsid w:val="00387AF9"/>
    <w:rsid w:val="00390907"/>
    <w:rsid w:val="0039136F"/>
    <w:rsid w:val="00391E15"/>
    <w:rsid w:val="0039248A"/>
    <w:rsid w:val="00392B8E"/>
    <w:rsid w:val="00393727"/>
    <w:rsid w:val="0039384D"/>
    <w:rsid w:val="00393C98"/>
    <w:rsid w:val="00393D04"/>
    <w:rsid w:val="0039491E"/>
    <w:rsid w:val="00394B01"/>
    <w:rsid w:val="003952C0"/>
    <w:rsid w:val="0039537B"/>
    <w:rsid w:val="0039543C"/>
    <w:rsid w:val="003954D8"/>
    <w:rsid w:val="0039571F"/>
    <w:rsid w:val="00395C23"/>
    <w:rsid w:val="00395D6D"/>
    <w:rsid w:val="00396057"/>
    <w:rsid w:val="003962DF"/>
    <w:rsid w:val="0039736A"/>
    <w:rsid w:val="00397477"/>
    <w:rsid w:val="00397BA0"/>
    <w:rsid w:val="003A01BD"/>
    <w:rsid w:val="003A0929"/>
    <w:rsid w:val="003A0E46"/>
    <w:rsid w:val="003A107D"/>
    <w:rsid w:val="003A111E"/>
    <w:rsid w:val="003A1687"/>
    <w:rsid w:val="003A2E4F"/>
    <w:rsid w:val="003A39AB"/>
    <w:rsid w:val="003A3FAE"/>
    <w:rsid w:val="003A4293"/>
    <w:rsid w:val="003A4438"/>
    <w:rsid w:val="003A4599"/>
    <w:rsid w:val="003A45D1"/>
    <w:rsid w:val="003A46E1"/>
    <w:rsid w:val="003A4E0E"/>
    <w:rsid w:val="003A5013"/>
    <w:rsid w:val="003A5078"/>
    <w:rsid w:val="003A50A6"/>
    <w:rsid w:val="003A62DD"/>
    <w:rsid w:val="003A6745"/>
    <w:rsid w:val="003A70BB"/>
    <w:rsid w:val="003A775A"/>
    <w:rsid w:val="003A7DCF"/>
    <w:rsid w:val="003B0248"/>
    <w:rsid w:val="003B067C"/>
    <w:rsid w:val="003B0705"/>
    <w:rsid w:val="003B098D"/>
    <w:rsid w:val="003B0DAB"/>
    <w:rsid w:val="003B11E2"/>
    <w:rsid w:val="003B132F"/>
    <w:rsid w:val="003B1AC0"/>
    <w:rsid w:val="003B1E02"/>
    <w:rsid w:val="003B213A"/>
    <w:rsid w:val="003B2B61"/>
    <w:rsid w:val="003B2B93"/>
    <w:rsid w:val="003B2C88"/>
    <w:rsid w:val="003B31D6"/>
    <w:rsid w:val="003B34F9"/>
    <w:rsid w:val="003B43AD"/>
    <w:rsid w:val="003B4817"/>
    <w:rsid w:val="003B5AEA"/>
    <w:rsid w:val="003B6845"/>
    <w:rsid w:val="003B76C9"/>
    <w:rsid w:val="003C0ADE"/>
    <w:rsid w:val="003C0FEC"/>
    <w:rsid w:val="003C1091"/>
    <w:rsid w:val="003C15B8"/>
    <w:rsid w:val="003C1F78"/>
    <w:rsid w:val="003C20B5"/>
    <w:rsid w:val="003C2A57"/>
    <w:rsid w:val="003C2AC8"/>
    <w:rsid w:val="003C2C44"/>
    <w:rsid w:val="003C3098"/>
    <w:rsid w:val="003C3DA1"/>
    <w:rsid w:val="003C400C"/>
    <w:rsid w:val="003C5567"/>
    <w:rsid w:val="003C66A7"/>
    <w:rsid w:val="003C6AEF"/>
    <w:rsid w:val="003C70C8"/>
    <w:rsid w:val="003C7844"/>
    <w:rsid w:val="003C7C5D"/>
    <w:rsid w:val="003D050F"/>
    <w:rsid w:val="003D0B17"/>
    <w:rsid w:val="003D0FC6"/>
    <w:rsid w:val="003D17F9"/>
    <w:rsid w:val="003D2D88"/>
    <w:rsid w:val="003D3936"/>
    <w:rsid w:val="003D3B9C"/>
    <w:rsid w:val="003D3F63"/>
    <w:rsid w:val="003D40BF"/>
    <w:rsid w:val="003D41EA"/>
    <w:rsid w:val="003D4850"/>
    <w:rsid w:val="003D535A"/>
    <w:rsid w:val="003D55C1"/>
    <w:rsid w:val="003D6660"/>
    <w:rsid w:val="003D67D3"/>
    <w:rsid w:val="003D6C51"/>
    <w:rsid w:val="003D6E06"/>
    <w:rsid w:val="003D7039"/>
    <w:rsid w:val="003D707F"/>
    <w:rsid w:val="003D70CE"/>
    <w:rsid w:val="003D7185"/>
    <w:rsid w:val="003D7C71"/>
    <w:rsid w:val="003D7C78"/>
    <w:rsid w:val="003E0373"/>
    <w:rsid w:val="003E07C1"/>
    <w:rsid w:val="003E0CBF"/>
    <w:rsid w:val="003E1056"/>
    <w:rsid w:val="003E10B8"/>
    <w:rsid w:val="003E1764"/>
    <w:rsid w:val="003E2B48"/>
    <w:rsid w:val="003E319A"/>
    <w:rsid w:val="003E3217"/>
    <w:rsid w:val="003E38E0"/>
    <w:rsid w:val="003E3DD9"/>
    <w:rsid w:val="003E45D0"/>
    <w:rsid w:val="003E4898"/>
    <w:rsid w:val="003E4C58"/>
    <w:rsid w:val="003E5193"/>
    <w:rsid w:val="003E5265"/>
    <w:rsid w:val="003E5487"/>
    <w:rsid w:val="003E59CB"/>
    <w:rsid w:val="003E5F35"/>
    <w:rsid w:val="003E649F"/>
    <w:rsid w:val="003E6C02"/>
    <w:rsid w:val="003E71B7"/>
    <w:rsid w:val="003E73E2"/>
    <w:rsid w:val="003E74AA"/>
    <w:rsid w:val="003E7C31"/>
    <w:rsid w:val="003E7F5A"/>
    <w:rsid w:val="003F0955"/>
    <w:rsid w:val="003F0B19"/>
    <w:rsid w:val="003F12B1"/>
    <w:rsid w:val="003F1753"/>
    <w:rsid w:val="003F1F61"/>
    <w:rsid w:val="003F1FD4"/>
    <w:rsid w:val="003F25F7"/>
    <w:rsid w:val="003F3120"/>
    <w:rsid w:val="003F36A2"/>
    <w:rsid w:val="003F3777"/>
    <w:rsid w:val="003F3AAD"/>
    <w:rsid w:val="003F4777"/>
    <w:rsid w:val="003F4EB1"/>
    <w:rsid w:val="003F5072"/>
    <w:rsid w:val="003F596E"/>
    <w:rsid w:val="003F5BA0"/>
    <w:rsid w:val="003F5FD6"/>
    <w:rsid w:val="003F65E8"/>
    <w:rsid w:val="003F6CA0"/>
    <w:rsid w:val="003F6FE1"/>
    <w:rsid w:val="003F71D0"/>
    <w:rsid w:val="003F762E"/>
    <w:rsid w:val="003F7EEE"/>
    <w:rsid w:val="00400066"/>
    <w:rsid w:val="00400572"/>
    <w:rsid w:val="004008EA"/>
    <w:rsid w:val="00400BDA"/>
    <w:rsid w:val="00400F00"/>
    <w:rsid w:val="0040150D"/>
    <w:rsid w:val="00402153"/>
    <w:rsid w:val="0040241C"/>
    <w:rsid w:val="004025DD"/>
    <w:rsid w:val="00402833"/>
    <w:rsid w:val="00402FA2"/>
    <w:rsid w:val="0040309A"/>
    <w:rsid w:val="004038D0"/>
    <w:rsid w:val="00404687"/>
    <w:rsid w:val="004047B8"/>
    <w:rsid w:val="00404F8B"/>
    <w:rsid w:val="00405256"/>
    <w:rsid w:val="00405583"/>
    <w:rsid w:val="00405DBE"/>
    <w:rsid w:val="00406E90"/>
    <w:rsid w:val="00406F8A"/>
    <w:rsid w:val="00407318"/>
    <w:rsid w:val="00410031"/>
    <w:rsid w:val="00410F65"/>
    <w:rsid w:val="004115A2"/>
    <w:rsid w:val="0041163B"/>
    <w:rsid w:val="00412CDC"/>
    <w:rsid w:val="00412EFC"/>
    <w:rsid w:val="004134EB"/>
    <w:rsid w:val="00413957"/>
    <w:rsid w:val="00413E0D"/>
    <w:rsid w:val="00414816"/>
    <w:rsid w:val="00414A0F"/>
    <w:rsid w:val="00415C81"/>
    <w:rsid w:val="00416731"/>
    <w:rsid w:val="004169A9"/>
    <w:rsid w:val="004177FE"/>
    <w:rsid w:val="00417823"/>
    <w:rsid w:val="00417926"/>
    <w:rsid w:val="004201F5"/>
    <w:rsid w:val="00420241"/>
    <w:rsid w:val="004203FC"/>
    <w:rsid w:val="004206D7"/>
    <w:rsid w:val="004206E4"/>
    <w:rsid w:val="00420D09"/>
    <w:rsid w:val="004217BE"/>
    <w:rsid w:val="00422259"/>
    <w:rsid w:val="00422DCD"/>
    <w:rsid w:val="00423114"/>
    <w:rsid w:val="0042342F"/>
    <w:rsid w:val="00424632"/>
    <w:rsid w:val="0042476F"/>
    <w:rsid w:val="00424A51"/>
    <w:rsid w:val="00425AB1"/>
    <w:rsid w:val="00425C1A"/>
    <w:rsid w:val="00425C58"/>
    <w:rsid w:val="00426396"/>
    <w:rsid w:val="0042693C"/>
    <w:rsid w:val="00427784"/>
    <w:rsid w:val="00427B6B"/>
    <w:rsid w:val="00427ED9"/>
    <w:rsid w:val="004302BE"/>
    <w:rsid w:val="00430D8E"/>
    <w:rsid w:val="00431A1A"/>
    <w:rsid w:val="00431A84"/>
    <w:rsid w:val="00431B78"/>
    <w:rsid w:val="00431BE3"/>
    <w:rsid w:val="00432378"/>
    <w:rsid w:val="004327F0"/>
    <w:rsid w:val="004334FD"/>
    <w:rsid w:val="00433685"/>
    <w:rsid w:val="00433737"/>
    <w:rsid w:val="00434ED0"/>
    <w:rsid w:val="00435881"/>
    <w:rsid w:val="00435D7A"/>
    <w:rsid w:val="00436595"/>
    <w:rsid w:val="00436D13"/>
    <w:rsid w:val="00436F39"/>
    <w:rsid w:val="00436FBE"/>
    <w:rsid w:val="00436FEF"/>
    <w:rsid w:val="00437EC7"/>
    <w:rsid w:val="004400EA"/>
    <w:rsid w:val="004400ED"/>
    <w:rsid w:val="00440788"/>
    <w:rsid w:val="00440B6F"/>
    <w:rsid w:val="00440BB0"/>
    <w:rsid w:val="00440D65"/>
    <w:rsid w:val="00441511"/>
    <w:rsid w:val="0044184E"/>
    <w:rsid w:val="00442091"/>
    <w:rsid w:val="00442F49"/>
    <w:rsid w:val="004432FF"/>
    <w:rsid w:val="004435E6"/>
    <w:rsid w:val="00443679"/>
    <w:rsid w:val="004436BD"/>
    <w:rsid w:val="004439F7"/>
    <w:rsid w:val="00443B07"/>
    <w:rsid w:val="004441B7"/>
    <w:rsid w:val="00444A2E"/>
    <w:rsid w:val="00444D68"/>
    <w:rsid w:val="00444F69"/>
    <w:rsid w:val="004457B3"/>
    <w:rsid w:val="00445877"/>
    <w:rsid w:val="00445FD0"/>
    <w:rsid w:val="0044633F"/>
    <w:rsid w:val="00446586"/>
    <w:rsid w:val="00446F2C"/>
    <w:rsid w:val="00447058"/>
    <w:rsid w:val="0044745D"/>
    <w:rsid w:val="00447538"/>
    <w:rsid w:val="00447613"/>
    <w:rsid w:val="00447E31"/>
    <w:rsid w:val="00447EA1"/>
    <w:rsid w:val="004501B0"/>
    <w:rsid w:val="00451354"/>
    <w:rsid w:val="004518D3"/>
    <w:rsid w:val="00451BCE"/>
    <w:rsid w:val="00452845"/>
    <w:rsid w:val="00452AA8"/>
    <w:rsid w:val="00452E34"/>
    <w:rsid w:val="00453232"/>
    <w:rsid w:val="00453316"/>
    <w:rsid w:val="00453627"/>
    <w:rsid w:val="00453923"/>
    <w:rsid w:val="004539E5"/>
    <w:rsid w:val="00453F02"/>
    <w:rsid w:val="00454177"/>
    <w:rsid w:val="00454B9B"/>
    <w:rsid w:val="0045539C"/>
    <w:rsid w:val="00455458"/>
    <w:rsid w:val="00455DAB"/>
    <w:rsid w:val="00455EC3"/>
    <w:rsid w:val="00456192"/>
    <w:rsid w:val="004567EB"/>
    <w:rsid w:val="00456D99"/>
    <w:rsid w:val="00456FAC"/>
    <w:rsid w:val="00457858"/>
    <w:rsid w:val="0046043B"/>
    <w:rsid w:val="00460960"/>
    <w:rsid w:val="00460A40"/>
    <w:rsid w:val="00460B0B"/>
    <w:rsid w:val="00461023"/>
    <w:rsid w:val="00461616"/>
    <w:rsid w:val="00461773"/>
    <w:rsid w:val="00461E10"/>
    <w:rsid w:val="00462D13"/>
    <w:rsid w:val="00462FAC"/>
    <w:rsid w:val="004633C1"/>
    <w:rsid w:val="004634EB"/>
    <w:rsid w:val="0046432D"/>
    <w:rsid w:val="00464631"/>
    <w:rsid w:val="00464B79"/>
    <w:rsid w:val="004657C7"/>
    <w:rsid w:val="00465872"/>
    <w:rsid w:val="00465A4A"/>
    <w:rsid w:val="00465E2C"/>
    <w:rsid w:val="00465FC4"/>
    <w:rsid w:val="00466F8C"/>
    <w:rsid w:val="00467BBF"/>
    <w:rsid w:val="00470443"/>
    <w:rsid w:val="00470614"/>
    <w:rsid w:val="00470F03"/>
    <w:rsid w:val="00471403"/>
    <w:rsid w:val="0047182B"/>
    <w:rsid w:val="00471BF3"/>
    <w:rsid w:val="00472C08"/>
    <w:rsid w:val="00472DC3"/>
    <w:rsid w:val="00472E76"/>
    <w:rsid w:val="004739C6"/>
    <w:rsid w:val="00473E87"/>
    <w:rsid w:val="004740D4"/>
    <w:rsid w:val="00474624"/>
    <w:rsid w:val="00474634"/>
    <w:rsid w:val="004746AD"/>
    <w:rsid w:val="004749AD"/>
    <w:rsid w:val="00475620"/>
    <w:rsid w:val="004756CB"/>
    <w:rsid w:val="004756D1"/>
    <w:rsid w:val="004758FB"/>
    <w:rsid w:val="00477654"/>
    <w:rsid w:val="004778ED"/>
    <w:rsid w:val="00477AF9"/>
    <w:rsid w:val="00477FA0"/>
    <w:rsid w:val="00477FCE"/>
    <w:rsid w:val="004800CC"/>
    <w:rsid w:val="004808BF"/>
    <w:rsid w:val="00480B0E"/>
    <w:rsid w:val="004815D0"/>
    <w:rsid w:val="00481674"/>
    <w:rsid w:val="004818CA"/>
    <w:rsid w:val="00481D6D"/>
    <w:rsid w:val="00481F04"/>
    <w:rsid w:val="004825C7"/>
    <w:rsid w:val="00482AAD"/>
    <w:rsid w:val="00482DCA"/>
    <w:rsid w:val="00483100"/>
    <w:rsid w:val="00483A85"/>
    <w:rsid w:val="004840F4"/>
    <w:rsid w:val="00485013"/>
    <w:rsid w:val="00485C05"/>
    <w:rsid w:val="00486496"/>
    <w:rsid w:val="004865CB"/>
    <w:rsid w:val="004867E2"/>
    <w:rsid w:val="00487133"/>
    <w:rsid w:val="00487686"/>
    <w:rsid w:val="00487E1C"/>
    <w:rsid w:val="00490001"/>
    <w:rsid w:val="00490389"/>
    <w:rsid w:val="00490895"/>
    <w:rsid w:val="00490AF6"/>
    <w:rsid w:val="00490E5A"/>
    <w:rsid w:val="00491394"/>
    <w:rsid w:val="00491D41"/>
    <w:rsid w:val="0049252A"/>
    <w:rsid w:val="00492854"/>
    <w:rsid w:val="004929A9"/>
    <w:rsid w:val="00492B9D"/>
    <w:rsid w:val="00494112"/>
    <w:rsid w:val="004947D1"/>
    <w:rsid w:val="00494C66"/>
    <w:rsid w:val="00494CB8"/>
    <w:rsid w:val="0049528E"/>
    <w:rsid w:val="00495A2D"/>
    <w:rsid w:val="00496695"/>
    <w:rsid w:val="004969E6"/>
    <w:rsid w:val="00496CC4"/>
    <w:rsid w:val="004975EA"/>
    <w:rsid w:val="004A0981"/>
    <w:rsid w:val="004A0D77"/>
    <w:rsid w:val="004A2751"/>
    <w:rsid w:val="004A2A52"/>
    <w:rsid w:val="004A2C2D"/>
    <w:rsid w:val="004A3544"/>
    <w:rsid w:val="004A3719"/>
    <w:rsid w:val="004A531D"/>
    <w:rsid w:val="004A570A"/>
    <w:rsid w:val="004A72A2"/>
    <w:rsid w:val="004A7A24"/>
    <w:rsid w:val="004B0AA7"/>
    <w:rsid w:val="004B0C52"/>
    <w:rsid w:val="004B11D1"/>
    <w:rsid w:val="004B2A77"/>
    <w:rsid w:val="004B2FAF"/>
    <w:rsid w:val="004B357F"/>
    <w:rsid w:val="004B3890"/>
    <w:rsid w:val="004B3AD3"/>
    <w:rsid w:val="004B4099"/>
    <w:rsid w:val="004B4384"/>
    <w:rsid w:val="004B7FB2"/>
    <w:rsid w:val="004C0289"/>
    <w:rsid w:val="004C08E3"/>
    <w:rsid w:val="004C2328"/>
    <w:rsid w:val="004C2FEC"/>
    <w:rsid w:val="004C4A39"/>
    <w:rsid w:val="004C526B"/>
    <w:rsid w:val="004C5975"/>
    <w:rsid w:val="004C65CC"/>
    <w:rsid w:val="004C666F"/>
    <w:rsid w:val="004C6971"/>
    <w:rsid w:val="004C6BCF"/>
    <w:rsid w:val="004C71ED"/>
    <w:rsid w:val="004C7564"/>
    <w:rsid w:val="004D09B9"/>
    <w:rsid w:val="004D0DE8"/>
    <w:rsid w:val="004D1339"/>
    <w:rsid w:val="004D1473"/>
    <w:rsid w:val="004D21BD"/>
    <w:rsid w:val="004D3217"/>
    <w:rsid w:val="004D34F0"/>
    <w:rsid w:val="004D37B3"/>
    <w:rsid w:val="004D4133"/>
    <w:rsid w:val="004D4B62"/>
    <w:rsid w:val="004D4EAE"/>
    <w:rsid w:val="004D58BF"/>
    <w:rsid w:val="004D5B18"/>
    <w:rsid w:val="004D62E1"/>
    <w:rsid w:val="004D6FD3"/>
    <w:rsid w:val="004D74C5"/>
    <w:rsid w:val="004D79C6"/>
    <w:rsid w:val="004E0DA2"/>
    <w:rsid w:val="004E0E83"/>
    <w:rsid w:val="004E0F6D"/>
    <w:rsid w:val="004E10C1"/>
    <w:rsid w:val="004E1878"/>
    <w:rsid w:val="004E187D"/>
    <w:rsid w:val="004E326F"/>
    <w:rsid w:val="004E3300"/>
    <w:rsid w:val="004E368B"/>
    <w:rsid w:val="004E4335"/>
    <w:rsid w:val="004E53EB"/>
    <w:rsid w:val="004E5544"/>
    <w:rsid w:val="004E5ACF"/>
    <w:rsid w:val="004E5CA3"/>
    <w:rsid w:val="004E5E70"/>
    <w:rsid w:val="004E66F9"/>
    <w:rsid w:val="004E6755"/>
    <w:rsid w:val="004E6ADC"/>
    <w:rsid w:val="004E754F"/>
    <w:rsid w:val="004E7559"/>
    <w:rsid w:val="004E75E6"/>
    <w:rsid w:val="004F0408"/>
    <w:rsid w:val="004F13EE"/>
    <w:rsid w:val="004F1C25"/>
    <w:rsid w:val="004F2022"/>
    <w:rsid w:val="004F23C5"/>
    <w:rsid w:val="004F2C01"/>
    <w:rsid w:val="004F301B"/>
    <w:rsid w:val="004F312D"/>
    <w:rsid w:val="004F3796"/>
    <w:rsid w:val="004F4723"/>
    <w:rsid w:val="004F4D26"/>
    <w:rsid w:val="004F59B6"/>
    <w:rsid w:val="004F5F6A"/>
    <w:rsid w:val="004F6151"/>
    <w:rsid w:val="004F6CB3"/>
    <w:rsid w:val="004F6EE9"/>
    <w:rsid w:val="004F7C05"/>
    <w:rsid w:val="004F7F91"/>
    <w:rsid w:val="0050046E"/>
    <w:rsid w:val="005008AD"/>
    <w:rsid w:val="00501324"/>
    <w:rsid w:val="00501460"/>
    <w:rsid w:val="005014DA"/>
    <w:rsid w:val="005018A4"/>
    <w:rsid w:val="00501936"/>
    <w:rsid w:val="00501C94"/>
    <w:rsid w:val="005025EE"/>
    <w:rsid w:val="0050393E"/>
    <w:rsid w:val="00504500"/>
    <w:rsid w:val="00505788"/>
    <w:rsid w:val="00506254"/>
    <w:rsid w:val="00506432"/>
    <w:rsid w:val="00506564"/>
    <w:rsid w:val="005070EB"/>
    <w:rsid w:val="0050797F"/>
    <w:rsid w:val="00507B1A"/>
    <w:rsid w:val="00507B34"/>
    <w:rsid w:val="005106B3"/>
    <w:rsid w:val="005108C8"/>
    <w:rsid w:val="00510F5F"/>
    <w:rsid w:val="00511005"/>
    <w:rsid w:val="0051242B"/>
    <w:rsid w:val="00512A02"/>
    <w:rsid w:val="00512D4D"/>
    <w:rsid w:val="00512F02"/>
    <w:rsid w:val="00513178"/>
    <w:rsid w:val="0051319F"/>
    <w:rsid w:val="005131E5"/>
    <w:rsid w:val="005133C4"/>
    <w:rsid w:val="005133FD"/>
    <w:rsid w:val="0051355C"/>
    <w:rsid w:val="0051429F"/>
    <w:rsid w:val="00514389"/>
    <w:rsid w:val="005151C5"/>
    <w:rsid w:val="005158B5"/>
    <w:rsid w:val="00516968"/>
    <w:rsid w:val="005176AF"/>
    <w:rsid w:val="00517C08"/>
    <w:rsid w:val="0052051D"/>
    <w:rsid w:val="0052145D"/>
    <w:rsid w:val="0052176E"/>
    <w:rsid w:val="00521A8C"/>
    <w:rsid w:val="0052217B"/>
    <w:rsid w:val="00522BB4"/>
    <w:rsid w:val="00523805"/>
    <w:rsid w:val="005239E1"/>
    <w:rsid w:val="005239F0"/>
    <w:rsid w:val="00524207"/>
    <w:rsid w:val="005242E9"/>
    <w:rsid w:val="0052433F"/>
    <w:rsid w:val="005245D1"/>
    <w:rsid w:val="005245FD"/>
    <w:rsid w:val="005249D7"/>
    <w:rsid w:val="00524AF9"/>
    <w:rsid w:val="00524E6E"/>
    <w:rsid w:val="00525158"/>
    <w:rsid w:val="0052546E"/>
    <w:rsid w:val="00525562"/>
    <w:rsid w:val="005266CA"/>
    <w:rsid w:val="00527092"/>
    <w:rsid w:val="00527C05"/>
    <w:rsid w:val="005301C6"/>
    <w:rsid w:val="00530C10"/>
    <w:rsid w:val="00531566"/>
    <w:rsid w:val="0053311A"/>
    <w:rsid w:val="00533F22"/>
    <w:rsid w:val="00534B98"/>
    <w:rsid w:val="00535FFB"/>
    <w:rsid w:val="005365E2"/>
    <w:rsid w:val="005372D2"/>
    <w:rsid w:val="00537686"/>
    <w:rsid w:val="005401A9"/>
    <w:rsid w:val="005403CC"/>
    <w:rsid w:val="005405BC"/>
    <w:rsid w:val="00540847"/>
    <w:rsid w:val="0054151E"/>
    <w:rsid w:val="00541988"/>
    <w:rsid w:val="00541E13"/>
    <w:rsid w:val="00542110"/>
    <w:rsid w:val="005432D6"/>
    <w:rsid w:val="00545178"/>
    <w:rsid w:val="00545EE6"/>
    <w:rsid w:val="00546223"/>
    <w:rsid w:val="005463F6"/>
    <w:rsid w:val="00546B35"/>
    <w:rsid w:val="00546D13"/>
    <w:rsid w:val="00546F47"/>
    <w:rsid w:val="0054720E"/>
    <w:rsid w:val="005479AA"/>
    <w:rsid w:val="00547A4A"/>
    <w:rsid w:val="00547E09"/>
    <w:rsid w:val="005506B6"/>
    <w:rsid w:val="00551CA7"/>
    <w:rsid w:val="00552F2C"/>
    <w:rsid w:val="00553489"/>
    <w:rsid w:val="005537A3"/>
    <w:rsid w:val="00553810"/>
    <w:rsid w:val="00553DD3"/>
    <w:rsid w:val="00553F49"/>
    <w:rsid w:val="0055485B"/>
    <w:rsid w:val="00554EB4"/>
    <w:rsid w:val="0055501D"/>
    <w:rsid w:val="005550E7"/>
    <w:rsid w:val="005564FB"/>
    <w:rsid w:val="005569CA"/>
    <w:rsid w:val="00556B72"/>
    <w:rsid w:val="005572C7"/>
    <w:rsid w:val="00557339"/>
    <w:rsid w:val="00557ADB"/>
    <w:rsid w:val="00557D5A"/>
    <w:rsid w:val="0056046D"/>
    <w:rsid w:val="0056096D"/>
    <w:rsid w:val="00560B7E"/>
    <w:rsid w:val="00560BC4"/>
    <w:rsid w:val="0056206D"/>
    <w:rsid w:val="005620FC"/>
    <w:rsid w:val="005625DD"/>
    <w:rsid w:val="00562B76"/>
    <w:rsid w:val="00563CB5"/>
    <w:rsid w:val="0056419F"/>
    <w:rsid w:val="0056486D"/>
    <w:rsid w:val="005648B5"/>
    <w:rsid w:val="005650ED"/>
    <w:rsid w:val="00565B83"/>
    <w:rsid w:val="00565C9A"/>
    <w:rsid w:val="00565D61"/>
    <w:rsid w:val="00566168"/>
    <w:rsid w:val="00566DE0"/>
    <w:rsid w:val="0057007E"/>
    <w:rsid w:val="0057138C"/>
    <w:rsid w:val="00571CE3"/>
    <w:rsid w:val="00572C3E"/>
    <w:rsid w:val="00572D1F"/>
    <w:rsid w:val="00572DC4"/>
    <w:rsid w:val="00573A6D"/>
    <w:rsid w:val="00573B23"/>
    <w:rsid w:val="00573C9C"/>
    <w:rsid w:val="00574C3C"/>
    <w:rsid w:val="00574F26"/>
    <w:rsid w:val="00575026"/>
    <w:rsid w:val="005753AE"/>
    <w:rsid w:val="00575754"/>
    <w:rsid w:val="00575D4F"/>
    <w:rsid w:val="005760E2"/>
    <w:rsid w:val="00577169"/>
    <w:rsid w:val="0057750F"/>
    <w:rsid w:val="00577544"/>
    <w:rsid w:val="005800B0"/>
    <w:rsid w:val="0058058B"/>
    <w:rsid w:val="00580CA9"/>
    <w:rsid w:val="005813D3"/>
    <w:rsid w:val="00581564"/>
    <w:rsid w:val="00581D14"/>
    <w:rsid w:val="0058203A"/>
    <w:rsid w:val="00582646"/>
    <w:rsid w:val="00582755"/>
    <w:rsid w:val="0058294D"/>
    <w:rsid w:val="00583113"/>
    <w:rsid w:val="00583CD6"/>
    <w:rsid w:val="00583FFE"/>
    <w:rsid w:val="00584C88"/>
    <w:rsid w:val="005855CA"/>
    <w:rsid w:val="00585BE6"/>
    <w:rsid w:val="00585D47"/>
    <w:rsid w:val="00586798"/>
    <w:rsid w:val="00586A59"/>
    <w:rsid w:val="00587AD1"/>
    <w:rsid w:val="005904E8"/>
    <w:rsid w:val="0059085B"/>
    <w:rsid w:val="00590876"/>
    <w:rsid w:val="005910E7"/>
    <w:rsid w:val="005913B4"/>
    <w:rsid w:val="00591AF7"/>
    <w:rsid w:val="00591E20"/>
    <w:rsid w:val="0059286A"/>
    <w:rsid w:val="005929B9"/>
    <w:rsid w:val="00592E6B"/>
    <w:rsid w:val="0059536F"/>
    <w:rsid w:val="00595408"/>
    <w:rsid w:val="00595B2B"/>
    <w:rsid w:val="00595E84"/>
    <w:rsid w:val="00596320"/>
    <w:rsid w:val="0059701F"/>
    <w:rsid w:val="005974A5"/>
    <w:rsid w:val="00597663"/>
    <w:rsid w:val="00597B96"/>
    <w:rsid w:val="005A032F"/>
    <w:rsid w:val="005A0843"/>
    <w:rsid w:val="005A0C59"/>
    <w:rsid w:val="005A191D"/>
    <w:rsid w:val="005A25AA"/>
    <w:rsid w:val="005A25EB"/>
    <w:rsid w:val="005A266C"/>
    <w:rsid w:val="005A35DD"/>
    <w:rsid w:val="005A3DC0"/>
    <w:rsid w:val="005A45AB"/>
    <w:rsid w:val="005A48EB"/>
    <w:rsid w:val="005A5112"/>
    <w:rsid w:val="005A571D"/>
    <w:rsid w:val="005A5A4A"/>
    <w:rsid w:val="005A6636"/>
    <w:rsid w:val="005A6A4E"/>
    <w:rsid w:val="005A6CFB"/>
    <w:rsid w:val="005A7315"/>
    <w:rsid w:val="005A73CB"/>
    <w:rsid w:val="005A7A15"/>
    <w:rsid w:val="005A7D85"/>
    <w:rsid w:val="005B15C8"/>
    <w:rsid w:val="005B19F2"/>
    <w:rsid w:val="005B29FA"/>
    <w:rsid w:val="005B2B6F"/>
    <w:rsid w:val="005B2CA6"/>
    <w:rsid w:val="005B2F49"/>
    <w:rsid w:val="005B3C9C"/>
    <w:rsid w:val="005B3CBF"/>
    <w:rsid w:val="005B461E"/>
    <w:rsid w:val="005B50EA"/>
    <w:rsid w:val="005B5644"/>
    <w:rsid w:val="005B607E"/>
    <w:rsid w:val="005B60A4"/>
    <w:rsid w:val="005B6502"/>
    <w:rsid w:val="005B66DF"/>
    <w:rsid w:val="005B6791"/>
    <w:rsid w:val="005B719E"/>
    <w:rsid w:val="005B7342"/>
    <w:rsid w:val="005B74EF"/>
    <w:rsid w:val="005C1AD7"/>
    <w:rsid w:val="005C1FB2"/>
    <w:rsid w:val="005C23BA"/>
    <w:rsid w:val="005C3366"/>
    <w:rsid w:val="005C339B"/>
    <w:rsid w:val="005C3517"/>
    <w:rsid w:val="005C35FB"/>
    <w:rsid w:val="005C3CAF"/>
    <w:rsid w:val="005C426C"/>
    <w:rsid w:val="005C4AE5"/>
    <w:rsid w:val="005C51F2"/>
    <w:rsid w:val="005C5AEB"/>
    <w:rsid w:val="005C5DEC"/>
    <w:rsid w:val="005C68ED"/>
    <w:rsid w:val="005C690D"/>
    <w:rsid w:val="005C6D7D"/>
    <w:rsid w:val="005C774A"/>
    <w:rsid w:val="005C77C5"/>
    <w:rsid w:val="005C7D43"/>
    <w:rsid w:val="005D1B10"/>
    <w:rsid w:val="005D226D"/>
    <w:rsid w:val="005D2B02"/>
    <w:rsid w:val="005D2DAC"/>
    <w:rsid w:val="005D2ED7"/>
    <w:rsid w:val="005D4846"/>
    <w:rsid w:val="005D5381"/>
    <w:rsid w:val="005D55F1"/>
    <w:rsid w:val="005D5916"/>
    <w:rsid w:val="005D60C2"/>
    <w:rsid w:val="005D615D"/>
    <w:rsid w:val="005D615E"/>
    <w:rsid w:val="005D688D"/>
    <w:rsid w:val="005D7A39"/>
    <w:rsid w:val="005D7FB0"/>
    <w:rsid w:val="005E0A3F"/>
    <w:rsid w:val="005E0AC4"/>
    <w:rsid w:val="005E0BE3"/>
    <w:rsid w:val="005E106C"/>
    <w:rsid w:val="005E1265"/>
    <w:rsid w:val="005E1569"/>
    <w:rsid w:val="005E1D90"/>
    <w:rsid w:val="005E212E"/>
    <w:rsid w:val="005E2235"/>
    <w:rsid w:val="005E30DA"/>
    <w:rsid w:val="005E3E36"/>
    <w:rsid w:val="005E3F2F"/>
    <w:rsid w:val="005E43E8"/>
    <w:rsid w:val="005E4754"/>
    <w:rsid w:val="005E47EF"/>
    <w:rsid w:val="005E583F"/>
    <w:rsid w:val="005E5CA8"/>
    <w:rsid w:val="005E6090"/>
    <w:rsid w:val="005E6883"/>
    <w:rsid w:val="005E772F"/>
    <w:rsid w:val="005E7A90"/>
    <w:rsid w:val="005E7EE9"/>
    <w:rsid w:val="005F043B"/>
    <w:rsid w:val="005F05BC"/>
    <w:rsid w:val="005F0AA1"/>
    <w:rsid w:val="005F1506"/>
    <w:rsid w:val="005F1600"/>
    <w:rsid w:val="005F1AF4"/>
    <w:rsid w:val="005F1E0F"/>
    <w:rsid w:val="005F20E4"/>
    <w:rsid w:val="005F2661"/>
    <w:rsid w:val="005F3C7A"/>
    <w:rsid w:val="005F4ECA"/>
    <w:rsid w:val="005F565E"/>
    <w:rsid w:val="005F56C9"/>
    <w:rsid w:val="005F5E62"/>
    <w:rsid w:val="005F6334"/>
    <w:rsid w:val="005F6BF1"/>
    <w:rsid w:val="005F6F02"/>
    <w:rsid w:val="005F75D9"/>
    <w:rsid w:val="005F7AD6"/>
    <w:rsid w:val="005F7FD5"/>
    <w:rsid w:val="00600021"/>
    <w:rsid w:val="00600689"/>
    <w:rsid w:val="0060072A"/>
    <w:rsid w:val="00600D5C"/>
    <w:rsid w:val="00600E41"/>
    <w:rsid w:val="00600F91"/>
    <w:rsid w:val="006029E3"/>
    <w:rsid w:val="0060323C"/>
    <w:rsid w:val="006033DA"/>
    <w:rsid w:val="006041BE"/>
    <w:rsid w:val="006043C7"/>
    <w:rsid w:val="006055F2"/>
    <w:rsid w:val="00605910"/>
    <w:rsid w:val="00605C69"/>
    <w:rsid w:val="00606C45"/>
    <w:rsid w:val="006070DC"/>
    <w:rsid w:val="006075AD"/>
    <w:rsid w:val="00607FD7"/>
    <w:rsid w:val="006109E2"/>
    <w:rsid w:val="00610CB3"/>
    <w:rsid w:val="00610FC8"/>
    <w:rsid w:val="00611346"/>
    <w:rsid w:val="006113C5"/>
    <w:rsid w:val="00611423"/>
    <w:rsid w:val="006115E5"/>
    <w:rsid w:val="006119FA"/>
    <w:rsid w:val="00611A04"/>
    <w:rsid w:val="00612127"/>
    <w:rsid w:val="00612239"/>
    <w:rsid w:val="0061243A"/>
    <w:rsid w:val="0061243D"/>
    <w:rsid w:val="00612E09"/>
    <w:rsid w:val="006131EC"/>
    <w:rsid w:val="006136D4"/>
    <w:rsid w:val="006138DA"/>
    <w:rsid w:val="006139AA"/>
    <w:rsid w:val="00614405"/>
    <w:rsid w:val="00614987"/>
    <w:rsid w:val="00615FEB"/>
    <w:rsid w:val="00616120"/>
    <w:rsid w:val="006163DD"/>
    <w:rsid w:val="00617383"/>
    <w:rsid w:val="00617A7A"/>
    <w:rsid w:val="006204ED"/>
    <w:rsid w:val="00620B7D"/>
    <w:rsid w:val="00620F59"/>
    <w:rsid w:val="00621AC8"/>
    <w:rsid w:val="006220A7"/>
    <w:rsid w:val="006232B4"/>
    <w:rsid w:val="00623A3B"/>
    <w:rsid w:val="00624391"/>
    <w:rsid w:val="00624641"/>
    <w:rsid w:val="006248D0"/>
    <w:rsid w:val="00624B52"/>
    <w:rsid w:val="006258AE"/>
    <w:rsid w:val="00625F1F"/>
    <w:rsid w:val="006260E1"/>
    <w:rsid w:val="006263B8"/>
    <w:rsid w:val="0062655D"/>
    <w:rsid w:val="00626D54"/>
    <w:rsid w:val="00627344"/>
    <w:rsid w:val="0062790E"/>
    <w:rsid w:val="00627B6F"/>
    <w:rsid w:val="00630452"/>
    <w:rsid w:val="00630A62"/>
    <w:rsid w:val="00630FDD"/>
    <w:rsid w:val="00631DF4"/>
    <w:rsid w:val="00633709"/>
    <w:rsid w:val="00633808"/>
    <w:rsid w:val="00633D8D"/>
    <w:rsid w:val="00634175"/>
    <w:rsid w:val="006342CF"/>
    <w:rsid w:val="00634A22"/>
    <w:rsid w:val="0063503B"/>
    <w:rsid w:val="00635341"/>
    <w:rsid w:val="00635766"/>
    <w:rsid w:val="00636BE6"/>
    <w:rsid w:val="006374C8"/>
    <w:rsid w:val="00637BE3"/>
    <w:rsid w:val="00640322"/>
    <w:rsid w:val="00640747"/>
    <w:rsid w:val="006408AC"/>
    <w:rsid w:val="00640DB2"/>
    <w:rsid w:val="00640EB3"/>
    <w:rsid w:val="0064184A"/>
    <w:rsid w:val="006419B7"/>
    <w:rsid w:val="006429CA"/>
    <w:rsid w:val="0064315F"/>
    <w:rsid w:val="0064327C"/>
    <w:rsid w:val="0064346B"/>
    <w:rsid w:val="00643A04"/>
    <w:rsid w:val="00644501"/>
    <w:rsid w:val="00644C6A"/>
    <w:rsid w:val="00644CAB"/>
    <w:rsid w:val="00644DA2"/>
    <w:rsid w:val="0064645D"/>
    <w:rsid w:val="00646988"/>
    <w:rsid w:val="0064784F"/>
    <w:rsid w:val="006502BB"/>
    <w:rsid w:val="0065056C"/>
    <w:rsid w:val="006505D1"/>
    <w:rsid w:val="006511B6"/>
    <w:rsid w:val="00651325"/>
    <w:rsid w:val="0065132F"/>
    <w:rsid w:val="006514ED"/>
    <w:rsid w:val="006517F7"/>
    <w:rsid w:val="00651AF5"/>
    <w:rsid w:val="00651DBC"/>
    <w:rsid w:val="00652742"/>
    <w:rsid w:val="00652B0C"/>
    <w:rsid w:val="00652D95"/>
    <w:rsid w:val="00653B22"/>
    <w:rsid w:val="00654213"/>
    <w:rsid w:val="0065516C"/>
    <w:rsid w:val="00655BCF"/>
    <w:rsid w:val="00655D31"/>
    <w:rsid w:val="00656674"/>
    <w:rsid w:val="0065751E"/>
    <w:rsid w:val="00657FF8"/>
    <w:rsid w:val="006604E4"/>
    <w:rsid w:val="0066051C"/>
    <w:rsid w:val="00660724"/>
    <w:rsid w:val="006607C6"/>
    <w:rsid w:val="00660E5B"/>
    <w:rsid w:val="00661136"/>
    <w:rsid w:val="00661A18"/>
    <w:rsid w:val="006623B2"/>
    <w:rsid w:val="006623E6"/>
    <w:rsid w:val="0066296E"/>
    <w:rsid w:val="00662D10"/>
    <w:rsid w:val="006633E0"/>
    <w:rsid w:val="00664458"/>
    <w:rsid w:val="006657F6"/>
    <w:rsid w:val="00665AAD"/>
    <w:rsid w:val="00666409"/>
    <w:rsid w:val="00666936"/>
    <w:rsid w:val="006672EA"/>
    <w:rsid w:val="006678CD"/>
    <w:rsid w:val="00670702"/>
    <w:rsid w:val="006708FF"/>
    <w:rsid w:val="00670D99"/>
    <w:rsid w:val="00670E2B"/>
    <w:rsid w:val="00670EF5"/>
    <w:rsid w:val="0067146A"/>
    <w:rsid w:val="00671835"/>
    <w:rsid w:val="00671947"/>
    <w:rsid w:val="00672228"/>
    <w:rsid w:val="00672546"/>
    <w:rsid w:val="006734BB"/>
    <w:rsid w:val="0067356E"/>
    <w:rsid w:val="006744B8"/>
    <w:rsid w:val="006747DE"/>
    <w:rsid w:val="0067549D"/>
    <w:rsid w:val="006754EE"/>
    <w:rsid w:val="00675664"/>
    <w:rsid w:val="00675719"/>
    <w:rsid w:val="00675F79"/>
    <w:rsid w:val="0067652E"/>
    <w:rsid w:val="00676DD3"/>
    <w:rsid w:val="00676E63"/>
    <w:rsid w:val="00677674"/>
    <w:rsid w:val="006776C0"/>
    <w:rsid w:val="00677DD4"/>
    <w:rsid w:val="0068109F"/>
    <w:rsid w:val="006810F2"/>
    <w:rsid w:val="00681A34"/>
    <w:rsid w:val="00681D77"/>
    <w:rsid w:val="006821EB"/>
    <w:rsid w:val="00682CE8"/>
    <w:rsid w:val="006844F9"/>
    <w:rsid w:val="0068460E"/>
    <w:rsid w:val="00684633"/>
    <w:rsid w:val="00684E45"/>
    <w:rsid w:val="0068528D"/>
    <w:rsid w:val="006853D0"/>
    <w:rsid w:val="00685812"/>
    <w:rsid w:val="006861F3"/>
    <w:rsid w:val="006862CC"/>
    <w:rsid w:val="0068760A"/>
    <w:rsid w:val="00690201"/>
    <w:rsid w:val="00692502"/>
    <w:rsid w:val="00692A2C"/>
    <w:rsid w:val="00693222"/>
    <w:rsid w:val="00694846"/>
    <w:rsid w:val="00694E93"/>
    <w:rsid w:val="00696139"/>
    <w:rsid w:val="006965F9"/>
    <w:rsid w:val="00696A5F"/>
    <w:rsid w:val="006975DB"/>
    <w:rsid w:val="00697ED5"/>
    <w:rsid w:val="006A0A3D"/>
    <w:rsid w:val="006A1FA9"/>
    <w:rsid w:val="006A27C0"/>
    <w:rsid w:val="006A2BE4"/>
    <w:rsid w:val="006A2CF4"/>
    <w:rsid w:val="006A3DE0"/>
    <w:rsid w:val="006A444D"/>
    <w:rsid w:val="006A4DA2"/>
    <w:rsid w:val="006A4F7A"/>
    <w:rsid w:val="006A5AE6"/>
    <w:rsid w:val="006A5D03"/>
    <w:rsid w:val="006A6C23"/>
    <w:rsid w:val="006A6ED6"/>
    <w:rsid w:val="006A72E8"/>
    <w:rsid w:val="006A7645"/>
    <w:rsid w:val="006A7798"/>
    <w:rsid w:val="006B0135"/>
    <w:rsid w:val="006B0F9C"/>
    <w:rsid w:val="006B13DA"/>
    <w:rsid w:val="006B18EE"/>
    <w:rsid w:val="006B2286"/>
    <w:rsid w:val="006B2421"/>
    <w:rsid w:val="006B2BA7"/>
    <w:rsid w:val="006B30E4"/>
    <w:rsid w:val="006B35FF"/>
    <w:rsid w:val="006B436C"/>
    <w:rsid w:val="006B52CD"/>
    <w:rsid w:val="006B56BB"/>
    <w:rsid w:val="006B5CA5"/>
    <w:rsid w:val="006B6033"/>
    <w:rsid w:val="006B637F"/>
    <w:rsid w:val="006B6856"/>
    <w:rsid w:val="006B6F42"/>
    <w:rsid w:val="006B7267"/>
    <w:rsid w:val="006B7376"/>
    <w:rsid w:val="006B755F"/>
    <w:rsid w:val="006C0010"/>
    <w:rsid w:val="006C027C"/>
    <w:rsid w:val="006C0376"/>
    <w:rsid w:val="006C077F"/>
    <w:rsid w:val="006C0894"/>
    <w:rsid w:val="006C0FF0"/>
    <w:rsid w:val="006C168A"/>
    <w:rsid w:val="006C1B93"/>
    <w:rsid w:val="006C1C8D"/>
    <w:rsid w:val="006C1EBF"/>
    <w:rsid w:val="006C1FCB"/>
    <w:rsid w:val="006C25BB"/>
    <w:rsid w:val="006C28F9"/>
    <w:rsid w:val="006C2C1E"/>
    <w:rsid w:val="006C35BA"/>
    <w:rsid w:val="006C37DE"/>
    <w:rsid w:val="006C38FD"/>
    <w:rsid w:val="006C5295"/>
    <w:rsid w:val="006C55CD"/>
    <w:rsid w:val="006C5B03"/>
    <w:rsid w:val="006C612E"/>
    <w:rsid w:val="006C77A8"/>
    <w:rsid w:val="006C7D3C"/>
    <w:rsid w:val="006D02A5"/>
    <w:rsid w:val="006D22FB"/>
    <w:rsid w:val="006D2A03"/>
    <w:rsid w:val="006D2FD7"/>
    <w:rsid w:val="006D30EF"/>
    <w:rsid w:val="006D4098"/>
    <w:rsid w:val="006D580B"/>
    <w:rsid w:val="006D6663"/>
    <w:rsid w:val="006D6F0E"/>
    <w:rsid w:val="006D75FF"/>
    <w:rsid w:val="006D7681"/>
    <w:rsid w:val="006D7B2E"/>
    <w:rsid w:val="006D7F75"/>
    <w:rsid w:val="006E02EA"/>
    <w:rsid w:val="006E060C"/>
    <w:rsid w:val="006E0968"/>
    <w:rsid w:val="006E0D38"/>
    <w:rsid w:val="006E11B8"/>
    <w:rsid w:val="006E12B6"/>
    <w:rsid w:val="006E2AF6"/>
    <w:rsid w:val="006E2BD8"/>
    <w:rsid w:val="006E41FC"/>
    <w:rsid w:val="006E4257"/>
    <w:rsid w:val="006E4A48"/>
    <w:rsid w:val="006E5208"/>
    <w:rsid w:val="006E54B1"/>
    <w:rsid w:val="006E59C8"/>
    <w:rsid w:val="006E5C23"/>
    <w:rsid w:val="006E62DA"/>
    <w:rsid w:val="006E630F"/>
    <w:rsid w:val="006E642A"/>
    <w:rsid w:val="006E6C61"/>
    <w:rsid w:val="006E7599"/>
    <w:rsid w:val="006E7C8A"/>
    <w:rsid w:val="006F0F2C"/>
    <w:rsid w:val="006F155E"/>
    <w:rsid w:val="006F1BAE"/>
    <w:rsid w:val="006F20CF"/>
    <w:rsid w:val="006F2E1B"/>
    <w:rsid w:val="006F34F1"/>
    <w:rsid w:val="006F36D3"/>
    <w:rsid w:val="006F4493"/>
    <w:rsid w:val="006F467E"/>
    <w:rsid w:val="006F46E7"/>
    <w:rsid w:val="006F4BB4"/>
    <w:rsid w:val="006F4CB5"/>
    <w:rsid w:val="006F4CBD"/>
    <w:rsid w:val="006F4CF7"/>
    <w:rsid w:val="006F4D01"/>
    <w:rsid w:val="006F528F"/>
    <w:rsid w:val="006F532A"/>
    <w:rsid w:val="006F563E"/>
    <w:rsid w:val="006F6C41"/>
    <w:rsid w:val="00700282"/>
    <w:rsid w:val="007004B1"/>
    <w:rsid w:val="00700D2F"/>
    <w:rsid w:val="00700F7B"/>
    <w:rsid w:val="00701275"/>
    <w:rsid w:val="0070165B"/>
    <w:rsid w:val="00701D28"/>
    <w:rsid w:val="00701EA8"/>
    <w:rsid w:val="00702E19"/>
    <w:rsid w:val="007041B3"/>
    <w:rsid w:val="0070557A"/>
    <w:rsid w:val="007055C3"/>
    <w:rsid w:val="0070599F"/>
    <w:rsid w:val="00705B33"/>
    <w:rsid w:val="00706303"/>
    <w:rsid w:val="00707A99"/>
    <w:rsid w:val="00707F56"/>
    <w:rsid w:val="0071110D"/>
    <w:rsid w:val="007119A0"/>
    <w:rsid w:val="00711D23"/>
    <w:rsid w:val="00711DD0"/>
    <w:rsid w:val="00711F09"/>
    <w:rsid w:val="00711F29"/>
    <w:rsid w:val="00712273"/>
    <w:rsid w:val="007125C9"/>
    <w:rsid w:val="00712EBC"/>
    <w:rsid w:val="007130DC"/>
    <w:rsid w:val="00713558"/>
    <w:rsid w:val="00714696"/>
    <w:rsid w:val="00715088"/>
    <w:rsid w:val="007151FC"/>
    <w:rsid w:val="00715861"/>
    <w:rsid w:val="00715FC4"/>
    <w:rsid w:val="0071667A"/>
    <w:rsid w:val="007168D9"/>
    <w:rsid w:val="007169C0"/>
    <w:rsid w:val="00716F3C"/>
    <w:rsid w:val="00717C4E"/>
    <w:rsid w:val="007207F2"/>
    <w:rsid w:val="00720940"/>
    <w:rsid w:val="00720D08"/>
    <w:rsid w:val="007218A6"/>
    <w:rsid w:val="00721C7E"/>
    <w:rsid w:val="0072200D"/>
    <w:rsid w:val="007223BC"/>
    <w:rsid w:val="00722A8E"/>
    <w:rsid w:val="00722DF3"/>
    <w:rsid w:val="007237E7"/>
    <w:rsid w:val="00723C8B"/>
    <w:rsid w:val="00723EEC"/>
    <w:rsid w:val="00725596"/>
    <w:rsid w:val="00725B5F"/>
    <w:rsid w:val="00725EBE"/>
    <w:rsid w:val="00725F50"/>
    <w:rsid w:val="007260D9"/>
    <w:rsid w:val="00726112"/>
    <w:rsid w:val="007263B9"/>
    <w:rsid w:val="00726583"/>
    <w:rsid w:val="007272B3"/>
    <w:rsid w:val="0072777D"/>
    <w:rsid w:val="00727F7D"/>
    <w:rsid w:val="00730379"/>
    <w:rsid w:val="00730DA5"/>
    <w:rsid w:val="0073198C"/>
    <w:rsid w:val="00731F00"/>
    <w:rsid w:val="007322F5"/>
    <w:rsid w:val="00732EFC"/>
    <w:rsid w:val="007334F8"/>
    <w:rsid w:val="007339CD"/>
    <w:rsid w:val="00734410"/>
    <w:rsid w:val="007346F9"/>
    <w:rsid w:val="0073578A"/>
    <w:rsid w:val="007359D8"/>
    <w:rsid w:val="00735A3F"/>
    <w:rsid w:val="00735BE6"/>
    <w:rsid w:val="007362D4"/>
    <w:rsid w:val="0073694F"/>
    <w:rsid w:val="00737AC4"/>
    <w:rsid w:val="00740970"/>
    <w:rsid w:val="0074161E"/>
    <w:rsid w:val="00741C02"/>
    <w:rsid w:val="00741F39"/>
    <w:rsid w:val="007427E3"/>
    <w:rsid w:val="007448EC"/>
    <w:rsid w:val="0074502B"/>
    <w:rsid w:val="0074557D"/>
    <w:rsid w:val="00745ECF"/>
    <w:rsid w:val="00746BD5"/>
    <w:rsid w:val="007500D9"/>
    <w:rsid w:val="00750540"/>
    <w:rsid w:val="00750650"/>
    <w:rsid w:val="00750B7D"/>
    <w:rsid w:val="00751A23"/>
    <w:rsid w:val="00751B33"/>
    <w:rsid w:val="0075212D"/>
    <w:rsid w:val="00752FDB"/>
    <w:rsid w:val="007531C6"/>
    <w:rsid w:val="00753300"/>
    <w:rsid w:val="007539F7"/>
    <w:rsid w:val="00754B3D"/>
    <w:rsid w:val="0075581D"/>
    <w:rsid w:val="00756978"/>
    <w:rsid w:val="00756B1D"/>
    <w:rsid w:val="00756D25"/>
    <w:rsid w:val="00757459"/>
    <w:rsid w:val="00757B27"/>
    <w:rsid w:val="00760228"/>
    <w:rsid w:val="00760343"/>
    <w:rsid w:val="00760C6F"/>
    <w:rsid w:val="00761B8B"/>
    <w:rsid w:val="007620EF"/>
    <w:rsid w:val="00762124"/>
    <w:rsid w:val="007632B1"/>
    <w:rsid w:val="0076372B"/>
    <w:rsid w:val="007639A3"/>
    <w:rsid w:val="00763DD4"/>
    <w:rsid w:val="00764D11"/>
    <w:rsid w:val="00765D70"/>
    <w:rsid w:val="00765F72"/>
    <w:rsid w:val="0076672A"/>
    <w:rsid w:val="007679B2"/>
    <w:rsid w:val="00767A68"/>
    <w:rsid w:val="00767D0A"/>
    <w:rsid w:val="00767DB0"/>
    <w:rsid w:val="0077078B"/>
    <w:rsid w:val="00770963"/>
    <w:rsid w:val="00770D18"/>
    <w:rsid w:val="00770D3D"/>
    <w:rsid w:val="00771284"/>
    <w:rsid w:val="0077192C"/>
    <w:rsid w:val="00771BD5"/>
    <w:rsid w:val="00771C03"/>
    <w:rsid w:val="0077339E"/>
    <w:rsid w:val="007746C6"/>
    <w:rsid w:val="007747AE"/>
    <w:rsid w:val="00775573"/>
    <w:rsid w:val="007755B0"/>
    <w:rsid w:val="00775E45"/>
    <w:rsid w:val="007763F9"/>
    <w:rsid w:val="00776476"/>
    <w:rsid w:val="00776506"/>
    <w:rsid w:val="00776D5F"/>
    <w:rsid w:val="00776E74"/>
    <w:rsid w:val="00776EC9"/>
    <w:rsid w:val="007773C9"/>
    <w:rsid w:val="0077798F"/>
    <w:rsid w:val="00780440"/>
    <w:rsid w:val="00780555"/>
    <w:rsid w:val="007805AC"/>
    <w:rsid w:val="007811FA"/>
    <w:rsid w:val="00781644"/>
    <w:rsid w:val="007826D6"/>
    <w:rsid w:val="007830AA"/>
    <w:rsid w:val="00783251"/>
    <w:rsid w:val="007839EA"/>
    <w:rsid w:val="00783A24"/>
    <w:rsid w:val="0078440D"/>
    <w:rsid w:val="00784A34"/>
    <w:rsid w:val="00785169"/>
    <w:rsid w:val="00786422"/>
    <w:rsid w:val="00786D3A"/>
    <w:rsid w:val="007871F0"/>
    <w:rsid w:val="0079006B"/>
    <w:rsid w:val="0079214E"/>
    <w:rsid w:val="007927B1"/>
    <w:rsid w:val="007933E7"/>
    <w:rsid w:val="00793E88"/>
    <w:rsid w:val="00793F6D"/>
    <w:rsid w:val="0079451F"/>
    <w:rsid w:val="00794974"/>
    <w:rsid w:val="007954AB"/>
    <w:rsid w:val="00796297"/>
    <w:rsid w:val="007964E2"/>
    <w:rsid w:val="0079693F"/>
    <w:rsid w:val="0079798F"/>
    <w:rsid w:val="00797F44"/>
    <w:rsid w:val="007A00A2"/>
    <w:rsid w:val="007A0C6E"/>
    <w:rsid w:val="007A1484"/>
    <w:rsid w:val="007A14C5"/>
    <w:rsid w:val="007A2C6B"/>
    <w:rsid w:val="007A3E38"/>
    <w:rsid w:val="007A42D8"/>
    <w:rsid w:val="007A43E0"/>
    <w:rsid w:val="007A4899"/>
    <w:rsid w:val="007A48BB"/>
    <w:rsid w:val="007A4A10"/>
    <w:rsid w:val="007A5206"/>
    <w:rsid w:val="007A542A"/>
    <w:rsid w:val="007A6FED"/>
    <w:rsid w:val="007A7427"/>
    <w:rsid w:val="007A7E3F"/>
    <w:rsid w:val="007B14ED"/>
    <w:rsid w:val="007B1693"/>
    <w:rsid w:val="007B1760"/>
    <w:rsid w:val="007B2076"/>
    <w:rsid w:val="007B211A"/>
    <w:rsid w:val="007B27BD"/>
    <w:rsid w:val="007B2999"/>
    <w:rsid w:val="007B29C9"/>
    <w:rsid w:val="007B2D31"/>
    <w:rsid w:val="007B301D"/>
    <w:rsid w:val="007B3A4B"/>
    <w:rsid w:val="007B3DD4"/>
    <w:rsid w:val="007B42C3"/>
    <w:rsid w:val="007B5EAD"/>
    <w:rsid w:val="007B6A3A"/>
    <w:rsid w:val="007B6A42"/>
    <w:rsid w:val="007B6AB5"/>
    <w:rsid w:val="007B6AF6"/>
    <w:rsid w:val="007B72AC"/>
    <w:rsid w:val="007C0062"/>
    <w:rsid w:val="007C02F6"/>
    <w:rsid w:val="007C04D2"/>
    <w:rsid w:val="007C0C03"/>
    <w:rsid w:val="007C0F70"/>
    <w:rsid w:val="007C1411"/>
    <w:rsid w:val="007C1AAC"/>
    <w:rsid w:val="007C1C08"/>
    <w:rsid w:val="007C1CD3"/>
    <w:rsid w:val="007C22DF"/>
    <w:rsid w:val="007C239D"/>
    <w:rsid w:val="007C2B8C"/>
    <w:rsid w:val="007C2D1F"/>
    <w:rsid w:val="007C322E"/>
    <w:rsid w:val="007C334B"/>
    <w:rsid w:val="007C3A32"/>
    <w:rsid w:val="007C3DBE"/>
    <w:rsid w:val="007C4651"/>
    <w:rsid w:val="007C49F4"/>
    <w:rsid w:val="007C4D51"/>
    <w:rsid w:val="007C4EDC"/>
    <w:rsid w:val="007C4F07"/>
    <w:rsid w:val="007C553E"/>
    <w:rsid w:val="007C565B"/>
    <w:rsid w:val="007C5722"/>
    <w:rsid w:val="007C6394"/>
    <w:rsid w:val="007C6899"/>
    <w:rsid w:val="007C6C83"/>
    <w:rsid w:val="007C6D9C"/>
    <w:rsid w:val="007C72C0"/>
    <w:rsid w:val="007C735F"/>
    <w:rsid w:val="007C7DDB"/>
    <w:rsid w:val="007D002B"/>
    <w:rsid w:val="007D0B15"/>
    <w:rsid w:val="007D17EE"/>
    <w:rsid w:val="007D1C61"/>
    <w:rsid w:val="007D2044"/>
    <w:rsid w:val="007D2964"/>
    <w:rsid w:val="007D2CC7"/>
    <w:rsid w:val="007D3689"/>
    <w:rsid w:val="007D3CAA"/>
    <w:rsid w:val="007D3D45"/>
    <w:rsid w:val="007D478B"/>
    <w:rsid w:val="007D4FB5"/>
    <w:rsid w:val="007D5E44"/>
    <w:rsid w:val="007D5F62"/>
    <w:rsid w:val="007D62A7"/>
    <w:rsid w:val="007D6334"/>
    <w:rsid w:val="007D673D"/>
    <w:rsid w:val="007D676F"/>
    <w:rsid w:val="007D6C44"/>
    <w:rsid w:val="007D6E49"/>
    <w:rsid w:val="007D6E9B"/>
    <w:rsid w:val="007D76C3"/>
    <w:rsid w:val="007D7806"/>
    <w:rsid w:val="007D7D9F"/>
    <w:rsid w:val="007E00B2"/>
    <w:rsid w:val="007E031E"/>
    <w:rsid w:val="007E0450"/>
    <w:rsid w:val="007E05E5"/>
    <w:rsid w:val="007E25FF"/>
    <w:rsid w:val="007E26EA"/>
    <w:rsid w:val="007E2887"/>
    <w:rsid w:val="007E445B"/>
    <w:rsid w:val="007E4BBF"/>
    <w:rsid w:val="007E587B"/>
    <w:rsid w:val="007E5E5F"/>
    <w:rsid w:val="007E630C"/>
    <w:rsid w:val="007F0C00"/>
    <w:rsid w:val="007F0CFD"/>
    <w:rsid w:val="007F1069"/>
    <w:rsid w:val="007F15B3"/>
    <w:rsid w:val="007F1D21"/>
    <w:rsid w:val="007F2220"/>
    <w:rsid w:val="007F2747"/>
    <w:rsid w:val="007F3026"/>
    <w:rsid w:val="007F42A8"/>
    <w:rsid w:val="007F4994"/>
    <w:rsid w:val="007F4B3E"/>
    <w:rsid w:val="007F4D31"/>
    <w:rsid w:val="007F4FB9"/>
    <w:rsid w:val="007F588A"/>
    <w:rsid w:val="007F5E6D"/>
    <w:rsid w:val="007F5F58"/>
    <w:rsid w:val="007F5FE3"/>
    <w:rsid w:val="007F74AF"/>
    <w:rsid w:val="008000A5"/>
    <w:rsid w:val="008003C7"/>
    <w:rsid w:val="008006F2"/>
    <w:rsid w:val="008018F4"/>
    <w:rsid w:val="0080199E"/>
    <w:rsid w:val="008020B6"/>
    <w:rsid w:val="008031E2"/>
    <w:rsid w:val="008032DB"/>
    <w:rsid w:val="008037F0"/>
    <w:rsid w:val="00803CC7"/>
    <w:rsid w:val="00803DD9"/>
    <w:rsid w:val="00803EC8"/>
    <w:rsid w:val="008041D7"/>
    <w:rsid w:val="00804762"/>
    <w:rsid w:val="00804D81"/>
    <w:rsid w:val="008051B8"/>
    <w:rsid w:val="008051F8"/>
    <w:rsid w:val="00805AAF"/>
    <w:rsid w:val="00805F34"/>
    <w:rsid w:val="00806403"/>
    <w:rsid w:val="00806687"/>
    <w:rsid w:val="008077A6"/>
    <w:rsid w:val="00807E65"/>
    <w:rsid w:val="00810E0D"/>
    <w:rsid w:val="00810E85"/>
    <w:rsid w:val="008117C5"/>
    <w:rsid w:val="00811EAD"/>
    <w:rsid w:val="00811F17"/>
    <w:rsid w:val="00812334"/>
    <w:rsid w:val="008127AF"/>
    <w:rsid w:val="00812B46"/>
    <w:rsid w:val="0081335E"/>
    <w:rsid w:val="0081454E"/>
    <w:rsid w:val="00814A29"/>
    <w:rsid w:val="00814F18"/>
    <w:rsid w:val="00814FA3"/>
    <w:rsid w:val="008153C7"/>
    <w:rsid w:val="00815700"/>
    <w:rsid w:val="008159EA"/>
    <w:rsid w:val="00816593"/>
    <w:rsid w:val="00817B70"/>
    <w:rsid w:val="00817D1D"/>
    <w:rsid w:val="00817D50"/>
    <w:rsid w:val="0082021A"/>
    <w:rsid w:val="008202A9"/>
    <w:rsid w:val="00820D48"/>
    <w:rsid w:val="00820EA5"/>
    <w:rsid w:val="0082117A"/>
    <w:rsid w:val="00821275"/>
    <w:rsid w:val="00821FA8"/>
    <w:rsid w:val="0082240B"/>
    <w:rsid w:val="00822BF5"/>
    <w:rsid w:val="00822EDA"/>
    <w:rsid w:val="00823283"/>
    <w:rsid w:val="008237F2"/>
    <w:rsid w:val="008244DF"/>
    <w:rsid w:val="008254D7"/>
    <w:rsid w:val="0082595D"/>
    <w:rsid w:val="0082596E"/>
    <w:rsid w:val="00825B45"/>
    <w:rsid w:val="00826337"/>
    <w:rsid w:val="00826389"/>
    <w:rsid w:val="008264EB"/>
    <w:rsid w:val="008267F3"/>
    <w:rsid w:val="00826B8F"/>
    <w:rsid w:val="008273D2"/>
    <w:rsid w:val="0082760D"/>
    <w:rsid w:val="00827D6A"/>
    <w:rsid w:val="00830147"/>
    <w:rsid w:val="00830233"/>
    <w:rsid w:val="0083084E"/>
    <w:rsid w:val="00830A13"/>
    <w:rsid w:val="00830D64"/>
    <w:rsid w:val="00830E73"/>
    <w:rsid w:val="00831708"/>
    <w:rsid w:val="0083182A"/>
    <w:rsid w:val="00831BF9"/>
    <w:rsid w:val="00831E8A"/>
    <w:rsid w:val="00832607"/>
    <w:rsid w:val="00832889"/>
    <w:rsid w:val="00833280"/>
    <w:rsid w:val="00833743"/>
    <w:rsid w:val="00833B4F"/>
    <w:rsid w:val="00833CB4"/>
    <w:rsid w:val="00834F46"/>
    <w:rsid w:val="00835785"/>
    <w:rsid w:val="00835C76"/>
    <w:rsid w:val="008361FA"/>
    <w:rsid w:val="008366D6"/>
    <w:rsid w:val="00836FDF"/>
    <w:rsid w:val="00837909"/>
    <w:rsid w:val="00841111"/>
    <w:rsid w:val="008417D7"/>
    <w:rsid w:val="00841DB2"/>
    <w:rsid w:val="00841F40"/>
    <w:rsid w:val="0084272F"/>
    <w:rsid w:val="00842A3B"/>
    <w:rsid w:val="00842C85"/>
    <w:rsid w:val="00842C97"/>
    <w:rsid w:val="00843049"/>
    <w:rsid w:val="008436CA"/>
    <w:rsid w:val="00844119"/>
    <w:rsid w:val="008452E6"/>
    <w:rsid w:val="008457F5"/>
    <w:rsid w:val="00845BF5"/>
    <w:rsid w:val="00846083"/>
    <w:rsid w:val="008460C3"/>
    <w:rsid w:val="00846115"/>
    <w:rsid w:val="00846580"/>
    <w:rsid w:val="008468A3"/>
    <w:rsid w:val="0085029B"/>
    <w:rsid w:val="0085209B"/>
    <w:rsid w:val="008522C3"/>
    <w:rsid w:val="008522F9"/>
    <w:rsid w:val="00854FC2"/>
    <w:rsid w:val="0085565E"/>
    <w:rsid w:val="00855E9B"/>
    <w:rsid w:val="00856961"/>
    <w:rsid w:val="00856B66"/>
    <w:rsid w:val="00857A2D"/>
    <w:rsid w:val="00857C3E"/>
    <w:rsid w:val="00857C98"/>
    <w:rsid w:val="008601FE"/>
    <w:rsid w:val="00860A3B"/>
    <w:rsid w:val="00860EE2"/>
    <w:rsid w:val="00861454"/>
    <w:rsid w:val="00861A5F"/>
    <w:rsid w:val="00861F79"/>
    <w:rsid w:val="008621CA"/>
    <w:rsid w:val="0086232F"/>
    <w:rsid w:val="0086238F"/>
    <w:rsid w:val="00862584"/>
    <w:rsid w:val="00862E4F"/>
    <w:rsid w:val="008631AF"/>
    <w:rsid w:val="008631C0"/>
    <w:rsid w:val="008632BC"/>
    <w:rsid w:val="0086338B"/>
    <w:rsid w:val="00863D42"/>
    <w:rsid w:val="00863F3D"/>
    <w:rsid w:val="008644AD"/>
    <w:rsid w:val="008644F5"/>
    <w:rsid w:val="00864580"/>
    <w:rsid w:val="00865562"/>
    <w:rsid w:val="00865735"/>
    <w:rsid w:val="008659CA"/>
    <w:rsid w:val="00865C72"/>
    <w:rsid w:val="00865DDB"/>
    <w:rsid w:val="00866660"/>
    <w:rsid w:val="00867126"/>
    <w:rsid w:val="00867478"/>
    <w:rsid w:val="00867538"/>
    <w:rsid w:val="008708E0"/>
    <w:rsid w:val="00871253"/>
    <w:rsid w:val="00871D17"/>
    <w:rsid w:val="00872C18"/>
    <w:rsid w:val="00872E3E"/>
    <w:rsid w:val="00873091"/>
    <w:rsid w:val="0087384F"/>
    <w:rsid w:val="00873D90"/>
    <w:rsid w:val="00873FC8"/>
    <w:rsid w:val="008754F1"/>
    <w:rsid w:val="00875523"/>
    <w:rsid w:val="00875B1C"/>
    <w:rsid w:val="00875E19"/>
    <w:rsid w:val="00876208"/>
    <w:rsid w:val="008764AA"/>
    <w:rsid w:val="00876AA3"/>
    <w:rsid w:val="00876C83"/>
    <w:rsid w:val="008773D1"/>
    <w:rsid w:val="00877453"/>
    <w:rsid w:val="008774B2"/>
    <w:rsid w:val="00881843"/>
    <w:rsid w:val="00882195"/>
    <w:rsid w:val="00882DC9"/>
    <w:rsid w:val="0088378F"/>
    <w:rsid w:val="008837B8"/>
    <w:rsid w:val="008838DF"/>
    <w:rsid w:val="008847B4"/>
    <w:rsid w:val="00884AF5"/>
    <w:rsid w:val="00884C63"/>
    <w:rsid w:val="00885908"/>
    <w:rsid w:val="00885B0D"/>
    <w:rsid w:val="008863AF"/>
    <w:rsid w:val="008864B7"/>
    <w:rsid w:val="00886C51"/>
    <w:rsid w:val="008901CC"/>
    <w:rsid w:val="00890EC7"/>
    <w:rsid w:val="008917C4"/>
    <w:rsid w:val="00891D7F"/>
    <w:rsid w:val="00892737"/>
    <w:rsid w:val="00893310"/>
    <w:rsid w:val="00893DE1"/>
    <w:rsid w:val="008940F4"/>
    <w:rsid w:val="0089514D"/>
    <w:rsid w:val="008964A9"/>
    <w:rsid w:val="0089677E"/>
    <w:rsid w:val="00896E8C"/>
    <w:rsid w:val="00897271"/>
    <w:rsid w:val="008975F6"/>
    <w:rsid w:val="008977D4"/>
    <w:rsid w:val="00897A24"/>
    <w:rsid w:val="00897D79"/>
    <w:rsid w:val="00897EB5"/>
    <w:rsid w:val="008A0515"/>
    <w:rsid w:val="008A0A04"/>
    <w:rsid w:val="008A1078"/>
    <w:rsid w:val="008A18EF"/>
    <w:rsid w:val="008A2236"/>
    <w:rsid w:val="008A2E4F"/>
    <w:rsid w:val="008A38A5"/>
    <w:rsid w:val="008A4303"/>
    <w:rsid w:val="008A4853"/>
    <w:rsid w:val="008A4C39"/>
    <w:rsid w:val="008A50A1"/>
    <w:rsid w:val="008A628D"/>
    <w:rsid w:val="008A6BD6"/>
    <w:rsid w:val="008A6ECF"/>
    <w:rsid w:val="008A6EDA"/>
    <w:rsid w:val="008A6F5E"/>
    <w:rsid w:val="008A7438"/>
    <w:rsid w:val="008A7A2D"/>
    <w:rsid w:val="008B0174"/>
    <w:rsid w:val="008B024B"/>
    <w:rsid w:val="008B026D"/>
    <w:rsid w:val="008B0548"/>
    <w:rsid w:val="008B0A1E"/>
    <w:rsid w:val="008B0D50"/>
    <w:rsid w:val="008B1334"/>
    <w:rsid w:val="008B26CC"/>
    <w:rsid w:val="008B2AC4"/>
    <w:rsid w:val="008B3732"/>
    <w:rsid w:val="008B3B3A"/>
    <w:rsid w:val="008B3C6B"/>
    <w:rsid w:val="008B3F01"/>
    <w:rsid w:val="008B4C8C"/>
    <w:rsid w:val="008B4E9C"/>
    <w:rsid w:val="008B5EEB"/>
    <w:rsid w:val="008B72E4"/>
    <w:rsid w:val="008B7D0C"/>
    <w:rsid w:val="008B7F3A"/>
    <w:rsid w:val="008B7F4C"/>
    <w:rsid w:val="008C0145"/>
    <w:rsid w:val="008C0278"/>
    <w:rsid w:val="008C038A"/>
    <w:rsid w:val="008C1311"/>
    <w:rsid w:val="008C14D7"/>
    <w:rsid w:val="008C2162"/>
    <w:rsid w:val="008C24E9"/>
    <w:rsid w:val="008C28E6"/>
    <w:rsid w:val="008C319B"/>
    <w:rsid w:val="008C33C1"/>
    <w:rsid w:val="008C3919"/>
    <w:rsid w:val="008C47CA"/>
    <w:rsid w:val="008C4F96"/>
    <w:rsid w:val="008C5413"/>
    <w:rsid w:val="008C5502"/>
    <w:rsid w:val="008C5734"/>
    <w:rsid w:val="008C5C09"/>
    <w:rsid w:val="008C658D"/>
    <w:rsid w:val="008C7454"/>
    <w:rsid w:val="008C76B2"/>
    <w:rsid w:val="008C76B8"/>
    <w:rsid w:val="008C7ABA"/>
    <w:rsid w:val="008D0533"/>
    <w:rsid w:val="008D08AD"/>
    <w:rsid w:val="008D1016"/>
    <w:rsid w:val="008D1197"/>
    <w:rsid w:val="008D310F"/>
    <w:rsid w:val="008D42CB"/>
    <w:rsid w:val="008D4789"/>
    <w:rsid w:val="008D48C9"/>
    <w:rsid w:val="008D5841"/>
    <w:rsid w:val="008D5B79"/>
    <w:rsid w:val="008D5F4A"/>
    <w:rsid w:val="008D6381"/>
    <w:rsid w:val="008D6DB0"/>
    <w:rsid w:val="008D7687"/>
    <w:rsid w:val="008E01D8"/>
    <w:rsid w:val="008E0637"/>
    <w:rsid w:val="008E0752"/>
    <w:rsid w:val="008E0C77"/>
    <w:rsid w:val="008E0CF6"/>
    <w:rsid w:val="008E1501"/>
    <w:rsid w:val="008E1BCA"/>
    <w:rsid w:val="008E2D16"/>
    <w:rsid w:val="008E3A35"/>
    <w:rsid w:val="008E46C3"/>
    <w:rsid w:val="008E48AA"/>
    <w:rsid w:val="008E4D66"/>
    <w:rsid w:val="008E4E90"/>
    <w:rsid w:val="008E4EAC"/>
    <w:rsid w:val="008E5001"/>
    <w:rsid w:val="008E552E"/>
    <w:rsid w:val="008E625F"/>
    <w:rsid w:val="008E63FA"/>
    <w:rsid w:val="008E6B7A"/>
    <w:rsid w:val="008E7333"/>
    <w:rsid w:val="008E7502"/>
    <w:rsid w:val="008E7B35"/>
    <w:rsid w:val="008E7D4E"/>
    <w:rsid w:val="008F01AC"/>
    <w:rsid w:val="008F043D"/>
    <w:rsid w:val="008F060B"/>
    <w:rsid w:val="008F0A73"/>
    <w:rsid w:val="008F0E27"/>
    <w:rsid w:val="008F204D"/>
    <w:rsid w:val="008F264D"/>
    <w:rsid w:val="008F2881"/>
    <w:rsid w:val="008F2E7A"/>
    <w:rsid w:val="008F350B"/>
    <w:rsid w:val="008F36C0"/>
    <w:rsid w:val="008F3A86"/>
    <w:rsid w:val="008F3ED9"/>
    <w:rsid w:val="008F545B"/>
    <w:rsid w:val="008F6F62"/>
    <w:rsid w:val="008F6FE3"/>
    <w:rsid w:val="008F719E"/>
    <w:rsid w:val="008F729C"/>
    <w:rsid w:val="00900085"/>
    <w:rsid w:val="009001B8"/>
    <w:rsid w:val="009003EB"/>
    <w:rsid w:val="009006B8"/>
    <w:rsid w:val="00900F42"/>
    <w:rsid w:val="0090258D"/>
    <w:rsid w:val="0090322F"/>
    <w:rsid w:val="00903B5A"/>
    <w:rsid w:val="009045ED"/>
    <w:rsid w:val="00905361"/>
    <w:rsid w:val="0090572B"/>
    <w:rsid w:val="00905853"/>
    <w:rsid w:val="00905A1D"/>
    <w:rsid w:val="00905C46"/>
    <w:rsid w:val="00906368"/>
    <w:rsid w:val="009065D4"/>
    <w:rsid w:val="0090670B"/>
    <w:rsid w:val="009074E1"/>
    <w:rsid w:val="00907782"/>
    <w:rsid w:val="009077F4"/>
    <w:rsid w:val="00907ABD"/>
    <w:rsid w:val="00910A8C"/>
    <w:rsid w:val="009110ED"/>
    <w:rsid w:val="009112F7"/>
    <w:rsid w:val="00911523"/>
    <w:rsid w:val="00911BAD"/>
    <w:rsid w:val="009122AF"/>
    <w:rsid w:val="009127BC"/>
    <w:rsid w:val="00912D54"/>
    <w:rsid w:val="0091313B"/>
    <w:rsid w:val="0091389F"/>
    <w:rsid w:val="00913B0B"/>
    <w:rsid w:val="00913CBB"/>
    <w:rsid w:val="00913E81"/>
    <w:rsid w:val="009140AB"/>
    <w:rsid w:val="009142FD"/>
    <w:rsid w:val="009149DB"/>
    <w:rsid w:val="00915223"/>
    <w:rsid w:val="00915AE7"/>
    <w:rsid w:val="009162BE"/>
    <w:rsid w:val="009206C1"/>
    <w:rsid w:val="009208F7"/>
    <w:rsid w:val="00920A34"/>
    <w:rsid w:val="00921129"/>
    <w:rsid w:val="00921172"/>
    <w:rsid w:val="009211C5"/>
    <w:rsid w:val="00921F39"/>
    <w:rsid w:val="0092246B"/>
    <w:rsid w:val="00922517"/>
    <w:rsid w:val="00922722"/>
    <w:rsid w:val="00922B6C"/>
    <w:rsid w:val="009234C1"/>
    <w:rsid w:val="00923B7D"/>
    <w:rsid w:val="00924375"/>
    <w:rsid w:val="00925CFB"/>
    <w:rsid w:val="00925ED0"/>
    <w:rsid w:val="009261E6"/>
    <w:rsid w:val="00926297"/>
    <w:rsid w:val="0092646B"/>
    <w:rsid w:val="009268E1"/>
    <w:rsid w:val="00926B0E"/>
    <w:rsid w:val="00926B47"/>
    <w:rsid w:val="00927022"/>
    <w:rsid w:val="0092775A"/>
    <w:rsid w:val="00927F03"/>
    <w:rsid w:val="009308F3"/>
    <w:rsid w:val="00930DCE"/>
    <w:rsid w:val="0093143F"/>
    <w:rsid w:val="009319B7"/>
    <w:rsid w:val="00931DE6"/>
    <w:rsid w:val="009320F1"/>
    <w:rsid w:val="00932660"/>
    <w:rsid w:val="009328A6"/>
    <w:rsid w:val="00934AB8"/>
    <w:rsid w:val="00935045"/>
    <w:rsid w:val="00935649"/>
    <w:rsid w:val="0093587F"/>
    <w:rsid w:val="009364B5"/>
    <w:rsid w:val="0093652A"/>
    <w:rsid w:val="00936DC2"/>
    <w:rsid w:val="009404E1"/>
    <w:rsid w:val="00940ADB"/>
    <w:rsid w:val="009412F8"/>
    <w:rsid w:val="0094138D"/>
    <w:rsid w:val="00941642"/>
    <w:rsid w:val="00941D37"/>
    <w:rsid w:val="00944998"/>
    <w:rsid w:val="00945E7F"/>
    <w:rsid w:val="009462E4"/>
    <w:rsid w:val="009462FA"/>
    <w:rsid w:val="0094645F"/>
    <w:rsid w:val="009465A9"/>
    <w:rsid w:val="00946B9A"/>
    <w:rsid w:val="00946BF2"/>
    <w:rsid w:val="009470A0"/>
    <w:rsid w:val="00947185"/>
    <w:rsid w:val="009471CF"/>
    <w:rsid w:val="00947265"/>
    <w:rsid w:val="00947477"/>
    <w:rsid w:val="00950201"/>
    <w:rsid w:val="00950C90"/>
    <w:rsid w:val="00951642"/>
    <w:rsid w:val="00951D4F"/>
    <w:rsid w:val="009526F7"/>
    <w:rsid w:val="00952ACE"/>
    <w:rsid w:val="00952D72"/>
    <w:rsid w:val="00952E5F"/>
    <w:rsid w:val="00953ACF"/>
    <w:rsid w:val="00954059"/>
    <w:rsid w:val="009545FB"/>
    <w:rsid w:val="00955255"/>
    <w:rsid w:val="009557C1"/>
    <w:rsid w:val="00955A5D"/>
    <w:rsid w:val="00955C4A"/>
    <w:rsid w:val="009560BE"/>
    <w:rsid w:val="00956B9E"/>
    <w:rsid w:val="00957C1B"/>
    <w:rsid w:val="00960764"/>
    <w:rsid w:val="00960D6D"/>
    <w:rsid w:val="00960D6E"/>
    <w:rsid w:val="00961D97"/>
    <w:rsid w:val="00962EDE"/>
    <w:rsid w:val="00963030"/>
    <w:rsid w:val="0096321B"/>
    <w:rsid w:val="0096471B"/>
    <w:rsid w:val="00964A6C"/>
    <w:rsid w:val="00964B85"/>
    <w:rsid w:val="009654CE"/>
    <w:rsid w:val="00966701"/>
    <w:rsid w:val="009667F7"/>
    <w:rsid w:val="00966BA6"/>
    <w:rsid w:val="00966D08"/>
    <w:rsid w:val="00966F58"/>
    <w:rsid w:val="00967012"/>
    <w:rsid w:val="00967273"/>
    <w:rsid w:val="009673A5"/>
    <w:rsid w:val="00967872"/>
    <w:rsid w:val="00967923"/>
    <w:rsid w:val="00967F88"/>
    <w:rsid w:val="00967FDC"/>
    <w:rsid w:val="00970686"/>
    <w:rsid w:val="0097069F"/>
    <w:rsid w:val="0097142D"/>
    <w:rsid w:val="009718B4"/>
    <w:rsid w:val="00971E82"/>
    <w:rsid w:val="00971F88"/>
    <w:rsid w:val="0097233B"/>
    <w:rsid w:val="00972BC1"/>
    <w:rsid w:val="00973224"/>
    <w:rsid w:val="00973CD0"/>
    <w:rsid w:val="009742A9"/>
    <w:rsid w:val="00974B59"/>
    <w:rsid w:val="009751E1"/>
    <w:rsid w:val="0097556F"/>
    <w:rsid w:val="0097561D"/>
    <w:rsid w:val="0097576D"/>
    <w:rsid w:val="00976800"/>
    <w:rsid w:val="00976859"/>
    <w:rsid w:val="00976E22"/>
    <w:rsid w:val="00977F28"/>
    <w:rsid w:val="00981260"/>
    <w:rsid w:val="00981740"/>
    <w:rsid w:val="00982A94"/>
    <w:rsid w:val="00983301"/>
    <w:rsid w:val="0098340B"/>
    <w:rsid w:val="00983659"/>
    <w:rsid w:val="00983721"/>
    <w:rsid w:val="009844C4"/>
    <w:rsid w:val="00984C44"/>
    <w:rsid w:val="0098505C"/>
    <w:rsid w:val="00985AD0"/>
    <w:rsid w:val="009861C8"/>
    <w:rsid w:val="009866C0"/>
    <w:rsid w:val="009866CF"/>
    <w:rsid w:val="00986830"/>
    <w:rsid w:val="00987470"/>
    <w:rsid w:val="009904A6"/>
    <w:rsid w:val="00990570"/>
    <w:rsid w:val="00990DC0"/>
    <w:rsid w:val="00991E17"/>
    <w:rsid w:val="00991FB7"/>
    <w:rsid w:val="00992209"/>
    <w:rsid w:val="00992248"/>
    <w:rsid w:val="009924C3"/>
    <w:rsid w:val="00992FA0"/>
    <w:rsid w:val="00993102"/>
    <w:rsid w:val="00994962"/>
    <w:rsid w:val="00994973"/>
    <w:rsid w:val="009951C1"/>
    <w:rsid w:val="00995202"/>
    <w:rsid w:val="0099546F"/>
    <w:rsid w:val="009956B6"/>
    <w:rsid w:val="00995718"/>
    <w:rsid w:val="00995FF9"/>
    <w:rsid w:val="009963DE"/>
    <w:rsid w:val="009966C0"/>
    <w:rsid w:val="00996DD6"/>
    <w:rsid w:val="009975F0"/>
    <w:rsid w:val="00997E07"/>
    <w:rsid w:val="009A0D67"/>
    <w:rsid w:val="009A17B6"/>
    <w:rsid w:val="009A1E5D"/>
    <w:rsid w:val="009A212A"/>
    <w:rsid w:val="009A29B1"/>
    <w:rsid w:val="009A2EB1"/>
    <w:rsid w:val="009A3698"/>
    <w:rsid w:val="009A398A"/>
    <w:rsid w:val="009A4B60"/>
    <w:rsid w:val="009A4F65"/>
    <w:rsid w:val="009A54E2"/>
    <w:rsid w:val="009A56C1"/>
    <w:rsid w:val="009A5804"/>
    <w:rsid w:val="009A5B30"/>
    <w:rsid w:val="009A5B4E"/>
    <w:rsid w:val="009A66A6"/>
    <w:rsid w:val="009A6E6D"/>
    <w:rsid w:val="009A711C"/>
    <w:rsid w:val="009A715B"/>
    <w:rsid w:val="009B0128"/>
    <w:rsid w:val="009B0818"/>
    <w:rsid w:val="009B1266"/>
    <w:rsid w:val="009B12E9"/>
    <w:rsid w:val="009B18B6"/>
    <w:rsid w:val="009B223F"/>
    <w:rsid w:val="009B28D6"/>
    <w:rsid w:val="009B2A57"/>
    <w:rsid w:val="009B332C"/>
    <w:rsid w:val="009B376C"/>
    <w:rsid w:val="009B4014"/>
    <w:rsid w:val="009B4283"/>
    <w:rsid w:val="009B440F"/>
    <w:rsid w:val="009B44D6"/>
    <w:rsid w:val="009B45A7"/>
    <w:rsid w:val="009B4ED5"/>
    <w:rsid w:val="009B6218"/>
    <w:rsid w:val="009B69FD"/>
    <w:rsid w:val="009B6D29"/>
    <w:rsid w:val="009C08E8"/>
    <w:rsid w:val="009C0CED"/>
    <w:rsid w:val="009C1654"/>
    <w:rsid w:val="009C1C05"/>
    <w:rsid w:val="009C25A0"/>
    <w:rsid w:val="009C276A"/>
    <w:rsid w:val="009C2B67"/>
    <w:rsid w:val="009C3EA5"/>
    <w:rsid w:val="009C3EDF"/>
    <w:rsid w:val="009C4A39"/>
    <w:rsid w:val="009C4B6F"/>
    <w:rsid w:val="009C4DDB"/>
    <w:rsid w:val="009C517C"/>
    <w:rsid w:val="009C6632"/>
    <w:rsid w:val="009C6DE7"/>
    <w:rsid w:val="009C6F10"/>
    <w:rsid w:val="009C747C"/>
    <w:rsid w:val="009C77C5"/>
    <w:rsid w:val="009C793D"/>
    <w:rsid w:val="009C7FF9"/>
    <w:rsid w:val="009D1095"/>
    <w:rsid w:val="009D148F"/>
    <w:rsid w:val="009D19CE"/>
    <w:rsid w:val="009D3087"/>
    <w:rsid w:val="009D31FF"/>
    <w:rsid w:val="009D3473"/>
    <w:rsid w:val="009D3861"/>
    <w:rsid w:val="009D397D"/>
    <w:rsid w:val="009D3D70"/>
    <w:rsid w:val="009D3F60"/>
    <w:rsid w:val="009D49A7"/>
    <w:rsid w:val="009D4C6A"/>
    <w:rsid w:val="009D5022"/>
    <w:rsid w:val="009D6102"/>
    <w:rsid w:val="009D6471"/>
    <w:rsid w:val="009D656B"/>
    <w:rsid w:val="009D6973"/>
    <w:rsid w:val="009D773F"/>
    <w:rsid w:val="009E00B1"/>
    <w:rsid w:val="009E07EB"/>
    <w:rsid w:val="009E1727"/>
    <w:rsid w:val="009E1AD2"/>
    <w:rsid w:val="009E1B83"/>
    <w:rsid w:val="009E3115"/>
    <w:rsid w:val="009E37FA"/>
    <w:rsid w:val="009E3B29"/>
    <w:rsid w:val="009E3C65"/>
    <w:rsid w:val="009E46B5"/>
    <w:rsid w:val="009E46C7"/>
    <w:rsid w:val="009E4C82"/>
    <w:rsid w:val="009E4CD3"/>
    <w:rsid w:val="009E5D2E"/>
    <w:rsid w:val="009E659A"/>
    <w:rsid w:val="009E694D"/>
    <w:rsid w:val="009E6F6B"/>
    <w:rsid w:val="009E6F7E"/>
    <w:rsid w:val="009E706D"/>
    <w:rsid w:val="009E71A3"/>
    <w:rsid w:val="009E7323"/>
    <w:rsid w:val="009E757A"/>
    <w:rsid w:val="009E75F1"/>
    <w:rsid w:val="009E7879"/>
    <w:rsid w:val="009E7A03"/>
    <w:rsid w:val="009E7A57"/>
    <w:rsid w:val="009F0642"/>
    <w:rsid w:val="009F0C27"/>
    <w:rsid w:val="009F1111"/>
    <w:rsid w:val="009F13AC"/>
    <w:rsid w:val="009F13F3"/>
    <w:rsid w:val="009F1A79"/>
    <w:rsid w:val="009F2AB0"/>
    <w:rsid w:val="009F34DA"/>
    <w:rsid w:val="009F367D"/>
    <w:rsid w:val="009F4F6A"/>
    <w:rsid w:val="009F5467"/>
    <w:rsid w:val="009F5BC1"/>
    <w:rsid w:val="009F5DCB"/>
    <w:rsid w:val="009F606C"/>
    <w:rsid w:val="009F6669"/>
    <w:rsid w:val="009F783B"/>
    <w:rsid w:val="009F7935"/>
    <w:rsid w:val="00A00431"/>
    <w:rsid w:val="00A0051B"/>
    <w:rsid w:val="00A025A0"/>
    <w:rsid w:val="00A039F8"/>
    <w:rsid w:val="00A04084"/>
    <w:rsid w:val="00A04164"/>
    <w:rsid w:val="00A046BF"/>
    <w:rsid w:val="00A04D21"/>
    <w:rsid w:val="00A05379"/>
    <w:rsid w:val="00A05BCA"/>
    <w:rsid w:val="00A05E5F"/>
    <w:rsid w:val="00A069F6"/>
    <w:rsid w:val="00A06DCA"/>
    <w:rsid w:val="00A071F6"/>
    <w:rsid w:val="00A07A19"/>
    <w:rsid w:val="00A07EB4"/>
    <w:rsid w:val="00A07F1A"/>
    <w:rsid w:val="00A10CD1"/>
    <w:rsid w:val="00A116D6"/>
    <w:rsid w:val="00A1206B"/>
    <w:rsid w:val="00A120E2"/>
    <w:rsid w:val="00A12173"/>
    <w:rsid w:val="00A124D5"/>
    <w:rsid w:val="00A12A10"/>
    <w:rsid w:val="00A12AFF"/>
    <w:rsid w:val="00A1315C"/>
    <w:rsid w:val="00A132F0"/>
    <w:rsid w:val="00A1385E"/>
    <w:rsid w:val="00A13AE9"/>
    <w:rsid w:val="00A13D2E"/>
    <w:rsid w:val="00A13E9D"/>
    <w:rsid w:val="00A14705"/>
    <w:rsid w:val="00A14D02"/>
    <w:rsid w:val="00A14F8C"/>
    <w:rsid w:val="00A15366"/>
    <w:rsid w:val="00A154B2"/>
    <w:rsid w:val="00A15649"/>
    <w:rsid w:val="00A15AE1"/>
    <w:rsid w:val="00A15B49"/>
    <w:rsid w:val="00A15EBA"/>
    <w:rsid w:val="00A16350"/>
    <w:rsid w:val="00A16906"/>
    <w:rsid w:val="00A16E36"/>
    <w:rsid w:val="00A1730F"/>
    <w:rsid w:val="00A17950"/>
    <w:rsid w:val="00A17BA9"/>
    <w:rsid w:val="00A204FF"/>
    <w:rsid w:val="00A20643"/>
    <w:rsid w:val="00A21B14"/>
    <w:rsid w:val="00A21CBB"/>
    <w:rsid w:val="00A21F23"/>
    <w:rsid w:val="00A2204C"/>
    <w:rsid w:val="00A221C8"/>
    <w:rsid w:val="00A2334C"/>
    <w:rsid w:val="00A233D7"/>
    <w:rsid w:val="00A239C3"/>
    <w:rsid w:val="00A23EA2"/>
    <w:rsid w:val="00A240AC"/>
    <w:rsid w:val="00A24961"/>
    <w:rsid w:val="00A24B04"/>
    <w:rsid w:val="00A24B10"/>
    <w:rsid w:val="00A259E8"/>
    <w:rsid w:val="00A25E8E"/>
    <w:rsid w:val="00A26D9C"/>
    <w:rsid w:val="00A2737C"/>
    <w:rsid w:val="00A273DA"/>
    <w:rsid w:val="00A27497"/>
    <w:rsid w:val="00A27840"/>
    <w:rsid w:val="00A30C41"/>
    <w:rsid w:val="00A30E9B"/>
    <w:rsid w:val="00A310BB"/>
    <w:rsid w:val="00A31542"/>
    <w:rsid w:val="00A31A12"/>
    <w:rsid w:val="00A31A97"/>
    <w:rsid w:val="00A322CC"/>
    <w:rsid w:val="00A323CB"/>
    <w:rsid w:val="00A32549"/>
    <w:rsid w:val="00A3254A"/>
    <w:rsid w:val="00A3272B"/>
    <w:rsid w:val="00A32CF6"/>
    <w:rsid w:val="00A32DED"/>
    <w:rsid w:val="00A3364D"/>
    <w:rsid w:val="00A33C50"/>
    <w:rsid w:val="00A346D3"/>
    <w:rsid w:val="00A34982"/>
    <w:rsid w:val="00A354F2"/>
    <w:rsid w:val="00A35FA2"/>
    <w:rsid w:val="00A367D9"/>
    <w:rsid w:val="00A40055"/>
    <w:rsid w:val="00A4235C"/>
    <w:rsid w:val="00A426DB"/>
    <w:rsid w:val="00A43671"/>
    <w:rsid w:val="00A436C2"/>
    <w:rsid w:val="00A43D7F"/>
    <w:rsid w:val="00A444A1"/>
    <w:rsid w:val="00A44A49"/>
    <w:rsid w:val="00A45089"/>
    <w:rsid w:val="00A4512D"/>
    <w:rsid w:val="00A4521D"/>
    <w:rsid w:val="00A452AF"/>
    <w:rsid w:val="00A45E94"/>
    <w:rsid w:val="00A45FA9"/>
    <w:rsid w:val="00A46826"/>
    <w:rsid w:val="00A4715D"/>
    <w:rsid w:val="00A50244"/>
    <w:rsid w:val="00A505AF"/>
    <w:rsid w:val="00A513B7"/>
    <w:rsid w:val="00A526C4"/>
    <w:rsid w:val="00A52917"/>
    <w:rsid w:val="00A52A73"/>
    <w:rsid w:val="00A5319D"/>
    <w:rsid w:val="00A53FCD"/>
    <w:rsid w:val="00A5431B"/>
    <w:rsid w:val="00A5478C"/>
    <w:rsid w:val="00A55139"/>
    <w:rsid w:val="00A556E3"/>
    <w:rsid w:val="00A55941"/>
    <w:rsid w:val="00A55A7D"/>
    <w:rsid w:val="00A56275"/>
    <w:rsid w:val="00A5692F"/>
    <w:rsid w:val="00A56EFF"/>
    <w:rsid w:val="00A56F17"/>
    <w:rsid w:val="00A57A7E"/>
    <w:rsid w:val="00A60165"/>
    <w:rsid w:val="00A60F36"/>
    <w:rsid w:val="00A617C9"/>
    <w:rsid w:val="00A61FCC"/>
    <w:rsid w:val="00A621A8"/>
    <w:rsid w:val="00A627D7"/>
    <w:rsid w:val="00A63191"/>
    <w:rsid w:val="00A634FD"/>
    <w:rsid w:val="00A63A33"/>
    <w:rsid w:val="00A63D4C"/>
    <w:rsid w:val="00A64633"/>
    <w:rsid w:val="00A64826"/>
    <w:rsid w:val="00A656C7"/>
    <w:rsid w:val="00A65D88"/>
    <w:rsid w:val="00A6617A"/>
    <w:rsid w:val="00A661BD"/>
    <w:rsid w:val="00A66557"/>
    <w:rsid w:val="00A66894"/>
    <w:rsid w:val="00A66AC6"/>
    <w:rsid w:val="00A66B05"/>
    <w:rsid w:val="00A66B7A"/>
    <w:rsid w:val="00A67A01"/>
    <w:rsid w:val="00A704B5"/>
    <w:rsid w:val="00A705AF"/>
    <w:rsid w:val="00A70697"/>
    <w:rsid w:val="00A70872"/>
    <w:rsid w:val="00A72454"/>
    <w:rsid w:val="00A72F84"/>
    <w:rsid w:val="00A73538"/>
    <w:rsid w:val="00A75CD6"/>
    <w:rsid w:val="00A77696"/>
    <w:rsid w:val="00A77A7A"/>
    <w:rsid w:val="00A80557"/>
    <w:rsid w:val="00A80889"/>
    <w:rsid w:val="00A80DEB"/>
    <w:rsid w:val="00A8110A"/>
    <w:rsid w:val="00A81D33"/>
    <w:rsid w:val="00A827D8"/>
    <w:rsid w:val="00A82BD7"/>
    <w:rsid w:val="00A84AB7"/>
    <w:rsid w:val="00A84AF3"/>
    <w:rsid w:val="00A84F81"/>
    <w:rsid w:val="00A8569D"/>
    <w:rsid w:val="00A85AE6"/>
    <w:rsid w:val="00A85E24"/>
    <w:rsid w:val="00A8602B"/>
    <w:rsid w:val="00A86608"/>
    <w:rsid w:val="00A86A5B"/>
    <w:rsid w:val="00A86E16"/>
    <w:rsid w:val="00A87DA4"/>
    <w:rsid w:val="00A87E7E"/>
    <w:rsid w:val="00A9045F"/>
    <w:rsid w:val="00A9075A"/>
    <w:rsid w:val="00A90D9F"/>
    <w:rsid w:val="00A9127C"/>
    <w:rsid w:val="00A91609"/>
    <w:rsid w:val="00A9225C"/>
    <w:rsid w:val="00A922ED"/>
    <w:rsid w:val="00A92FB4"/>
    <w:rsid w:val="00A930AE"/>
    <w:rsid w:val="00A932E6"/>
    <w:rsid w:val="00A9376F"/>
    <w:rsid w:val="00A93A15"/>
    <w:rsid w:val="00A93F1A"/>
    <w:rsid w:val="00A946AA"/>
    <w:rsid w:val="00A9515D"/>
    <w:rsid w:val="00A95E08"/>
    <w:rsid w:val="00A96108"/>
    <w:rsid w:val="00A96F28"/>
    <w:rsid w:val="00AA0205"/>
    <w:rsid w:val="00AA02B3"/>
    <w:rsid w:val="00AA04A4"/>
    <w:rsid w:val="00AA05B1"/>
    <w:rsid w:val="00AA0701"/>
    <w:rsid w:val="00AA0B42"/>
    <w:rsid w:val="00AA1A95"/>
    <w:rsid w:val="00AA1C64"/>
    <w:rsid w:val="00AA1F01"/>
    <w:rsid w:val="00AA23A8"/>
    <w:rsid w:val="00AA260F"/>
    <w:rsid w:val="00AA2FDE"/>
    <w:rsid w:val="00AA45C6"/>
    <w:rsid w:val="00AA45F6"/>
    <w:rsid w:val="00AA4AA2"/>
    <w:rsid w:val="00AA543A"/>
    <w:rsid w:val="00AA5755"/>
    <w:rsid w:val="00AA5A96"/>
    <w:rsid w:val="00AA6D99"/>
    <w:rsid w:val="00AA757B"/>
    <w:rsid w:val="00AA763F"/>
    <w:rsid w:val="00AB0067"/>
    <w:rsid w:val="00AB0070"/>
    <w:rsid w:val="00AB0E2D"/>
    <w:rsid w:val="00AB106F"/>
    <w:rsid w:val="00AB13C8"/>
    <w:rsid w:val="00AB1EE7"/>
    <w:rsid w:val="00AB20CD"/>
    <w:rsid w:val="00AB24FD"/>
    <w:rsid w:val="00AB2581"/>
    <w:rsid w:val="00AB2AFB"/>
    <w:rsid w:val="00AB3798"/>
    <w:rsid w:val="00AB49EB"/>
    <w:rsid w:val="00AB49F9"/>
    <w:rsid w:val="00AB4B37"/>
    <w:rsid w:val="00AB5221"/>
    <w:rsid w:val="00AB56DB"/>
    <w:rsid w:val="00AB5762"/>
    <w:rsid w:val="00AB5AA6"/>
    <w:rsid w:val="00AB5BC6"/>
    <w:rsid w:val="00AB5E0F"/>
    <w:rsid w:val="00AB6362"/>
    <w:rsid w:val="00AB6795"/>
    <w:rsid w:val="00AB6A24"/>
    <w:rsid w:val="00AB734A"/>
    <w:rsid w:val="00AC0420"/>
    <w:rsid w:val="00AC0C70"/>
    <w:rsid w:val="00AC0E6F"/>
    <w:rsid w:val="00AC209D"/>
    <w:rsid w:val="00AC20F0"/>
    <w:rsid w:val="00AC2679"/>
    <w:rsid w:val="00AC2AB0"/>
    <w:rsid w:val="00AC3141"/>
    <w:rsid w:val="00AC3E1F"/>
    <w:rsid w:val="00AC3E37"/>
    <w:rsid w:val="00AC4BE4"/>
    <w:rsid w:val="00AC4EEB"/>
    <w:rsid w:val="00AC50CD"/>
    <w:rsid w:val="00AC5452"/>
    <w:rsid w:val="00AC557D"/>
    <w:rsid w:val="00AC5E6D"/>
    <w:rsid w:val="00AC62B2"/>
    <w:rsid w:val="00AC6BF9"/>
    <w:rsid w:val="00AC7AD5"/>
    <w:rsid w:val="00AD05E6"/>
    <w:rsid w:val="00AD0D3F"/>
    <w:rsid w:val="00AD0DB0"/>
    <w:rsid w:val="00AD150B"/>
    <w:rsid w:val="00AD1E46"/>
    <w:rsid w:val="00AD2D73"/>
    <w:rsid w:val="00AD319D"/>
    <w:rsid w:val="00AD33FC"/>
    <w:rsid w:val="00AD3CAE"/>
    <w:rsid w:val="00AD3DC8"/>
    <w:rsid w:val="00AD409C"/>
    <w:rsid w:val="00AD4BE3"/>
    <w:rsid w:val="00AD54B5"/>
    <w:rsid w:val="00AD59DB"/>
    <w:rsid w:val="00AD5FC7"/>
    <w:rsid w:val="00AD5FF2"/>
    <w:rsid w:val="00AD63C7"/>
    <w:rsid w:val="00AD6AAC"/>
    <w:rsid w:val="00AD7592"/>
    <w:rsid w:val="00AD7E35"/>
    <w:rsid w:val="00AE0238"/>
    <w:rsid w:val="00AE0489"/>
    <w:rsid w:val="00AE04BE"/>
    <w:rsid w:val="00AE07D5"/>
    <w:rsid w:val="00AE0E85"/>
    <w:rsid w:val="00AE0FC0"/>
    <w:rsid w:val="00AE140F"/>
    <w:rsid w:val="00AE1577"/>
    <w:rsid w:val="00AE15B9"/>
    <w:rsid w:val="00AE1671"/>
    <w:rsid w:val="00AE1D7D"/>
    <w:rsid w:val="00AE200E"/>
    <w:rsid w:val="00AE29D2"/>
    <w:rsid w:val="00AE2A8B"/>
    <w:rsid w:val="00AE2E95"/>
    <w:rsid w:val="00AE3F64"/>
    <w:rsid w:val="00AE47B2"/>
    <w:rsid w:val="00AE4D32"/>
    <w:rsid w:val="00AE5F8A"/>
    <w:rsid w:val="00AE6936"/>
    <w:rsid w:val="00AE6958"/>
    <w:rsid w:val="00AE6D0C"/>
    <w:rsid w:val="00AE6FE9"/>
    <w:rsid w:val="00AF055B"/>
    <w:rsid w:val="00AF1065"/>
    <w:rsid w:val="00AF1132"/>
    <w:rsid w:val="00AF16CD"/>
    <w:rsid w:val="00AF1950"/>
    <w:rsid w:val="00AF19FA"/>
    <w:rsid w:val="00AF1BC3"/>
    <w:rsid w:val="00AF1C55"/>
    <w:rsid w:val="00AF1EFC"/>
    <w:rsid w:val="00AF1EFF"/>
    <w:rsid w:val="00AF269F"/>
    <w:rsid w:val="00AF2B6C"/>
    <w:rsid w:val="00AF3112"/>
    <w:rsid w:val="00AF3516"/>
    <w:rsid w:val="00AF35EC"/>
    <w:rsid w:val="00AF37EB"/>
    <w:rsid w:val="00AF38F0"/>
    <w:rsid w:val="00AF3A52"/>
    <w:rsid w:val="00AF3BBF"/>
    <w:rsid w:val="00AF3D2D"/>
    <w:rsid w:val="00AF4823"/>
    <w:rsid w:val="00AF494C"/>
    <w:rsid w:val="00AF5076"/>
    <w:rsid w:val="00AF542F"/>
    <w:rsid w:val="00AF5BEA"/>
    <w:rsid w:val="00AF5DDE"/>
    <w:rsid w:val="00AF619A"/>
    <w:rsid w:val="00AF61F6"/>
    <w:rsid w:val="00AF6DA4"/>
    <w:rsid w:val="00AF6FAC"/>
    <w:rsid w:val="00AF7386"/>
    <w:rsid w:val="00AF7934"/>
    <w:rsid w:val="00AF7FDD"/>
    <w:rsid w:val="00B001D5"/>
    <w:rsid w:val="00B009CA"/>
    <w:rsid w:val="00B00B81"/>
    <w:rsid w:val="00B00C4E"/>
    <w:rsid w:val="00B02964"/>
    <w:rsid w:val="00B03BAB"/>
    <w:rsid w:val="00B03D88"/>
    <w:rsid w:val="00B04185"/>
    <w:rsid w:val="00B0454A"/>
    <w:rsid w:val="00B04580"/>
    <w:rsid w:val="00B04991"/>
    <w:rsid w:val="00B0499F"/>
    <w:rsid w:val="00B04AE2"/>
    <w:rsid w:val="00B04B09"/>
    <w:rsid w:val="00B057C0"/>
    <w:rsid w:val="00B07092"/>
    <w:rsid w:val="00B07711"/>
    <w:rsid w:val="00B079CC"/>
    <w:rsid w:val="00B07F31"/>
    <w:rsid w:val="00B100C5"/>
    <w:rsid w:val="00B10D5C"/>
    <w:rsid w:val="00B114C7"/>
    <w:rsid w:val="00B11906"/>
    <w:rsid w:val="00B12411"/>
    <w:rsid w:val="00B12698"/>
    <w:rsid w:val="00B12A45"/>
    <w:rsid w:val="00B12EDE"/>
    <w:rsid w:val="00B12F55"/>
    <w:rsid w:val="00B13F20"/>
    <w:rsid w:val="00B14048"/>
    <w:rsid w:val="00B14A36"/>
    <w:rsid w:val="00B15274"/>
    <w:rsid w:val="00B16506"/>
    <w:rsid w:val="00B16A51"/>
    <w:rsid w:val="00B170CB"/>
    <w:rsid w:val="00B176A0"/>
    <w:rsid w:val="00B176EB"/>
    <w:rsid w:val="00B17BF4"/>
    <w:rsid w:val="00B204CC"/>
    <w:rsid w:val="00B20764"/>
    <w:rsid w:val="00B207B1"/>
    <w:rsid w:val="00B21B6B"/>
    <w:rsid w:val="00B21C1D"/>
    <w:rsid w:val="00B228BD"/>
    <w:rsid w:val="00B22E05"/>
    <w:rsid w:val="00B2366A"/>
    <w:rsid w:val="00B23D62"/>
    <w:rsid w:val="00B24234"/>
    <w:rsid w:val="00B25440"/>
    <w:rsid w:val="00B26CA9"/>
    <w:rsid w:val="00B26DD2"/>
    <w:rsid w:val="00B27175"/>
    <w:rsid w:val="00B2737A"/>
    <w:rsid w:val="00B27623"/>
    <w:rsid w:val="00B27A6C"/>
    <w:rsid w:val="00B302E4"/>
    <w:rsid w:val="00B308C0"/>
    <w:rsid w:val="00B31E0B"/>
    <w:rsid w:val="00B320B2"/>
    <w:rsid w:val="00B32222"/>
    <w:rsid w:val="00B324D7"/>
    <w:rsid w:val="00B328DC"/>
    <w:rsid w:val="00B32C92"/>
    <w:rsid w:val="00B3397B"/>
    <w:rsid w:val="00B33A63"/>
    <w:rsid w:val="00B33B8F"/>
    <w:rsid w:val="00B34693"/>
    <w:rsid w:val="00B34B95"/>
    <w:rsid w:val="00B35183"/>
    <w:rsid w:val="00B3618D"/>
    <w:rsid w:val="00B36233"/>
    <w:rsid w:val="00B36A15"/>
    <w:rsid w:val="00B36C4A"/>
    <w:rsid w:val="00B36CDC"/>
    <w:rsid w:val="00B372E7"/>
    <w:rsid w:val="00B37B1A"/>
    <w:rsid w:val="00B40520"/>
    <w:rsid w:val="00B40ECB"/>
    <w:rsid w:val="00B41549"/>
    <w:rsid w:val="00B41EFF"/>
    <w:rsid w:val="00B41F60"/>
    <w:rsid w:val="00B42143"/>
    <w:rsid w:val="00B42667"/>
    <w:rsid w:val="00B42851"/>
    <w:rsid w:val="00B432DB"/>
    <w:rsid w:val="00B434BF"/>
    <w:rsid w:val="00B4398A"/>
    <w:rsid w:val="00B43B75"/>
    <w:rsid w:val="00B443B1"/>
    <w:rsid w:val="00B445B7"/>
    <w:rsid w:val="00B44A51"/>
    <w:rsid w:val="00B44AB1"/>
    <w:rsid w:val="00B450A2"/>
    <w:rsid w:val="00B45AC7"/>
    <w:rsid w:val="00B472D1"/>
    <w:rsid w:val="00B50DE6"/>
    <w:rsid w:val="00B52636"/>
    <w:rsid w:val="00B52A9B"/>
    <w:rsid w:val="00B5372F"/>
    <w:rsid w:val="00B54E74"/>
    <w:rsid w:val="00B54EC5"/>
    <w:rsid w:val="00B54F1B"/>
    <w:rsid w:val="00B56090"/>
    <w:rsid w:val="00B56292"/>
    <w:rsid w:val="00B56AD9"/>
    <w:rsid w:val="00B57EB9"/>
    <w:rsid w:val="00B60210"/>
    <w:rsid w:val="00B602A5"/>
    <w:rsid w:val="00B60B5A"/>
    <w:rsid w:val="00B61008"/>
    <w:rsid w:val="00B61129"/>
    <w:rsid w:val="00B618B0"/>
    <w:rsid w:val="00B61921"/>
    <w:rsid w:val="00B61E70"/>
    <w:rsid w:val="00B62C9A"/>
    <w:rsid w:val="00B63409"/>
    <w:rsid w:val="00B6427E"/>
    <w:rsid w:val="00B6498C"/>
    <w:rsid w:val="00B66103"/>
    <w:rsid w:val="00B66251"/>
    <w:rsid w:val="00B66571"/>
    <w:rsid w:val="00B668D1"/>
    <w:rsid w:val="00B66DE3"/>
    <w:rsid w:val="00B67523"/>
    <w:rsid w:val="00B67D35"/>
    <w:rsid w:val="00B67DFF"/>
    <w:rsid w:val="00B67E7F"/>
    <w:rsid w:val="00B67E8F"/>
    <w:rsid w:val="00B70085"/>
    <w:rsid w:val="00B70300"/>
    <w:rsid w:val="00B706D4"/>
    <w:rsid w:val="00B71B01"/>
    <w:rsid w:val="00B71C08"/>
    <w:rsid w:val="00B7222E"/>
    <w:rsid w:val="00B72C06"/>
    <w:rsid w:val="00B733DF"/>
    <w:rsid w:val="00B7370E"/>
    <w:rsid w:val="00B7494F"/>
    <w:rsid w:val="00B74A81"/>
    <w:rsid w:val="00B756A2"/>
    <w:rsid w:val="00B757C8"/>
    <w:rsid w:val="00B75A04"/>
    <w:rsid w:val="00B75A40"/>
    <w:rsid w:val="00B75AF0"/>
    <w:rsid w:val="00B75B51"/>
    <w:rsid w:val="00B76AEC"/>
    <w:rsid w:val="00B7700F"/>
    <w:rsid w:val="00B771A0"/>
    <w:rsid w:val="00B77412"/>
    <w:rsid w:val="00B776AE"/>
    <w:rsid w:val="00B777F6"/>
    <w:rsid w:val="00B77C81"/>
    <w:rsid w:val="00B77D3F"/>
    <w:rsid w:val="00B77D60"/>
    <w:rsid w:val="00B77E1B"/>
    <w:rsid w:val="00B77EDA"/>
    <w:rsid w:val="00B80522"/>
    <w:rsid w:val="00B8142B"/>
    <w:rsid w:val="00B814A3"/>
    <w:rsid w:val="00B81C01"/>
    <w:rsid w:val="00B81C94"/>
    <w:rsid w:val="00B823B4"/>
    <w:rsid w:val="00B830E3"/>
    <w:rsid w:val="00B8360A"/>
    <w:rsid w:val="00B8391B"/>
    <w:rsid w:val="00B839B2"/>
    <w:rsid w:val="00B83D02"/>
    <w:rsid w:val="00B848F9"/>
    <w:rsid w:val="00B85E86"/>
    <w:rsid w:val="00B867E4"/>
    <w:rsid w:val="00B872C1"/>
    <w:rsid w:val="00B9053E"/>
    <w:rsid w:val="00B909B2"/>
    <w:rsid w:val="00B9187A"/>
    <w:rsid w:val="00B91A6B"/>
    <w:rsid w:val="00B91BB1"/>
    <w:rsid w:val="00B92246"/>
    <w:rsid w:val="00B92476"/>
    <w:rsid w:val="00B92834"/>
    <w:rsid w:val="00B93258"/>
    <w:rsid w:val="00B93FDA"/>
    <w:rsid w:val="00B94252"/>
    <w:rsid w:val="00B943C8"/>
    <w:rsid w:val="00B94828"/>
    <w:rsid w:val="00B94BEB"/>
    <w:rsid w:val="00B9507C"/>
    <w:rsid w:val="00B96141"/>
    <w:rsid w:val="00B968EE"/>
    <w:rsid w:val="00B9715A"/>
    <w:rsid w:val="00B97C69"/>
    <w:rsid w:val="00BA0C19"/>
    <w:rsid w:val="00BA0F9D"/>
    <w:rsid w:val="00BA0FCA"/>
    <w:rsid w:val="00BA14BE"/>
    <w:rsid w:val="00BA1700"/>
    <w:rsid w:val="00BA1F9A"/>
    <w:rsid w:val="00BA2732"/>
    <w:rsid w:val="00BA278B"/>
    <w:rsid w:val="00BA293D"/>
    <w:rsid w:val="00BA334A"/>
    <w:rsid w:val="00BA33AC"/>
    <w:rsid w:val="00BA35A5"/>
    <w:rsid w:val="00BA3F57"/>
    <w:rsid w:val="00BA4014"/>
    <w:rsid w:val="00BA4536"/>
    <w:rsid w:val="00BA49BC"/>
    <w:rsid w:val="00BA56B7"/>
    <w:rsid w:val="00BA596D"/>
    <w:rsid w:val="00BA602A"/>
    <w:rsid w:val="00BA64BD"/>
    <w:rsid w:val="00BA68C8"/>
    <w:rsid w:val="00BA70AB"/>
    <w:rsid w:val="00BA7351"/>
    <w:rsid w:val="00BA77D7"/>
    <w:rsid w:val="00BA7A1E"/>
    <w:rsid w:val="00BA7CA9"/>
    <w:rsid w:val="00BB0082"/>
    <w:rsid w:val="00BB173D"/>
    <w:rsid w:val="00BB178F"/>
    <w:rsid w:val="00BB1A4D"/>
    <w:rsid w:val="00BB272C"/>
    <w:rsid w:val="00BB2F6C"/>
    <w:rsid w:val="00BB362E"/>
    <w:rsid w:val="00BB3875"/>
    <w:rsid w:val="00BB402F"/>
    <w:rsid w:val="00BB40EA"/>
    <w:rsid w:val="00BB453F"/>
    <w:rsid w:val="00BB57AF"/>
    <w:rsid w:val="00BB5860"/>
    <w:rsid w:val="00BB5897"/>
    <w:rsid w:val="00BB6AAD"/>
    <w:rsid w:val="00BB6B0F"/>
    <w:rsid w:val="00BB6B41"/>
    <w:rsid w:val="00BB7736"/>
    <w:rsid w:val="00BB7BA3"/>
    <w:rsid w:val="00BC043C"/>
    <w:rsid w:val="00BC20ED"/>
    <w:rsid w:val="00BC262D"/>
    <w:rsid w:val="00BC26B4"/>
    <w:rsid w:val="00BC2710"/>
    <w:rsid w:val="00BC3B2C"/>
    <w:rsid w:val="00BC4976"/>
    <w:rsid w:val="00BC4A19"/>
    <w:rsid w:val="00BC4E6D"/>
    <w:rsid w:val="00BC5E52"/>
    <w:rsid w:val="00BC614F"/>
    <w:rsid w:val="00BC6179"/>
    <w:rsid w:val="00BC619E"/>
    <w:rsid w:val="00BC65BE"/>
    <w:rsid w:val="00BC6FEA"/>
    <w:rsid w:val="00BD0617"/>
    <w:rsid w:val="00BD1957"/>
    <w:rsid w:val="00BD1C9E"/>
    <w:rsid w:val="00BD2B9D"/>
    <w:rsid w:val="00BD2E9B"/>
    <w:rsid w:val="00BD326C"/>
    <w:rsid w:val="00BD3328"/>
    <w:rsid w:val="00BD397F"/>
    <w:rsid w:val="00BD3A06"/>
    <w:rsid w:val="00BD3CAD"/>
    <w:rsid w:val="00BD4C28"/>
    <w:rsid w:val="00BD51BA"/>
    <w:rsid w:val="00BD6F60"/>
    <w:rsid w:val="00BD706D"/>
    <w:rsid w:val="00BD7908"/>
    <w:rsid w:val="00BE0117"/>
    <w:rsid w:val="00BE011C"/>
    <w:rsid w:val="00BE12C1"/>
    <w:rsid w:val="00BE212C"/>
    <w:rsid w:val="00BE36B0"/>
    <w:rsid w:val="00BE4024"/>
    <w:rsid w:val="00BE431B"/>
    <w:rsid w:val="00BE444D"/>
    <w:rsid w:val="00BE45A7"/>
    <w:rsid w:val="00BE5FF2"/>
    <w:rsid w:val="00BE646A"/>
    <w:rsid w:val="00BE6716"/>
    <w:rsid w:val="00BE6738"/>
    <w:rsid w:val="00BE6BB0"/>
    <w:rsid w:val="00BE761E"/>
    <w:rsid w:val="00BE7E37"/>
    <w:rsid w:val="00BF038E"/>
    <w:rsid w:val="00BF09A2"/>
    <w:rsid w:val="00BF1987"/>
    <w:rsid w:val="00BF23E2"/>
    <w:rsid w:val="00BF2CFF"/>
    <w:rsid w:val="00BF34B8"/>
    <w:rsid w:val="00BF3FD8"/>
    <w:rsid w:val="00BF4435"/>
    <w:rsid w:val="00BF4ACA"/>
    <w:rsid w:val="00BF4DDC"/>
    <w:rsid w:val="00BF4EE7"/>
    <w:rsid w:val="00BF5064"/>
    <w:rsid w:val="00BF5770"/>
    <w:rsid w:val="00BF5791"/>
    <w:rsid w:val="00BF5F17"/>
    <w:rsid w:val="00BF743D"/>
    <w:rsid w:val="00BF7A17"/>
    <w:rsid w:val="00C004E3"/>
    <w:rsid w:val="00C00930"/>
    <w:rsid w:val="00C00DD0"/>
    <w:rsid w:val="00C014FC"/>
    <w:rsid w:val="00C01C38"/>
    <w:rsid w:val="00C01E80"/>
    <w:rsid w:val="00C023DC"/>
    <w:rsid w:val="00C029E5"/>
    <w:rsid w:val="00C02EA3"/>
    <w:rsid w:val="00C03D69"/>
    <w:rsid w:val="00C04391"/>
    <w:rsid w:val="00C044AF"/>
    <w:rsid w:val="00C04A3E"/>
    <w:rsid w:val="00C04B9E"/>
    <w:rsid w:val="00C05701"/>
    <w:rsid w:val="00C05804"/>
    <w:rsid w:val="00C05EA8"/>
    <w:rsid w:val="00C060AD"/>
    <w:rsid w:val="00C0670D"/>
    <w:rsid w:val="00C069EE"/>
    <w:rsid w:val="00C0756B"/>
    <w:rsid w:val="00C075A9"/>
    <w:rsid w:val="00C07B4E"/>
    <w:rsid w:val="00C07C0D"/>
    <w:rsid w:val="00C10E99"/>
    <w:rsid w:val="00C113BF"/>
    <w:rsid w:val="00C11599"/>
    <w:rsid w:val="00C117EF"/>
    <w:rsid w:val="00C11A2E"/>
    <w:rsid w:val="00C13B43"/>
    <w:rsid w:val="00C14DE1"/>
    <w:rsid w:val="00C151A8"/>
    <w:rsid w:val="00C15610"/>
    <w:rsid w:val="00C15B1A"/>
    <w:rsid w:val="00C16007"/>
    <w:rsid w:val="00C1656B"/>
    <w:rsid w:val="00C178AA"/>
    <w:rsid w:val="00C1799F"/>
    <w:rsid w:val="00C17A5A"/>
    <w:rsid w:val="00C17D5B"/>
    <w:rsid w:val="00C20287"/>
    <w:rsid w:val="00C204D6"/>
    <w:rsid w:val="00C2170B"/>
    <w:rsid w:val="00C2176E"/>
    <w:rsid w:val="00C21B0C"/>
    <w:rsid w:val="00C21B28"/>
    <w:rsid w:val="00C2258E"/>
    <w:rsid w:val="00C22691"/>
    <w:rsid w:val="00C22DDD"/>
    <w:rsid w:val="00C22DEF"/>
    <w:rsid w:val="00C2336E"/>
    <w:rsid w:val="00C23430"/>
    <w:rsid w:val="00C23E3A"/>
    <w:rsid w:val="00C2406D"/>
    <w:rsid w:val="00C24DC3"/>
    <w:rsid w:val="00C2577F"/>
    <w:rsid w:val="00C25CA0"/>
    <w:rsid w:val="00C26520"/>
    <w:rsid w:val="00C26F5F"/>
    <w:rsid w:val="00C26FF9"/>
    <w:rsid w:val="00C278BE"/>
    <w:rsid w:val="00C27D67"/>
    <w:rsid w:val="00C27DB1"/>
    <w:rsid w:val="00C316FA"/>
    <w:rsid w:val="00C318D4"/>
    <w:rsid w:val="00C31E18"/>
    <w:rsid w:val="00C333E2"/>
    <w:rsid w:val="00C33BDD"/>
    <w:rsid w:val="00C34953"/>
    <w:rsid w:val="00C35962"/>
    <w:rsid w:val="00C364D4"/>
    <w:rsid w:val="00C3656F"/>
    <w:rsid w:val="00C36601"/>
    <w:rsid w:val="00C36607"/>
    <w:rsid w:val="00C37064"/>
    <w:rsid w:val="00C37293"/>
    <w:rsid w:val="00C40133"/>
    <w:rsid w:val="00C405F4"/>
    <w:rsid w:val="00C40E26"/>
    <w:rsid w:val="00C41196"/>
    <w:rsid w:val="00C414D4"/>
    <w:rsid w:val="00C41830"/>
    <w:rsid w:val="00C4199A"/>
    <w:rsid w:val="00C419BC"/>
    <w:rsid w:val="00C43021"/>
    <w:rsid w:val="00C43A4D"/>
    <w:rsid w:val="00C44013"/>
    <w:rsid w:val="00C441E9"/>
    <w:rsid w:val="00C441EC"/>
    <w:rsid w:val="00C442DE"/>
    <w:rsid w:val="00C44A14"/>
    <w:rsid w:val="00C44CEA"/>
    <w:rsid w:val="00C44D96"/>
    <w:rsid w:val="00C458ED"/>
    <w:rsid w:val="00C4631F"/>
    <w:rsid w:val="00C46B7B"/>
    <w:rsid w:val="00C46E2F"/>
    <w:rsid w:val="00C4712E"/>
    <w:rsid w:val="00C4792B"/>
    <w:rsid w:val="00C47BF8"/>
    <w:rsid w:val="00C50D33"/>
    <w:rsid w:val="00C50DBA"/>
    <w:rsid w:val="00C50E16"/>
    <w:rsid w:val="00C513F3"/>
    <w:rsid w:val="00C51801"/>
    <w:rsid w:val="00C518C0"/>
    <w:rsid w:val="00C51EB9"/>
    <w:rsid w:val="00C52420"/>
    <w:rsid w:val="00C527E0"/>
    <w:rsid w:val="00C52C7B"/>
    <w:rsid w:val="00C530F1"/>
    <w:rsid w:val="00C53421"/>
    <w:rsid w:val="00C53B1D"/>
    <w:rsid w:val="00C53F51"/>
    <w:rsid w:val="00C541D4"/>
    <w:rsid w:val="00C54462"/>
    <w:rsid w:val="00C55089"/>
    <w:rsid w:val="00C55258"/>
    <w:rsid w:val="00C56DB0"/>
    <w:rsid w:val="00C56EEA"/>
    <w:rsid w:val="00C574BD"/>
    <w:rsid w:val="00C57563"/>
    <w:rsid w:val="00C60836"/>
    <w:rsid w:val="00C60F97"/>
    <w:rsid w:val="00C6108C"/>
    <w:rsid w:val="00C611E3"/>
    <w:rsid w:val="00C630D8"/>
    <w:rsid w:val="00C63339"/>
    <w:rsid w:val="00C645C5"/>
    <w:rsid w:val="00C64674"/>
    <w:rsid w:val="00C64D94"/>
    <w:rsid w:val="00C65DCB"/>
    <w:rsid w:val="00C660DB"/>
    <w:rsid w:val="00C6674C"/>
    <w:rsid w:val="00C66AAD"/>
    <w:rsid w:val="00C6799E"/>
    <w:rsid w:val="00C704A5"/>
    <w:rsid w:val="00C7076E"/>
    <w:rsid w:val="00C70848"/>
    <w:rsid w:val="00C714FA"/>
    <w:rsid w:val="00C715C1"/>
    <w:rsid w:val="00C723D4"/>
    <w:rsid w:val="00C725AB"/>
    <w:rsid w:val="00C726E6"/>
    <w:rsid w:val="00C7326E"/>
    <w:rsid w:val="00C7452B"/>
    <w:rsid w:val="00C745B9"/>
    <w:rsid w:val="00C74B29"/>
    <w:rsid w:val="00C74DB9"/>
    <w:rsid w:val="00C74E0F"/>
    <w:rsid w:val="00C74EB5"/>
    <w:rsid w:val="00C75769"/>
    <w:rsid w:val="00C75AF6"/>
    <w:rsid w:val="00C75B15"/>
    <w:rsid w:val="00C76153"/>
    <w:rsid w:val="00C769AC"/>
    <w:rsid w:val="00C77BE4"/>
    <w:rsid w:val="00C80D06"/>
    <w:rsid w:val="00C81999"/>
    <w:rsid w:val="00C82EE6"/>
    <w:rsid w:val="00C82EEB"/>
    <w:rsid w:val="00C83CF1"/>
    <w:rsid w:val="00C84099"/>
    <w:rsid w:val="00C84EBF"/>
    <w:rsid w:val="00C85EE6"/>
    <w:rsid w:val="00C87712"/>
    <w:rsid w:val="00C878E2"/>
    <w:rsid w:val="00C9001C"/>
    <w:rsid w:val="00C906DB"/>
    <w:rsid w:val="00C90915"/>
    <w:rsid w:val="00C90C4E"/>
    <w:rsid w:val="00C90F61"/>
    <w:rsid w:val="00C91023"/>
    <w:rsid w:val="00C9115D"/>
    <w:rsid w:val="00C912C3"/>
    <w:rsid w:val="00C916A5"/>
    <w:rsid w:val="00C91955"/>
    <w:rsid w:val="00C91CF2"/>
    <w:rsid w:val="00C91ED1"/>
    <w:rsid w:val="00C92B1B"/>
    <w:rsid w:val="00C92EC9"/>
    <w:rsid w:val="00C92F3B"/>
    <w:rsid w:val="00C92F4E"/>
    <w:rsid w:val="00C9343B"/>
    <w:rsid w:val="00C95C96"/>
    <w:rsid w:val="00C971DC"/>
    <w:rsid w:val="00C972AE"/>
    <w:rsid w:val="00C97441"/>
    <w:rsid w:val="00C978C4"/>
    <w:rsid w:val="00C97DCD"/>
    <w:rsid w:val="00CA0260"/>
    <w:rsid w:val="00CA02E0"/>
    <w:rsid w:val="00CA075C"/>
    <w:rsid w:val="00CA0DEC"/>
    <w:rsid w:val="00CA16B7"/>
    <w:rsid w:val="00CA1CC8"/>
    <w:rsid w:val="00CA227A"/>
    <w:rsid w:val="00CA24D2"/>
    <w:rsid w:val="00CA2551"/>
    <w:rsid w:val="00CA264F"/>
    <w:rsid w:val="00CA3926"/>
    <w:rsid w:val="00CA3FE7"/>
    <w:rsid w:val="00CA4BE3"/>
    <w:rsid w:val="00CA5B6A"/>
    <w:rsid w:val="00CA5E30"/>
    <w:rsid w:val="00CA62AE"/>
    <w:rsid w:val="00CA6376"/>
    <w:rsid w:val="00CA66F6"/>
    <w:rsid w:val="00CA6953"/>
    <w:rsid w:val="00CA702A"/>
    <w:rsid w:val="00CA755B"/>
    <w:rsid w:val="00CA7740"/>
    <w:rsid w:val="00CA79CF"/>
    <w:rsid w:val="00CA7E9F"/>
    <w:rsid w:val="00CB03E2"/>
    <w:rsid w:val="00CB0458"/>
    <w:rsid w:val="00CB165C"/>
    <w:rsid w:val="00CB1BAF"/>
    <w:rsid w:val="00CB23AA"/>
    <w:rsid w:val="00CB250B"/>
    <w:rsid w:val="00CB2567"/>
    <w:rsid w:val="00CB257D"/>
    <w:rsid w:val="00CB25E8"/>
    <w:rsid w:val="00CB2814"/>
    <w:rsid w:val="00CB2A23"/>
    <w:rsid w:val="00CB2EF9"/>
    <w:rsid w:val="00CB3DDC"/>
    <w:rsid w:val="00CB44DA"/>
    <w:rsid w:val="00CB46B2"/>
    <w:rsid w:val="00CB4CF1"/>
    <w:rsid w:val="00CB55C2"/>
    <w:rsid w:val="00CB5622"/>
    <w:rsid w:val="00CB5902"/>
    <w:rsid w:val="00CB5B1A"/>
    <w:rsid w:val="00CB5F20"/>
    <w:rsid w:val="00CB6950"/>
    <w:rsid w:val="00CB71DB"/>
    <w:rsid w:val="00CC00BC"/>
    <w:rsid w:val="00CC1281"/>
    <w:rsid w:val="00CC220B"/>
    <w:rsid w:val="00CC2F2D"/>
    <w:rsid w:val="00CC3964"/>
    <w:rsid w:val="00CC3BB6"/>
    <w:rsid w:val="00CC3BCB"/>
    <w:rsid w:val="00CC4523"/>
    <w:rsid w:val="00CC46BE"/>
    <w:rsid w:val="00CC49D6"/>
    <w:rsid w:val="00CC49F1"/>
    <w:rsid w:val="00CC4DD6"/>
    <w:rsid w:val="00CC59B2"/>
    <w:rsid w:val="00CC5C18"/>
    <w:rsid w:val="00CC5C43"/>
    <w:rsid w:val="00CC618F"/>
    <w:rsid w:val="00CC6DDB"/>
    <w:rsid w:val="00CC7AE4"/>
    <w:rsid w:val="00CD02AE"/>
    <w:rsid w:val="00CD0B0B"/>
    <w:rsid w:val="00CD1AAC"/>
    <w:rsid w:val="00CD29C6"/>
    <w:rsid w:val="00CD2A4F"/>
    <w:rsid w:val="00CD2DEF"/>
    <w:rsid w:val="00CD35B3"/>
    <w:rsid w:val="00CD39C7"/>
    <w:rsid w:val="00CD4E2B"/>
    <w:rsid w:val="00CD537D"/>
    <w:rsid w:val="00CD53D1"/>
    <w:rsid w:val="00CD6513"/>
    <w:rsid w:val="00CD6CA5"/>
    <w:rsid w:val="00CD70F6"/>
    <w:rsid w:val="00CD7B11"/>
    <w:rsid w:val="00CD7F37"/>
    <w:rsid w:val="00CE03CA"/>
    <w:rsid w:val="00CE0DBC"/>
    <w:rsid w:val="00CE12EE"/>
    <w:rsid w:val="00CE138E"/>
    <w:rsid w:val="00CE18CE"/>
    <w:rsid w:val="00CE22F1"/>
    <w:rsid w:val="00CE418D"/>
    <w:rsid w:val="00CE4955"/>
    <w:rsid w:val="00CE5013"/>
    <w:rsid w:val="00CE50F2"/>
    <w:rsid w:val="00CE5D61"/>
    <w:rsid w:val="00CE6115"/>
    <w:rsid w:val="00CE6142"/>
    <w:rsid w:val="00CE6502"/>
    <w:rsid w:val="00CE683F"/>
    <w:rsid w:val="00CE7701"/>
    <w:rsid w:val="00CF14A6"/>
    <w:rsid w:val="00CF14FC"/>
    <w:rsid w:val="00CF180B"/>
    <w:rsid w:val="00CF1E29"/>
    <w:rsid w:val="00CF2400"/>
    <w:rsid w:val="00CF318A"/>
    <w:rsid w:val="00CF342A"/>
    <w:rsid w:val="00CF40C0"/>
    <w:rsid w:val="00CF4295"/>
    <w:rsid w:val="00CF4E71"/>
    <w:rsid w:val="00CF5632"/>
    <w:rsid w:val="00CF62BA"/>
    <w:rsid w:val="00CF674A"/>
    <w:rsid w:val="00CF783A"/>
    <w:rsid w:val="00CF7B0F"/>
    <w:rsid w:val="00CF7D3C"/>
    <w:rsid w:val="00D001CD"/>
    <w:rsid w:val="00D003A1"/>
    <w:rsid w:val="00D01788"/>
    <w:rsid w:val="00D01989"/>
    <w:rsid w:val="00D02617"/>
    <w:rsid w:val="00D02BB7"/>
    <w:rsid w:val="00D031A0"/>
    <w:rsid w:val="00D03260"/>
    <w:rsid w:val="00D043ED"/>
    <w:rsid w:val="00D04A11"/>
    <w:rsid w:val="00D05619"/>
    <w:rsid w:val="00D056AD"/>
    <w:rsid w:val="00D06094"/>
    <w:rsid w:val="00D0623C"/>
    <w:rsid w:val="00D06C1D"/>
    <w:rsid w:val="00D12BA2"/>
    <w:rsid w:val="00D12D1E"/>
    <w:rsid w:val="00D12D82"/>
    <w:rsid w:val="00D135E6"/>
    <w:rsid w:val="00D136BA"/>
    <w:rsid w:val="00D147EB"/>
    <w:rsid w:val="00D1541F"/>
    <w:rsid w:val="00D15420"/>
    <w:rsid w:val="00D15BA6"/>
    <w:rsid w:val="00D16250"/>
    <w:rsid w:val="00D16283"/>
    <w:rsid w:val="00D170B0"/>
    <w:rsid w:val="00D171A9"/>
    <w:rsid w:val="00D17EB5"/>
    <w:rsid w:val="00D21209"/>
    <w:rsid w:val="00D212C1"/>
    <w:rsid w:val="00D219C5"/>
    <w:rsid w:val="00D21F6F"/>
    <w:rsid w:val="00D222A9"/>
    <w:rsid w:val="00D22577"/>
    <w:rsid w:val="00D236D9"/>
    <w:rsid w:val="00D23913"/>
    <w:rsid w:val="00D2394F"/>
    <w:rsid w:val="00D23E10"/>
    <w:rsid w:val="00D24A3A"/>
    <w:rsid w:val="00D2608E"/>
    <w:rsid w:val="00D266D1"/>
    <w:rsid w:val="00D26B5C"/>
    <w:rsid w:val="00D26B96"/>
    <w:rsid w:val="00D26D00"/>
    <w:rsid w:val="00D26F94"/>
    <w:rsid w:val="00D27887"/>
    <w:rsid w:val="00D27C16"/>
    <w:rsid w:val="00D30911"/>
    <w:rsid w:val="00D3114A"/>
    <w:rsid w:val="00D3125B"/>
    <w:rsid w:val="00D312D1"/>
    <w:rsid w:val="00D324B9"/>
    <w:rsid w:val="00D327D6"/>
    <w:rsid w:val="00D33C08"/>
    <w:rsid w:val="00D3444D"/>
    <w:rsid w:val="00D34667"/>
    <w:rsid w:val="00D34A55"/>
    <w:rsid w:val="00D3522C"/>
    <w:rsid w:val="00D3544B"/>
    <w:rsid w:val="00D359CD"/>
    <w:rsid w:val="00D35DC6"/>
    <w:rsid w:val="00D36682"/>
    <w:rsid w:val="00D369AD"/>
    <w:rsid w:val="00D369C8"/>
    <w:rsid w:val="00D36B41"/>
    <w:rsid w:val="00D37178"/>
    <w:rsid w:val="00D373C0"/>
    <w:rsid w:val="00D376F8"/>
    <w:rsid w:val="00D401E1"/>
    <w:rsid w:val="00D408B4"/>
    <w:rsid w:val="00D40BF3"/>
    <w:rsid w:val="00D4148B"/>
    <w:rsid w:val="00D41F05"/>
    <w:rsid w:val="00D4459F"/>
    <w:rsid w:val="00D449D8"/>
    <w:rsid w:val="00D44AA1"/>
    <w:rsid w:val="00D44F8C"/>
    <w:rsid w:val="00D45D94"/>
    <w:rsid w:val="00D46072"/>
    <w:rsid w:val="00D46276"/>
    <w:rsid w:val="00D463F2"/>
    <w:rsid w:val="00D4788E"/>
    <w:rsid w:val="00D47AFB"/>
    <w:rsid w:val="00D5035F"/>
    <w:rsid w:val="00D50A0A"/>
    <w:rsid w:val="00D510F5"/>
    <w:rsid w:val="00D51DFE"/>
    <w:rsid w:val="00D51E13"/>
    <w:rsid w:val="00D523F7"/>
    <w:rsid w:val="00D524C8"/>
    <w:rsid w:val="00D52705"/>
    <w:rsid w:val="00D53030"/>
    <w:rsid w:val="00D53272"/>
    <w:rsid w:val="00D536C7"/>
    <w:rsid w:val="00D53844"/>
    <w:rsid w:val="00D53F44"/>
    <w:rsid w:val="00D53FE5"/>
    <w:rsid w:val="00D5605F"/>
    <w:rsid w:val="00D578DF"/>
    <w:rsid w:val="00D60BB6"/>
    <w:rsid w:val="00D60E25"/>
    <w:rsid w:val="00D614C2"/>
    <w:rsid w:val="00D614D9"/>
    <w:rsid w:val="00D6167E"/>
    <w:rsid w:val="00D6172E"/>
    <w:rsid w:val="00D62373"/>
    <w:rsid w:val="00D62567"/>
    <w:rsid w:val="00D62D4E"/>
    <w:rsid w:val="00D63205"/>
    <w:rsid w:val="00D63575"/>
    <w:rsid w:val="00D6377F"/>
    <w:rsid w:val="00D63CF2"/>
    <w:rsid w:val="00D63E8A"/>
    <w:rsid w:val="00D64273"/>
    <w:rsid w:val="00D65681"/>
    <w:rsid w:val="00D659DC"/>
    <w:rsid w:val="00D666EA"/>
    <w:rsid w:val="00D666FE"/>
    <w:rsid w:val="00D67AC5"/>
    <w:rsid w:val="00D70264"/>
    <w:rsid w:val="00D70BDA"/>
    <w:rsid w:val="00D70C93"/>
    <w:rsid w:val="00D70E24"/>
    <w:rsid w:val="00D70E54"/>
    <w:rsid w:val="00D70F5E"/>
    <w:rsid w:val="00D712F2"/>
    <w:rsid w:val="00D71606"/>
    <w:rsid w:val="00D716B3"/>
    <w:rsid w:val="00D71DEF"/>
    <w:rsid w:val="00D720F2"/>
    <w:rsid w:val="00D72736"/>
    <w:rsid w:val="00D7299D"/>
    <w:rsid w:val="00D72AD2"/>
    <w:rsid w:val="00D72B61"/>
    <w:rsid w:val="00D72DEC"/>
    <w:rsid w:val="00D7306A"/>
    <w:rsid w:val="00D74100"/>
    <w:rsid w:val="00D74272"/>
    <w:rsid w:val="00D74CE6"/>
    <w:rsid w:val="00D75155"/>
    <w:rsid w:val="00D754BC"/>
    <w:rsid w:val="00D757E6"/>
    <w:rsid w:val="00D75F3E"/>
    <w:rsid w:val="00D7630A"/>
    <w:rsid w:val="00D765AC"/>
    <w:rsid w:val="00D7671F"/>
    <w:rsid w:val="00D76768"/>
    <w:rsid w:val="00D76CF2"/>
    <w:rsid w:val="00D80319"/>
    <w:rsid w:val="00D80405"/>
    <w:rsid w:val="00D811CF"/>
    <w:rsid w:val="00D81775"/>
    <w:rsid w:val="00D82258"/>
    <w:rsid w:val="00D823AF"/>
    <w:rsid w:val="00D82C5D"/>
    <w:rsid w:val="00D82CD3"/>
    <w:rsid w:val="00D82F06"/>
    <w:rsid w:val="00D83D9D"/>
    <w:rsid w:val="00D84173"/>
    <w:rsid w:val="00D847B3"/>
    <w:rsid w:val="00D85B56"/>
    <w:rsid w:val="00D86523"/>
    <w:rsid w:val="00D86725"/>
    <w:rsid w:val="00D86E7F"/>
    <w:rsid w:val="00D90703"/>
    <w:rsid w:val="00D90CED"/>
    <w:rsid w:val="00D91AAE"/>
    <w:rsid w:val="00D91F5C"/>
    <w:rsid w:val="00D92365"/>
    <w:rsid w:val="00D93397"/>
    <w:rsid w:val="00D93CDF"/>
    <w:rsid w:val="00D93DA9"/>
    <w:rsid w:val="00D93E21"/>
    <w:rsid w:val="00D95F7C"/>
    <w:rsid w:val="00D964F2"/>
    <w:rsid w:val="00D96FAC"/>
    <w:rsid w:val="00D9710C"/>
    <w:rsid w:val="00D97F6B"/>
    <w:rsid w:val="00DA0437"/>
    <w:rsid w:val="00DA0498"/>
    <w:rsid w:val="00DA0BDB"/>
    <w:rsid w:val="00DA1274"/>
    <w:rsid w:val="00DA14E5"/>
    <w:rsid w:val="00DA1599"/>
    <w:rsid w:val="00DA1A63"/>
    <w:rsid w:val="00DA1B1F"/>
    <w:rsid w:val="00DA25A5"/>
    <w:rsid w:val="00DA2FEE"/>
    <w:rsid w:val="00DA37B2"/>
    <w:rsid w:val="00DA3D1D"/>
    <w:rsid w:val="00DA468E"/>
    <w:rsid w:val="00DA4B52"/>
    <w:rsid w:val="00DA4F89"/>
    <w:rsid w:val="00DA52D4"/>
    <w:rsid w:val="00DA54DC"/>
    <w:rsid w:val="00DA55AC"/>
    <w:rsid w:val="00DA59C4"/>
    <w:rsid w:val="00DA5F8F"/>
    <w:rsid w:val="00DA63A7"/>
    <w:rsid w:val="00DA6F19"/>
    <w:rsid w:val="00DA7ABC"/>
    <w:rsid w:val="00DA7BBA"/>
    <w:rsid w:val="00DB0138"/>
    <w:rsid w:val="00DB02A7"/>
    <w:rsid w:val="00DB059F"/>
    <w:rsid w:val="00DB1D82"/>
    <w:rsid w:val="00DB1E12"/>
    <w:rsid w:val="00DB2D7E"/>
    <w:rsid w:val="00DB3403"/>
    <w:rsid w:val="00DB366A"/>
    <w:rsid w:val="00DB375B"/>
    <w:rsid w:val="00DB574F"/>
    <w:rsid w:val="00DB5E84"/>
    <w:rsid w:val="00DB5FF7"/>
    <w:rsid w:val="00DB6035"/>
    <w:rsid w:val="00DB60DF"/>
    <w:rsid w:val="00DB6286"/>
    <w:rsid w:val="00DB62E3"/>
    <w:rsid w:val="00DB645F"/>
    <w:rsid w:val="00DB72BA"/>
    <w:rsid w:val="00DB76E9"/>
    <w:rsid w:val="00DB7910"/>
    <w:rsid w:val="00DB7B73"/>
    <w:rsid w:val="00DC015A"/>
    <w:rsid w:val="00DC0A67"/>
    <w:rsid w:val="00DC0D2B"/>
    <w:rsid w:val="00DC139D"/>
    <w:rsid w:val="00DC1D5E"/>
    <w:rsid w:val="00DC1F6E"/>
    <w:rsid w:val="00DC2313"/>
    <w:rsid w:val="00DC3949"/>
    <w:rsid w:val="00DC3DF0"/>
    <w:rsid w:val="00DC3FD5"/>
    <w:rsid w:val="00DC4A21"/>
    <w:rsid w:val="00DC5220"/>
    <w:rsid w:val="00DC553C"/>
    <w:rsid w:val="00DC67C5"/>
    <w:rsid w:val="00DC7389"/>
    <w:rsid w:val="00DC7806"/>
    <w:rsid w:val="00DC7910"/>
    <w:rsid w:val="00DD0D34"/>
    <w:rsid w:val="00DD0FCF"/>
    <w:rsid w:val="00DD12F0"/>
    <w:rsid w:val="00DD1C38"/>
    <w:rsid w:val="00DD2061"/>
    <w:rsid w:val="00DD3306"/>
    <w:rsid w:val="00DD39E6"/>
    <w:rsid w:val="00DD3D72"/>
    <w:rsid w:val="00DD4C5C"/>
    <w:rsid w:val="00DD571A"/>
    <w:rsid w:val="00DD6C7D"/>
    <w:rsid w:val="00DD77AC"/>
    <w:rsid w:val="00DD7DAB"/>
    <w:rsid w:val="00DE030A"/>
    <w:rsid w:val="00DE094B"/>
    <w:rsid w:val="00DE1A84"/>
    <w:rsid w:val="00DE1C78"/>
    <w:rsid w:val="00DE24CB"/>
    <w:rsid w:val="00DE2627"/>
    <w:rsid w:val="00DE2990"/>
    <w:rsid w:val="00DE2DC1"/>
    <w:rsid w:val="00DE2F21"/>
    <w:rsid w:val="00DE30A2"/>
    <w:rsid w:val="00DE3355"/>
    <w:rsid w:val="00DE376F"/>
    <w:rsid w:val="00DE47BA"/>
    <w:rsid w:val="00DE552E"/>
    <w:rsid w:val="00DE55A3"/>
    <w:rsid w:val="00DE55C3"/>
    <w:rsid w:val="00DE5C52"/>
    <w:rsid w:val="00DE6409"/>
    <w:rsid w:val="00DE6A94"/>
    <w:rsid w:val="00DE79BF"/>
    <w:rsid w:val="00DE7EFD"/>
    <w:rsid w:val="00DF0E71"/>
    <w:rsid w:val="00DF0FE2"/>
    <w:rsid w:val="00DF1B2D"/>
    <w:rsid w:val="00DF25EA"/>
    <w:rsid w:val="00DF28CD"/>
    <w:rsid w:val="00DF2A26"/>
    <w:rsid w:val="00DF2E9A"/>
    <w:rsid w:val="00DF30D3"/>
    <w:rsid w:val="00DF320D"/>
    <w:rsid w:val="00DF37B2"/>
    <w:rsid w:val="00DF39BB"/>
    <w:rsid w:val="00DF3B8B"/>
    <w:rsid w:val="00DF486F"/>
    <w:rsid w:val="00DF4989"/>
    <w:rsid w:val="00DF5481"/>
    <w:rsid w:val="00DF56C6"/>
    <w:rsid w:val="00DF5B5B"/>
    <w:rsid w:val="00DF5F11"/>
    <w:rsid w:val="00DF6118"/>
    <w:rsid w:val="00DF6E40"/>
    <w:rsid w:val="00DF7619"/>
    <w:rsid w:val="00E00B97"/>
    <w:rsid w:val="00E00F22"/>
    <w:rsid w:val="00E01040"/>
    <w:rsid w:val="00E01370"/>
    <w:rsid w:val="00E017B2"/>
    <w:rsid w:val="00E01D51"/>
    <w:rsid w:val="00E02C59"/>
    <w:rsid w:val="00E030DD"/>
    <w:rsid w:val="00E042D8"/>
    <w:rsid w:val="00E05202"/>
    <w:rsid w:val="00E05E3A"/>
    <w:rsid w:val="00E06C5B"/>
    <w:rsid w:val="00E070AC"/>
    <w:rsid w:val="00E074CA"/>
    <w:rsid w:val="00E07EE7"/>
    <w:rsid w:val="00E07F0D"/>
    <w:rsid w:val="00E101BE"/>
    <w:rsid w:val="00E108A0"/>
    <w:rsid w:val="00E1103B"/>
    <w:rsid w:val="00E11188"/>
    <w:rsid w:val="00E11916"/>
    <w:rsid w:val="00E11AF8"/>
    <w:rsid w:val="00E11F33"/>
    <w:rsid w:val="00E11F8D"/>
    <w:rsid w:val="00E122D3"/>
    <w:rsid w:val="00E12344"/>
    <w:rsid w:val="00E12BB0"/>
    <w:rsid w:val="00E134FE"/>
    <w:rsid w:val="00E13C71"/>
    <w:rsid w:val="00E1406D"/>
    <w:rsid w:val="00E1406E"/>
    <w:rsid w:val="00E14128"/>
    <w:rsid w:val="00E1463F"/>
    <w:rsid w:val="00E15461"/>
    <w:rsid w:val="00E15BF0"/>
    <w:rsid w:val="00E16324"/>
    <w:rsid w:val="00E16337"/>
    <w:rsid w:val="00E16E09"/>
    <w:rsid w:val="00E17273"/>
    <w:rsid w:val="00E172D1"/>
    <w:rsid w:val="00E17457"/>
    <w:rsid w:val="00E17544"/>
    <w:rsid w:val="00E17B44"/>
    <w:rsid w:val="00E17C58"/>
    <w:rsid w:val="00E21032"/>
    <w:rsid w:val="00E2167F"/>
    <w:rsid w:val="00E21FCE"/>
    <w:rsid w:val="00E229B9"/>
    <w:rsid w:val="00E22B73"/>
    <w:rsid w:val="00E22D3A"/>
    <w:rsid w:val="00E23675"/>
    <w:rsid w:val="00E23A9F"/>
    <w:rsid w:val="00E24356"/>
    <w:rsid w:val="00E246BC"/>
    <w:rsid w:val="00E247F0"/>
    <w:rsid w:val="00E24DCC"/>
    <w:rsid w:val="00E24EC8"/>
    <w:rsid w:val="00E250A4"/>
    <w:rsid w:val="00E25E58"/>
    <w:rsid w:val="00E276DC"/>
    <w:rsid w:val="00E2799C"/>
    <w:rsid w:val="00E27FEA"/>
    <w:rsid w:val="00E30425"/>
    <w:rsid w:val="00E30431"/>
    <w:rsid w:val="00E30950"/>
    <w:rsid w:val="00E309A9"/>
    <w:rsid w:val="00E31166"/>
    <w:rsid w:val="00E31F94"/>
    <w:rsid w:val="00E32238"/>
    <w:rsid w:val="00E32450"/>
    <w:rsid w:val="00E324E4"/>
    <w:rsid w:val="00E32D45"/>
    <w:rsid w:val="00E33580"/>
    <w:rsid w:val="00E33874"/>
    <w:rsid w:val="00E33A96"/>
    <w:rsid w:val="00E35031"/>
    <w:rsid w:val="00E351EB"/>
    <w:rsid w:val="00E35C23"/>
    <w:rsid w:val="00E35D0C"/>
    <w:rsid w:val="00E367AE"/>
    <w:rsid w:val="00E367EE"/>
    <w:rsid w:val="00E37A54"/>
    <w:rsid w:val="00E4049E"/>
    <w:rsid w:val="00E4086F"/>
    <w:rsid w:val="00E40998"/>
    <w:rsid w:val="00E4136D"/>
    <w:rsid w:val="00E41EAE"/>
    <w:rsid w:val="00E4293C"/>
    <w:rsid w:val="00E42B4E"/>
    <w:rsid w:val="00E43B3C"/>
    <w:rsid w:val="00E447BA"/>
    <w:rsid w:val="00E4537C"/>
    <w:rsid w:val="00E4545D"/>
    <w:rsid w:val="00E4580E"/>
    <w:rsid w:val="00E462E9"/>
    <w:rsid w:val="00E4695A"/>
    <w:rsid w:val="00E471D2"/>
    <w:rsid w:val="00E47474"/>
    <w:rsid w:val="00E47854"/>
    <w:rsid w:val="00E47C93"/>
    <w:rsid w:val="00E50188"/>
    <w:rsid w:val="00E505DF"/>
    <w:rsid w:val="00E506DB"/>
    <w:rsid w:val="00E50735"/>
    <w:rsid w:val="00E5089E"/>
    <w:rsid w:val="00E50DF2"/>
    <w:rsid w:val="00E5133A"/>
    <w:rsid w:val="00E513C1"/>
    <w:rsid w:val="00E515CB"/>
    <w:rsid w:val="00E51901"/>
    <w:rsid w:val="00E519B9"/>
    <w:rsid w:val="00E52260"/>
    <w:rsid w:val="00E53233"/>
    <w:rsid w:val="00E538A7"/>
    <w:rsid w:val="00E53B4A"/>
    <w:rsid w:val="00E53BCB"/>
    <w:rsid w:val="00E53DB9"/>
    <w:rsid w:val="00E54557"/>
    <w:rsid w:val="00E55800"/>
    <w:rsid w:val="00E55A7A"/>
    <w:rsid w:val="00E55C03"/>
    <w:rsid w:val="00E55FF8"/>
    <w:rsid w:val="00E565C4"/>
    <w:rsid w:val="00E56AF8"/>
    <w:rsid w:val="00E575B5"/>
    <w:rsid w:val="00E600B7"/>
    <w:rsid w:val="00E600D2"/>
    <w:rsid w:val="00E608FC"/>
    <w:rsid w:val="00E609CB"/>
    <w:rsid w:val="00E615F5"/>
    <w:rsid w:val="00E6259B"/>
    <w:rsid w:val="00E626A7"/>
    <w:rsid w:val="00E62F2D"/>
    <w:rsid w:val="00E630AF"/>
    <w:rsid w:val="00E631BB"/>
    <w:rsid w:val="00E639B6"/>
    <w:rsid w:val="00E6434B"/>
    <w:rsid w:val="00E6463D"/>
    <w:rsid w:val="00E651A1"/>
    <w:rsid w:val="00E6695C"/>
    <w:rsid w:val="00E66BEC"/>
    <w:rsid w:val="00E677E1"/>
    <w:rsid w:val="00E709AA"/>
    <w:rsid w:val="00E70F06"/>
    <w:rsid w:val="00E71640"/>
    <w:rsid w:val="00E71DDB"/>
    <w:rsid w:val="00E72ACA"/>
    <w:rsid w:val="00E72E9B"/>
    <w:rsid w:val="00E73873"/>
    <w:rsid w:val="00E73D33"/>
    <w:rsid w:val="00E744E1"/>
    <w:rsid w:val="00E74EF8"/>
    <w:rsid w:val="00E75001"/>
    <w:rsid w:val="00E75E25"/>
    <w:rsid w:val="00E76110"/>
    <w:rsid w:val="00E7642D"/>
    <w:rsid w:val="00E76AAC"/>
    <w:rsid w:val="00E76BA9"/>
    <w:rsid w:val="00E776AF"/>
    <w:rsid w:val="00E779A0"/>
    <w:rsid w:val="00E81044"/>
    <w:rsid w:val="00E814F4"/>
    <w:rsid w:val="00E81EF0"/>
    <w:rsid w:val="00E83112"/>
    <w:rsid w:val="00E83ACD"/>
    <w:rsid w:val="00E8415C"/>
    <w:rsid w:val="00E849DA"/>
    <w:rsid w:val="00E85017"/>
    <w:rsid w:val="00E85291"/>
    <w:rsid w:val="00E863FE"/>
    <w:rsid w:val="00E86445"/>
    <w:rsid w:val="00E8644C"/>
    <w:rsid w:val="00E86539"/>
    <w:rsid w:val="00E86755"/>
    <w:rsid w:val="00E86B67"/>
    <w:rsid w:val="00E878D7"/>
    <w:rsid w:val="00E87ADC"/>
    <w:rsid w:val="00E87B91"/>
    <w:rsid w:val="00E87E61"/>
    <w:rsid w:val="00E90382"/>
    <w:rsid w:val="00E911F2"/>
    <w:rsid w:val="00E91AC6"/>
    <w:rsid w:val="00E91D2E"/>
    <w:rsid w:val="00E91FD7"/>
    <w:rsid w:val="00E92A63"/>
    <w:rsid w:val="00E92BC7"/>
    <w:rsid w:val="00E940A7"/>
    <w:rsid w:val="00E943C9"/>
    <w:rsid w:val="00E9462E"/>
    <w:rsid w:val="00E94858"/>
    <w:rsid w:val="00E94EBF"/>
    <w:rsid w:val="00E95DB9"/>
    <w:rsid w:val="00E96BBD"/>
    <w:rsid w:val="00EA03B0"/>
    <w:rsid w:val="00EA03E9"/>
    <w:rsid w:val="00EA0689"/>
    <w:rsid w:val="00EA08BC"/>
    <w:rsid w:val="00EA1452"/>
    <w:rsid w:val="00EA1D39"/>
    <w:rsid w:val="00EA225D"/>
    <w:rsid w:val="00EA25FE"/>
    <w:rsid w:val="00EA359A"/>
    <w:rsid w:val="00EA43B1"/>
    <w:rsid w:val="00EA470E"/>
    <w:rsid w:val="00EA479A"/>
    <w:rsid w:val="00EA47A7"/>
    <w:rsid w:val="00EA48F3"/>
    <w:rsid w:val="00EA5279"/>
    <w:rsid w:val="00EA5631"/>
    <w:rsid w:val="00EA57EB"/>
    <w:rsid w:val="00EA5D44"/>
    <w:rsid w:val="00EA6336"/>
    <w:rsid w:val="00EA76A7"/>
    <w:rsid w:val="00EA77BD"/>
    <w:rsid w:val="00EA7D03"/>
    <w:rsid w:val="00EB01EB"/>
    <w:rsid w:val="00EB051E"/>
    <w:rsid w:val="00EB1689"/>
    <w:rsid w:val="00EB1939"/>
    <w:rsid w:val="00EB1AEF"/>
    <w:rsid w:val="00EB1DFE"/>
    <w:rsid w:val="00EB2263"/>
    <w:rsid w:val="00EB2985"/>
    <w:rsid w:val="00EB319D"/>
    <w:rsid w:val="00EB3226"/>
    <w:rsid w:val="00EB3490"/>
    <w:rsid w:val="00EB3DDD"/>
    <w:rsid w:val="00EB45BB"/>
    <w:rsid w:val="00EB56F6"/>
    <w:rsid w:val="00EB5978"/>
    <w:rsid w:val="00EB6814"/>
    <w:rsid w:val="00EB6F48"/>
    <w:rsid w:val="00EB7597"/>
    <w:rsid w:val="00EB7E9A"/>
    <w:rsid w:val="00EC04CD"/>
    <w:rsid w:val="00EC093B"/>
    <w:rsid w:val="00EC0946"/>
    <w:rsid w:val="00EC0E41"/>
    <w:rsid w:val="00EC1187"/>
    <w:rsid w:val="00EC1782"/>
    <w:rsid w:val="00EC201E"/>
    <w:rsid w:val="00EC213A"/>
    <w:rsid w:val="00EC3911"/>
    <w:rsid w:val="00EC3B5A"/>
    <w:rsid w:val="00EC4BBE"/>
    <w:rsid w:val="00EC5ACC"/>
    <w:rsid w:val="00EC6603"/>
    <w:rsid w:val="00EC6C80"/>
    <w:rsid w:val="00EC6F29"/>
    <w:rsid w:val="00EC6FD0"/>
    <w:rsid w:val="00EC7084"/>
    <w:rsid w:val="00EC71F2"/>
    <w:rsid w:val="00EC7744"/>
    <w:rsid w:val="00EC7FE8"/>
    <w:rsid w:val="00ED0297"/>
    <w:rsid w:val="00ED0421"/>
    <w:rsid w:val="00ED0452"/>
    <w:rsid w:val="00ED0A13"/>
    <w:rsid w:val="00ED0DAD"/>
    <w:rsid w:val="00ED0F46"/>
    <w:rsid w:val="00ED1082"/>
    <w:rsid w:val="00ED1311"/>
    <w:rsid w:val="00ED2373"/>
    <w:rsid w:val="00ED29E5"/>
    <w:rsid w:val="00ED2ACB"/>
    <w:rsid w:val="00ED3C89"/>
    <w:rsid w:val="00ED43EF"/>
    <w:rsid w:val="00ED453C"/>
    <w:rsid w:val="00ED4CAA"/>
    <w:rsid w:val="00ED5865"/>
    <w:rsid w:val="00ED5D30"/>
    <w:rsid w:val="00ED5D74"/>
    <w:rsid w:val="00ED7481"/>
    <w:rsid w:val="00ED752F"/>
    <w:rsid w:val="00EE006D"/>
    <w:rsid w:val="00EE0542"/>
    <w:rsid w:val="00EE0B60"/>
    <w:rsid w:val="00EE140A"/>
    <w:rsid w:val="00EE1926"/>
    <w:rsid w:val="00EE1A11"/>
    <w:rsid w:val="00EE2512"/>
    <w:rsid w:val="00EE27D3"/>
    <w:rsid w:val="00EE3AC8"/>
    <w:rsid w:val="00EE3E8A"/>
    <w:rsid w:val="00EE4971"/>
    <w:rsid w:val="00EE5296"/>
    <w:rsid w:val="00EE5336"/>
    <w:rsid w:val="00EE5CBB"/>
    <w:rsid w:val="00EE5E89"/>
    <w:rsid w:val="00EE61FE"/>
    <w:rsid w:val="00EE651C"/>
    <w:rsid w:val="00EE6901"/>
    <w:rsid w:val="00EE6FE5"/>
    <w:rsid w:val="00EE7522"/>
    <w:rsid w:val="00EF072A"/>
    <w:rsid w:val="00EF0C0E"/>
    <w:rsid w:val="00EF1067"/>
    <w:rsid w:val="00EF14A4"/>
    <w:rsid w:val="00EF1610"/>
    <w:rsid w:val="00EF3035"/>
    <w:rsid w:val="00EF3896"/>
    <w:rsid w:val="00EF3B73"/>
    <w:rsid w:val="00EF44ED"/>
    <w:rsid w:val="00EF47BD"/>
    <w:rsid w:val="00EF4C9E"/>
    <w:rsid w:val="00EF502E"/>
    <w:rsid w:val="00EF5B16"/>
    <w:rsid w:val="00EF5E6A"/>
    <w:rsid w:val="00EF5F50"/>
    <w:rsid w:val="00EF5FCA"/>
    <w:rsid w:val="00EF6373"/>
    <w:rsid w:val="00EF6A2D"/>
    <w:rsid w:val="00EF6B7C"/>
    <w:rsid w:val="00EF6D5B"/>
    <w:rsid w:val="00EF6E16"/>
    <w:rsid w:val="00EF6ECA"/>
    <w:rsid w:val="00EF6FA3"/>
    <w:rsid w:val="00EF7357"/>
    <w:rsid w:val="00EF7BC2"/>
    <w:rsid w:val="00EF7ECE"/>
    <w:rsid w:val="00EF7FFA"/>
    <w:rsid w:val="00F000A9"/>
    <w:rsid w:val="00F00438"/>
    <w:rsid w:val="00F00468"/>
    <w:rsid w:val="00F005FF"/>
    <w:rsid w:val="00F00A60"/>
    <w:rsid w:val="00F0198D"/>
    <w:rsid w:val="00F024E1"/>
    <w:rsid w:val="00F035CF"/>
    <w:rsid w:val="00F03B05"/>
    <w:rsid w:val="00F04138"/>
    <w:rsid w:val="00F04548"/>
    <w:rsid w:val="00F0464E"/>
    <w:rsid w:val="00F052AB"/>
    <w:rsid w:val="00F05606"/>
    <w:rsid w:val="00F05BBA"/>
    <w:rsid w:val="00F06302"/>
    <w:rsid w:val="00F0671F"/>
    <w:rsid w:val="00F06C10"/>
    <w:rsid w:val="00F06F06"/>
    <w:rsid w:val="00F0771E"/>
    <w:rsid w:val="00F07A91"/>
    <w:rsid w:val="00F07E80"/>
    <w:rsid w:val="00F07FA9"/>
    <w:rsid w:val="00F1096F"/>
    <w:rsid w:val="00F116B7"/>
    <w:rsid w:val="00F12589"/>
    <w:rsid w:val="00F12595"/>
    <w:rsid w:val="00F12655"/>
    <w:rsid w:val="00F126C3"/>
    <w:rsid w:val="00F1327A"/>
    <w:rsid w:val="00F134D9"/>
    <w:rsid w:val="00F137AE"/>
    <w:rsid w:val="00F1403D"/>
    <w:rsid w:val="00F1463F"/>
    <w:rsid w:val="00F14988"/>
    <w:rsid w:val="00F15423"/>
    <w:rsid w:val="00F156AC"/>
    <w:rsid w:val="00F15F20"/>
    <w:rsid w:val="00F16A62"/>
    <w:rsid w:val="00F176C9"/>
    <w:rsid w:val="00F17A56"/>
    <w:rsid w:val="00F17DFB"/>
    <w:rsid w:val="00F204B8"/>
    <w:rsid w:val="00F2079F"/>
    <w:rsid w:val="00F20DEB"/>
    <w:rsid w:val="00F20E0B"/>
    <w:rsid w:val="00F210B6"/>
    <w:rsid w:val="00F21302"/>
    <w:rsid w:val="00F213F2"/>
    <w:rsid w:val="00F214CF"/>
    <w:rsid w:val="00F22062"/>
    <w:rsid w:val="00F22486"/>
    <w:rsid w:val="00F2282F"/>
    <w:rsid w:val="00F22FF1"/>
    <w:rsid w:val="00F232FB"/>
    <w:rsid w:val="00F2340E"/>
    <w:rsid w:val="00F2348B"/>
    <w:rsid w:val="00F234FD"/>
    <w:rsid w:val="00F23530"/>
    <w:rsid w:val="00F23C33"/>
    <w:rsid w:val="00F254E3"/>
    <w:rsid w:val="00F25713"/>
    <w:rsid w:val="00F26B57"/>
    <w:rsid w:val="00F27915"/>
    <w:rsid w:val="00F30ACE"/>
    <w:rsid w:val="00F31622"/>
    <w:rsid w:val="00F31779"/>
    <w:rsid w:val="00F31B58"/>
    <w:rsid w:val="00F31D74"/>
    <w:rsid w:val="00F31EA1"/>
    <w:rsid w:val="00F321DE"/>
    <w:rsid w:val="00F323AE"/>
    <w:rsid w:val="00F32F9A"/>
    <w:rsid w:val="00F33777"/>
    <w:rsid w:val="00F346FC"/>
    <w:rsid w:val="00F35E40"/>
    <w:rsid w:val="00F35FAD"/>
    <w:rsid w:val="00F36794"/>
    <w:rsid w:val="00F37251"/>
    <w:rsid w:val="00F37635"/>
    <w:rsid w:val="00F40648"/>
    <w:rsid w:val="00F406B3"/>
    <w:rsid w:val="00F41331"/>
    <w:rsid w:val="00F4177E"/>
    <w:rsid w:val="00F41ECF"/>
    <w:rsid w:val="00F42615"/>
    <w:rsid w:val="00F4288E"/>
    <w:rsid w:val="00F42C04"/>
    <w:rsid w:val="00F4380C"/>
    <w:rsid w:val="00F446F1"/>
    <w:rsid w:val="00F4572D"/>
    <w:rsid w:val="00F4712B"/>
    <w:rsid w:val="00F47861"/>
    <w:rsid w:val="00F47A53"/>
    <w:rsid w:val="00F47CA9"/>
    <w:rsid w:val="00F47DA2"/>
    <w:rsid w:val="00F5016F"/>
    <w:rsid w:val="00F50252"/>
    <w:rsid w:val="00F50759"/>
    <w:rsid w:val="00F51387"/>
    <w:rsid w:val="00F5154E"/>
    <w:rsid w:val="00F519FC"/>
    <w:rsid w:val="00F51D23"/>
    <w:rsid w:val="00F5239E"/>
    <w:rsid w:val="00F5240A"/>
    <w:rsid w:val="00F538DE"/>
    <w:rsid w:val="00F54756"/>
    <w:rsid w:val="00F547FF"/>
    <w:rsid w:val="00F54C7F"/>
    <w:rsid w:val="00F55639"/>
    <w:rsid w:val="00F559A8"/>
    <w:rsid w:val="00F55B44"/>
    <w:rsid w:val="00F5605C"/>
    <w:rsid w:val="00F56084"/>
    <w:rsid w:val="00F56126"/>
    <w:rsid w:val="00F57248"/>
    <w:rsid w:val="00F57612"/>
    <w:rsid w:val="00F5766B"/>
    <w:rsid w:val="00F5781D"/>
    <w:rsid w:val="00F61DB9"/>
    <w:rsid w:val="00F6211A"/>
    <w:rsid w:val="00F6239D"/>
    <w:rsid w:val="00F63EF6"/>
    <w:rsid w:val="00F640F7"/>
    <w:rsid w:val="00F6468D"/>
    <w:rsid w:val="00F64756"/>
    <w:rsid w:val="00F65093"/>
    <w:rsid w:val="00F65BD6"/>
    <w:rsid w:val="00F65D47"/>
    <w:rsid w:val="00F669D8"/>
    <w:rsid w:val="00F66A2F"/>
    <w:rsid w:val="00F6745A"/>
    <w:rsid w:val="00F67B4C"/>
    <w:rsid w:val="00F67E15"/>
    <w:rsid w:val="00F715D2"/>
    <w:rsid w:val="00F7182D"/>
    <w:rsid w:val="00F72515"/>
    <w:rsid w:val="00F72538"/>
    <w:rsid w:val="00F7274F"/>
    <w:rsid w:val="00F7365C"/>
    <w:rsid w:val="00F73939"/>
    <w:rsid w:val="00F73D55"/>
    <w:rsid w:val="00F742CB"/>
    <w:rsid w:val="00F74A22"/>
    <w:rsid w:val="00F7500F"/>
    <w:rsid w:val="00F76754"/>
    <w:rsid w:val="00F76DDD"/>
    <w:rsid w:val="00F76FA8"/>
    <w:rsid w:val="00F77655"/>
    <w:rsid w:val="00F80043"/>
    <w:rsid w:val="00F823DE"/>
    <w:rsid w:val="00F82671"/>
    <w:rsid w:val="00F8312A"/>
    <w:rsid w:val="00F83A52"/>
    <w:rsid w:val="00F83E93"/>
    <w:rsid w:val="00F840F6"/>
    <w:rsid w:val="00F85425"/>
    <w:rsid w:val="00F85692"/>
    <w:rsid w:val="00F856DB"/>
    <w:rsid w:val="00F869B3"/>
    <w:rsid w:val="00F86F85"/>
    <w:rsid w:val="00F878ED"/>
    <w:rsid w:val="00F87BAB"/>
    <w:rsid w:val="00F90E5E"/>
    <w:rsid w:val="00F91D8F"/>
    <w:rsid w:val="00F93110"/>
    <w:rsid w:val="00F93F08"/>
    <w:rsid w:val="00F94CED"/>
    <w:rsid w:val="00F94E19"/>
    <w:rsid w:val="00F9513D"/>
    <w:rsid w:val="00F958C3"/>
    <w:rsid w:val="00F9653B"/>
    <w:rsid w:val="00F967FF"/>
    <w:rsid w:val="00F969BD"/>
    <w:rsid w:val="00F96DFB"/>
    <w:rsid w:val="00F9783D"/>
    <w:rsid w:val="00FA04E2"/>
    <w:rsid w:val="00FA2CEE"/>
    <w:rsid w:val="00FA2DC8"/>
    <w:rsid w:val="00FA318C"/>
    <w:rsid w:val="00FA356E"/>
    <w:rsid w:val="00FA37CD"/>
    <w:rsid w:val="00FA4840"/>
    <w:rsid w:val="00FA4F38"/>
    <w:rsid w:val="00FA50C8"/>
    <w:rsid w:val="00FA620B"/>
    <w:rsid w:val="00FA68A5"/>
    <w:rsid w:val="00FA73DA"/>
    <w:rsid w:val="00FA75DB"/>
    <w:rsid w:val="00FA7915"/>
    <w:rsid w:val="00FA7994"/>
    <w:rsid w:val="00FB1182"/>
    <w:rsid w:val="00FB1E48"/>
    <w:rsid w:val="00FB2408"/>
    <w:rsid w:val="00FB2430"/>
    <w:rsid w:val="00FB2C23"/>
    <w:rsid w:val="00FB38E8"/>
    <w:rsid w:val="00FB3988"/>
    <w:rsid w:val="00FB3FF3"/>
    <w:rsid w:val="00FB4878"/>
    <w:rsid w:val="00FB49A2"/>
    <w:rsid w:val="00FB4CA7"/>
    <w:rsid w:val="00FB4D01"/>
    <w:rsid w:val="00FB57E2"/>
    <w:rsid w:val="00FB5F6E"/>
    <w:rsid w:val="00FB6600"/>
    <w:rsid w:val="00FB67AD"/>
    <w:rsid w:val="00FB6F64"/>
    <w:rsid w:val="00FB6F92"/>
    <w:rsid w:val="00FB73A0"/>
    <w:rsid w:val="00FB754B"/>
    <w:rsid w:val="00FB7A68"/>
    <w:rsid w:val="00FC026E"/>
    <w:rsid w:val="00FC0656"/>
    <w:rsid w:val="00FC08AA"/>
    <w:rsid w:val="00FC105E"/>
    <w:rsid w:val="00FC117F"/>
    <w:rsid w:val="00FC1894"/>
    <w:rsid w:val="00FC1F7B"/>
    <w:rsid w:val="00FC384E"/>
    <w:rsid w:val="00FC41A4"/>
    <w:rsid w:val="00FC46B6"/>
    <w:rsid w:val="00FC4F00"/>
    <w:rsid w:val="00FC5124"/>
    <w:rsid w:val="00FC5A5B"/>
    <w:rsid w:val="00FC6210"/>
    <w:rsid w:val="00FC7600"/>
    <w:rsid w:val="00FC7C6C"/>
    <w:rsid w:val="00FD0515"/>
    <w:rsid w:val="00FD0B62"/>
    <w:rsid w:val="00FD0E1A"/>
    <w:rsid w:val="00FD0EDA"/>
    <w:rsid w:val="00FD1248"/>
    <w:rsid w:val="00FD1AB6"/>
    <w:rsid w:val="00FD1C06"/>
    <w:rsid w:val="00FD1EB7"/>
    <w:rsid w:val="00FD1F57"/>
    <w:rsid w:val="00FD2173"/>
    <w:rsid w:val="00FD2581"/>
    <w:rsid w:val="00FD27EF"/>
    <w:rsid w:val="00FD281F"/>
    <w:rsid w:val="00FD2BB1"/>
    <w:rsid w:val="00FD2FED"/>
    <w:rsid w:val="00FD39B7"/>
    <w:rsid w:val="00FD3A8D"/>
    <w:rsid w:val="00FD3B55"/>
    <w:rsid w:val="00FD4605"/>
    <w:rsid w:val="00FD4731"/>
    <w:rsid w:val="00FD515D"/>
    <w:rsid w:val="00FD5435"/>
    <w:rsid w:val="00FD5F71"/>
    <w:rsid w:val="00FD5F9E"/>
    <w:rsid w:val="00FD5FCA"/>
    <w:rsid w:val="00FD63EE"/>
    <w:rsid w:val="00FD64FD"/>
    <w:rsid w:val="00FD6714"/>
    <w:rsid w:val="00FD6721"/>
    <w:rsid w:val="00FD685E"/>
    <w:rsid w:val="00FD74E6"/>
    <w:rsid w:val="00FD7DBD"/>
    <w:rsid w:val="00FD7F77"/>
    <w:rsid w:val="00FE0870"/>
    <w:rsid w:val="00FE087D"/>
    <w:rsid w:val="00FE0CC2"/>
    <w:rsid w:val="00FE0D9C"/>
    <w:rsid w:val="00FE0F18"/>
    <w:rsid w:val="00FE101F"/>
    <w:rsid w:val="00FE18B8"/>
    <w:rsid w:val="00FE204B"/>
    <w:rsid w:val="00FE232B"/>
    <w:rsid w:val="00FE2481"/>
    <w:rsid w:val="00FE28D6"/>
    <w:rsid w:val="00FE2D4F"/>
    <w:rsid w:val="00FE3239"/>
    <w:rsid w:val="00FE4A49"/>
    <w:rsid w:val="00FE55E6"/>
    <w:rsid w:val="00FE59DE"/>
    <w:rsid w:val="00FE5A39"/>
    <w:rsid w:val="00FE5D6A"/>
    <w:rsid w:val="00FE6045"/>
    <w:rsid w:val="00FE60A5"/>
    <w:rsid w:val="00FE66C1"/>
    <w:rsid w:val="00FE6D39"/>
    <w:rsid w:val="00FE7266"/>
    <w:rsid w:val="00FE7B82"/>
    <w:rsid w:val="00FF00A9"/>
    <w:rsid w:val="00FF039C"/>
    <w:rsid w:val="00FF07C7"/>
    <w:rsid w:val="00FF0AB0"/>
    <w:rsid w:val="00FF1171"/>
    <w:rsid w:val="00FF1622"/>
    <w:rsid w:val="00FF16AF"/>
    <w:rsid w:val="00FF2690"/>
    <w:rsid w:val="00FF2693"/>
    <w:rsid w:val="00FF28AC"/>
    <w:rsid w:val="00FF2AB3"/>
    <w:rsid w:val="00FF3473"/>
    <w:rsid w:val="00FF3C6F"/>
    <w:rsid w:val="00FF3F0E"/>
    <w:rsid w:val="00FF4EEC"/>
    <w:rsid w:val="00FF50D1"/>
    <w:rsid w:val="00FF5B56"/>
    <w:rsid w:val="00FF5C1C"/>
    <w:rsid w:val="00FF7473"/>
    <w:rsid w:val="00FF7F62"/>
    <w:rsid w:val="00FF7F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03032E"/>
  <w15:docId w15:val="{5A261C85-01E6-462F-AD82-CAC32A21F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nhideWhenUsed="1" w:qFormat="1"/>
    <w:lsdException w:name="List Number 3" w:semiHidden="1" w:unhideWhenUsed="1"/>
    <w:lsdException w:name="List Number 4" w:semiHidden="1"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4227A"/>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link w:val="Heading2Char"/>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link w:val="Heading3Char"/>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link w:val="Heading4Char"/>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5D60C2"/>
    <w:pPr>
      <w:spacing w:before="15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5D60C2"/>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Tablelistbullet2"/>
    <w:rsid w:val="00BE0117"/>
    <w:pPr>
      <w:ind w:left="754" w:hanging="357"/>
    </w:pPr>
    <w:rPr>
      <w:sz w:val="22"/>
      <w:szCs w:val="22"/>
    </w:rPr>
  </w:style>
  <w:style w:type="paragraph" w:styleId="ListNumber2">
    <w:name w:val="List Number 2"/>
    <w:basedOn w:val="ListBullet"/>
    <w:link w:val="ListNumber2Char"/>
    <w:qFormat/>
    <w:rsid w:val="00BA70AB"/>
    <w:pPr>
      <w:numPr>
        <w:numId w:val="19"/>
      </w:numPr>
    </w:pPr>
  </w:style>
  <w:style w:type="paragraph" w:styleId="ListBullet">
    <w:name w:val="List Bullet"/>
    <w:basedOn w:val="Normal"/>
    <w:link w:val="ListBulletChar"/>
    <w:qFormat/>
    <w:rsid w:val="00BA70AB"/>
    <w:pPr>
      <w:numPr>
        <w:numId w:val="17"/>
      </w:numPr>
      <w:tabs>
        <w:tab w:val="left" w:pos="340"/>
        <w:tab w:val="left" w:pos="680"/>
      </w:tabs>
      <w:spacing w:before="60" w:after="60"/>
    </w:pPr>
  </w:style>
  <w:style w:type="paragraph" w:styleId="ListParagraph">
    <w:name w:val="List Paragraph"/>
    <w:aliases w:val="TMS Bullets,TMS Bullet,Bullets Level 1,Bullet point,Bullets,CV text,Dot pt,F5 List Paragraph,FooterText,L,List Paragraph1,List Paragraph11,List Paragraph111,List Paragraph2,Medium Grid 1 - Accent 21,NAST Quote,NFP GP Bulleted List,列"/>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5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32596A"/>
    <w:pPr>
      <w:spacing w:before="60" w:after="60"/>
    </w:pPr>
    <w:rPr>
      <w:rFonts w:ascii="Arial" w:hAnsi="Arial"/>
      <w:color w:val="000000" w:themeColor="text1"/>
      <w:sz w:val="21"/>
      <w:szCs w:val="21"/>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link w:val="TablelistbulletChar"/>
    <w:qFormat/>
    <w:rsid w:val="00375DF6"/>
    <w:pPr>
      <w:numPr>
        <w:numId w:val="55"/>
      </w:numPr>
      <w:ind w:right="57"/>
    </w:pPr>
    <w:rPr>
      <w:rFonts w:eastAsiaTheme="minorHAnsi" w:cstheme="minorBidi"/>
      <w:szCs w:val="20"/>
      <w:lang w:val="en-US"/>
    </w:rPr>
  </w:style>
  <w:style w:type="paragraph" w:customStyle="1" w:styleId="Tablelistnumber">
    <w:name w:val="Table list number"/>
    <w:basedOn w:val="Tabletextleft"/>
    <w:qFormat/>
    <w:rsid w:val="00DD2061"/>
    <w:pPr>
      <w:numPr>
        <w:numId w:val="5"/>
      </w:numPr>
    </w:pPr>
    <w:rPr>
      <w:bCs/>
      <w14:numSpacing w14:val="proportional"/>
    </w:rPr>
  </w:style>
  <w:style w:type="paragraph" w:customStyle="1" w:styleId="TableHeader">
    <w:name w:val="Table Header"/>
    <w:basedOn w:val="Normal"/>
    <w:next w:val="Tabletextleft"/>
    <w:link w:val="TableHeaderChar"/>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aliases w:val="ACMA Footnote Text"/>
    <w:link w:val="FootnoteTextChar"/>
    <w:uiPriority w:val="99"/>
    <w:qFormat/>
    <w:rsid w:val="00B7222E"/>
    <w:rPr>
      <w:rFonts w:ascii="Arial" w:hAnsi="Arial"/>
      <w:lang w:eastAsia="en-US"/>
    </w:rPr>
  </w:style>
  <w:style w:type="character" w:customStyle="1" w:styleId="FootnoteTextChar">
    <w:name w:val="Footnote Text Char"/>
    <w:aliases w:val="ACMA Footnote Text Char"/>
    <w:basedOn w:val="DefaultParagraphFont"/>
    <w:link w:val="FootnoteText"/>
    <w:uiPriority w:val="99"/>
    <w:rsid w:val="00B7222E"/>
    <w:rPr>
      <w:rFonts w:ascii="Arial" w:hAnsi="Arial"/>
      <w:lang w:eastAsia="en-US"/>
    </w:rPr>
  </w:style>
  <w:style w:type="paragraph" w:styleId="Caption">
    <w:name w:val="caption"/>
    <w:basedOn w:val="Normal"/>
    <w:next w:val="Normal"/>
    <w:uiPriority w:val="99"/>
    <w:unhideWhenUsed/>
    <w:qFormat/>
    <w:rsid w:val="001048FB"/>
    <w:pPr>
      <w:spacing w:after="200"/>
    </w:pPr>
    <w:rPr>
      <w:b/>
      <w:bCs/>
      <w:color w:val="auto"/>
      <w:szCs w:val="22"/>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aliases w:val="Body Text MFAT"/>
    <w:basedOn w:val="Normal"/>
    <w:link w:val="BodyTextChar"/>
    <w:unhideWhenUsed/>
    <w:qFormat/>
    <w:rsid w:val="00B94828"/>
  </w:style>
  <w:style w:type="character" w:customStyle="1" w:styleId="BodyTextChar">
    <w:name w:val="Body Text Char"/>
    <w:aliases w:val="Body Text MFAT Char"/>
    <w:basedOn w:val="DefaultParagraphFont"/>
    <w:link w:val="BodyText"/>
    <w:uiPriority w:val="99"/>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styleId="CommentReference">
    <w:name w:val="annotation reference"/>
    <w:basedOn w:val="DefaultParagraphFont"/>
    <w:uiPriority w:val="99"/>
    <w:semiHidden/>
    <w:unhideWhenUsed/>
    <w:rsid w:val="00471BF3"/>
    <w:rPr>
      <w:sz w:val="16"/>
      <w:szCs w:val="16"/>
    </w:rPr>
  </w:style>
  <w:style w:type="paragraph" w:styleId="CommentText">
    <w:name w:val="annotation text"/>
    <w:basedOn w:val="Normal"/>
    <w:link w:val="CommentTextChar"/>
    <w:uiPriority w:val="99"/>
    <w:unhideWhenUsed/>
    <w:rsid w:val="00471BF3"/>
    <w:pPr>
      <w:spacing w:line="240" w:lineRule="auto"/>
    </w:pPr>
    <w:rPr>
      <w:sz w:val="20"/>
      <w:szCs w:val="20"/>
    </w:rPr>
  </w:style>
  <w:style w:type="character" w:customStyle="1" w:styleId="CommentTextChar">
    <w:name w:val="Comment Text Char"/>
    <w:basedOn w:val="DefaultParagraphFont"/>
    <w:link w:val="CommentText"/>
    <w:uiPriority w:val="99"/>
    <w:rsid w:val="00471BF3"/>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471BF3"/>
    <w:rPr>
      <w:b/>
      <w:bCs/>
    </w:rPr>
  </w:style>
  <w:style w:type="character" w:customStyle="1" w:styleId="CommentSubjectChar">
    <w:name w:val="Comment Subject Char"/>
    <w:basedOn w:val="CommentTextChar"/>
    <w:link w:val="CommentSubject"/>
    <w:semiHidden/>
    <w:rsid w:val="00471BF3"/>
    <w:rPr>
      <w:rFonts w:ascii="Arial" w:hAnsi="Arial"/>
      <w:b/>
      <w:bCs/>
      <w:color w:val="000000" w:themeColor="text1"/>
      <w:lang w:eastAsia="en-US"/>
    </w:rPr>
  </w:style>
  <w:style w:type="character" w:styleId="UnresolvedMention">
    <w:name w:val="Unresolved Mention"/>
    <w:basedOn w:val="DefaultParagraphFont"/>
    <w:uiPriority w:val="99"/>
    <w:semiHidden/>
    <w:unhideWhenUsed/>
    <w:rsid w:val="00A31A12"/>
    <w:rPr>
      <w:color w:val="605E5C"/>
      <w:shd w:val="clear" w:color="auto" w:fill="E1DFDD"/>
    </w:rPr>
  </w:style>
  <w:style w:type="paragraph" w:customStyle="1" w:styleId="Tablelistnumber2">
    <w:name w:val="Table list number 2"/>
    <w:basedOn w:val="ListNumber2"/>
    <w:link w:val="Tablelistnumber2Char"/>
    <w:qFormat/>
    <w:rsid w:val="004A3544"/>
    <w:rPr>
      <w:sz w:val="21"/>
      <w:szCs w:val="21"/>
    </w:rPr>
  </w:style>
  <w:style w:type="paragraph" w:styleId="TOCHeading">
    <w:name w:val="TOC Heading"/>
    <w:basedOn w:val="Heading1"/>
    <w:next w:val="Normal"/>
    <w:uiPriority w:val="39"/>
    <w:unhideWhenUsed/>
    <w:qFormat/>
    <w:rsid w:val="000F3C3A"/>
    <w:pPr>
      <w:keepLines/>
      <w:spacing w:after="0" w:line="259" w:lineRule="auto"/>
      <w:outlineLvl w:val="9"/>
    </w:pPr>
    <w:rPr>
      <w:rFonts w:eastAsiaTheme="majorEastAsia" w:cstheme="majorBidi"/>
      <w:bCs w:val="0"/>
      <w:color w:val="2F3757" w:themeColor="accent1" w:themeShade="BF"/>
      <w:kern w:val="0"/>
      <w:szCs w:val="32"/>
      <w:lang w:val="en-US"/>
    </w:rPr>
  </w:style>
  <w:style w:type="character" w:customStyle="1" w:styleId="ListBulletChar">
    <w:name w:val="List Bullet Char"/>
    <w:basedOn w:val="DefaultParagraphFont"/>
    <w:link w:val="ListBullet"/>
    <w:rsid w:val="004A3544"/>
    <w:rPr>
      <w:rFonts w:ascii="Arial" w:hAnsi="Arial"/>
      <w:color w:val="000000" w:themeColor="text1"/>
      <w:sz w:val="22"/>
      <w:szCs w:val="24"/>
      <w:lang w:eastAsia="en-US"/>
    </w:rPr>
  </w:style>
  <w:style w:type="character" w:customStyle="1" w:styleId="ListNumber2Char">
    <w:name w:val="List Number 2 Char"/>
    <w:basedOn w:val="ListBulletChar"/>
    <w:link w:val="ListNumber2"/>
    <w:rsid w:val="004A3544"/>
    <w:rPr>
      <w:rFonts w:ascii="Arial" w:hAnsi="Arial"/>
      <w:color w:val="000000" w:themeColor="text1"/>
      <w:sz w:val="22"/>
      <w:szCs w:val="24"/>
      <w:lang w:eastAsia="en-US"/>
    </w:rPr>
  </w:style>
  <w:style w:type="character" w:customStyle="1" w:styleId="Tablelistnumber2Char">
    <w:name w:val="Table list number 2 Char"/>
    <w:basedOn w:val="ListNumber2Char"/>
    <w:link w:val="Tablelistnumber2"/>
    <w:rsid w:val="004A3544"/>
    <w:rPr>
      <w:rFonts w:ascii="Arial" w:hAnsi="Arial"/>
      <w:color w:val="000000" w:themeColor="text1"/>
      <w:sz w:val="21"/>
      <w:szCs w:val="21"/>
      <w:lang w:eastAsia="en-US"/>
    </w:rPr>
  </w:style>
  <w:style w:type="paragraph" w:styleId="TOC1">
    <w:name w:val="toc 1"/>
    <w:basedOn w:val="Normal"/>
    <w:next w:val="Normal"/>
    <w:autoRedefine/>
    <w:uiPriority w:val="39"/>
    <w:unhideWhenUsed/>
    <w:rsid w:val="007119A0"/>
    <w:pPr>
      <w:tabs>
        <w:tab w:val="left" w:pos="440"/>
        <w:tab w:val="right" w:leader="dot" w:pos="9060"/>
      </w:tabs>
      <w:spacing w:after="100"/>
    </w:pPr>
  </w:style>
  <w:style w:type="paragraph" w:styleId="TOC2">
    <w:name w:val="toc 2"/>
    <w:basedOn w:val="Normal"/>
    <w:next w:val="Normal"/>
    <w:autoRedefine/>
    <w:uiPriority w:val="39"/>
    <w:unhideWhenUsed/>
    <w:rsid w:val="004D34F0"/>
    <w:pPr>
      <w:tabs>
        <w:tab w:val="left" w:pos="880"/>
        <w:tab w:val="right" w:leader="dot" w:pos="9060"/>
      </w:tabs>
      <w:spacing w:after="100"/>
      <w:ind w:left="220"/>
    </w:pPr>
  </w:style>
  <w:style w:type="paragraph" w:styleId="TOC3">
    <w:name w:val="toc 3"/>
    <w:basedOn w:val="Normal"/>
    <w:next w:val="Normal"/>
    <w:autoRedefine/>
    <w:uiPriority w:val="39"/>
    <w:unhideWhenUsed/>
    <w:rsid w:val="00171216"/>
    <w:pPr>
      <w:tabs>
        <w:tab w:val="left" w:pos="1320"/>
        <w:tab w:val="right" w:leader="dot" w:pos="9060"/>
      </w:tabs>
      <w:spacing w:after="100"/>
      <w:ind w:left="440"/>
    </w:pPr>
    <w:rPr>
      <w:sz w:val="20"/>
    </w:rPr>
  </w:style>
  <w:style w:type="paragraph" w:customStyle="1" w:styleId="Body">
    <w:name w:val="Body"/>
    <w:basedOn w:val="Normal"/>
    <w:link w:val="BodyChar"/>
    <w:qFormat/>
    <w:rsid w:val="001E64DE"/>
    <w:pPr>
      <w:spacing w:line="240" w:lineRule="auto"/>
      <w:jc w:val="both"/>
    </w:pPr>
    <w:rPr>
      <w:rFonts w:ascii="Cambria" w:eastAsiaTheme="minorHAnsi" w:hAnsi="Cambria" w:cstheme="minorHAnsi"/>
      <w:color w:val="auto"/>
      <w:szCs w:val="22"/>
      <w:lang w:val="en-NZ" w:eastAsia="en-NZ"/>
    </w:rPr>
  </w:style>
  <w:style w:type="character" w:customStyle="1" w:styleId="BodyChar">
    <w:name w:val="Body Char"/>
    <w:basedOn w:val="DefaultParagraphFont"/>
    <w:link w:val="Body"/>
    <w:rsid w:val="001E64DE"/>
    <w:rPr>
      <w:rFonts w:ascii="Cambria" w:eastAsiaTheme="minorHAnsi" w:hAnsi="Cambria" w:cstheme="minorHAnsi"/>
      <w:sz w:val="22"/>
      <w:szCs w:val="22"/>
      <w:lang w:val="en-NZ" w:eastAsia="en-NZ"/>
    </w:rPr>
  </w:style>
  <w:style w:type="character" w:styleId="FollowedHyperlink">
    <w:name w:val="FollowedHyperlink"/>
    <w:basedOn w:val="DefaultParagraphFont"/>
    <w:semiHidden/>
    <w:unhideWhenUsed/>
    <w:rsid w:val="00D7630A"/>
    <w:rPr>
      <w:color w:val="800080" w:themeColor="followedHyperlink"/>
      <w:u w:val="single"/>
    </w:rPr>
  </w:style>
  <w:style w:type="paragraph" w:customStyle="1" w:styleId="NumberedHeading1">
    <w:name w:val="Numbered Heading 1"/>
    <w:basedOn w:val="Heading1"/>
    <w:link w:val="NumberedHeading1Char"/>
    <w:uiPriority w:val="2"/>
    <w:qFormat/>
    <w:rsid w:val="007041B3"/>
    <w:pPr>
      <w:numPr>
        <w:numId w:val="56"/>
      </w:numPr>
    </w:pPr>
  </w:style>
  <w:style w:type="paragraph" w:customStyle="1" w:styleId="NumberedHeading2">
    <w:name w:val="Numbered Heading 2"/>
    <w:basedOn w:val="Heading2"/>
    <w:link w:val="NumberedHeading2Char"/>
    <w:uiPriority w:val="2"/>
    <w:qFormat/>
    <w:rsid w:val="007041B3"/>
    <w:pPr>
      <w:numPr>
        <w:numId w:val="67"/>
      </w:numPr>
    </w:pPr>
  </w:style>
  <w:style w:type="character" w:customStyle="1" w:styleId="Heading1Char">
    <w:name w:val="Heading 1 Char"/>
    <w:basedOn w:val="DefaultParagraphFont"/>
    <w:link w:val="Heading1"/>
    <w:rsid w:val="004F1C25"/>
    <w:rPr>
      <w:rFonts w:ascii="Arial" w:hAnsi="Arial" w:cs="Arial"/>
      <w:b/>
      <w:bCs/>
      <w:color w:val="3F4A75"/>
      <w:kern w:val="28"/>
      <w:sz w:val="44"/>
      <w:szCs w:val="36"/>
      <w:lang w:eastAsia="en-US"/>
    </w:rPr>
  </w:style>
  <w:style w:type="character" w:customStyle="1" w:styleId="NumberedHeading1Char">
    <w:name w:val="Numbered Heading 1 Char"/>
    <w:basedOn w:val="Heading1Char"/>
    <w:link w:val="NumberedHeading1"/>
    <w:uiPriority w:val="2"/>
    <w:rsid w:val="007041B3"/>
    <w:rPr>
      <w:rFonts w:ascii="Arial" w:hAnsi="Arial" w:cs="Arial"/>
      <w:b/>
      <w:bCs/>
      <w:color w:val="3F4A75"/>
      <w:kern w:val="28"/>
      <w:sz w:val="44"/>
      <w:szCs w:val="36"/>
      <w:lang w:eastAsia="en-US"/>
    </w:rPr>
  </w:style>
  <w:style w:type="paragraph" w:customStyle="1" w:styleId="NumberedHeading3">
    <w:name w:val="Numbered Heading 3"/>
    <w:basedOn w:val="Heading3"/>
    <w:link w:val="NumberedHeading3Char"/>
    <w:uiPriority w:val="2"/>
    <w:qFormat/>
    <w:rsid w:val="00EF502E"/>
    <w:pPr>
      <w:numPr>
        <w:ilvl w:val="2"/>
        <w:numId w:val="56"/>
      </w:numPr>
    </w:pPr>
  </w:style>
  <w:style w:type="character" w:customStyle="1" w:styleId="Heading2Char">
    <w:name w:val="Heading 2 Char"/>
    <w:basedOn w:val="DefaultParagraphFont"/>
    <w:link w:val="Heading2"/>
    <w:rsid w:val="00A44A49"/>
    <w:rPr>
      <w:rFonts w:ascii="Arial" w:hAnsi="Arial" w:cs="Arial"/>
      <w:b/>
      <w:bCs/>
      <w:iCs/>
      <w:color w:val="358189"/>
      <w:sz w:val="36"/>
      <w:szCs w:val="28"/>
      <w:lang w:eastAsia="en-US"/>
    </w:rPr>
  </w:style>
  <w:style w:type="character" w:customStyle="1" w:styleId="NumberedHeading2Char">
    <w:name w:val="Numbered Heading 2 Char"/>
    <w:basedOn w:val="Heading2Char"/>
    <w:link w:val="NumberedHeading2"/>
    <w:uiPriority w:val="2"/>
    <w:rsid w:val="007041B3"/>
    <w:rPr>
      <w:rFonts w:ascii="Arial" w:hAnsi="Arial" w:cs="Arial"/>
      <w:b/>
      <w:bCs/>
      <w:iCs/>
      <w:color w:val="358189"/>
      <w:sz w:val="36"/>
      <w:szCs w:val="28"/>
      <w:lang w:eastAsia="en-US"/>
    </w:rPr>
  </w:style>
  <w:style w:type="character" w:styleId="Mention">
    <w:name w:val="Mention"/>
    <w:basedOn w:val="DefaultParagraphFont"/>
    <w:uiPriority w:val="99"/>
    <w:unhideWhenUsed/>
    <w:rsid w:val="008B024B"/>
    <w:rPr>
      <w:color w:val="2B579A"/>
      <w:shd w:val="clear" w:color="auto" w:fill="E1DFDD"/>
    </w:rPr>
  </w:style>
  <w:style w:type="character" w:customStyle="1" w:styleId="Heading3Char">
    <w:name w:val="Heading 3 Char"/>
    <w:basedOn w:val="DefaultParagraphFont"/>
    <w:link w:val="Heading3"/>
    <w:rsid w:val="00A44A49"/>
    <w:rPr>
      <w:rFonts w:ascii="Arial" w:hAnsi="Arial" w:cs="Arial"/>
      <w:b/>
      <w:bCs/>
      <w:color w:val="358189"/>
      <w:sz w:val="32"/>
      <w:szCs w:val="26"/>
      <w:lang w:eastAsia="en-US"/>
    </w:rPr>
  </w:style>
  <w:style w:type="character" w:customStyle="1" w:styleId="NumberedHeading3Char">
    <w:name w:val="Numbered Heading 3 Char"/>
    <w:basedOn w:val="Heading3Char"/>
    <w:link w:val="NumberedHeading3"/>
    <w:uiPriority w:val="2"/>
    <w:rsid w:val="007041B3"/>
    <w:rPr>
      <w:rFonts w:ascii="Arial" w:hAnsi="Arial" w:cs="Arial"/>
      <w:b/>
      <w:bCs/>
      <w:color w:val="358189"/>
      <w:sz w:val="32"/>
      <w:szCs w:val="26"/>
      <w:lang w:eastAsia="en-US"/>
    </w:rPr>
  </w:style>
  <w:style w:type="paragraph" w:customStyle="1" w:styleId="1Dot-point">
    <w:name w:val="1 Dot-point"/>
    <w:basedOn w:val="BodyText"/>
    <w:link w:val="1Dot-pointChar"/>
    <w:qFormat/>
    <w:rsid w:val="00AF542F"/>
    <w:pPr>
      <w:spacing w:line="280" w:lineRule="exact"/>
      <w:ind w:left="360" w:hanging="360"/>
    </w:pPr>
  </w:style>
  <w:style w:type="numbering" w:customStyle="1" w:styleId="Dot-point">
    <w:name w:val="Dot-point"/>
    <w:uiPriority w:val="99"/>
    <w:rsid w:val="00B2737A"/>
    <w:pPr>
      <w:numPr>
        <w:numId w:val="23"/>
      </w:numPr>
    </w:pPr>
  </w:style>
  <w:style w:type="paragraph" w:customStyle="1" w:styleId="2Dot-point">
    <w:name w:val="2 Dot-point"/>
    <w:basedOn w:val="1Dot-point"/>
    <w:qFormat/>
    <w:rsid w:val="00B2737A"/>
    <w:pPr>
      <w:numPr>
        <w:ilvl w:val="1"/>
      </w:numPr>
      <w:tabs>
        <w:tab w:val="num" w:pos="360"/>
      </w:tabs>
      <w:ind w:left="360" w:hanging="360"/>
    </w:pPr>
  </w:style>
  <w:style w:type="character" w:customStyle="1" w:styleId="1Dot-pointChar">
    <w:name w:val="1 Dot-point Char"/>
    <w:basedOn w:val="BodyTextChar"/>
    <w:link w:val="1Dot-point"/>
    <w:rsid w:val="00AF542F"/>
    <w:rPr>
      <w:rFonts w:ascii="Arial" w:hAnsi="Arial"/>
      <w:color w:val="000000" w:themeColor="text1"/>
      <w:sz w:val="22"/>
      <w:szCs w:val="24"/>
      <w:lang w:eastAsia="en-US"/>
    </w:rPr>
  </w:style>
  <w:style w:type="paragraph" w:customStyle="1" w:styleId="NumberedHeading4">
    <w:name w:val="Numbered Heading 4"/>
    <w:basedOn w:val="Heading4"/>
    <w:link w:val="NumberedHeading4Char"/>
    <w:qFormat/>
    <w:rsid w:val="00C6799E"/>
    <w:pPr>
      <w:ind w:left="1440" w:hanging="1440"/>
    </w:pPr>
  </w:style>
  <w:style w:type="paragraph" w:customStyle="1" w:styleId="List-BulletLvl1">
    <w:name w:val="List - Bullet Lvl 1"/>
    <w:basedOn w:val="BodyText"/>
    <w:link w:val="List-BulletLvl1Char"/>
    <w:uiPriority w:val="4"/>
    <w:qFormat/>
    <w:rsid w:val="001F462C"/>
    <w:pPr>
      <w:numPr>
        <w:numId w:val="25"/>
      </w:numPr>
      <w:spacing w:before="0" w:line="280" w:lineRule="exact"/>
      <w:jc w:val="both"/>
    </w:pPr>
    <w:rPr>
      <w:rFonts w:asciiTheme="minorHAnsi" w:eastAsiaTheme="minorHAnsi" w:hAnsiTheme="minorHAnsi" w:cstheme="minorBidi"/>
      <w:color w:val="auto"/>
      <w:szCs w:val="22"/>
      <w:lang w:val="en-NZ"/>
    </w:rPr>
  </w:style>
  <w:style w:type="character" w:customStyle="1" w:styleId="Heading4Char">
    <w:name w:val="Heading 4 Char"/>
    <w:basedOn w:val="DefaultParagraphFont"/>
    <w:link w:val="Heading4"/>
    <w:rsid w:val="00B320B2"/>
    <w:rPr>
      <w:rFonts w:ascii="Arial" w:hAnsi="Arial"/>
      <w:b/>
      <w:bCs/>
      <w:i/>
      <w:color w:val="358189" w:themeColor="accent2"/>
      <w:sz w:val="28"/>
      <w:szCs w:val="28"/>
      <w:lang w:eastAsia="en-US"/>
    </w:rPr>
  </w:style>
  <w:style w:type="character" w:customStyle="1" w:styleId="NumberedHeading4Char">
    <w:name w:val="Numbered Heading 4 Char"/>
    <w:basedOn w:val="Heading4Char"/>
    <w:link w:val="NumberedHeading4"/>
    <w:rsid w:val="00C6799E"/>
    <w:rPr>
      <w:rFonts w:ascii="Arial" w:hAnsi="Arial"/>
      <w:b/>
      <w:bCs/>
      <w:i/>
      <w:color w:val="358189" w:themeColor="accent2"/>
      <w:sz w:val="28"/>
      <w:szCs w:val="28"/>
      <w:lang w:eastAsia="en-US"/>
    </w:rPr>
  </w:style>
  <w:style w:type="character" w:customStyle="1" w:styleId="List-BulletLvl1Char">
    <w:name w:val="List - Bullet Lvl 1 Char"/>
    <w:basedOn w:val="DefaultParagraphFont"/>
    <w:link w:val="List-BulletLvl1"/>
    <w:uiPriority w:val="4"/>
    <w:rsid w:val="001F462C"/>
    <w:rPr>
      <w:rFonts w:asciiTheme="minorHAnsi" w:eastAsiaTheme="minorHAnsi" w:hAnsiTheme="minorHAnsi" w:cstheme="minorBidi"/>
      <w:sz w:val="22"/>
      <w:szCs w:val="22"/>
      <w:lang w:val="en-NZ" w:eastAsia="en-US"/>
    </w:rPr>
  </w:style>
  <w:style w:type="paragraph" w:customStyle="1" w:styleId="List-BulletLvl2">
    <w:name w:val="List - Bullet Lvl 2"/>
    <w:basedOn w:val="BodyText"/>
    <w:link w:val="List-BulletLvl2Char"/>
    <w:uiPriority w:val="4"/>
    <w:qFormat/>
    <w:rsid w:val="001F462C"/>
    <w:pPr>
      <w:numPr>
        <w:ilvl w:val="1"/>
        <w:numId w:val="25"/>
      </w:numPr>
      <w:spacing w:line="280" w:lineRule="exact"/>
      <w:jc w:val="both"/>
    </w:pPr>
    <w:rPr>
      <w:rFonts w:asciiTheme="minorHAnsi" w:eastAsiaTheme="minorHAnsi" w:hAnsiTheme="minorHAnsi" w:cstheme="minorBidi"/>
      <w:color w:val="auto"/>
      <w:szCs w:val="22"/>
      <w:lang w:val="en-NZ"/>
    </w:rPr>
  </w:style>
  <w:style w:type="paragraph" w:customStyle="1" w:styleId="List-BulletLvl3">
    <w:name w:val="List - Bullet Lvl 3"/>
    <w:basedOn w:val="BodyText"/>
    <w:uiPriority w:val="4"/>
    <w:rsid w:val="001F462C"/>
    <w:pPr>
      <w:numPr>
        <w:ilvl w:val="2"/>
        <w:numId w:val="25"/>
      </w:numPr>
      <w:spacing w:line="280" w:lineRule="exact"/>
      <w:jc w:val="both"/>
    </w:pPr>
    <w:rPr>
      <w:rFonts w:asciiTheme="minorHAnsi" w:eastAsiaTheme="minorHAnsi" w:hAnsiTheme="minorHAnsi" w:cstheme="minorBidi"/>
      <w:color w:val="auto"/>
      <w:szCs w:val="22"/>
      <w:lang w:val="en-NZ"/>
    </w:rPr>
  </w:style>
  <w:style w:type="character" w:styleId="FootnoteReference">
    <w:name w:val="footnote reference"/>
    <w:aliases w:val="Footnote,(NECG) Footnote Reference,(NECG) Footnote Reference1,(NECG) Footnote Reference2,o,Footnote Reference 1"/>
    <w:basedOn w:val="DefaultParagraphFont"/>
    <w:uiPriority w:val="99"/>
    <w:unhideWhenUsed/>
    <w:rsid w:val="00305F21"/>
    <w:rPr>
      <w:vertAlign w:val="superscript"/>
    </w:rPr>
  </w:style>
  <w:style w:type="paragraph" w:styleId="ListNumber5">
    <w:name w:val="List Number 5"/>
    <w:basedOn w:val="Normal"/>
    <w:uiPriority w:val="99"/>
    <w:semiHidden/>
    <w:unhideWhenUsed/>
    <w:rsid w:val="00305F21"/>
    <w:pPr>
      <w:tabs>
        <w:tab w:val="num" w:pos="1492"/>
      </w:tabs>
      <w:spacing w:before="0" w:after="160" w:line="259" w:lineRule="auto"/>
      <w:ind w:left="1492" w:hanging="360"/>
      <w:contextualSpacing/>
    </w:pPr>
    <w:rPr>
      <w:rFonts w:asciiTheme="minorHAnsi" w:eastAsiaTheme="minorHAnsi" w:hAnsiTheme="minorHAnsi" w:cstheme="minorBidi"/>
      <w:color w:val="auto"/>
      <w:szCs w:val="22"/>
      <w:lang w:val="en-NZ"/>
    </w:rPr>
  </w:style>
  <w:style w:type="paragraph" w:styleId="ListNumber">
    <w:name w:val="List Number"/>
    <w:basedOn w:val="Normal"/>
    <w:rsid w:val="007F2747"/>
    <w:pPr>
      <w:numPr>
        <w:numId w:val="13"/>
      </w:numPr>
      <w:contextualSpacing/>
    </w:pPr>
  </w:style>
  <w:style w:type="paragraph" w:styleId="ListBullet3">
    <w:name w:val="List Bullet 3"/>
    <w:basedOn w:val="Normal"/>
    <w:link w:val="ListBullet3Char"/>
    <w:uiPriority w:val="99"/>
    <w:semiHidden/>
    <w:rsid w:val="00BD326C"/>
    <w:pPr>
      <w:numPr>
        <w:numId w:val="28"/>
      </w:numPr>
      <w:spacing w:line="259" w:lineRule="auto"/>
    </w:pPr>
    <w:rPr>
      <w:rFonts w:asciiTheme="minorHAnsi" w:eastAsiaTheme="minorHAnsi" w:hAnsiTheme="minorHAnsi" w:cstheme="minorBidi"/>
      <w:color w:val="auto"/>
      <w:szCs w:val="22"/>
      <w:lang w:val="en-NZ"/>
    </w:rPr>
  </w:style>
  <w:style w:type="character" w:customStyle="1" w:styleId="ListParagraphChar">
    <w:name w:val="List Paragraph Char"/>
    <w:aliases w:val="TMS Bullets Char,TMS Bullet Char,Bullets Level 1 Char,Bullet point Char,Bullets Char,CV text Char,Dot pt Char,F5 List Paragraph Char,FooterText Char,L Char,List Paragraph1 Char,List Paragraph11 Char,List Paragraph111 Char,列 Char"/>
    <w:basedOn w:val="DefaultParagraphFont"/>
    <w:link w:val="ListParagraph"/>
    <w:uiPriority w:val="34"/>
    <w:rsid w:val="008B2AC4"/>
    <w:rPr>
      <w:rFonts w:ascii="Arial" w:hAnsi="Arial"/>
      <w:color w:val="000000" w:themeColor="text1"/>
      <w:sz w:val="22"/>
      <w:szCs w:val="24"/>
      <w:lang w:eastAsia="en-US"/>
    </w:rPr>
  </w:style>
  <w:style w:type="character" w:customStyle="1" w:styleId="ListBullet3Char">
    <w:name w:val="List Bullet 3 Char"/>
    <w:basedOn w:val="DefaultParagraphFont"/>
    <w:link w:val="ListBullet3"/>
    <w:uiPriority w:val="99"/>
    <w:semiHidden/>
    <w:rsid w:val="0000179C"/>
    <w:rPr>
      <w:rFonts w:asciiTheme="minorHAnsi" w:eastAsiaTheme="minorHAnsi" w:hAnsiTheme="minorHAnsi" w:cstheme="minorBidi"/>
      <w:sz w:val="22"/>
      <w:szCs w:val="22"/>
      <w:lang w:val="en-NZ" w:eastAsia="en-US"/>
    </w:rPr>
  </w:style>
  <w:style w:type="paragraph" w:styleId="ListBullet5">
    <w:name w:val="List Bullet 5"/>
    <w:basedOn w:val="Normal"/>
    <w:uiPriority w:val="99"/>
    <w:semiHidden/>
    <w:unhideWhenUsed/>
    <w:rsid w:val="0000179C"/>
    <w:pPr>
      <w:tabs>
        <w:tab w:val="num" w:pos="1492"/>
      </w:tabs>
      <w:spacing w:before="0" w:after="160" w:line="259" w:lineRule="auto"/>
      <w:ind w:left="1492" w:hanging="360"/>
      <w:contextualSpacing/>
    </w:pPr>
    <w:rPr>
      <w:rFonts w:asciiTheme="minorHAnsi" w:eastAsiaTheme="minorHAnsi" w:hAnsiTheme="minorHAnsi" w:cstheme="minorBidi"/>
      <w:color w:val="auto"/>
      <w:szCs w:val="22"/>
      <w:lang w:val="en-NZ"/>
    </w:rPr>
  </w:style>
  <w:style w:type="paragraph" w:customStyle="1" w:styleId="TableDot-point">
    <w:name w:val="Table Dot-point"/>
    <w:basedOn w:val="ListParagraph"/>
    <w:link w:val="TableDot-pointChar"/>
    <w:qFormat/>
    <w:rsid w:val="00BF34B8"/>
    <w:pPr>
      <w:numPr>
        <w:numId w:val="30"/>
      </w:numPr>
      <w:tabs>
        <w:tab w:val="num" w:pos="360"/>
        <w:tab w:val="num" w:pos="926"/>
      </w:tabs>
      <w:spacing w:before="80" w:after="80" w:line="259" w:lineRule="auto"/>
    </w:pPr>
    <w:rPr>
      <w:rFonts w:ascii="Calibri" w:eastAsiaTheme="minorHAnsi" w:hAnsi="Calibri" w:cstheme="minorBidi"/>
      <w:color w:val="9E4C6E" w:themeColor="accent4"/>
      <w:szCs w:val="22"/>
    </w:rPr>
  </w:style>
  <w:style w:type="character" w:customStyle="1" w:styleId="TableDot-pointChar">
    <w:name w:val="Table Dot-point Char"/>
    <w:basedOn w:val="ListParagraphChar"/>
    <w:link w:val="TableDot-point"/>
    <w:rsid w:val="00BF34B8"/>
    <w:rPr>
      <w:rFonts w:ascii="Calibri" w:eastAsiaTheme="minorHAnsi" w:hAnsi="Calibri" w:cstheme="minorBidi"/>
      <w:color w:val="9E4C6E" w:themeColor="accent4"/>
      <w:sz w:val="22"/>
      <w:szCs w:val="22"/>
      <w:lang w:eastAsia="en-US"/>
    </w:rPr>
  </w:style>
  <w:style w:type="paragraph" w:customStyle="1" w:styleId="TableBody-text">
    <w:name w:val="Table Body-text"/>
    <w:basedOn w:val="Normal"/>
    <w:link w:val="TableBody-textChar"/>
    <w:qFormat/>
    <w:rsid w:val="00A8110A"/>
    <w:pPr>
      <w:spacing w:before="80" w:after="80" w:line="259" w:lineRule="auto"/>
      <w:jc w:val="both"/>
    </w:pPr>
    <w:rPr>
      <w:rFonts w:ascii="Calibri" w:eastAsiaTheme="minorHAnsi" w:hAnsi="Calibri" w:cstheme="minorBidi"/>
      <w:color w:val="9E4C6E" w:themeColor="accent4"/>
      <w:szCs w:val="22"/>
    </w:rPr>
  </w:style>
  <w:style w:type="character" w:customStyle="1" w:styleId="TableBody-textChar">
    <w:name w:val="Table Body-text Char"/>
    <w:basedOn w:val="DefaultParagraphFont"/>
    <w:link w:val="TableBody-text"/>
    <w:rsid w:val="00A8110A"/>
    <w:rPr>
      <w:rFonts w:ascii="Calibri" w:eastAsiaTheme="minorHAnsi" w:hAnsi="Calibri" w:cstheme="minorBidi"/>
      <w:color w:val="9E4C6E" w:themeColor="accent4"/>
      <w:sz w:val="22"/>
      <w:szCs w:val="22"/>
      <w:lang w:eastAsia="en-US"/>
    </w:rPr>
  </w:style>
  <w:style w:type="paragraph" w:customStyle="1" w:styleId="NumberedHeading5">
    <w:name w:val="Numbered Heading 5"/>
    <w:basedOn w:val="ListParagraph"/>
    <w:link w:val="NumberedHeading5Char"/>
    <w:qFormat/>
    <w:rsid w:val="0042693C"/>
    <w:pPr>
      <w:numPr>
        <w:ilvl w:val="4"/>
        <w:numId w:val="27"/>
      </w:numPr>
    </w:pPr>
    <w:rPr>
      <w:b/>
      <w:bCs/>
      <w:iCs/>
      <w:color w:val="358189" w:themeColor="accent2"/>
      <w:sz w:val="24"/>
      <w:szCs w:val="26"/>
    </w:rPr>
  </w:style>
  <w:style w:type="paragraph" w:customStyle="1" w:styleId="List-AlphanumericLvl1">
    <w:name w:val="List - Alphanumeric Lvl 1"/>
    <w:basedOn w:val="ListParagraph"/>
    <w:uiPriority w:val="7"/>
    <w:qFormat/>
    <w:rsid w:val="00C91ED1"/>
    <w:pPr>
      <w:numPr>
        <w:numId w:val="35"/>
      </w:numPr>
      <w:spacing w:line="259" w:lineRule="auto"/>
      <w:contextualSpacing w:val="0"/>
    </w:pPr>
    <w:rPr>
      <w:rFonts w:asciiTheme="minorHAnsi" w:eastAsiaTheme="minorHAnsi" w:hAnsiTheme="minorHAnsi" w:cstheme="minorBidi"/>
      <w:color w:val="auto"/>
      <w:szCs w:val="22"/>
      <w:lang w:val="en-NZ"/>
    </w:rPr>
  </w:style>
  <w:style w:type="character" w:customStyle="1" w:styleId="NumberedHeading5Char">
    <w:name w:val="Numbered Heading 5 Char"/>
    <w:basedOn w:val="ListParagraphChar"/>
    <w:link w:val="NumberedHeading5"/>
    <w:rsid w:val="0042693C"/>
    <w:rPr>
      <w:rFonts w:ascii="Arial" w:hAnsi="Arial"/>
      <w:b/>
      <w:bCs/>
      <w:iCs/>
      <w:color w:val="358189" w:themeColor="accent2"/>
      <w:sz w:val="24"/>
      <w:szCs w:val="26"/>
      <w:lang w:eastAsia="en-US"/>
    </w:rPr>
  </w:style>
  <w:style w:type="paragraph" w:customStyle="1" w:styleId="List-AlphanumericLvl2">
    <w:name w:val="List - Alphanumeric Lvl 2"/>
    <w:basedOn w:val="List-AlphanumericLvl1"/>
    <w:link w:val="List-AlphanumericLvl2Char"/>
    <w:uiPriority w:val="7"/>
    <w:rsid w:val="00C91ED1"/>
    <w:pPr>
      <w:numPr>
        <w:ilvl w:val="1"/>
      </w:numPr>
    </w:pPr>
  </w:style>
  <w:style w:type="paragraph" w:customStyle="1" w:styleId="List-AlphanumericLvl3">
    <w:name w:val="List - Alphanumeric Lvl 3"/>
    <w:basedOn w:val="List-AlphanumericLvl2"/>
    <w:uiPriority w:val="7"/>
    <w:rsid w:val="00C91ED1"/>
    <w:pPr>
      <w:numPr>
        <w:ilvl w:val="2"/>
      </w:numPr>
      <w:tabs>
        <w:tab w:val="left" w:pos="1985"/>
      </w:tabs>
    </w:pPr>
  </w:style>
  <w:style w:type="character" w:customStyle="1" w:styleId="List-AlphanumericLvl2Char">
    <w:name w:val="List - Alphanumeric Lvl 2 Char"/>
    <w:basedOn w:val="DefaultParagraphFont"/>
    <w:link w:val="List-AlphanumericLvl2"/>
    <w:uiPriority w:val="7"/>
    <w:rsid w:val="00C91ED1"/>
    <w:rPr>
      <w:rFonts w:asciiTheme="minorHAnsi" w:eastAsiaTheme="minorHAnsi" w:hAnsiTheme="minorHAnsi" w:cstheme="minorBidi"/>
      <w:sz w:val="22"/>
      <w:szCs w:val="22"/>
      <w:lang w:val="en-NZ" w:eastAsia="en-US"/>
    </w:rPr>
  </w:style>
  <w:style w:type="paragraph" w:customStyle="1" w:styleId="Tablelistbullet2">
    <w:name w:val="Table list bullet 2"/>
    <w:basedOn w:val="ListNumber2"/>
    <w:link w:val="Tablelistbullet2Char"/>
    <w:qFormat/>
    <w:rsid w:val="00FF2693"/>
    <w:pPr>
      <w:numPr>
        <w:numId w:val="52"/>
      </w:numPr>
      <w:jc w:val="both"/>
    </w:pPr>
    <w:rPr>
      <w:sz w:val="21"/>
      <w:szCs w:val="21"/>
    </w:rPr>
  </w:style>
  <w:style w:type="character" w:customStyle="1" w:styleId="List-BulletLvl2Char">
    <w:name w:val="List - Bullet Lvl 2 Char"/>
    <w:basedOn w:val="List-BulletLvl1Char"/>
    <w:link w:val="List-BulletLvl2"/>
    <w:uiPriority w:val="4"/>
    <w:rsid w:val="00EC7FE8"/>
    <w:rPr>
      <w:rFonts w:asciiTheme="minorHAnsi" w:eastAsiaTheme="minorHAnsi" w:hAnsiTheme="minorHAnsi" w:cstheme="minorBidi"/>
      <w:sz w:val="22"/>
      <w:szCs w:val="22"/>
      <w:lang w:val="en-NZ" w:eastAsia="en-US"/>
    </w:rPr>
  </w:style>
  <w:style w:type="character" w:customStyle="1" w:styleId="Tablelistbullet2Char">
    <w:name w:val="Table list bullet 2 Char"/>
    <w:basedOn w:val="ListNumber2Char"/>
    <w:link w:val="Tablelistbullet2"/>
    <w:rsid w:val="00893310"/>
    <w:rPr>
      <w:rFonts w:ascii="Arial" w:hAnsi="Arial"/>
      <w:color w:val="000000" w:themeColor="text1"/>
      <w:sz w:val="21"/>
      <w:szCs w:val="21"/>
      <w:lang w:eastAsia="en-US"/>
    </w:rPr>
  </w:style>
  <w:style w:type="paragraph" w:customStyle="1" w:styleId="Reference">
    <w:name w:val="Reference"/>
    <w:basedOn w:val="Normal"/>
    <w:link w:val="ReferenceChar"/>
    <w:qFormat/>
    <w:rsid w:val="001716D2"/>
    <w:pPr>
      <w:spacing w:line="480" w:lineRule="auto"/>
      <w:ind w:left="720" w:hanging="720"/>
      <w:jc w:val="both"/>
    </w:pPr>
  </w:style>
  <w:style w:type="character" w:customStyle="1" w:styleId="ReferenceChar">
    <w:name w:val="Reference Char"/>
    <w:basedOn w:val="DefaultParagraphFont"/>
    <w:link w:val="Reference"/>
    <w:rsid w:val="001716D2"/>
    <w:rPr>
      <w:rFonts w:ascii="Arial" w:hAnsi="Arial"/>
      <w:color w:val="000000" w:themeColor="text1"/>
      <w:sz w:val="22"/>
      <w:szCs w:val="24"/>
      <w:lang w:eastAsia="en-US"/>
    </w:rPr>
  </w:style>
  <w:style w:type="numbering" w:customStyle="1" w:styleId="Numberedlist">
    <w:name w:val="Numbered list"/>
    <w:uiPriority w:val="99"/>
    <w:rsid w:val="0040241C"/>
    <w:pPr>
      <w:numPr>
        <w:numId w:val="41"/>
      </w:numPr>
    </w:pPr>
  </w:style>
  <w:style w:type="character" w:customStyle="1" w:styleId="TableHeaderChar">
    <w:name w:val="Table Header Char"/>
    <w:basedOn w:val="DefaultParagraphFont"/>
    <w:link w:val="TableHeader"/>
    <w:rsid w:val="00652B0C"/>
    <w:rPr>
      <w:rFonts w:ascii="Arial" w:eastAsia="Cambria" w:hAnsi="Arial"/>
      <w:b/>
      <w:color w:val="FFFFFF" w:themeColor="background1"/>
      <w:sz w:val="22"/>
      <w:szCs w:val="22"/>
      <w:lang w:val="en-US" w:eastAsia="en-US"/>
    </w:rPr>
  </w:style>
  <w:style w:type="table" w:customStyle="1" w:styleId="ACGrey-BasicTable">
    <w:name w:val="A+C Grey - Basic Table"/>
    <w:basedOn w:val="TableNormal"/>
    <w:uiPriority w:val="99"/>
    <w:rsid w:val="00652B0C"/>
    <w:pPr>
      <w:jc w:val="both"/>
    </w:pPr>
    <w:rPr>
      <w:rFonts w:asciiTheme="majorHAnsi" w:eastAsiaTheme="minorHAnsi" w:hAnsiTheme="majorHAnsi" w:cstheme="minorBidi"/>
      <w:sz w:val="21"/>
      <w:szCs w:val="22"/>
      <w:lang w:val="en-US" w:eastAsia="en-US"/>
    </w:rPr>
    <w:tblPr>
      <w:tblBorders>
        <w:top w:val="single" w:sz="4" w:space="0" w:color="3F4A75" w:themeColor="text2"/>
        <w:left w:val="single" w:sz="4" w:space="0" w:color="3F4A75" w:themeColor="text2"/>
        <w:bottom w:val="single" w:sz="4" w:space="0" w:color="3F4A75" w:themeColor="text2"/>
        <w:right w:val="single" w:sz="4" w:space="0" w:color="3F4A75" w:themeColor="text2"/>
        <w:insideH w:val="single" w:sz="4" w:space="0" w:color="3F4A75" w:themeColor="text2"/>
        <w:insideV w:val="single" w:sz="4" w:space="0" w:color="3F4A75" w:themeColor="text2"/>
      </w:tblBorders>
      <w:tblCellMar>
        <w:top w:w="57" w:type="dxa"/>
        <w:left w:w="28" w:type="dxa"/>
        <w:bottom w:w="57" w:type="dxa"/>
        <w:right w:w="28" w:type="dxa"/>
      </w:tblCellMar>
    </w:tblPr>
    <w:tblStylePr w:type="firstRow">
      <w:rPr>
        <w:rFonts w:asciiTheme="majorHAnsi" w:hAnsiTheme="majorHAnsi"/>
        <w:b/>
        <w:color w:val="FFFFFF" w:themeColor="background1"/>
        <w:sz w:val="20"/>
      </w:rPr>
      <w:tblPr/>
      <w:trPr>
        <w:cantSplit/>
        <w:tblHeader/>
      </w:trPr>
      <w:tcPr>
        <w:shd w:val="clear" w:color="auto" w:fill="3F4A75" w:themeFill="text2"/>
      </w:tcPr>
    </w:tblStylePr>
  </w:style>
  <w:style w:type="character" w:styleId="EndnoteReference">
    <w:name w:val="endnote reference"/>
    <w:basedOn w:val="DefaultParagraphFont"/>
    <w:semiHidden/>
    <w:unhideWhenUsed/>
    <w:rsid w:val="00B771A0"/>
    <w:rPr>
      <w:vertAlign w:val="superscript"/>
    </w:rPr>
  </w:style>
  <w:style w:type="paragraph" w:styleId="Revision">
    <w:name w:val="Revision"/>
    <w:hidden/>
    <w:uiPriority w:val="99"/>
    <w:semiHidden/>
    <w:rsid w:val="00072693"/>
    <w:rPr>
      <w:rFonts w:ascii="Arial" w:hAnsi="Arial"/>
      <w:color w:val="000000" w:themeColor="text1"/>
      <w:sz w:val="22"/>
      <w:szCs w:val="24"/>
      <w:lang w:eastAsia="en-US"/>
    </w:rPr>
  </w:style>
  <w:style w:type="paragraph" w:styleId="TOC4">
    <w:name w:val="toc 4"/>
    <w:basedOn w:val="Normal"/>
    <w:next w:val="Normal"/>
    <w:autoRedefine/>
    <w:uiPriority w:val="39"/>
    <w:unhideWhenUsed/>
    <w:rsid w:val="00C54462"/>
    <w:pPr>
      <w:tabs>
        <w:tab w:val="left" w:pos="1760"/>
        <w:tab w:val="right" w:leader="dot" w:pos="9060"/>
      </w:tabs>
      <w:spacing w:before="0" w:after="100" w:line="259" w:lineRule="auto"/>
      <w:ind w:left="660"/>
    </w:pPr>
    <w:rPr>
      <w:rFonts w:asciiTheme="minorHAnsi" w:eastAsiaTheme="minorEastAsia" w:hAnsiTheme="minorHAnsi" w:cstheme="minorBidi"/>
      <w:i/>
      <w:color w:val="auto"/>
      <w:sz w:val="20"/>
      <w:szCs w:val="22"/>
      <w:lang w:val="en-NZ" w:eastAsia="en-NZ"/>
    </w:rPr>
  </w:style>
  <w:style w:type="paragraph" w:styleId="TOC5">
    <w:name w:val="toc 5"/>
    <w:basedOn w:val="Normal"/>
    <w:next w:val="Normal"/>
    <w:autoRedefine/>
    <w:uiPriority w:val="39"/>
    <w:unhideWhenUsed/>
    <w:rsid w:val="00962EDE"/>
    <w:pPr>
      <w:spacing w:before="0" w:after="100" w:line="259" w:lineRule="auto"/>
      <w:ind w:left="880"/>
    </w:pPr>
    <w:rPr>
      <w:rFonts w:asciiTheme="minorHAnsi" w:eastAsiaTheme="minorEastAsia" w:hAnsiTheme="minorHAnsi" w:cstheme="minorBidi"/>
      <w:color w:val="auto"/>
      <w:szCs w:val="22"/>
      <w:lang w:val="en-NZ" w:eastAsia="en-NZ"/>
    </w:rPr>
  </w:style>
  <w:style w:type="paragraph" w:styleId="TOC6">
    <w:name w:val="toc 6"/>
    <w:basedOn w:val="Normal"/>
    <w:next w:val="Normal"/>
    <w:autoRedefine/>
    <w:uiPriority w:val="39"/>
    <w:unhideWhenUsed/>
    <w:rsid w:val="00962EDE"/>
    <w:pPr>
      <w:spacing w:before="0" w:after="100" w:line="259" w:lineRule="auto"/>
      <w:ind w:left="1100"/>
    </w:pPr>
    <w:rPr>
      <w:rFonts w:asciiTheme="minorHAnsi" w:eastAsiaTheme="minorEastAsia" w:hAnsiTheme="minorHAnsi" w:cstheme="minorBidi"/>
      <w:color w:val="auto"/>
      <w:szCs w:val="22"/>
      <w:lang w:val="en-NZ" w:eastAsia="en-NZ"/>
    </w:rPr>
  </w:style>
  <w:style w:type="paragraph" w:styleId="TOC7">
    <w:name w:val="toc 7"/>
    <w:basedOn w:val="Normal"/>
    <w:next w:val="Normal"/>
    <w:autoRedefine/>
    <w:uiPriority w:val="39"/>
    <w:unhideWhenUsed/>
    <w:rsid w:val="00962EDE"/>
    <w:pPr>
      <w:spacing w:before="0" w:after="100" w:line="259" w:lineRule="auto"/>
      <w:ind w:left="1320"/>
    </w:pPr>
    <w:rPr>
      <w:rFonts w:asciiTheme="minorHAnsi" w:eastAsiaTheme="minorEastAsia" w:hAnsiTheme="minorHAnsi" w:cstheme="minorBidi"/>
      <w:color w:val="auto"/>
      <w:szCs w:val="22"/>
      <w:lang w:val="en-NZ" w:eastAsia="en-NZ"/>
    </w:rPr>
  </w:style>
  <w:style w:type="paragraph" w:styleId="TOC8">
    <w:name w:val="toc 8"/>
    <w:basedOn w:val="Normal"/>
    <w:next w:val="Normal"/>
    <w:autoRedefine/>
    <w:uiPriority w:val="39"/>
    <w:unhideWhenUsed/>
    <w:rsid w:val="00962EDE"/>
    <w:pPr>
      <w:spacing w:before="0" w:after="100" w:line="259" w:lineRule="auto"/>
      <w:ind w:left="1540"/>
    </w:pPr>
    <w:rPr>
      <w:rFonts w:asciiTheme="minorHAnsi" w:eastAsiaTheme="minorEastAsia" w:hAnsiTheme="minorHAnsi" w:cstheme="minorBidi"/>
      <w:color w:val="auto"/>
      <w:szCs w:val="22"/>
      <w:lang w:val="en-NZ" w:eastAsia="en-NZ"/>
    </w:rPr>
  </w:style>
  <w:style w:type="paragraph" w:styleId="TOC9">
    <w:name w:val="toc 9"/>
    <w:basedOn w:val="Normal"/>
    <w:next w:val="Normal"/>
    <w:autoRedefine/>
    <w:uiPriority w:val="39"/>
    <w:unhideWhenUsed/>
    <w:rsid w:val="00962EDE"/>
    <w:pPr>
      <w:spacing w:before="0" w:after="100" w:line="259" w:lineRule="auto"/>
      <w:ind w:left="1760"/>
    </w:pPr>
    <w:rPr>
      <w:rFonts w:asciiTheme="minorHAnsi" w:eastAsiaTheme="minorEastAsia" w:hAnsiTheme="minorHAnsi" w:cstheme="minorBidi"/>
      <w:color w:val="auto"/>
      <w:szCs w:val="22"/>
      <w:lang w:val="en-NZ" w:eastAsia="en-NZ"/>
    </w:rPr>
  </w:style>
  <w:style w:type="paragraph" w:styleId="TableofFigures">
    <w:name w:val="table of figures"/>
    <w:basedOn w:val="Normal"/>
    <w:next w:val="Normal"/>
    <w:uiPriority w:val="99"/>
    <w:unhideWhenUsed/>
    <w:rsid w:val="00C22DEF"/>
    <w:pPr>
      <w:spacing w:after="0"/>
    </w:pPr>
  </w:style>
  <w:style w:type="paragraph" w:styleId="Bibliography">
    <w:name w:val="Bibliography"/>
    <w:basedOn w:val="Normal"/>
    <w:next w:val="Normal"/>
    <w:uiPriority w:val="37"/>
    <w:unhideWhenUsed/>
    <w:rsid w:val="00091960"/>
    <w:pPr>
      <w:spacing w:after="0" w:line="480" w:lineRule="auto"/>
      <w:ind w:left="720" w:hanging="720"/>
    </w:pPr>
  </w:style>
  <w:style w:type="character" w:customStyle="1" w:styleId="cf01">
    <w:name w:val="cf01"/>
    <w:basedOn w:val="DefaultParagraphFont"/>
    <w:rsid w:val="00C044AF"/>
    <w:rPr>
      <w:rFonts w:ascii="Segoe UI" w:hAnsi="Segoe UI" w:cs="Segoe UI" w:hint="default"/>
      <w:sz w:val="18"/>
      <w:szCs w:val="18"/>
    </w:rPr>
  </w:style>
  <w:style w:type="paragraph" w:customStyle="1" w:styleId="Heading5NotNumbered">
    <w:name w:val="Heading 5 (Not Numbered)"/>
    <w:basedOn w:val="Heading6"/>
    <w:uiPriority w:val="39"/>
    <w:rsid w:val="000815A5"/>
    <w:pPr>
      <w:numPr>
        <w:ilvl w:val="4"/>
        <w:numId w:val="73"/>
      </w:numPr>
      <w:spacing w:before="360" w:after="240" w:line="204" w:lineRule="auto"/>
      <w:ind w:left="1225" w:hanging="1225"/>
      <w:outlineLvl w:val="4"/>
    </w:pPr>
    <w:rPr>
      <w:rFonts w:eastAsiaTheme="minorHAnsi" w:cstheme="minorBidi"/>
      <w:color w:val="3F4A75" w:themeColor="accent1"/>
      <w:sz w:val="24"/>
      <w:szCs w:val="24"/>
      <w:lang w:val="en-GB"/>
    </w:rPr>
  </w:style>
  <w:style w:type="paragraph" w:customStyle="1" w:styleId="TablelistbulletSMALL">
    <w:name w:val="Table list bullet SMALL"/>
    <w:basedOn w:val="Tablelistbullet"/>
    <w:link w:val="TablelistbulletSMALLChar"/>
    <w:qFormat/>
    <w:rsid w:val="00213298"/>
    <w:pPr>
      <w:ind w:left="284" w:hanging="284"/>
    </w:pPr>
    <w:rPr>
      <w:sz w:val="20"/>
    </w:rPr>
  </w:style>
  <w:style w:type="character" w:customStyle="1" w:styleId="TabletextleftChar">
    <w:name w:val="Table text left Char"/>
    <w:basedOn w:val="DefaultParagraphFont"/>
    <w:link w:val="Tabletextleft"/>
    <w:rsid w:val="0032596A"/>
    <w:rPr>
      <w:rFonts w:ascii="Arial" w:hAnsi="Arial"/>
      <w:color w:val="000000" w:themeColor="text1"/>
      <w:sz w:val="21"/>
      <w:szCs w:val="21"/>
      <w:lang w:eastAsia="en-US"/>
    </w:rPr>
  </w:style>
  <w:style w:type="character" w:customStyle="1" w:styleId="TablelistbulletChar">
    <w:name w:val="Table list bullet Char"/>
    <w:basedOn w:val="TabletextleftChar"/>
    <w:link w:val="Tablelistbullet"/>
    <w:rsid w:val="00213298"/>
    <w:rPr>
      <w:rFonts w:ascii="Arial" w:eastAsiaTheme="minorHAnsi" w:hAnsi="Arial" w:cstheme="minorBidi"/>
      <w:color w:val="000000" w:themeColor="text1"/>
      <w:sz w:val="21"/>
      <w:szCs w:val="21"/>
      <w:lang w:val="en-US" w:eastAsia="en-US"/>
    </w:rPr>
  </w:style>
  <w:style w:type="character" w:customStyle="1" w:styleId="TablelistbulletSMALLChar">
    <w:name w:val="Table list bullet SMALL Char"/>
    <w:basedOn w:val="TablelistbulletChar"/>
    <w:link w:val="TablelistbulletSMALL"/>
    <w:rsid w:val="00213298"/>
    <w:rPr>
      <w:rFonts w:ascii="Arial" w:eastAsiaTheme="minorHAnsi" w:hAnsi="Arial" w:cstheme="minorBidi"/>
      <w:color w:val="000000" w:themeColor="text1"/>
      <w:sz w:val="21"/>
      <w:szCs w:val="21"/>
      <w:lang w:val="en-US" w:eastAsia="en-US"/>
    </w:rPr>
  </w:style>
  <w:style w:type="paragraph" w:customStyle="1" w:styleId="StyleTitleBefore78pt">
    <w:name w:val="Style Title + Before:  78 pt"/>
    <w:basedOn w:val="Title"/>
    <w:rsid w:val="005D60C2"/>
    <w:rPr>
      <w:rFonts w:eastAsia="Times New Roman" w:cs="Times New Roman"/>
      <w:bCs/>
      <w:szCs w:val="20"/>
    </w:rPr>
  </w:style>
  <w:style w:type="paragraph" w:customStyle="1" w:styleId="Boxtext">
    <w:name w:val="Box text"/>
    <w:basedOn w:val="Normal"/>
    <w:link w:val="BoxtextChar"/>
    <w:qFormat/>
    <w:rsid w:val="009D6102"/>
    <w:pPr>
      <w:pBdr>
        <w:top w:val="single" w:sz="6" w:space="12" w:color="auto"/>
        <w:left w:val="single" w:sz="6" w:space="2" w:color="auto"/>
        <w:bottom w:val="single" w:sz="6" w:space="12" w:color="auto"/>
        <w:right w:val="single" w:sz="6" w:space="2" w:color="auto"/>
      </w:pBdr>
      <w:spacing w:before="240" w:after="240"/>
    </w:pPr>
    <w:rPr>
      <w:sz w:val="21"/>
      <w:szCs w:val="21"/>
      <w:lang w:val="en-NZ"/>
    </w:rPr>
  </w:style>
  <w:style w:type="character" w:customStyle="1" w:styleId="BoxtextChar">
    <w:name w:val="Box text Char"/>
    <w:basedOn w:val="DefaultParagraphFont"/>
    <w:link w:val="Boxtext"/>
    <w:rsid w:val="009D6102"/>
    <w:rPr>
      <w:rFonts w:ascii="Arial" w:hAnsi="Arial"/>
      <w:color w:val="000000" w:themeColor="text1"/>
      <w:sz w:val="21"/>
      <w:szCs w:val="21"/>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5308">
      <w:bodyDiv w:val="1"/>
      <w:marLeft w:val="0"/>
      <w:marRight w:val="0"/>
      <w:marTop w:val="0"/>
      <w:marBottom w:val="0"/>
      <w:divBdr>
        <w:top w:val="none" w:sz="0" w:space="0" w:color="auto"/>
        <w:left w:val="none" w:sz="0" w:space="0" w:color="auto"/>
        <w:bottom w:val="none" w:sz="0" w:space="0" w:color="auto"/>
        <w:right w:val="none" w:sz="0" w:space="0" w:color="auto"/>
      </w:divBdr>
    </w:div>
    <w:div w:id="19242702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06360506">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1148053">
      <w:bodyDiv w:val="1"/>
      <w:marLeft w:val="0"/>
      <w:marRight w:val="0"/>
      <w:marTop w:val="0"/>
      <w:marBottom w:val="0"/>
      <w:divBdr>
        <w:top w:val="none" w:sz="0" w:space="0" w:color="auto"/>
        <w:left w:val="none" w:sz="0" w:space="0" w:color="auto"/>
        <w:bottom w:val="none" w:sz="0" w:space="0" w:color="auto"/>
        <w:right w:val="none" w:sz="0" w:space="0" w:color="auto"/>
      </w:divBdr>
    </w:div>
    <w:div w:id="779954305">
      <w:bodyDiv w:val="1"/>
      <w:marLeft w:val="0"/>
      <w:marRight w:val="0"/>
      <w:marTop w:val="0"/>
      <w:marBottom w:val="0"/>
      <w:divBdr>
        <w:top w:val="none" w:sz="0" w:space="0" w:color="auto"/>
        <w:left w:val="none" w:sz="0" w:space="0" w:color="auto"/>
        <w:bottom w:val="none" w:sz="0" w:space="0" w:color="auto"/>
        <w:right w:val="none" w:sz="0" w:space="0" w:color="auto"/>
      </w:divBdr>
    </w:div>
    <w:div w:id="1099179066">
      <w:bodyDiv w:val="1"/>
      <w:marLeft w:val="0"/>
      <w:marRight w:val="0"/>
      <w:marTop w:val="0"/>
      <w:marBottom w:val="0"/>
      <w:divBdr>
        <w:top w:val="none" w:sz="0" w:space="0" w:color="auto"/>
        <w:left w:val="none" w:sz="0" w:space="0" w:color="auto"/>
        <w:bottom w:val="none" w:sz="0" w:space="0" w:color="auto"/>
        <w:right w:val="none" w:sz="0" w:space="0" w:color="auto"/>
      </w:divBdr>
    </w:div>
    <w:div w:id="1179461938">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786538954">
      <w:bodyDiv w:val="1"/>
      <w:marLeft w:val="0"/>
      <w:marRight w:val="0"/>
      <w:marTop w:val="0"/>
      <w:marBottom w:val="0"/>
      <w:divBdr>
        <w:top w:val="none" w:sz="0" w:space="0" w:color="auto"/>
        <w:left w:val="none" w:sz="0" w:space="0" w:color="auto"/>
        <w:bottom w:val="none" w:sz="0" w:space="0" w:color="auto"/>
        <w:right w:val="none" w:sz="0" w:space="0" w:color="auto"/>
      </w:divBdr>
    </w:div>
    <w:div w:id="1943956646">
      <w:bodyDiv w:val="1"/>
      <w:marLeft w:val="0"/>
      <w:marRight w:val="0"/>
      <w:marTop w:val="0"/>
      <w:marBottom w:val="0"/>
      <w:divBdr>
        <w:top w:val="none" w:sz="0" w:space="0" w:color="auto"/>
        <w:left w:val="none" w:sz="0" w:space="0" w:color="auto"/>
        <w:bottom w:val="none" w:sz="0" w:space="0" w:color="auto"/>
        <w:right w:val="none" w:sz="0" w:space="0" w:color="auto"/>
      </w:divBdr>
    </w:div>
    <w:div w:id="205311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Section56PersistentSymtomsNoDiagnosis"/><Relationship Id="rId21" Type="http://schemas.openxmlformats.org/officeDocument/2006/relationships/hyperlink" Target="#Section41Asthma"/><Relationship Id="rId34" Type="http://schemas.openxmlformats.org/officeDocument/2006/relationships/hyperlink" Target="#Section73ManagementOfPatientsWithPersist"/><Relationship Id="rId42" Type="http://schemas.openxmlformats.org/officeDocument/2006/relationships/hyperlink" Target="https://www.tg.org.au/" TargetMode="External"/><Relationship Id="rId47" Type="http://schemas.openxmlformats.org/officeDocument/2006/relationships/header" Target="header3.xml"/><Relationship Id="rId50" Type="http://schemas.openxmlformats.org/officeDocument/2006/relationships/footer" Target="footer2.xml"/><Relationship Id="rId55" Type="http://schemas.openxmlformats.org/officeDocument/2006/relationships/hyperlink" Target="https://www.asthmahandbook.org.au/" TargetMode="External"/><Relationship Id="rId63" Type="http://schemas.openxmlformats.org/officeDocument/2006/relationships/hyperlink" Target="https://www.asthmahandbook.org.au/diagnosis/adults/alternative-diagnoses" TargetMode="External"/><Relationship Id="rId68" Type="http://schemas.openxmlformats.org/officeDocument/2006/relationships/hyperlink" Target="https://www.asthmahandbook.org.au/management/adolescents" TargetMode="External"/><Relationship Id="rId76" Type="http://schemas.openxmlformats.org/officeDocument/2006/relationships/hyperlink" Target="https://www.asthmahandbook.org.au/management/adults" TargetMode="External"/><Relationship Id="rId84" Type="http://schemas.openxmlformats.org/officeDocument/2006/relationships/hyperlink" Target="https://www.ebs.tga.gov.au/ebs/picmi/picmirepository.nsf/pdf?OpenAgent&amp;id=CP-2010-CMI-07313-3" TargetMode="External"/><Relationship Id="rId89" Type="http://schemas.openxmlformats.org/officeDocument/2006/relationships/hyperlink" Target="https://www.ebs.tga.gov.au/ebs/picmi/picmirepository.nsf/pdf?OpenAgent&amp;id=CP-2010-PI-03227-3" TargetMode="External"/><Relationship Id="rId97"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hyperlink" Target="https://www.nps.org.au/consumers/complementary-medicines-explained" TargetMode="External"/><Relationship Id="rId92" Type="http://schemas.openxmlformats.org/officeDocument/2006/relationships/hyperlink" Target="https://www.ebs.tga.gov.au/ebs/picmi/picmirepository.nsf/pdf?OpenAgent&amp;id=CP-2010-CMI-04741-3&amp;d=20220714172310101" TargetMode="External"/><Relationship Id="rId2" Type="http://schemas.openxmlformats.org/officeDocument/2006/relationships/customXml" Target="../customXml/item2.xml"/><Relationship Id="rId16" Type="http://schemas.openxmlformats.org/officeDocument/2006/relationships/hyperlink" Target="#Section43MouldAllergyDiagnostics"/><Relationship Id="rId29" Type="http://schemas.openxmlformats.org/officeDocument/2006/relationships/hyperlink" Target="#Section623MouldRelatedInfection"/><Relationship Id="rId11" Type="http://schemas.openxmlformats.org/officeDocument/2006/relationships/header" Target="header1.xml"/><Relationship Id="rId24" Type="http://schemas.openxmlformats.org/officeDocument/2006/relationships/hyperlink" Target="#Section47PersistentDebilitatingSymptoms"/><Relationship Id="rId32" Type="http://schemas.openxmlformats.org/officeDocument/2006/relationships/hyperlink" Target="#Section712MouldAllergy"/><Relationship Id="rId37" Type="http://schemas.openxmlformats.org/officeDocument/2006/relationships/hyperlink" Target="https://www.asthmahandbook.org.au/diagnosis/children" TargetMode="External"/><Relationship Id="rId40" Type="http://schemas.openxmlformats.org/officeDocument/2006/relationships/hyperlink" Target="https://www.asthmahandbook.org.au/" TargetMode="External"/><Relationship Id="rId45" Type="http://schemas.openxmlformats.org/officeDocument/2006/relationships/hyperlink" Target="https://www.health.gov.au/resources/publications/enhealth-guidance-potential-health-effects-of-mould-in-the-environment" TargetMode="External"/><Relationship Id="rId53" Type="http://schemas.openxmlformats.org/officeDocument/2006/relationships/hyperlink" Target="https://www.health.gov.au/resources/publications/enhealth-guidance-potential-health-effects-of-mould-in-the-environment" TargetMode="External"/><Relationship Id="rId58" Type="http://schemas.openxmlformats.org/officeDocument/2006/relationships/hyperlink" Target="https://www.asthmahandbook.org.au/diagnosis/adolescents" TargetMode="External"/><Relationship Id="rId66" Type="http://schemas.openxmlformats.org/officeDocument/2006/relationships/hyperlink" Target="https://www.tg.org.au/" TargetMode="External"/><Relationship Id="rId74" Type="http://schemas.openxmlformats.org/officeDocument/2006/relationships/hyperlink" Target="https://cam.cochrane.org/cochrane-reviews-related-complementary-medicine%20accessed%209%20August%202020" TargetMode="External"/><Relationship Id="rId79" Type="http://schemas.openxmlformats.org/officeDocument/2006/relationships/footer" Target="footer4.xml"/><Relationship Id="rId87" Type="http://schemas.openxmlformats.org/officeDocument/2006/relationships/hyperlink" Target="https://www.ebs.tga.gov.au/ebs/picmi/picmirepository.nsf/pdf?OpenAgent&amp;id=CP-2011-PI-01931-3" TargetMode="External"/><Relationship Id="rId5" Type="http://schemas.openxmlformats.org/officeDocument/2006/relationships/numbering" Target="numbering.xml"/><Relationship Id="rId61" Type="http://schemas.openxmlformats.org/officeDocument/2006/relationships/hyperlink" Target="https://www.asthmahandbook.org.au/diagnosis/children" TargetMode="External"/><Relationship Id="rId82" Type="http://schemas.openxmlformats.org/officeDocument/2006/relationships/image" Target="media/image7.svg"/><Relationship Id="rId90" Type="http://schemas.openxmlformats.org/officeDocument/2006/relationships/hyperlink" Target="https://www.ebs.tga.gov.au/ebs/picmi/picmirepository.nsf/pdf?OpenAgent&amp;id=CP-2021-CMI-01732-1" TargetMode="External"/><Relationship Id="rId95" Type="http://schemas.openxmlformats.org/officeDocument/2006/relationships/footer" Target="footer6.xml"/><Relationship Id="rId19" Type="http://schemas.openxmlformats.org/officeDocument/2006/relationships/hyperlink" Target="#Sect312HPMouldRelatedInfectionsAndAllerg"/><Relationship Id="rId14" Type="http://schemas.openxmlformats.org/officeDocument/2006/relationships/hyperlink" Target="#Table1"/><Relationship Id="rId22" Type="http://schemas.openxmlformats.org/officeDocument/2006/relationships/hyperlink" Target="#Section42MouldInfectionDiagnostics"/><Relationship Id="rId27" Type="http://schemas.openxmlformats.org/officeDocument/2006/relationships/hyperlink" Target="#Sect61ReinforceMinimisingOrAvoidingExpos"/><Relationship Id="rId30" Type="http://schemas.openxmlformats.org/officeDocument/2006/relationships/hyperlink" Target="#Section622MouldAllergy"/><Relationship Id="rId35" Type="http://schemas.openxmlformats.org/officeDocument/2006/relationships/hyperlink" Target="#Section711Asthma"/><Relationship Id="rId43" Type="http://schemas.openxmlformats.org/officeDocument/2006/relationships/hyperlink" Target="https://www.asthmahandbook.org.au/" TargetMode="External"/><Relationship Id="rId48" Type="http://schemas.openxmlformats.org/officeDocument/2006/relationships/header" Target="header4.xml"/><Relationship Id="rId56" Type="http://schemas.openxmlformats.org/officeDocument/2006/relationships/hyperlink" Target="https://www.asthmahandbook.org.au/diagnosis/adults" TargetMode="External"/><Relationship Id="rId64" Type="http://schemas.openxmlformats.org/officeDocument/2006/relationships/hyperlink" Target="https://www.asthmahandbook.org.au/diagnosis/children" TargetMode="External"/><Relationship Id="rId69" Type="http://schemas.openxmlformats.org/officeDocument/2006/relationships/hyperlink" Target="https://www.asthmahandbook.org.au/management/children" TargetMode="External"/><Relationship Id="rId77" Type="http://schemas.openxmlformats.org/officeDocument/2006/relationships/hyperlink" Target="https://www.asthmahandbook.org.au/management/adolescents"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5.xml"/><Relationship Id="rId72" Type="http://schemas.openxmlformats.org/officeDocument/2006/relationships/hyperlink" Target="https://naturalmedicines.therapeuticresearch.com" TargetMode="External"/><Relationship Id="rId80" Type="http://schemas.openxmlformats.org/officeDocument/2006/relationships/image" Target="media/image5.emf"/><Relationship Id="rId85" Type="http://schemas.openxmlformats.org/officeDocument/2006/relationships/hyperlink" Target="https://www.ebs.tga.gov.au/ebs/picmi/picmirepository.nsf/pdf?OpenAgent&amp;id=CP-2010-PI-07312-3" TargetMode="External"/><Relationship Id="rId93" Type="http://schemas.openxmlformats.org/officeDocument/2006/relationships/hyperlink" Target="https://www.ebs.tga.gov.au/ebs/picmi/picmirepository.nsf/pdf?OpenAgent&amp;id=CP-2010-PI-03227-3" TargetMode="External"/><Relationship Id="rId98"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Sect214ProvideAdviceOnAvoidingOrMinimisi"/><Relationship Id="rId25" Type="http://schemas.openxmlformats.org/officeDocument/2006/relationships/hyperlink" Target="#Section55PersistentSymptmsDiagnosisEstab"/><Relationship Id="rId33" Type="http://schemas.openxmlformats.org/officeDocument/2006/relationships/hyperlink" Target="#Section72HPMouldRelatedInfectionsAndAlle"/><Relationship Id="rId38" Type="http://schemas.openxmlformats.org/officeDocument/2006/relationships/hyperlink" Target="https://www.health.gov.au/resources/publications/enhealth-guidance-potential-health-effects-of-mould-in-the-environment" TargetMode="External"/><Relationship Id="rId46" Type="http://schemas.openxmlformats.org/officeDocument/2006/relationships/hyperlink" Target="https://www.aioh.org.au/resources/consultants/" TargetMode="External"/><Relationship Id="rId59" Type="http://schemas.openxmlformats.org/officeDocument/2006/relationships/hyperlink" Target="https://www.asthmahandbook.org.au/diagnosis/adolescents/investigations" TargetMode="External"/><Relationship Id="rId67" Type="http://schemas.openxmlformats.org/officeDocument/2006/relationships/hyperlink" Target="https://www.asthmahandbook.org.au/management/adults" TargetMode="External"/><Relationship Id="rId20" Type="http://schemas.openxmlformats.org/officeDocument/2006/relationships/hyperlink" Target="#Sect32PatientsPresentingWithPersistentDe"/><Relationship Id="rId41" Type="http://schemas.openxmlformats.org/officeDocument/2006/relationships/hyperlink" Target="https://www.health.gov.au/resources/publications/enhealth-guidance-potential-health-effects-of-mould-in-the-environment" TargetMode="External"/><Relationship Id="rId54" Type="http://schemas.openxmlformats.org/officeDocument/2006/relationships/hyperlink" Target="https://www.aioh.org.au/resources/consultants/" TargetMode="External"/><Relationship Id="rId62" Type="http://schemas.openxmlformats.org/officeDocument/2006/relationships/hyperlink" Target="https://www.asthmahandbook.org.au/diagnosis/adults/making-a-diagnosis" TargetMode="External"/><Relationship Id="rId70" Type="http://schemas.openxmlformats.org/officeDocument/2006/relationships/hyperlink" Target="https://www.wslhd.health.nsw.gov.au/ArticleDocuments/2739/Australia%20and%20New%20Zealand%20Mycoses%20Interest%20Group%20Guidlines%20for%20Treatment%20of%20Mould%20Infections%202014.pdf.aspx" TargetMode="External"/><Relationship Id="rId75" Type="http://schemas.openxmlformats.org/officeDocument/2006/relationships/hyperlink" Target="https://www.betterhealth.vic.gov.au/health/ConditionsAndTreatments/complementary-therapies" TargetMode="External"/><Relationship Id="rId83" Type="http://schemas.openxmlformats.org/officeDocument/2006/relationships/footer" Target="footer5.xml"/><Relationship Id="rId88" Type="http://schemas.openxmlformats.org/officeDocument/2006/relationships/hyperlink" Target="https://www.ebs.tga.gov.au/ebs/picmi/picmirepository.nsf/pdf?OpenAgent&amp;id=CP-2017-CMI-02371-1" TargetMode="External"/><Relationship Id="rId91" Type="http://schemas.openxmlformats.org/officeDocument/2006/relationships/hyperlink" Target="https://www.ebs.tga.gov.au/ebs/picmi/picmirepository.nsf/pdf?OpenAgent&amp;id=CP-2020-PI-01791-1" TargetMode="Externa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Section311Asthma"/><Relationship Id="rId23" Type="http://schemas.openxmlformats.org/officeDocument/2006/relationships/hyperlink" Target="#Section44HPDiagnostics"/><Relationship Id="rId28" Type="http://schemas.openxmlformats.org/officeDocument/2006/relationships/hyperlink" Target="#Sect621Asthma"/><Relationship Id="rId36" Type="http://schemas.openxmlformats.org/officeDocument/2006/relationships/image" Target="media/image4.png"/><Relationship Id="rId49" Type="http://schemas.openxmlformats.org/officeDocument/2006/relationships/footer" Target="footer1.xml"/><Relationship Id="rId57" Type="http://schemas.openxmlformats.org/officeDocument/2006/relationships/hyperlink" Target="https://www.asthmahandbook.org.au/diagnosis/adults/initial-investigations" TargetMode="External"/><Relationship Id="rId10" Type="http://schemas.openxmlformats.org/officeDocument/2006/relationships/endnotes" Target="endnotes.xml"/><Relationship Id="rId31" Type="http://schemas.openxmlformats.org/officeDocument/2006/relationships/hyperlink" Target="#Section64ManagementOfPatientsWithPersist"/><Relationship Id="rId44" Type="http://schemas.openxmlformats.org/officeDocument/2006/relationships/hyperlink" Target="https://www.asthmahandbook.org.au/" TargetMode="External"/><Relationship Id="rId52" Type="http://schemas.openxmlformats.org/officeDocument/2006/relationships/footer" Target="footer3.xml"/><Relationship Id="rId60" Type="http://schemas.openxmlformats.org/officeDocument/2006/relationships/hyperlink" Target="https://www.asthmahandbook.org.au/diagnosis/children" TargetMode="External"/><Relationship Id="rId65" Type="http://schemas.openxmlformats.org/officeDocument/2006/relationships/hyperlink" Target="https://www.health.gov.au/resources/publications/enhealth-guidance-potential-health-effects-of-mould-in-the-environment" TargetMode="External"/><Relationship Id="rId73" Type="http://schemas.openxmlformats.org/officeDocument/2006/relationships/hyperlink" Target="https://www.mskcc.org/cancer-care/diagnosis-treatment/symptom-management/integrative-medicine/herbs" TargetMode="External"/><Relationship Id="rId78" Type="http://schemas.openxmlformats.org/officeDocument/2006/relationships/hyperlink" Target="https://www.asthmahandbook.org.au/management/children" TargetMode="External"/><Relationship Id="rId81" Type="http://schemas.openxmlformats.org/officeDocument/2006/relationships/image" Target="media/image6.png"/><Relationship Id="rId86" Type="http://schemas.openxmlformats.org/officeDocument/2006/relationships/hyperlink" Target="https://www.ebs.tga.gov.au/ebs/picmi/picmirepository.nsf/pdf?OpenAgent&amp;id=CP-2015-CMI-02636-1" TargetMode="External"/><Relationship Id="rId94" Type="http://schemas.openxmlformats.org/officeDocument/2006/relationships/hyperlink" Target="https://tga-search.clients.funnelback.com/s/search.html?collection=tga-artg&amp;profile=record&amp;meta_i=384528" TargetMode="External"/><Relationship Id="rId99" Type="http://schemas.openxmlformats.org/officeDocument/2006/relationships/header" Target="header8.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AppendixALikelyDifferentialDiagnosesOrSy"/><Relationship Id="rId18" Type="http://schemas.openxmlformats.org/officeDocument/2006/relationships/hyperlink" Target="#Section2"/><Relationship Id="rId39" Type="http://schemas.openxmlformats.org/officeDocument/2006/relationships/hyperlink" Target="https://www.asthmahandbook.org.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nata.com.au/accredited-facility" TargetMode="External"/><Relationship Id="rId1" Type="http://schemas.openxmlformats.org/officeDocument/2006/relationships/hyperlink" Target="https://www.epa.gov/air-research/environmental-relative-moldiness-index-erm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isman\AppData\Local\Microsoft\Windows\INetCache\Content.Outlook\Q9GYHA4W\Department-of-Health-and-Aged-Care_Long-document-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905F063F-ED59-455C-B548-69F27FE192F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A1336C2BAFBBA4EA878036FAA9347D0" ma:contentTypeVersion="" ma:contentTypeDescription="PDMS Document Site Content Type" ma:contentTypeScope="" ma:versionID="51cdaeb507b1d5ad7ac59e7071938da7">
  <xsd:schema xmlns:xsd="http://www.w3.org/2001/XMLSchema" xmlns:xs="http://www.w3.org/2001/XMLSchema" xmlns:p="http://schemas.microsoft.com/office/2006/metadata/properties" xmlns:ns2="905F063F-ED59-455C-B548-69F27FE192FB" targetNamespace="http://schemas.microsoft.com/office/2006/metadata/properties" ma:root="true" ma:fieldsID="e54c05bd700239ed49f315974621120c" ns2:_="">
    <xsd:import namespace="905F063F-ED59-455C-B548-69F27FE192FB"/>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F063F-ED59-455C-B548-69F27FE192F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905F063F-ED59-455C-B548-69F27FE192FB"/>
  </ds:schemaRefs>
</ds:datastoreItem>
</file>

<file path=customXml/itemProps4.xml><?xml version="1.0" encoding="utf-8"?>
<ds:datastoreItem xmlns:ds="http://schemas.openxmlformats.org/officeDocument/2006/customXml" ds:itemID="{74FE015E-6C14-4A84-9659-3B98A823D2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5F063F-ED59-455C-B548-69F27FE19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Department-of-Health-and-Aged-Care_Long-document-template.dotx</Template>
  <TotalTime>1383</TotalTime>
  <Pages>49</Pages>
  <Words>251774</Words>
  <Characters>1435117</Characters>
  <Application>Microsoft Office Word</Application>
  <DocSecurity>0</DocSecurity>
  <Lines>11959</Lines>
  <Paragraphs>3367</Paragraphs>
  <ScaleCrop>false</ScaleCrop>
  <HeadingPairs>
    <vt:vector size="2" baseType="variant">
      <vt:variant>
        <vt:lpstr>Title</vt:lpstr>
      </vt:variant>
      <vt:variant>
        <vt:i4>1</vt:i4>
      </vt:variant>
    </vt:vector>
  </HeadingPairs>
  <TitlesOfParts>
    <vt:vector size="1" baseType="lpstr">
      <vt:lpstr>Biotoxins (indoor damp and mould) Clinical Pathway</vt:lpstr>
    </vt:vector>
  </TitlesOfParts>
  <Company/>
  <LinksUpToDate>false</LinksUpToDate>
  <CharactersWithSpaces>1683524</CharactersWithSpaces>
  <SharedDoc>false</SharedDoc>
  <HLinks>
    <vt:vector size="1890" baseType="variant">
      <vt:variant>
        <vt:i4>8323075</vt:i4>
      </vt:variant>
      <vt:variant>
        <vt:i4>2709</vt:i4>
      </vt:variant>
      <vt:variant>
        <vt:i4>0</vt:i4>
      </vt:variant>
      <vt:variant>
        <vt:i4>5</vt:i4>
      </vt:variant>
      <vt:variant>
        <vt:lpwstr>https://tga-search.clients.funnelback.com/s/search.html?collection=tga-artg&amp;profile=record&amp;meta_i=384528</vt:lpwstr>
      </vt:variant>
      <vt:variant>
        <vt:lpwstr/>
      </vt:variant>
      <vt:variant>
        <vt:i4>1769546</vt:i4>
      </vt:variant>
      <vt:variant>
        <vt:i4>2706</vt:i4>
      </vt:variant>
      <vt:variant>
        <vt:i4>0</vt:i4>
      </vt:variant>
      <vt:variant>
        <vt:i4>5</vt:i4>
      </vt:variant>
      <vt:variant>
        <vt:lpwstr>https://www.ebs.tga.gov.au/ebs/picmi/picmirepository.nsf/pdf?OpenAgent&amp;id=CP-2010-PI-03227-3</vt:lpwstr>
      </vt:variant>
      <vt:variant>
        <vt:lpwstr/>
      </vt:variant>
      <vt:variant>
        <vt:i4>458834</vt:i4>
      </vt:variant>
      <vt:variant>
        <vt:i4>2703</vt:i4>
      </vt:variant>
      <vt:variant>
        <vt:i4>0</vt:i4>
      </vt:variant>
      <vt:variant>
        <vt:i4>5</vt:i4>
      </vt:variant>
      <vt:variant>
        <vt:lpwstr>https://www.ebs.tga.gov.au/ebs/picmi/picmirepository.nsf/pdf?OpenAgent&amp;id=CP-2010-CMI-04741-3&amp;d=20220714172310101</vt:lpwstr>
      </vt:variant>
      <vt:variant>
        <vt:lpwstr/>
      </vt:variant>
      <vt:variant>
        <vt:i4>1638467</vt:i4>
      </vt:variant>
      <vt:variant>
        <vt:i4>2700</vt:i4>
      </vt:variant>
      <vt:variant>
        <vt:i4>0</vt:i4>
      </vt:variant>
      <vt:variant>
        <vt:i4>5</vt:i4>
      </vt:variant>
      <vt:variant>
        <vt:lpwstr>https://www.ebs.tga.gov.au/ebs/picmi/picmirepository.nsf/pdf?OpenAgent&amp;id=CP-2020-PI-01791-1</vt:lpwstr>
      </vt:variant>
      <vt:variant>
        <vt:lpwstr/>
      </vt:variant>
      <vt:variant>
        <vt:i4>1572869</vt:i4>
      </vt:variant>
      <vt:variant>
        <vt:i4>2697</vt:i4>
      </vt:variant>
      <vt:variant>
        <vt:i4>0</vt:i4>
      </vt:variant>
      <vt:variant>
        <vt:i4>5</vt:i4>
      </vt:variant>
      <vt:variant>
        <vt:lpwstr>https://www.ebs.tga.gov.au/ebs/picmi/picmirepository.nsf/pdf?OpenAgent&amp;id=CP-2021-CMI-01732-1</vt:lpwstr>
      </vt:variant>
      <vt:variant>
        <vt:lpwstr/>
      </vt:variant>
      <vt:variant>
        <vt:i4>1769546</vt:i4>
      </vt:variant>
      <vt:variant>
        <vt:i4>2694</vt:i4>
      </vt:variant>
      <vt:variant>
        <vt:i4>0</vt:i4>
      </vt:variant>
      <vt:variant>
        <vt:i4>5</vt:i4>
      </vt:variant>
      <vt:variant>
        <vt:lpwstr>https://www.ebs.tga.gov.au/ebs/picmi/picmirepository.nsf/pdf?OpenAgent&amp;id=CP-2010-PI-03227-3</vt:lpwstr>
      </vt:variant>
      <vt:variant>
        <vt:lpwstr/>
      </vt:variant>
      <vt:variant>
        <vt:i4>1835012</vt:i4>
      </vt:variant>
      <vt:variant>
        <vt:i4>2691</vt:i4>
      </vt:variant>
      <vt:variant>
        <vt:i4>0</vt:i4>
      </vt:variant>
      <vt:variant>
        <vt:i4>5</vt:i4>
      </vt:variant>
      <vt:variant>
        <vt:lpwstr>https://www.ebs.tga.gov.au/ebs/picmi/picmirepository.nsf/pdf?OpenAgent&amp;id=CP-2017-CMI-02371-1</vt:lpwstr>
      </vt:variant>
      <vt:variant>
        <vt:lpwstr/>
      </vt:variant>
      <vt:variant>
        <vt:i4>1441864</vt:i4>
      </vt:variant>
      <vt:variant>
        <vt:i4>2688</vt:i4>
      </vt:variant>
      <vt:variant>
        <vt:i4>0</vt:i4>
      </vt:variant>
      <vt:variant>
        <vt:i4>5</vt:i4>
      </vt:variant>
      <vt:variant>
        <vt:lpwstr>https://www.ebs.tga.gov.au/ebs/picmi/picmirepository.nsf/pdf?OpenAgent&amp;id=CP-2011-PI-01931-3</vt:lpwstr>
      </vt:variant>
      <vt:variant>
        <vt:lpwstr/>
      </vt:variant>
      <vt:variant>
        <vt:i4>1572868</vt:i4>
      </vt:variant>
      <vt:variant>
        <vt:i4>2685</vt:i4>
      </vt:variant>
      <vt:variant>
        <vt:i4>0</vt:i4>
      </vt:variant>
      <vt:variant>
        <vt:i4>5</vt:i4>
      </vt:variant>
      <vt:variant>
        <vt:lpwstr>https://www.ebs.tga.gov.au/ebs/picmi/picmirepository.nsf/pdf?OpenAgent&amp;id=CP-2015-CMI-02636-1</vt:lpwstr>
      </vt:variant>
      <vt:variant>
        <vt:lpwstr/>
      </vt:variant>
      <vt:variant>
        <vt:i4>2031693</vt:i4>
      </vt:variant>
      <vt:variant>
        <vt:i4>2682</vt:i4>
      </vt:variant>
      <vt:variant>
        <vt:i4>0</vt:i4>
      </vt:variant>
      <vt:variant>
        <vt:i4>5</vt:i4>
      </vt:variant>
      <vt:variant>
        <vt:lpwstr>https://www.ebs.tga.gov.au/ebs/picmi/picmirepository.nsf/pdf?OpenAgent&amp;id=CP-2010-PI-07312-3</vt:lpwstr>
      </vt:variant>
      <vt:variant>
        <vt:lpwstr/>
      </vt:variant>
      <vt:variant>
        <vt:i4>2031617</vt:i4>
      </vt:variant>
      <vt:variant>
        <vt:i4>2679</vt:i4>
      </vt:variant>
      <vt:variant>
        <vt:i4>0</vt:i4>
      </vt:variant>
      <vt:variant>
        <vt:i4>5</vt:i4>
      </vt:variant>
      <vt:variant>
        <vt:lpwstr>https://www.ebs.tga.gov.au/ebs/picmi/picmirepository.nsf/pdf?OpenAgent&amp;id=CP-2010-CMI-07313-3</vt:lpwstr>
      </vt:variant>
      <vt:variant>
        <vt:lpwstr/>
      </vt:variant>
      <vt:variant>
        <vt:i4>1572883</vt:i4>
      </vt:variant>
      <vt:variant>
        <vt:i4>2673</vt:i4>
      </vt:variant>
      <vt:variant>
        <vt:i4>0</vt:i4>
      </vt:variant>
      <vt:variant>
        <vt:i4>5</vt:i4>
      </vt:variant>
      <vt:variant>
        <vt:lpwstr/>
      </vt:variant>
      <vt:variant>
        <vt:lpwstr>AppendixFPotentialSideEffectsOfPharmaceu</vt:lpwstr>
      </vt:variant>
      <vt:variant>
        <vt:i4>7929971</vt:i4>
      </vt:variant>
      <vt:variant>
        <vt:i4>2667</vt:i4>
      </vt:variant>
      <vt:variant>
        <vt:i4>0</vt:i4>
      </vt:variant>
      <vt:variant>
        <vt:i4>5</vt:i4>
      </vt:variant>
      <vt:variant>
        <vt:lpwstr/>
      </vt:variant>
      <vt:variant>
        <vt:lpwstr>Figure1</vt:lpwstr>
      </vt:variant>
      <vt:variant>
        <vt:i4>1572883</vt:i4>
      </vt:variant>
      <vt:variant>
        <vt:i4>2637</vt:i4>
      </vt:variant>
      <vt:variant>
        <vt:i4>0</vt:i4>
      </vt:variant>
      <vt:variant>
        <vt:i4>5</vt:i4>
      </vt:variant>
      <vt:variant>
        <vt:lpwstr/>
      </vt:variant>
      <vt:variant>
        <vt:lpwstr>AppendixFPotentialSideEffectsOfPharmaceu</vt:lpwstr>
      </vt:variant>
      <vt:variant>
        <vt:i4>1572883</vt:i4>
      </vt:variant>
      <vt:variant>
        <vt:i4>2634</vt:i4>
      </vt:variant>
      <vt:variant>
        <vt:i4>0</vt:i4>
      </vt:variant>
      <vt:variant>
        <vt:i4>5</vt:i4>
      </vt:variant>
      <vt:variant>
        <vt:lpwstr/>
      </vt:variant>
      <vt:variant>
        <vt:lpwstr>AppendixFPotentialSideEffectsOfPharmaceu</vt:lpwstr>
      </vt:variant>
      <vt:variant>
        <vt:i4>1572890</vt:i4>
      </vt:variant>
      <vt:variant>
        <vt:i4>2631</vt:i4>
      </vt:variant>
      <vt:variant>
        <vt:i4>0</vt:i4>
      </vt:variant>
      <vt:variant>
        <vt:i4>5</vt:i4>
      </vt:variant>
      <vt:variant>
        <vt:lpwstr/>
      </vt:variant>
      <vt:variant>
        <vt:lpwstr>AppendixECIRS</vt:lpwstr>
      </vt:variant>
      <vt:variant>
        <vt:i4>6619173</vt:i4>
      </vt:variant>
      <vt:variant>
        <vt:i4>2598</vt:i4>
      </vt:variant>
      <vt:variant>
        <vt:i4>0</vt:i4>
      </vt:variant>
      <vt:variant>
        <vt:i4>5</vt:i4>
      </vt:variant>
      <vt:variant>
        <vt:lpwstr/>
      </vt:variant>
      <vt:variant>
        <vt:lpwstr>Section462MycotoxinsInSerum</vt:lpwstr>
      </vt:variant>
      <vt:variant>
        <vt:i4>6029380</vt:i4>
      </vt:variant>
      <vt:variant>
        <vt:i4>2595</vt:i4>
      </vt:variant>
      <vt:variant>
        <vt:i4>0</vt:i4>
      </vt:variant>
      <vt:variant>
        <vt:i4>5</vt:i4>
      </vt:variant>
      <vt:variant>
        <vt:lpwstr/>
      </vt:variant>
      <vt:variant>
        <vt:lpwstr>Section46DiagnosticTestsThatAreNotRecomm</vt:lpwstr>
      </vt:variant>
      <vt:variant>
        <vt:i4>131077</vt:i4>
      </vt:variant>
      <vt:variant>
        <vt:i4>2487</vt:i4>
      </vt:variant>
      <vt:variant>
        <vt:i4>0</vt:i4>
      </vt:variant>
      <vt:variant>
        <vt:i4>5</vt:i4>
      </vt:variant>
      <vt:variant>
        <vt:lpwstr/>
      </vt:variant>
      <vt:variant>
        <vt:lpwstr>OdourEffects</vt:lpwstr>
      </vt:variant>
      <vt:variant>
        <vt:i4>7602235</vt:i4>
      </vt:variant>
      <vt:variant>
        <vt:i4>2403</vt:i4>
      </vt:variant>
      <vt:variant>
        <vt:i4>0</vt:i4>
      </vt:variant>
      <vt:variant>
        <vt:i4>5</vt:i4>
      </vt:variant>
      <vt:variant>
        <vt:lpwstr/>
      </vt:variant>
      <vt:variant>
        <vt:lpwstr>Section212IdentifySusceptiblePeople</vt:lpwstr>
      </vt:variant>
      <vt:variant>
        <vt:i4>6684733</vt:i4>
      </vt:variant>
      <vt:variant>
        <vt:i4>2235</vt:i4>
      </vt:variant>
      <vt:variant>
        <vt:i4>0</vt:i4>
      </vt:variant>
      <vt:variant>
        <vt:i4>5</vt:i4>
      </vt:variant>
      <vt:variant>
        <vt:lpwstr/>
      </vt:variant>
      <vt:variant>
        <vt:lpwstr>Section623MouldRelatedInfection</vt:lpwstr>
      </vt:variant>
      <vt:variant>
        <vt:i4>3997753</vt:i4>
      </vt:variant>
      <vt:variant>
        <vt:i4>2232</vt:i4>
      </vt:variant>
      <vt:variant>
        <vt:i4>0</vt:i4>
      </vt:variant>
      <vt:variant>
        <vt:i4>5</vt:i4>
      </vt:variant>
      <vt:variant>
        <vt:lpwstr/>
      </vt:variant>
      <vt:variant>
        <vt:lpwstr>Section53MouldRelatedInfection</vt:lpwstr>
      </vt:variant>
      <vt:variant>
        <vt:i4>2359355</vt:i4>
      </vt:variant>
      <vt:variant>
        <vt:i4>2229</vt:i4>
      </vt:variant>
      <vt:variant>
        <vt:i4>0</vt:i4>
      </vt:variant>
      <vt:variant>
        <vt:i4>5</vt:i4>
      </vt:variant>
      <vt:variant>
        <vt:lpwstr/>
      </vt:variant>
      <vt:variant>
        <vt:lpwstr>Section42MouldInfectionDiagnostics</vt:lpwstr>
      </vt:variant>
      <vt:variant>
        <vt:i4>131166</vt:i4>
      </vt:variant>
      <vt:variant>
        <vt:i4>2178</vt:i4>
      </vt:variant>
      <vt:variant>
        <vt:i4>0</vt:i4>
      </vt:variant>
      <vt:variant>
        <vt:i4>5</vt:i4>
      </vt:variant>
      <vt:variant>
        <vt:lpwstr/>
      </vt:variant>
      <vt:variant>
        <vt:lpwstr>Section711Asthma</vt:lpwstr>
      </vt:variant>
      <vt:variant>
        <vt:i4>196701</vt:i4>
      </vt:variant>
      <vt:variant>
        <vt:i4>2175</vt:i4>
      </vt:variant>
      <vt:variant>
        <vt:i4>0</vt:i4>
      </vt:variant>
      <vt:variant>
        <vt:i4>5</vt:i4>
      </vt:variant>
      <vt:variant>
        <vt:lpwstr/>
      </vt:variant>
      <vt:variant>
        <vt:lpwstr>Section621Asthma</vt:lpwstr>
      </vt:variant>
      <vt:variant>
        <vt:i4>1441883</vt:i4>
      </vt:variant>
      <vt:variant>
        <vt:i4>2172</vt:i4>
      </vt:variant>
      <vt:variant>
        <vt:i4>0</vt:i4>
      </vt:variant>
      <vt:variant>
        <vt:i4>5</vt:i4>
      </vt:variant>
      <vt:variant>
        <vt:lpwstr/>
      </vt:variant>
      <vt:variant>
        <vt:lpwstr>Section515NoConfirmedDiagnosisOfAsthmaAn</vt:lpwstr>
      </vt:variant>
      <vt:variant>
        <vt:i4>1638492</vt:i4>
      </vt:variant>
      <vt:variant>
        <vt:i4>2169</vt:i4>
      </vt:variant>
      <vt:variant>
        <vt:i4>0</vt:i4>
      </vt:variant>
      <vt:variant>
        <vt:i4>5</vt:i4>
      </vt:variant>
      <vt:variant>
        <vt:lpwstr/>
      </vt:variant>
      <vt:variant>
        <vt:lpwstr>Section511ConfirmedDiagnosisOfAsthmaInAd</vt:lpwstr>
      </vt:variant>
      <vt:variant>
        <vt:i4>3342397</vt:i4>
      </vt:variant>
      <vt:variant>
        <vt:i4>2166</vt:i4>
      </vt:variant>
      <vt:variant>
        <vt:i4>0</vt:i4>
      </vt:variant>
      <vt:variant>
        <vt:i4>5</vt:i4>
      </vt:variant>
      <vt:variant>
        <vt:lpwstr/>
      </vt:variant>
      <vt:variant>
        <vt:lpwstr>Section51Asthma</vt:lpwstr>
      </vt:variant>
      <vt:variant>
        <vt:i4>262169</vt:i4>
      </vt:variant>
      <vt:variant>
        <vt:i4>2163</vt:i4>
      </vt:variant>
      <vt:variant>
        <vt:i4>0</vt:i4>
      </vt:variant>
      <vt:variant>
        <vt:i4>5</vt:i4>
      </vt:variant>
      <vt:variant>
        <vt:lpwstr/>
      </vt:variant>
      <vt:variant>
        <vt:lpwstr>Section414InfantsAged0To12Months</vt:lpwstr>
      </vt:variant>
      <vt:variant>
        <vt:i4>70</vt:i4>
      </vt:variant>
      <vt:variant>
        <vt:i4>2160</vt:i4>
      </vt:variant>
      <vt:variant>
        <vt:i4>0</vt:i4>
      </vt:variant>
      <vt:variant>
        <vt:i4>5</vt:i4>
      </vt:variant>
      <vt:variant>
        <vt:lpwstr/>
      </vt:variant>
      <vt:variant>
        <vt:lpwstr>Section411Adults</vt:lpwstr>
      </vt:variant>
      <vt:variant>
        <vt:i4>3276861</vt:i4>
      </vt:variant>
      <vt:variant>
        <vt:i4>2157</vt:i4>
      </vt:variant>
      <vt:variant>
        <vt:i4>0</vt:i4>
      </vt:variant>
      <vt:variant>
        <vt:i4>5</vt:i4>
      </vt:variant>
      <vt:variant>
        <vt:lpwstr/>
      </vt:variant>
      <vt:variant>
        <vt:lpwstr>Section41Asthma</vt:lpwstr>
      </vt:variant>
      <vt:variant>
        <vt:i4>5570590</vt:i4>
      </vt:variant>
      <vt:variant>
        <vt:i4>2103</vt:i4>
      </vt:variant>
      <vt:variant>
        <vt:i4>0</vt:i4>
      </vt:variant>
      <vt:variant>
        <vt:i4>5</vt:i4>
      </vt:variant>
      <vt:variant>
        <vt:lpwstr/>
      </vt:variant>
      <vt:variant>
        <vt:lpwstr>Sect312HPMouldRelatedInfectionsAndAllerg</vt:lpwstr>
      </vt:variant>
      <vt:variant>
        <vt:i4>917529</vt:i4>
      </vt:variant>
      <vt:variant>
        <vt:i4>2100</vt:i4>
      </vt:variant>
      <vt:variant>
        <vt:i4>0</vt:i4>
      </vt:variant>
      <vt:variant>
        <vt:i4>5</vt:i4>
      </vt:variant>
      <vt:variant>
        <vt:lpwstr/>
      </vt:variant>
      <vt:variant>
        <vt:lpwstr>AppendixGBibliography</vt:lpwstr>
      </vt:variant>
      <vt:variant>
        <vt:i4>1572883</vt:i4>
      </vt:variant>
      <vt:variant>
        <vt:i4>2097</vt:i4>
      </vt:variant>
      <vt:variant>
        <vt:i4>0</vt:i4>
      </vt:variant>
      <vt:variant>
        <vt:i4>5</vt:i4>
      </vt:variant>
      <vt:variant>
        <vt:lpwstr/>
      </vt:variant>
      <vt:variant>
        <vt:lpwstr>AppendixFPotentialSideEffectsOfPharmaceu</vt:lpwstr>
      </vt:variant>
      <vt:variant>
        <vt:i4>1572890</vt:i4>
      </vt:variant>
      <vt:variant>
        <vt:i4>2094</vt:i4>
      </vt:variant>
      <vt:variant>
        <vt:i4>0</vt:i4>
      </vt:variant>
      <vt:variant>
        <vt:i4>5</vt:i4>
      </vt:variant>
      <vt:variant>
        <vt:lpwstr/>
      </vt:variant>
      <vt:variant>
        <vt:lpwstr>AppendixECIRS</vt:lpwstr>
      </vt:variant>
      <vt:variant>
        <vt:i4>917504</vt:i4>
      </vt:variant>
      <vt:variant>
        <vt:i4>2091</vt:i4>
      </vt:variant>
      <vt:variant>
        <vt:i4>0</vt:i4>
      </vt:variant>
      <vt:variant>
        <vt:i4>5</vt:i4>
      </vt:variant>
      <vt:variant>
        <vt:lpwstr/>
      </vt:variant>
      <vt:variant>
        <vt:lpwstr>AppendixDenHealthFactsheetOnPotentialHea</vt:lpwstr>
      </vt:variant>
      <vt:variant>
        <vt:i4>1638419</vt:i4>
      </vt:variant>
      <vt:variant>
        <vt:i4>2088</vt:i4>
      </vt:variant>
      <vt:variant>
        <vt:i4>0</vt:i4>
      </vt:variant>
      <vt:variant>
        <vt:i4>5</vt:i4>
      </vt:variant>
      <vt:variant>
        <vt:lpwstr/>
      </vt:variant>
      <vt:variant>
        <vt:lpwstr>AppendixCUnlikelyDifferentialDiagnosesOr</vt:lpwstr>
      </vt:variant>
      <vt:variant>
        <vt:i4>65541</vt:i4>
      </vt:variant>
      <vt:variant>
        <vt:i4>2085</vt:i4>
      </vt:variant>
      <vt:variant>
        <vt:i4>0</vt:i4>
      </vt:variant>
      <vt:variant>
        <vt:i4>5</vt:i4>
      </vt:variant>
      <vt:variant>
        <vt:lpwstr/>
      </vt:variant>
      <vt:variant>
        <vt:lpwstr>AppendixBLessLikelyDifferentialDiagnoses</vt:lpwstr>
      </vt:variant>
      <vt:variant>
        <vt:i4>1376268</vt:i4>
      </vt:variant>
      <vt:variant>
        <vt:i4>2082</vt:i4>
      </vt:variant>
      <vt:variant>
        <vt:i4>0</vt:i4>
      </vt:variant>
      <vt:variant>
        <vt:i4>5</vt:i4>
      </vt:variant>
      <vt:variant>
        <vt:lpwstr/>
      </vt:variant>
      <vt:variant>
        <vt:lpwstr>AppendixALikelyDifferentialDiagnosesOrSy</vt:lpwstr>
      </vt:variant>
      <vt:variant>
        <vt:i4>4653130</vt:i4>
      </vt:variant>
      <vt:variant>
        <vt:i4>2079</vt:i4>
      </vt:variant>
      <vt:variant>
        <vt:i4>0</vt:i4>
      </vt:variant>
      <vt:variant>
        <vt:i4>5</vt:i4>
      </vt:variant>
      <vt:variant>
        <vt:lpwstr/>
      </vt:variant>
      <vt:variant>
        <vt:lpwstr>Sect32PatientsPresentingWithPersistentDe</vt:lpwstr>
      </vt:variant>
      <vt:variant>
        <vt:i4>4653130</vt:i4>
      </vt:variant>
      <vt:variant>
        <vt:i4>2076</vt:i4>
      </vt:variant>
      <vt:variant>
        <vt:i4>0</vt:i4>
      </vt:variant>
      <vt:variant>
        <vt:i4>5</vt:i4>
      </vt:variant>
      <vt:variant>
        <vt:lpwstr/>
      </vt:variant>
      <vt:variant>
        <vt:lpwstr>Sect32PatientsPresentingWithPersistentDe</vt:lpwstr>
      </vt:variant>
      <vt:variant>
        <vt:i4>4194390</vt:i4>
      </vt:variant>
      <vt:variant>
        <vt:i4>2073</vt:i4>
      </vt:variant>
      <vt:variant>
        <vt:i4>0</vt:i4>
      </vt:variant>
      <vt:variant>
        <vt:i4>5</vt:i4>
      </vt:variant>
      <vt:variant>
        <vt:lpwstr/>
      </vt:variant>
      <vt:variant>
        <vt:lpwstr>Section34PatientsPresentingWithPersisten</vt:lpwstr>
      </vt:variant>
      <vt:variant>
        <vt:i4>655370</vt:i4>
      </vt:variant>
      <vt:variant>
        <vt:i4>2070</vt:i4>
      </vt:variant>
      <vt:variant>
        <vt:i4>0</vt:i4>
      </vt:variant>
      <vt:variant>
        <vt:i4>5</vt:i4>
      </vt:variant>
      <vt:variant>
        <vt:lpwstr>https://www.asthmahandbook.org.au/management/children</vt:lpwstr>
      </vt:variant>
      <vt:variant>
        <vt:lpwstr/>
      </vt:variant>
      <vt:variant>
        <vt:i4>1310742</vt:i4>
      </vt:variant>
      <vt:variant>
        <vt:i4>2067</vt:i4>
      </vt:variant>
      <vt:variant>
        <vt:i4>0</vt:i4>
      </vt:variant>
      <vt:variant>
        <vt:i4>5</vt:i4>
      </vt:variant>
      <vt:variant>
        <vt:lpwstr>https://www.asthmahandbook.org.au/management/adolescents</vt:lpwstr>
      </vt:variant>
      <vt:variant>
        <vt:lpwstr/>
      </vt:variant>
      <vt:variant>
        <vt:i4>6357108</vt:i4>
      </vt:variant>
      <vt:variant>
        <vt:i4>2064</vt:i4>
      </vt:variant>
      <vt:variant>
        <vt:i4>0</vt:i4>
      </vt:variant>
      <vt:variant>
        <vt:i4>5</vt:i4>
      </vt:variant>
      <vt:variant>
        <vt:lpwstr>https://www.asthmahandbook.org.au/management/adults</vt:lpwstr>
      </vt:variant>
      <vt:variant>
        <vt:lpwstr/>
      </vt:variant>
      <vt:variant>
        <vt:i4>4128883</vt:i4>
      </vt:variant>
      <vt:variant>
        <vt:i4>2052</vt:i4>
      </vt:variant>
      <vt:variant>
        <vt:i4>0</vt:i4>
      </vt:variant>
      <vt:variant>
        <vt:i4>5</vt:i4>
      </vt:variant>
      <vt:variant>
        <vt:lpwstr/>
      </vt:variant>
      <vt:variant>
        <vt:lpwstr>Table2</vt:lpwstr>
      </vt:variant>
      <vt:variant>
        <vt:i4>7798828</vt:i4>
      </vt:variant>
      <vt:variant>
        <vt:i4>2025</vt:i4>
      </vt:variant>
      <vt:variant>
        <vt:i4>0</vt:i4>
      </vt:variant>
      <vt:variant>
        <vt:i4>5</vt:i4>
      </vt:variant>
      <vt:variant>
        <vt:lpwstr>https://www.betterhealth.vic.gov.au/health/ConditionsAndTreatments/complementary-therapies</vt:lpwstr>
      </vt:variant>
      <vt:variant>
        <vt:lpwstr/>
      </vt:variant>
      <vt:variant>
        <vt:i4>2752558</vt:i4>
      </vt:variant>
      <vt:variant>
        <vt:i4>2022</vt:i4>
      </vt:variant>
      <vt:variant>
        <vt:i4>0</vt:i4>
      </vt:variant>
      <vt:variant>
        <vt:i4>5</vt:i4>
      </vt:variant>
      <vt:variant>
        <vt:lpwstr>https://cam.cochrane.org/cochrane-reviews-related-complementary-medicine accessed 9 August 2020</vt:lpwstr>
      </vt:variant>
      <vt:variant>
        <vt:lpwstr/>
      </vt:variant>
      <vt:variant>
        <vt:i4>8061040</vt:i4>
      </vt:variant>
      <vt:variant>
        <vt:i4>2019</vt:i4>
      </vt:variant>
      <vt:variant>
        <vt:i4>0</vt:i4>
      </vt:variant>
      <vt:variant>
        <vt:i4>5</vt:i4>
      </vt:variant>
      <vt:variant>
        <vt:lpwstr>https://www.mskcc.org/cancer-care/diagnosis-treatment/symptom-management/integrative-medicine/herbs</vt:lpwstr>
      </vt:variant>
      <vt:variant>
        <vt:lpwstr/>
      </vt:variant>
      <vt:variant>
        <vt:i4>327774</vt:i4>
      </vt:variant>
      <vt:variant>
        <vt:i4>2016</vt:i4>
      </vt:variant>
      <vt:variant>
        <vt:i4>0</vt:i4>
      </vt:variant>
      <vt:variant>
        <vt:i4>5</vt:i4>
      </vt:variant>
      <vt:variant>
        <vt:lpwstr>https://naturalmedicines.therapeuticresearch.com/</vt:lpwstr>
      </vt:variant>
      <vt:variant>
        <vt:lpwstr/>
      </vt:variant>
      <vt:variant>
        <vt:i4>2162742</vt:i4>
      </vt:variant>
      <vt:variant>
        <vt:i4>2013</vt:i4>
      </vt:variant>
      <vt:variant>
        <vt:i4>0</vt:i4>
      </vt:variant>
      <vt:variant>
        <vt:i4>5</vt:i4>
      </vt:variant>
      <vt:variant>
        <vt:lpwstr>https://www.nps.org.au/consumers/complementary-medicines-explained</vt:lpwstr>
      </vt:variant>
      <vt:variant>
        <vt:lpwstr/>
      </vt:variant>
      <vt:variant>
        <vt:i4>3932275</vt:i4>
      </vt:variant>
      <vt:variant>
        <vt:i4>1986</vt:i4>
      </vt:variant>
      <vt:variant>
        <vt:i4>0</vt:i4>
      </vt:variant>
      <vt:variant>
        <vt:i4>5</vt:i4>
      </vt:variant>
      <vt:variant>
        <vt:lpwstr/>
      </vt:variant>
      <vt:variant>
        <vt:lpwstr>Table1</vt:lpwstr>
      </vt:variant>
      <vt:variant>
        <vt:i4>6029398</vt:i4>
      </vt:variant>
      <vt:variant>
        <vt:i4>1884</vt:i4>
      </vt:variant>
      <vt:variant>
        <vt:i4>0</vt:i4>
      </vt:variant>
      <vt:variant>
        <vt:i4>5</vt:i4>
      </vt:variant>
      <vt:variant>
        <vt:lpwstr>https://www.wslhd.health.nsw.gov.au/ArticleDocuments/2739/Australia and New Zealand Mycoses Interest Group Guidlines for Treatment of Mould Infections 2014.pdf.aspx</vt:lpwstr>
      </vt:variant>
      <vt:variant>
        <vt:lpwstr/>
      </vt:variant>
      <vt:variant>
        <vt:i4>655370</vt:i4>
      </vt:variant>
      <vt:variant>
        <vt:i4>1863</vt:i4>
      </vt:variant>
      <vt:variant>
        <vt:i4>0</vt:i4>
      </vt:variant>
      <vt:variant>
        <vt:i4>5</vt:i4>
      </vt:variant>
      <vt:variant>
        <vt:lpwstr>https://www.asthmahandbook.org.au/management/children</vt:lpwstr>
      </vt:variant>
      <vt:variant>
        <vt:lpwstr/>
      </vt:variant>
      <vt:variant>
        <vt:i4>1310742</vt:i4>
      </vt:variant>
      <vt:variant>
        <vt:i4>1860</vt:i4>
      </vt:variant>
      <vt:variant>
        <vt:i4>0</vt:i4>
      </vt:variant>
      <vt:variant>
        <vt:i4>5</vt:i4>
      </vt:variant>
      <vt:variant>
        <vt:lpwstr>https://www.asthmahandbook.org.au/management/adolescents</vt:lpwstr>
      </vt:variant>
      <vt:variant>
        <vt:lpwstr/>
      </vt:variant>
      <vt:variant>
        <vt:i4>6357108</vt:i4>
      </vt:variant>
      <vt:variant>
        <vt:i4>1857</vt:i4>
      </vt:variant>
      <vt:variant>
        <vt:i4>0</vt:i4>
      </vt:variant>
      <vt:variant>
        <vt:i4>5</vt:i4>
      </vt:variant>
      <vt:variant>
        <vt:lpwstr>https://www.asthmahandbook.org.au/management/adults</vt:lpwstr>
      </vt:variant>
      <vt:variant>
        <vt:lpwstr/>
      </vt:variant>
      <vt:variant>
        <vt:i4>6881331</vt:i4>
      </vt:variant>
      <vt:variant>
        <vt:i4>1848</vt:i4>
      </vt:variant>
      <vt:variant>
        <vt:i4>0</vt:i4>
      </vt:variant>
      <vt:variant>
        <vt:i4>5</vt:i4>
      </vt:variant>
      <vt:variant>
        <vt:lpwstr>https://www.tg.org.au/</vt:lpwstr>
      </vt:variant>
      <vt:variant>
        <vt:lpwstr/>
      </vt:variant>
      <vt:variant>
        <vt:i4>7077990</vt:i4>
      </vt:variant>
      <vt:variant>
        <vt:i4>1842</vt:i4>
      </vt:variant>
      <vt:variant>
        <vt:i4>0</vt:i4>
      </vt:variant>
      <vt:variant>
        <vt:i4>5</vt:i4>
      </vt:variant>
      <vt:variant>
        <vt:lpwstr>https://www.health.gov.au/resources/publications/enhealth-guidance-potential-health-effects-of-mould-in-the-environment</vt:lpwstr>
      </vt:variant>
      <vt:variant>
        <vt:lpwstr/>
      </vt:variant>
      <vt:variant>
        <vt:i4>917504</vt:i4>
      </vt:variant>
      <vt:variant>
        <vt:i4>1839</vt:i4>
      </vt:variant>
      <vt:variant>
        <vt:i4>0</vt:i4>
      </vt:variant>
      <vt:variant>
        <vt:i4>5</vt:i4>
      </vt:variant>
      <vt:variant>
        <vt:lpwstr/>
      </vt:variant>
      <vt:variant>
        <vt:lpwstr>AppendixDenHealthFactsheetOnPotentialHea</vt:lpwstr>
      </vt:variant>
      <vt:variant>
        <vt:i4>393296</vt:i4>
      </vt:variant>
      <vt:variant>
        <vt:i4>1836</vt:i4>
      </vt:variant>
      <vt:variant>
        <vt:i4>0</vt:i4>
      </vt:variant>
      <vt:variant>
        <vt:i4>5</vt:i4>
      </vt:variant>
      <vt:variant>
        <vt:lpwstr/>
      </vt:variant>
      <vt:variant>
        <vt:lpwstr>Section214ProvideAdviceOnAvoidingOrMinim</vt:lpwstr>
      </vt:variant>
      <vt:variant>
        <vt:i4>4784192</vt:i4>
      </vt:variant>
      <vt:variant>
        <vt:i4>1833</vt:i4>
      </vt:variant>
      <vt:variant>
        <vt:i4>0</vt:i4>
      </vt:variant>
      <vt:variant>
        <vt:i4>5</vt:i4>
      </vt:variant>
      <vt:variant>
        <vt:lpwstr/>
      </vt:variant>
      <vt:variant>
        <vt:lpwstr>Section64ManagementOfPatientsWithPersist</vt:lpwstr>
      </vt:variant>
      <vt:variant>
        <vt:i4>393296</vt:i4>
      </vt:variant>
      <vt:variant>
        <vt:i4>1827</vt:i4>
      </vt:variant>
      <vt:variant>
        <vt:i4>0</vt:i4>
      </vt:variant>
      <vt:variant>
        <vt:i4>5</vt:i4>
      </vt:variant>
      <vt:variant>
        <vt:lpwstr/>
      </vt:variant>
      <vt:variant>
        <vt:lpwstr>Section214ProvideAdviceOnAvoidingOrMinim</vt:lpwstr>
      </vt:variant>
      <vt:variant>
        <vt:i4>4653130</vt:i4>
      </vt:variant>
      <vt:variant>
        <vt:i4>1821</vt:i4>
      </vt:variant>
      <vt:variant>
        <vt:i4>0</vt:i4>
      </vt:variant>
      <vt:variant>
        <vt:i4>5</vt:i4>
      </vt:variant>
      <vt:variant>
        <vt:lpwstr/>
      </vt:variant>
      <vt:variant>
        <vt:lpwstr>Sect32PatientsPresentingWithPersistentDe</vt:lpwstr>
      </vt:variant>
      <vt:variant>
        <vt:i4>393296</vt:i4>
      </vt:variant>
      <vt:variant>
        <vt:i4>1815</vt:i4>
      </vt:variant>
      <vt:variant>
        <vt:i4>0</vt:i4>
      </vt:variant>
      <vt:variant>
        <vt:i4>5</vt:i4>
      </vt:variant>
      <vt:variant>
        <vt:lpwstr/>
      </vt:variant>
      <vt:variant>
        <vt:lpwstr>Section214ProvideAdviceOnAvoidingOrMinim</vt:lpwstr>
      </vt:variant>
      <vt:variant>
        <vt:i4>4653130</vt:i4>
      </vt:variant>
      <vt:variant>
        <vt:i4>1809</vt:i4>
      </vt:variant>
      <vt:variant>
        <vt:i4>0</vt:i4>
      </vt:variant>
      <vt:variant>
        <vt:i4>5</vt:i4>
      </vt:variant>
      <vt:variant>
        <vt:lpwstr/>
      </vt:variant>
      <vt:variant>
        <vt:lpwstr>Sect32PatientsPresentingWithPersistentDe</vt:lpwstr>
      </vt:variant>
      <vt:variant>
        <vt:i4>393296</vt:i4>
      </vt:variant>
      <vt:variant>
        <vt:i4>1806</vt:i4>
      </vt:variant>
      <vt:variant>
        <vt:i4>0</vt:i4>
      </vt:variant>
      <vt:variant>
        <vt:i4>5</vt:i4>
      </vt:variant>
      <vt:variant>
        <vt:lpwstr/>
      </vt:variant>
      <vt:variant>
        <vt:lpwstr>Section214ProvideAdviceOnAvoidingOrMinim</vt:lpwstr>
      </vt:variant>
      <vt:variant>
        <vt:i4>4653130</vt:i4>
      </vt:variant>
      <vt:variant>
        <vt:i4>1797</vt:i4>
      </vt:variant>
      <vt:variant>
        <vt:i4>0</vt:i4>
      </vt:variant>
      <vt:variant>
        <vt:i4>5</vt:i4>
      </vt:variant>
      <vt:variant>
        <vt:lpwstr/>
      </vt:variant>
      <vt:variant>
        <vt:lpwstr>Sect32PatientsPresentingWithPersistentDe</vt:lpwstr>
      </vt:variant>
      <vt:variant>
        <vt:i4>393296</vt:i4>
      </vt:variant>
      <vt:variant>
        <vt:i4>1794</vt:i4>
      </vt:variant>
      <vt:variant>
        <vt:i4>0</vt:i4>
      </vt:variant>
      <vt:variant>
        <vt:i4>5</vt:i4>
      </vt:variant>
      <vt:variant>
        <vt:lpwstr/>
      </vt:variant>
      <vt:variant>
        <vt:lpwstr>Section214ProvideAdviceOnAvoidingOrMinim</vt:lpwstr>
      </vt:variant>
      <vt:variant>
        <vt:i4>4653130</vt:i4>
      </vt:variant>
      <vt:variant>
        <vt:i4>1779</vt:i4>
      </vt:variant>
      <vt:variant>
        <vt:i4>0</vt:i4>
      </vt:variant>
      <vt:variant>
        <vt:i4>5</vt:i4>
      </vt:variant>
      <vt:variant>
        <vt:lpwstr/>
      </vt:variant>
      <vt:variant>
        <vt:lpwstr>Sect32PatientsPresentingWithPersistentDe</vt:lpwstr>
      </vt:variant>
      <vt:variant>
        <vt:i4>262169</vt:i4>
      </vt:variant>
      <vt:variant>
        <vt:i4>1767</vt:i4>
      </vt:variant>
      <vt:variant>
        <vt:i4>0</vt:i4>
      </vt:variant>
      <vt:variant>
        <vt:i4>5</vt:i4>
      </vt:variant>
      <vt:variant>
        <vt:lpwstr/>
      </vt:variant>
      <vt:variant>
        <vt:lpwstr>Section414InfantsAged0To12Months</vt:lpwstr>
      </vt:variant>
      <vt:variant>
        <vt:i4>4849748</vt:i4>
      </vt:variant>
      <vt:variant>
        <vt:i4>1761</vt:i4>
      </vt:variant>
      <vt:variant>
        <vt:i4>0</vt:i4>
      </vt:variant>
      <vt:variant>
        <vt:i4>5</vt:i4>
      </vt:variant>
      <vt:variant>
        <vt:lpwstr>https://www.asthmahandbook.org.au/diagnosis/children</vt:lpwstr>
      </vt:variant>
      <vt:variant>
        <vt:lpwstr/>
      </vt:variant>
      <vt:variant>
        <vt:i4>4718684</vt:i4>
      </vt:variant>
      <vt:variant>
        <vt:i4>1752</vt:i4>
      </vt:variant>
      <vt:variant>
        <vt:i4>0</vt:i4>
      </vt:variant>
      <vt:variant>
        <vt:i4>5</vt:i4>
      </vt:variant>
      <vt:variant>
        <vt:lpwstr>https://www.asthmahandbook.org.au/diagnosis/adults/alternative-diagnoses</vt:lpwstr>
      </vt:variant>
      <vt:variant>
        <vt:lpwstr/>
      </vt:variant>
      <vt:variant>
        <vt:i4>4784134</vt:i4>
      </vt:variant>
      <vt:variant>
        <vt:i4>1749</vt:i4>
      </vt:variant>
      <vt:variant>
        <vt:i4>0</vt:i4>
      </vt:variant>
      <vt:variant>
        <vt:i4>5</vt:i4>
      </vt:variant>
      <vt:variant>
        <vt:lpwstr>https://www.asthmahandbook.org.au/diagnosis/adults/making-a-diagnosis</vt:lpwstr>
      </vt:variant>
      <vt:variant>
        <vt:lpwstr/>
      </vt:variant>
      <vt:variant>
        <vt:i4>1638419</vt:i4>
      </vt:variant>
      <vt:variant>
        <vt:i4>1734</vt:i4>
      </vt:variant>
      <vt:variant>
        <vt:i4>0</vt:i4>
      </vt:variant>
      <vt:variant>
        <vt:i4>5</vt:i4>
      </vt:variant>
      <vt:variant>
        <vt:lpwstr/>
      </vt:variant>
      <vt:variant>
        <vt:lpwstr>AppendixCUnlikelyDifferentialDiagnosesOr</vt:lpwstr>
      </vt:variant>
      <vt:variant>
        <vt:i4>4849748</vt:i4>
      </vt:variant>
      <vt:variant>
        <vt:i4>1632</vt:i4>
      </vt:variant>
      <vt:variant>
        <vt:i4>0</vt:i4>
      </vt:variant>
      <vt:variant>
        <vt:i4>5</vt:i4>
      </vt:variant>
      <vt:variant>
        <vt:lpwstr>https://www.asthmahandbook.org.au/diagnosis/children</vt:lpwstr>
      </vt:variant>
      <vt:variant>
        <vt:lpwstr/>
      </vt:variant>
      <vt:variant>
        <vt:i4>4849748</vt:i4>
      </vt:variant>
      <vt:variant>
        <vt:i4>1629</vt:i4>
      </vt:variant>
      <vt:variant>
        <vt:i4>0</vt:i4>
      </vt:variant>
      <vt:variant>
        <vt:i4>5</vt:i4>
      </vt:variant>
      <vt:variant>
        <vt:lpwstr>https://www.asthmahandbook.org.au/diagnosis/children</vt:lpwstr>
      </vt:variant>
      <vt:variant>
        <vt:lpwstr/>
      </vt:variant>
      <vt:variant>
        <vt:i4>6750249</vt:i4>
      </vt:variant>
      <vt:variant>
        <vt:i4>1623</vt:i4>
      </vt:variant>
      <vt:variant>
        <vt:i4>0</vt:i4>
      </vt:variant>
      <vt:variant>
        <vt:i4>5</vt:i4>
      </vt:variant>
      <vt:variant>
        <vt:lpwstr>https://www.asthmahandbook.org.au/diagnosis/adolescents/investigations</vt:lpwstr>
      </vt:variant>
      <vt:variant>
        <vt:lpwstr/>
      </vt:variant>
      <vt:variant>
        <vt:i4>3670073</vt:i4>
      </vt:variant>
      <vt:variant>
        <vt:i4>1620</vt:i4>
      </vt:variant>
      <vt:variant>
        <vt:i4>0</vt:i4>
      </vt:variant>
      <vt:variant>
        <vt:i4>5</vt:i4>
      </vt:variant>
      <vt:variant>
        <vt:lpwstr>https://www.asthmahandbook.org.au/diagnosis/adolescents</vt:lpwstr>
      </vt:variant>
      <vt:variant>
        <vt:lpwstr/>
      </vt:variant>
      <vt:variant>
        <vt:i4>5177413</vt:i4>
      </vt:variant>
      <vt:variant>
        <vt:i4>1617</vt:i4>
      </vt:variant>
      <vt:variant>
        <vt:i4>0</vt:i4>
      </vt:variant>
      <vt:variant>
        <vt:i4>5</vt:i4>
      </vt:variant>
      <vt:variant>
        <vt:lpwstr>https://www.asthmahandbook.org.au/diagnosis/adults/initial-investigations</vt:lpwstr>
      </vt:variant>
      <vt:variant>
        <vt:lpwstr/>
      </vt:variant>
      <vt:variant>
        <vt:i4>2687039</vt:i4>
      </vt:variant>
      <vt:variant>
        <vt:i4>1614</vt:i4>
      </vt:variant>
      <vt:variant>
        <vt:i4>0</vt:i4>
      </vt:variant>
      <vt:variant>
        <vt:i4>5</vt:i4>
      </vt:variant>
      <vt:variant>
        <vt:lpwstr>https://www.asthmahandbook.org.au/diagnosis/adults</vt:lpwstr>
      </vt:variant>
      <vt:variant>
        <vt:lpwstr/>
      </vt:variant>
      <vt:variant>
        <vt:i4>5963864</vt:i4>
      </vt:variant>
      <vt:variant>
        <vt:i4>1608</vt:i4>
      </vt:variant>
      <vt:variant>
        <vt:i4>0</vt:i4>
      </vt:variant>
      <vt:variant>
        <vt:i4>5</vt:i4>
      </vt:variant>
      <vt:variant>
        <vt:lpwstr/>
      </vt:variant>
      <vt:variant>
        <vt:lpwstr>Section72HPMouldRelatedInfectionsAndAlle</vt:lpwstr>
      </vt:variant>
      <vt:variant>
        <vt:i4>6684733</vt:i4>
      </vt:variant>
      <vt:variant>
        <vt:i4>1605</vt:i4>
      </vt:variant>
      <vt:variant>
        <vt:i4>0</vt:i4>
      </vt:variant>
      <vt:variant>
        <vt:i4>5</vt:i4>
      </vt:variant>
      <vt:variant>
        <vt:lpwstr/>
      </vt:variant>
      <vt:variant>
        <vt:lpwstr>Section623MouldRelatedInfection</vt:lpwstr>
      </vt:variant>
      <vt:variant>
        <vt:i4>3997753</vt:i4>
      </vt:variant>
      <vt:variant>
        <vt:i4>1602</vt:i4>
      </vt:variant>
      <vt:variant>
        <vt:i4>0</vt:i4>
      </vt:variant>
      <vt:variant>
        <vt:i4>5</vt:i4>
      </vt:variant>
      <vt:variant>
        <vt:lpwstr/>
      </vt:variant>
      <vt:variant>
        <vt:lpwstr>Section53MouldRelatedInfection</vt:lpwstr>
      </vt:variant>
      <vt:variant>
        <vt:i4>5963864</vt:i4>
      </vt:variant>
      <vt:variant>
        <vt:i4>1548</vt:i4>
      </vt:variant>
      <vt:variant>
        <vt:i4>0</vt:i4>
      </vt:variant>
      <vt:variant>
        <vt:i4>5</vt:i4>
      </vt:variant>
      <vt:variant>
        <vt:lpwstr/>
      </vt:variant>
      <vt:variant>
        <vt:lpwstr>Section72HPMouldRelatedInfectionsAndAlle</vt:lpwstr>
      </vt:variant>
      <vt:variant>
        <vt:i4>8323127</vt:i4>
      </vt:variant>
      <vt:variant>
        <vt:i4>1545</vt:i4>
      </vt:variant>
      <vt:variant>
        <vt:i4>0</vt:i4>
      </vt:variant>
      <vt:variant>
        <vt:i4>5</vt:i4>
      </vt:variant>
      <vt:variant>
        <vt:lpwstr/>
      </vt:variant>
      <vt:variant>
        <vt:lpwstr>Section622MouldAllergy</vt:lpwstr>
      </vt:variant>
      <vt:variant>
        <vt:i4>5832793</vt:i4>
      </vt:variant>
      <vt:variant>
        <vt:i4>1542</vt:i4>
      </vt:variant>
      <vt:variant>
        <vt:i4>0</vt:i4>
      </vt:variant>
      <vt:variant>
        <vt:i4>5</vt:i4>
      </vt:variant>
      <vt:variant>
        <vt:lpwstr/>
      </vt:variant>
      <vt:variant>
        <vt:lpwstr>Section52MouldAllergy</vt:lpwstr>
      </vt:variant>
      <vt:variant>
        <vt:i4>5898327</vt:i4>
      </vt:variant>
      <vt:variant>
        <vt:i4>1539</vt:i4>
      </vt:variant>
      <vt:variant>
        <vt:i4>0</vt:i4>
      </vt:variant>
      <vt:variant>
        <vt:i4>5</vt:i4>
      </vt:variant>
      <vt:variant>
        <vt:lpwstr/>
      </vt:variant>
      <vt:variant>
        <vt:lpwstr>Section43MouldAllergyDiagnostics</vt:lpwstr>
      </vt:variant>
      <vt:variant>
        <vt:i4>5963864</vt:i4>
      </vt:variant>
      <vt:variant>
        <vt:i4>1488</vt:i4>
      </vt:variant>
      <vt:variant>
        <vt:i4>0</vt:i4>
      </vt:variant>
      <vt:variant>
        <vt:i4>5</vt:i4>
      </vt:variant>
      <vt:variant>
        <vt:lpwstr/>
      </vt:variant>
      <vt:variant>
        <vt:lpwstr>Section72HPMouldRelatedInfectionsAndAlle</vt:lpwstr>
      </vt:variant>
      <vt:variant>
        <vt:i4>2293795</vt:i4>
      </vt:variant>
      <vt:variant>
        <vt:i4>1485</vt:i4>
      </vt:variant>
      <vt:variant>
        <vt:i4>0</vt:i4>
      </vt:variant>
      <vt:variant>
        <vt:i4>5</vt:i4>
      </vt:variant>
      <vt:variant>
        <vt:lpwstr/>
      </vt:variant>
      <vt:variant>
        <vt:lpwstr>Section54HP</vt:lpwstr>
      </vt:variant>
      <vt:variant>
        <vt:i4>1048604</vt:i4>
      </vt:variant>
      <vt:variant>
        <vt:i4>1482</vt:i4>
      </vt:variant>
      <vt:variant>
        <vt:i4>0</vt:i4>
      </vt:variant>
      <vt:variant>
        <vt:i4>5</vt:i4>
      </vt:variant>
      <vt:variant>
        <vt:lpwstr/>
      </vt:variant>
      <vt:variant>
        <vt:lpwstr>Section4314DiagnosticTestsForSpecificDis</vt:lpwstr>
      </vt:variant>
      <vt:variant>
        <vt:i4>1769492</vt:i4>
      </vt:variant>
      <vt:variant>
        <vt:i4>1479</vt:i4>
      </vt:variant>
      <vt:variant>
        <vt:i4>0</vt:i4>
      </vt:variant>
      <vt:variant>
        <vt:i4>5</vt:i4>
      </vt:variant>
      <vt:variant>
        <vt:lpwstr/>
      </vt:variant>
      <vt:variant>
        <vt:lpwstr>Section4313MouldSpecificIgGDetermination</vt:lpwstr>
      </vt:variant>
      <vt:variant>
        <vt:i4>2097189</vt:i4>
      </vt:variant>
      <vt:variant>
        <vt:i4>1476</vt:i4>
      </vt:variant>
      <vt:variant>
        <vt:i4>0</vt:i4>
      </vt:variant>
      <vt:variant>
        <vt:i4>5</vt:i4>
      </vt:variant>
      <vt:variant>
        <vt:lpwstr/>
      </vt:variant>
      <vt:variant>
        <vt:lpwstr>Section44HPDiagnostics</vt:lpwstr>
      </vt:variant>
      <vt:variant>
        <vt:i4>131166</vt:i4>
      </vt:variant>
      <vt:variant>
        <vt:i4>1374</vt:i4>
      </vt:variant>
      <vt:variant>
        <vt:i4>0</vt:i4>
      </vt:variant>
      <vt:variant>
        <vt:i4>5</vt:i4>
      </vt:variant>
      <vt:variant>
        <vt:lpwstr/>
      </vt:variant>
      <vt:variant>
        <vt:lpwstr>Section711Asthma</vt:lpwstr>
      </vt:variant>
      <vt:variant>
        <vt:i4>196701</vt:i4>
      </vt:variant>
      <vt:variant>
        <vt:i4>1371</vt:i4>
      </vt:variant>
      <vt:variant>
        <vt:i4>0</vt:i4>
      </vt:variant>
      <vt:variant>
        <vt:i4>5</vt:i4>
      </vt:variant>
      <vt:variant>
        <vt:lpwstr/>
      </vt:variant>
      <vt:variant>
        <vt:lpwstr>Section621Asthma</vt:lpwstr>
      </vt:variant>
      <vt:variant>
        <vt:i4>1441883</vt:i4>
      </vt:variant>
      <vt:variant>
        <vt:i4>1368</vt:i4>
      </vt:variant>
      <vt:variant>
        <vt:i4>0</vt:i4>
      </vt:variant>
      <vt:variant>
        <vt:i4>5</vt:i4>
      </vt:variant>
      <vt:variant>
        <vt:lpwstr/>
      </vt:variant>
      <vt:variant>
        <vt:lpwstr>Section515NoConfirmedDiagnosisOfAsthmaAn</vt:lpwstr>
      </vt:variant>
      <vt:variant>
        <vt:i4>1638492</vt:i4>
      </vt:variant>
      <vt:variant>
        <vt:i4>1365</vt:i4>
      </vt:variant>
      <vt:variant>
        <vt:i4>0</vt:i4>
      </vt:variant>
      <vt:variant>
        <vt:i4>5</vt:i4>
      </vt:variant>
      <vt:variant>
        <vt:lpwstr/>
      </vt:variant>
      <vt:variant>
        <vt:lpwstr>Section511ConfirmedDiagnosisOfAsthmaInAd</vt:lpwstr>
      </vt:variant>
      <vt:variant>
        <vt:i4>3342397</vt:i4>
      </vt:variant>
      <vt:variant>
        <vt:i4>1362</vt:i4>
      </vt:variant>
      <vt:variant>
        <vt:i4>0</vt:i4>
      </vt:variant>
      <vt:variant>
        <vt:i4>5</vt:i4>
      </vt:variant>
      <vt:variant>
        <vt:lpwstr/>
      </vt:variant>
      <vt:variant>
        <vt:lpwstr>Section51Asthma</vt:lpwstr>
      </vt:variant>
      <vt:variant>
        <vt:i4>262169</vt:i4>
      </vt:variant>
      <vt:variant>
        <vt:i4>1359</vt:i4>
      </vt:variant>
      <vt:variant>
        <vt:i4>0</vt:i4>
      </vt:variant>
      <vt:variant>
        <vt:i4>5</vt:i4>
      </vt:variant>
      <vt:variant>
        <vt:lpwstr/>
      </vt:variant>
      <vt:variant>
        <vt:lpwstr>Section414InfantsAged0To12Months</vt:lpwstr>
      </vt:variant>
      <vt:variant>
        <vt:i4>70</vt:i4>
      </vt:variant>
      <vt:variant>
        <vt:i4>1356</vt:i4>
      </vt:variant>
      <vt:variant>
        <vt:i4>0</vt:i4>
      </vt:variant>
      <vt:variant>
        <vt:i4>5</vt:i4>
      </vt:variant>
      <vt:variant>
        <vt:lpwstr/>
      </vt:variant>
      <vt:variant>
        <vt:lpwstr>Section411Adults</vt:lpwstr>
      </vt:variant>
      <vt:variant>
        <vt:i4>3276861</vt:i4>
      </vt:variant>
      <vt:variant>
        <vt:i4>1353</vt:i4>
      </vt:variant>
      <vt:variant>
        <vt:i4>0</vt:i4>
      </vt:variant>
      <vt:variant>
        <vt:i4>5</vt:i4>
      </vt:variant>
      <vt:variant>
        <vt:lpwstr/>
      </vt:variant>
      <vt:variant>
        <vt:lpwstr>Section41Asthma</vt:lpwstr>
      </vt:variant>
      <vt:variant>
        <vt:i4>1376268</vt:i4>
      </vt:variant>
      <vt:variant>
        <vt:i4>1350</vt:i4>
      </vt:variant>
      <vt:variant>
        <vt:i4>0</vt:i4>
      </vt:variant>
      <vt:variant>
        <vt:i4>5</vt:i4>
      </vt:variant>
      <vt:variant>
        <vt:lpwstr/>
      </vt:variant>
      <vt:variant>
        <vt:lpwstr>AppendixALikelyDifferentialDiagnosesOrSy</vt:lpwstr>
      </vt:variant>
      <vt:variant>
        <vt:i4>5636108</vt:i4>
      </vt:variant>
      <vt:variant>
        <vt:i4>1347</vt:i4>
      </vt:variant>
      <vt:variant>
        <vt:i4>0</vt:i4>
      </vt:variant>
      <vt:variant>
        <vt:i4>5</vt:i4>
      </vt:variant>
      <vt:variant>
        <vt:lpwstr/>
      </vt:variant>
      <vt:variant>
        <vt:lpwstr>Sect131DifferentialDiagnosesOrSymptomsFo</vt:lpwstr>
      </vt:variant>
      <vt:variant>
        <vt:i4>7667764</vt:i4>
      </vt:variant>
      <vt:variant>
        <vt:i4>1326</vt:i4>
      </vt:variant>
      <vt:variant>
        <vt:i4>0</vt:i4>
      </vt:variant>
      <vt:variant>
        <vt:i4>5</vt:i4>
      </vt:variant>
      <vt:variant>
        <vt:lpwstr>https://www.asthmahandbook.org.au/</vt:lpwstr>
      </vt:variant>
      <vt:variant>
        <vt:lpwstr/>
      </vt:variant>
      <vt:variant>
        <vt:i4>7798844</vt:i4>
      </vt:variant>
      <vt:variant>
        <vt:i4>1236</vt:i4>
      </vt:variant>
      <vt:variant>
        <vt:i4>0</vt:i4>
      </vt:variant>
      <vt:variant>
        <vt:i4>5</vt:i4>
      </vt:variant>
      <vt:variant>
        <vt:lpwstr>https://www.aioh.org.au/resources/consultants/</vt:lpwstr>
      </vt:variant>
      <vt:variant>
        <vt:lpwstr/>
      </vt:variant>
      <vt:variant>
        <vt:i4>7077990</vt:i4>
      </vt:variant>
      <vt:variant>
        <vt:i4>1227</vt:i4>
      </vt:variant>
      <vt:variant>
        <vt:i4>0</vt:i4>
      </vt:variant>
      <vt:variant>
        <vt:i4>5</vt:i4>
      </vt:variant>
      <vt:variant>
        <vt:lpwstr>https://www.health.gov.au/resources/publications/enhealth-guidance-potential-health-effects-of-mould-in-the-environment</vt:lpwstr>
      </vt:variant>
      <vt:variant>
        <vt:lpwstr/>
      </vt:variant>
      <vt:variant>
        <vt:i4>917504</vt:i4>
      </vt:variant>
      <vt:variant>
        <vt:i4>1224</vt:i4>
      </vt:variant>
      <vt:variant>
        <vt:i4>0</vt:i4>
      </vt:variant>
      <vt:variant>
        <vt:i4>5</vt:i4>
      </vt:variant>
      <vt:variant>
        <vt:lpwstr/>
      </vt:variant>
      <vt:variant>
        <vt:lpwstr>AppendixDenHealthFactsheetOnPotentialHea</vt:lpwstr>
      </vt:variant>
      <vt:variant>
        <vt:i4>5439495</vt:i4>
      </vt:variant>
      <vt:variant>
        <vt:i4>1203</vt:i4>
      </vt:variant>
      <vt:variant>
        <vt:i4>0</vt:i4>
      </vt:variant>
      <vt:variant>
        <vt:i4>5</vt:i4>
      </vt:variant>
      <vt:variant>
        <vt:lpwstr/>
      </vt:variant>
      <vt:variant>
        <vt:lpwstr>Sect124IndividualsAndPatientsAtRiskOfHea</vt:lpwstr>
      </vt:variant>
      <vt:variant>
        <vt:i4>2031691</vt:i4>
      </vt:variant>
      <vt:variant>
        <vt:i4>1149</vt:i4>
      </vt:variant>
      <vt:variant>
        <vt:i4>0</vt:i4>
      </vt:variant>
      <vt:variant>
        <vt:i4>5</vt:i4>
      </vt:variant>
      <vt:variant>
        <vt:lpwstr/>
      </vt:variant>
      <vt:variant>
        <vt:lpwstr>Section643TheSteppedCareModel</vt:lpwstr>
      </vt:variant>
      <vt:variant>
        <vt:i4>6553657</vt:i4>
      </vt:variant>
      <vt:variant>
        <vt:i4>1146</vt:i4>
      </vt:variant>
      <vt:variant>
        <vt:i4>0</vt:i4>
      </vt:variant>
      <vt:variant>
        <vt:i4>5</vt:i4>
      </vt:variant>
      <vt:variant>
        <vt:lpwstr/>
      </vt:variant>
      <vt:variant>
        <vt:lpwstr>Section642PracticeHarmMinimisation</vt:lpwstr>
      </vt:variant>
      <vt:variant>
        <vt:i4>786510</vt:i4>
      </vt:variant>
      <vt:variant>
        <vt:i4>1143</vt:i4>
      </vt:variant>
      <vt:variant>
        <vt:i4>0</vt:i4>
      </vt:variant>
      <vt:variant>
        <vt:i4>5</vt:i4>
      </vt:variant>
      <vt:variant>
        <vt:lpwstr/>
      </vt:variant>
      <vt:variant>
        <vt:lpwstr>Section641MUS</vt:lpwstr>
      </vt:variant>
      <vt:variant>
        <vt:i4>4784192</vt:i4>
      </vt:variant>
      <vt:variant>
        <vt:i4>1140</vt:i4>
      </vt:variant>
      <vt:variant>
        <vt:i4>0</vt:i4>
      </vt:variant>
      <vt:variant>
        <vt:i4>5</vt:i4>
      </vt:variant>
      <vt:variant>
        <vt:lpwstr/>
      </vt:variant>
      <vt:variant>
        <vt:lpwstr>Section64ManagementOfPatientsWithPersist</vt:lpwstr>
      </vt:variant>
      <vt:variant>
        <vt:i4>1572883</vt:i4>
      </vt:variant>
      <vt:variant>
        <vt:i4>1137</vt:i4>
      </vt:variant>
      <vt:variant>
        <vt:i4>0</vt:i4>
      </vt:variant>
      <vt:variant>
        <vt:i4>5</vt:i4>
      </vt:variant>
      <vt:variant>
        <vt:lpwstr/>
      </vt:variant>
      <vt:variant>
        <vt:lpwstr>AppendixFPotentialSideEffectsOfPharmaceu</vt:lpwstr>
      </vt:variant>
      <vt:variant>
        <vt:i4>1572890</vt:i4>
      </vt:variant>
      <vt:variant>
        <vt:i4>1134</vt:i4>
      </vt:variant>
      <vt:variant>
        <vt:i4>0</vt:i4>
      </vt:variant>
      <vt:variant>
        <vt:i4>5</vt:i4>
      </vt:variant>
      <vt:variant>
        <vt:lpwstr/>
      </vt:variant>
      <vt:variant>
        <vt:lpwstr>AppendixECIRS</vt:lpwstr>
      </vt:variant>
      <vt:variant>
        <vt:i4>1638419</vt:i4>
      </vt:variant>
      <vt:variant>
        <vt:i4>1131</vt:i4>
      </vt:variant>
      <vt:variant>
        <vt:i4>0</vt:i4>
      </vt:variant>
      <vt:variant>
        <vt:i4>5</vt:i4>
      </vt:variant>
      <vt:variant>
        <vt:lpwstr/>
      </vt:variant>
      <vt:variant>
        <vt:lpwstr>AppendixCUnlikelyDifferentialDiagnosesOr</vt:lpwstr>
      </vt:variant>
      <vt:variant>
        <vt:i4>65541</vt:i4>
      </vt:variant>
      <vt:variant>
        <vt:i4>1128</vt:i4>
      </vt:variant>
      <vt:variant>
        <vt:i4>0</vt:i4>
      </vt:variant>
      <vt:variant>
        <vt:i4>5</vt:i4>
      </vt:variant>
      <vt:variant>
        <vt:lpwstr/>
      </vt:variant>
      <vt:variant>
        <vt:lpwstr>AppendixBLessLikelyDifferentialDiagnoses</vt:lpwstr>
      </vt:variant>
      <vt:variant>
        <vt:i4>5570590</vt:i4>
      </vt:variant>
      <vt:variant>
        <vt:i4>1125</vt:i4>
      </vt:variant>
      <vt:variant>
        <vt:i4>0</vt:i4>
      </vt:variant>
      <vt:variant>
        <vt:i4>5</vt:i4>
      </vt:variant>
      <vt:variant>
        <vt:lpwstr/>
      </vt:variant>
      <vt:variant>
        <vt:lpwstr>Sect312HPMouldRelatedInfectionsAndAllerg</vt:lpwstr>
      </vt:variant>
      <vt:variant>
        <vt:i4>1376268</vt:i4>
      </vt:variant>
      <vt:variant>
        <vt:i4>1122</vt:i4>
      </vt:variant>
      <vt:variant>
        <vt:i4>0</vt:i4>
      </vt:variant>
      <vt:variant>
        <vt:i4>5</vt:i4>
      </vt:variant>
      <vt:variant>
        <vt:lpwstr/>
      </vt:variant>
      <vt:variant>
        <vt:lpwstr>AppendixALikelyDifferentialDiagnosesOrSy</vt:lpwstr>
      </vt:variant>
      <vt:variant>
        <vt:i4>5963846</vt:i4>
      </vt:variant>
      <vt:variant>
        <vt:i4>1119</vt:i4>
      </vt:variant>
      <vt:variant>
        <vt:i4>0</vt:i4>
      </vt:variant>
      <vt:variant>
        <vt:i4>5</vt:i4>
      </vt:variant>
      <vt:variant>
        <vt:lpwstr/>
      </vt:variant>
      <vt:variant>
        <vt:lpwstr>Section31DifferentialDiagnosisForWhichAS</vt:lpwstr>
      </vt:variant>
      <vt:variant>
        <vt:i4>7602235</vt:i4>
      </vt:variant>
      <vt:variant>
        <vt:i4>1077</vt:i4>
      </vt:variant>
      <vt:variant>
        <vt:i4>0</vt:i4>
      </vt:variant>
      <vt:variant>
        <vt:i4>5</vt:i4>
      </vt:variant>
      <vt:variant>
        <vt:lpwstr/>
      </vt:variant>
      <vt:variant>
        <vt:lpwstr>Section212IdentifySusceptiblePeople</vt:lpwstr>
      </vt:variant>
      <vt:variant>
        <vt:i4>393296</vt:i4>
      </vt:variant>
      <vt:variant>
        <vt:i4>1041</vt:i4>
      </vt:variant>
      <vt:variant>
        <vt:i4>0</vt:i4>
      </vt:variant>
      <vt:variant>
        <vt:i4>5</vt:i4>
      </vt:variant>
      <vt:variant>
        <vt:lpwstr/>
      </vt:variant>
      <vt:variant>
        <vt:lpwstr>Section214ProvideAdviceOnAvoidingOrMinim</vt:lpwstr>
      </vt:variant>
      <vt:variant>
        <vt:i4>1572913</vt:i4>
      </vt:variant>
      <vt:variant>
        <vt:i4>956</vt:i4>
      </vt:variant>
      <vt:variant>
        <vt:i4>0</vt:i4>
      </vt:variant>
      <vt:variant>
        <vt:i4>5</vt:i4>
      </vt:variant>
      <vt:variant>
        <vt:lpwstr/>
      </vt:variant>
      <vt:variant>
        <vt:lpwstr>_Toc125034691</vt:lpwstr>
      </vt:variant>
      <vt:variant>
        <vt:i4>1048624</vt:i4>
      </vt:variant>
      <vt:variant>
        <vt:i4>947</vt:i4>
      </vt:variant>
      <vt:variant>
        <vt:i4>0</vt:i4>
      </vt:variant>
      <vt:variant>
        <vt:i4>5</vt:i4>
      </vt:variant>
      <vt:variant>
        <vt:lpwstr/>
      </vt:variant>
      <vt:variant>
        <vt:lpwstr>_Toc125034710</vt:lpwstr>
      </vt:variant>
      <vt:variant>
        <vt:i4>1114160</vt:i4>
      </vt:variant>
      <vt:variant>
        <vt:i4>941</vt:i4>
      </vt:variant>
      <vt:variant>
        <vt:i4>0</vt:i4>
      </vt:variant>
      <vt:variant>
        <vt:i4>5</vt:i4>
      </vt:variant>
      <vt:variant>
        <vt:lpwstr/>
      </vt:variant>
      <vt:variant>
        <vt:lpwstr>_Toc125034709</vt:lpwstr>
      </vt:variant>
      <vt:variant>
        <vt:i4>1114160</vt:i4>
      </vt:variant>
      <vt:variant>
        <vt:i4>935</vt:i4>
      </vt:variant>
      <vt:variant>
        <vt:i4>0</vt:i4>
      </vt:variant>
      <vt:variant>
        <vt:i4>5</vt:i4>
      </vt:variant>
      <vt:variant>
        <vt:lpwstr/>
      </vt:variant>
      <vt:variant>
        <vt:lpwstr>_Toc125034708</vt:lpwstr>
      </vt:variant>
      <vt:variant>
        <vt:i4>2031670</vt:i4>
      </vt:variant>
      <vt:variant>
        <vt:i4>926</vt:i4>
      </vt:variant>
      <vt:variant>
        <vt:i4>0</vt:i4>
      </vt:variant>
      <vt:variant>
        <vt:i4>5</vt:i4>
      </vt:variant>
      <vt:variant>
        <vt:lpwstr/>
      </vt:variant>
      <vt:variant>
        <vt:lpwstr>_Toc121834567</vt:lpwstr>
      </vt:variant>
      <vt:variant>
        <vt:i4>2031670</vt:i4>
      </vt:variant>
      <vt:variant>
        <vt:i4>920</vt:i4>
      </vt:variant>
      <vt:variant>
        <vt:i4>0</vt:i4>
      </vt:variant>
      <vt:variant>
        <vt:i4>5</vt:i4>
      </vt:variant>
      <vt:variant>
        <vt:lpwstr/>
      </vt:variant>
      <vt:variant>
        <vt:lpwstr>_Toc121834566</vt:lpwstr>
      </vt:variant>
      <vt:variant>
        <vt:i4>2031670</vt:i4>
      </vt:variant>
      <vt:variant>
        <vt:i4>914</vt:i4>
      </vt:variant>
      <vt:variant>
        <vt:i4>0</vt:i4>
      </vt:variant>
      <vt:variant>
        <vt:i4>5</vt:i4>
      </vt:variant>
      <vt:variant>
        <vt:lpwstr/>
      </vt:variant>
      <vt:variant>
        <vt:lpwstr>_Toc121834565</vt:lpwstr>
      </vt:variant>
      <vt:variant>
        <vt:i4>1835062</vt:i4>
      </vt:variant>
      <vt:variant>
        <vt:i4>908</vt:i4>
      </vt:variant>
      <vt:variant>
        <vt:i4>0</vt:i4>
      </vt:variant>
      <vt:variant>
        <vt:i4>5</vt:i4>
      </vt:variant>
      <vt:variant>
        <vt:lpwstr/>
      </vt:variant>
      <vt:variant>
        <vt:lpwstr>_Toc121834559</vt:lpwstr>
      </vt:variant>
      <vt:variant>
        <vt:i4>1900598</vt:i4>
      </vt:variant>
      <vt:variant>
        <vt:i4>902</vt:i4>
      </vt:variant>
      <vt:variant>
        <vt:i4>0</vt:i4>
      </vt:variant>
      <vt:variant>
        <vt:i4>5</vt:i4>
      </vt:variant>
      <vt:variant>
        <vt:lpwstr/>
      </vt:variant>
      <vt:variant>
        <vt:lpwstr>_Toc121834548</vt:lpwstr>
      </vt:variant>
      <vt:variant>
        <vt:i4>1769526</vt:i4>
      </vt:variant>
      <vt:variant>
        <vt:i4>896</vt:i4>
      </vt:variant>
      <vt:variant>
        <vt:i4>0</vt:i4>
      </vt:variant>
      <vt:variant>
        <vt:i4>5</vt:i4>
      </vt:variant>
      <vt:variant>
        <vt:lpwstr/>
      </vt:variant>
      <vt:variant>
        <vt:lpwstr>_Toc121834529</vt:lpwstr>
      </vt:variant>
      <vt:variant>
        <vt:i4>1769526</vt:i4>
      </vt:variant>
      <vt:variant>
        <vt:i4>890</vt:i4>
      </vt:variant>
      <vt:variant>
        <vt:i4>0</vt:i4>
      </vt:variant>
      <vt:variant>
        <vt:i4>5</vt:i4>
      </vt:variant>
      <vt:variant>
        <vt:lpwstr/>
      </vt:variant>
      <vt:variant>
        <vt:lpwstr>_Toc121834525</vt:lpwstr>
      </vt:variant>
      <vt:variant>
        <vt:i4>1572918</vt:i4>
      </vt:variant>
      <vt:variant>
        <vt:i4>884</vt:i4>
      </vt:variant>
      <vt:variant>
        <vt:i4>0</vt:i4>
      </vt:variant>
      <vt:variant>
        <vt:i4>5</vt:i4>
      </vt:variant>
      <vt:variant>
        <vt:lpwstr/>
      </vt:variant>
      <vt:variant>
        <vt:lpwstr>_Toc121834514</vt:lpwstr>
      </vt:variant>
      <vt:variant>
        <vt:i4>1572918</vt:i4>
      </vt:variant>
      <vt:variant>
        <vt:i4>878</vt:i4>
      </vt:variant>
      <vt:variant>
        <vt:i4>0</vt:i4>
      </vt:variant>
      <vt:variant>
        <vt:i4>5</vt:i4>
      </vt:variant>
      <vt:variant>
        <vt:lpwstr/>
      </vt:variant>
      <vt:variant>
        <vt:lpwstr>_Toc121834513</vt:lpwstr>
      </vt:variant>
      <vt:variant>
        <vt:i4>1572918</vt:i4>
      </vt:variant>
      <vt:variant>
        <vt:i4>872</vt:i4>
      </vt:variant>
      <vt:variant>
        <vt:i4>0</vt:i4>
      </vt:variant>
      <vt:variant>
        <vt:i4>5</vt:i4>
      </vt:variant>
      <vt:variant>
        <vt:lpwstr/>
      </vt:variant>
      <vt:variant>
        <vt:lpwstr>_Toc121834512</vt:lpwstr>
      </vt:variant>
      <vt:variant>
        <vt:i4>1572918</vt:i4>
      </vt:variant>
      <vt:variant>
        <vt:i4>866</vt:i4>
      </vt:variant>
      <vt:variant>
        <vt:i4>0</vt:i4>
      </vt:variant>
      <vt:variant>
        <vt:i4>5</vt:i4>
      </vt:variant>
      <vt:variant>
        <vt:lpwstr/>
      </vt:variant>
      <vt:variant>
        <vt:lpwstr>_Toc121834511</vt:lpwstr>
      </vt:variant>
      <vt:variant>
        <vt:i4>1572918</vt:i4>
      </vt:variant>
      <vt:variant>
        <vt:i4>860</vt:i4>
      </vt:variant>
      <vt:variant>
        <vt:i4>0</vt:i4>
      </vt:variant>
      <vt:variant>
        <vt:i4>5</vt:i4>
      </vt:variant>
      <vt:variant>
        <vt:lpwstr/>
      </vt:variant>
      <vt:variant>
        <vt:lpwstr>_Toc121834510</vt:lpwstr>
      </vt:variant>
      <vt:variant>
        <vt:i4>1638454</vt:i4>
      </vt:variant>
      <vt:variant>
        <vt:i4>854</vt:i4>
      </vt:variant>
      <vt:variant>
        <vt:i4>0</vt:i4>
      </vt:variant>
      <vt:variant>
        <vt:i4>5</vt:i4>
      </vt:variant>
      <vt:variant>
        <vt:lpwstr/>
      </vt:variant>
      <vt:variant>
        <vt:lpwstr>_Toc121834509</vt:lpwstr>
      </vt:variant>
      <vt:variant>
        <vt:i4>1638454</vt:i4>
      </vt:variant>
      <vt:variant>
        <vt:i4>848</vt:i4>
      </vt:variant>
      <vt:variant>
        <vt:i4>0</vt:i4>
      </vt:variant>
      <vt:variant>
        <vt:i4>5</vt:i4>
      </vt:variant>
      <vt:variant>
        <vt:lpwstr/>
      </vt:variant>
      <vt:variant>
        <vt:lpwstr>_Toc121834508</vt:lpwstr>
      </vt:variant>
      <vt:variant>
        <vt:i4>1638454</vt:i4>
      </vt:variant>
      <vt:variant>
        <vt:i4>842</vt:i4>
      </vt:variant>
      <vt:variant>
        <vt:i4>0</vt:i4>
      </vt:variant>
      <vt:variant>
        <vt:i4>5</vt:i4>
      </vt:variant>
      <vt:variant>
        <vt:lpwstr/>
      </vt:variant>
      <vt:variant>
        <vt:lpwstr>_Toc121834507</vt:lpwstr>
      </vt:variant>
      <vt:variant>
        <vt:i4>1638454</vt:i4>
      </vt:variant>
      <vt:variant>
        <vt:i4>836</vt:i4>
      </vt:variant>
      <vt:variant>
        <vt:i4>0</vt:i4>
      </vt:variant>
      <vt:variant>
        <vt:i4>5</vt:i4>
      </vt:variant>
      <vt:variant>
        <vt:lpwstr/>
      </vt:variant>
      <vt:variant>
        <vt:lpwstr>_Toc121834506</vt:lpwstr>
      </vt:variant>
      <vt:variant>
        <vt:i4>1638454</vt:i4>
      </vt:variant>
      <vt:variant>
        <vt:i4>830</vt:i4>
      </vt:variant>
      <vt:variant>
        <vt:i4>0</vt:i4>
      </vt:variant>
      <vt:variant>
        <vt:i4>5</vt:i4>
      </vt:variant>
      <vt:variant>
        <vt:lpwstr/>
      </vt:variant>
      <vt:variant>
        <vt:lpwstr>_Toc121834505</vt:lpwstr>
      </vt:variant>
      <vt:variant>
        <vt:i4>1638454</vt:i4>
      </vt:variant>
      <vt:variant>
        <vt:i4>824</vt:i4>
      </vt:variant>
      <vt:variant>
        <vt:i4>0</vt:i4>
      </vt:variant>
      <vt:variant>
        <vt:i4>5</vt:i4>
      </vt:variant>
      <vt:variant>
        <vt:lpwstr/>
      </vt:variant>
      <vt:variant>
        <vt:lpwstr>_Toc121834504</vt:lpwstr>
      </vt:variant>
      <vt:variant>
        <vt:i4>1638454</vt:i4>
      </vt:variant>
      <vt:variant>
        <vt:i4>818</vt:i4>
      </vt:variant>
      <vt:variant>
        <vt:i4>0</vt:i4>
      </vt:variant>
      <vt:variant>
        <vt:i4>5</vt:i4>
      </vt:variant>
      <vt:variant>
        <vt:lpwstr/>
      </vt:variant>
      <vt:variant>
        <vt:lpwstr>_Toc121834503</vt:lpwstr>
      </vt:variant>
      <vt:variant>
        <vt:i4>1638454</vt:i4>
      </vt:variant>
      <vt:variant>
        <vt:i4>812</vt:i4>
      </vt:variant>
      <vt:variant>
        <vt:i4>0</vt:i4>
      </vt:variant>
      <vt:variant>
        <vt:i4>5</vt:i4>
      </vt:variant>
      <vt:variant>
        <vt:lpwstr/>
      </vt:variant>
      <vt:variant>
        <vt:lpwstr>_Toc121834502</vt:lpwstr>
      </vt:variant>
      <vt:variant>
        <vt:i4>1638454</vt:i4>
      </vt:variant>
      <vt:variant>
        <vt:i4>806</vt:i4>
      </vt:variant>
      <vt:variant>
        <vt:i4>0</vt:i4>
      </vt:variant>
      <vt:variant>
        <vt:i4>5</vt:i4>
      </vt:variant>
      <vt:variant>
        <vt:lpwstr/>
      </vt:variant>
      <vt:variant>
        <vt:lpwstr>_Toc121834501</vt:lpwstr>
      </vt:variant>
      <vt:variant>
        <vt:i4>1638454</vt:i4>
      </vt:variant>
      <vt:variant>
        <vt:i4>800</vt:i4>
      </vt:variant>
      <vt:variant>
        <vt:i4>0</vt:i4>
      </vt:variant>
      <vt:variant>
        <vt:i4>5</vt:i4>
      </vt:variant>
      <vt:variant>
        <vt:lpwstr/>
      </vt:variant>
      <vt:variant>
        <vt:lpwstr>_Toc121834500</vt:lpwstr>
      </vt:variant>
      <vt:variant>
        <vt:i4>1048631</vt:i4>
      </vt:variant>
      <vt:variant>
        <vt:i4>794</vt:i4>
      </vt:variant>
      <vt:variant>
        <vt:i4>0</vt:i4>
      </vt:variant>
      <vt:variant>
        <vt:i4>5</vt:i4>
      </vt:variant>
      <vt:variant>
        <vt:lpwstr/>
      </vt:variant>
      <vt:variant>
        <vt:lpwstr>_Toc121834499</vt:lpwstr>
      </vt:variant>
      <vt:variant>
        <vt:i4>1048631</vt:i4>
      </vt:variant>
      <vt:variant>
        <vt:i4>788</vt:i4>
      </vt:variant>
      <vt:variant>
        <vt:i4>0</vt:i4>
      </vt:variant>
      <vt:variant>
        <vt:i4>5</vt:i4>
      </vt:variant>
      <vt:variant>
        <vt:lpwstr/>
      </vt:variant>
      <vt:variant>
        <vt:lpwstr>_Toc121834498</vt:lpwstr>
      </vt:variant>
      <vt:variant>
        <vt:i4>1048631</vt:i4>
      </vt:variant>
      <vt:variant>
        <vt:i4>782</vt:i4>
      </vt:variant>
      <vt:variant>
        <vt:i4>0</vt:i4>
      </vt:variant>
      <vt:variant>
        <vt:i4>5</vt:i4>
      </vt:variant>
      <vt:variant>
        <vt:lpwstr/>
      </vt:variant>
      <vt:variant>
        <vt:lpwstr>_Toc121834497</vt:lpwstr>
      </vt:variant>
      <vt:variant>
        <vt:i4>1048631</vt:i4>
      </vt:variant>
      <vt:variant>
        <vt:i4>776</vt:i4>
      </vt:variant>
      <vt:variant>
        <vt:i4>0</vt:i4>
      </vt:variant>
      <vt:variant>
        <vt:i4>5</vt:i4>
      </vt:variant>
      <vt:variant>
        <vt:lpwstr/>
      </vt:variant>
      <vt:variant>
        <vt:lpwstr>_Toc121834496</vt:lpwstr>
      </vt:variant>
      <vt:variant>
        <vt:i4>1048631</vt:i4>
      </vt:variant>
      <vt:variant>
        <vt:i4>770</vt:i4>
      </vt:variant>
      <vt:variant>
        <vt:i4>0</vt:i4>
      </vt:variant>
      <vt:variant>
        <vt:i4>5</vt:i4>
      </vt:variant>
      <vt:variant>
        <vt:lpwstr/>
      </vt:variant>
      <vt:variant>
        <vt:lpwstr>_Toc121834495</vt:lpwstr>
      </vt:variant>
      <vt:variant>
        <vt:i4>1048631</vt:i4>
      </vt:variant>
      <vt:variant>
        <vt:i4>764</vt:i4>
      </vt:variant>
      <vt:variant>
        <vt:i4>0</vt:i4>
      </vt:variant>
      <vt:variant>
        <vt:i4>5</vt:i4>
      </vt:variant>
      <vt:variant>
        <vt:lpwstr/>
      </vt:variant>
      <vt:variant>
        <vt:lpwstr>_Toc121834494</vt:lpwstr>
      </vt:variant>
      <vt:variant>
        <vt:i4>1048631</vt:i4>
      </vt:variant>
      <vt:variant>
        <vt:i4>758</vt:i4>
      </vt:variant>
      <vt:variant>
        <vt:i4>0</vt:i4>
      </vt:variant>
      <vt:variant>
        <vt:i4>5</vt:i4>
      </vt:variant>
      <vt:variant>
        <vt:lpwstr/>
      </vt:variant>
      <vt:variant>
        <vt:lpwstr>_Toc121834493</vt:lpwstr>
      </vt:variant>
      <vt:variant>
        <vt:i4>1048631</vt:i4>
      </vt:variant>
      <vt:variant>
        <vt:i4>752</vt:i4>
      </vt:variant>
      <vt:variant>
        <vt:i4>0</vt:i4>
      </vt:variant>
      <vt:variant>
        <vt:i4>5</vt:i4>
      </vt:variant>
      <vt:variant>
        <vt:lpwstr/>
      </vt:variant>
      <vt:variant>
        <vt:lpwstr>_Toc121834492</vt:lpwstr>
      </vt:variant>
      <vt:variant>
        <vt:i4>1048631</vt:i4>
      </vt:variant>
      <vt:variant>
        <vt:i4>746</vt:i4>
      </vt:variant>
      <vt:variant>
        <vt:i4>0</vt:i4>
      </vt:variant>
      <vt:variant>
        <vt:i4>5</vt:i4>
      </vt:variant>
      <vt:variant>
        <vt:lpwstr/>
      </vt:variant>
      <vt:variant>
        <vt:lpwstr>_Toc121834491</vt:lpwstr>
      </vt:variant>
      <vt:variant>
        <vt:i4>1048631</vt:i4>
      </vt:variant>
      <vt:variant>
        <vt:i4>740</vt:i4>
      </vt:variant>
      <vt:variant>
        <vt:i4>0</vt:i4>
      </vt:variant>
      <vt:variant>
        <vt:i4>5</vt:i4>
      </vt:variant>
      <vt:variant>
        <vt:lpwstr/>
      </vt:variant>
      <vt:variant>
        <vt:lpwstr>_Toc121834490</vt:lpwstr>
      </vt:variant>
      <vt:variant>
        <vt:i4>1114167</vt:i4>
      </vt:variant>
      <vt:variant>
        <vt:i4>734</vt:i4>
      </vt:variant>
      <vt:variant>
        <vt:i4>0</vt:i4>
      </vt:variant>
      <vt:variant>
        <vt:i4>5</vt:i4>
      </vt:variant>
      <vt:variant>
        <vt:lpwstr/>
      </vt:variant>
      <vt:variant>
        <vt:lpwstr>_Toc121834489</vt:lpwstr>
      </vt:variant>
      <vt:variant>
        <vt:i4>1114167</vt:i4>
      </vt:variant>
      <vt:variant>
        <vt:i4>728</vt:i4>
      </vt:variant>
      <vt:variant>
        <vt:i4>0</vt:i4>
      </vt:variant>
      <vt:variant>
        <vt:i4>5</vt:i4>
      </vt:variant>
      <vt:variant>
        <vt:lpwstr/>
      </vt:variant>
      <vt:variant>
        <vt:lpwstr>_Toc121834488</vt:lpwstr>
      </vt:variant>
      <vt:variant>
        <vt:i4>1114167</vt:i4>
      </vt:variant>
      <vt:variant>
        <vt:i4>722</vt:i4>
      </vt:variant>
      <vt:variant>
        <vt:i4>0</vt:i4>
      </vt:variant>
      <vt:variant>
        <vt:i4>5</vt:i4>
      </vt:variant>
      <vt:variant>
        <vt:lpwstr/>
      </vt:variant>
      <vt:variant>
        <vt:lpwstr>_Toc121834487</vt:lpwstr>
      </vt:variant>
      <vt:variant>
        <vt:i4>1114167</vt:i4>
      </vt:variant>
      <vt:variant>
        <vt:i4>716</vt:i4>
      </vt:variant>
      <vt:variant>
        <vt:i4>0</vt:i4>
      </vt:variant>
      <vt:variant>
        <vt:i4>5</vt:i4>
      </vt:variant>
      <vt:variant>
        <vt:lpwstr/>
      </vt:variant>
      <vt:variant>
        <vt:lpwstr>_Toc121834486</vt:lpwstr>
      </vt:variant>
      <vt:variant>
        <vt:i4>1114167</vt:i4>
      </vt:variant>
      <vt:variant>
        <vt:i4>710</vt:i4>
      </vt:variant>
      <vt:variant>
        <vt:i4>0</vt:i4>
      </vt:variant>
      <vt:variant>
        <vt:i4>5</vt:i4>
      </vt:variant>
      <vt:variant>
        <vt:lpwstr/>
      </vt:variant>
      <vt:variant>
        <vt:lpwstr>_Toc121834485</vt:lpwstr>
      </vt:variant>
      <vt:variant>
        <vt:i4>1114167</vt:i4>
      </vt:variant>
      <vt:variant>
        <vt:i4>704</vt:i4>
      </vt:variant>
      <vt:variant>
        <vt:i4>0</vt:i4>
      </vt:variant>
      <vt:variant>
        <vt:i4>5</vt:i4>
      </vt:variant>
      <vt:variant>
        <vt:lpwstr/>
      </vt:variant>
      <vt:variant>
        <vt:lpwstr>_Toc121834484</vt:lpwstr>
      </vt:variant>
      <vt:variant>
        <vt:i4>1114167</vt:i4>
      </vt:variant>
      <vt:variant>
        <vt:i4>698</vt:i4>
      </vt:variant>
      <vt:variant>
        <vt:i4>0</vt:i4>
      </vt:variant>
      <vt:variant>
        <vt:i4>5</vt:i4>
      </vt:variant>
      <vt:variant>
        <vt:lpwstr/>
      </vt:variant>
      <vt:variant>
        <vt:lpwstr>_Toc121834483</vt:lpwstr>
      </vt:variant>
      <vt:variant>
        <vt:i4>1114167</vt:i4>
      </vt:variant>
      <vt:variant>
        <vt:i4>692</vt:i4>
      </vt:variant>
      <vt:variant>
        <vt:i4>0</vt:i4>
      </vt:variant>
      <vt:variant>
        <vt:i4>5</vt:i4>
      </vt:variant>
      <vt:variant>
        <vt:lpwstr/>
      </vt:variant>
      <vt:variant>
        <vt:lpwstr>_Toc121834482</vt:lpwstr>
      </vt:variant>
      <vt:variant>
        <vt:i4>1114167</vt:i4>
      </vt:variant>
      <vt:variant>
        <vt:i4>686</vt:i4>
      </vt:variant>
      <vt:variant>
        <vt:i4>0</vt:i4>
      </vt:variant>
      <vt:variant>
        <vt:i4>5</vt:i4>
      </vt:variant>
      <vt:variant>
        <vt:lpwstr/>
      </vt:variant>
      <vt:variant>
        <vt:lpwstr>_Toc121834481</vt:lpwstr>
      </vt:variant>
      <vt:variant>
        <vt:i4>1114167</vt:i4>
      </vt:variant>
      <vt:variant>
        <vt:i4>680</vt:i4>
      </vt:variant>
      <vt:variant>
        <vt:i4>0</vt:i4>
      </vt:variant>
      <vt:variant>
        <vt:i4>5</vt:i4>
      </vt:variant>
      <vt:variant>
        <vt:lpwstr/>
      </vt:variant>
      <vt:variant>
        <vt:lpwstr>_Toc121834480</vt:lpwstr>
      </vt:variant>
      <vt:variant>
        <vt:i4>1966135</vt:i4>
      </vt:variant>
      <vt:variant>
        <vt:i4>674</vt:i4>
      </vt:variant>
      <vt:variant>
        <vt:i4>0</vt:i4>
      </vt:variant>
      <vt:variant>
        <vt:i4>5</vt:i4>
      </vt:variant>
      <vt:variant>
        <vt:lpwstr/>
      </vt:variant>
      <vt:variant>
        <vt:lpwstr>_Toc121834479</vt:lpwstr>
      </vt:variant>
      <vt:variant>
        <vt:i4>1966135</vt:i4>
      </vt:variant>
      <vt:variant>
        <vt:i4>668</vt:i4>
      </vt:variant>
      <vt:variant>
        <vt:i4>0</vt:i4>
      </vt:variant>
      <vt:variant>
        <vt:i4>5</vt:i4>
      </vt:variant>
      <vt:variant>
        <vt:lpwstr/>
      </vt:variant>
      <vt:variant>
        <vt:lpwstr>_Toc121834478</vt:lpwstr>
      </vt:variant>
      <vt:variant>
        <vt:i4>1966135</vt:i4>
      </vt:variant>
      <vt:variant>
        <vt:i4>662</vt:i4>
      </vt:variant>
      <vt:variant>
        <vt:i4>0</vt:i4>
      </vt:variant>
      <vt:variant>
        <vt:i4>5</vt:i4>
      </vt:variant>
      <vt:variant>
        <vt:lpwstr/>
      </vt:variant>
      <vt:variant>
        <vt:lpwstr>_Toc121834477</vt:lpwstr>
      </vt:variant>
      <vt:variant>
        <vt:i4>1966135</vt:i4>
      </vt:variant>
      <vt:variant>
        <vt:i4>656</vt:i4>
      </vt:variant>
      <vt:variant>
        <vt:i4>0</vt:i4>
      </vt:variant>
      <vt:variant>
        <vt:i4>5</vt:i4>
      </vt:variant>
      <vt:variant>
        <vt:lpwstr/>
      </vt:variant>
      <vt:variant>
        <vt:lpwstr>_Toc121834476</vt:lpwstr>
      </vt:variant>
      <vt:variant>
        <vt:i4>1966135</vt:i4>
      </vt:variant>
      <vt:variant>
        <vt:i4>650</vt:i4>
      </vt:variant>
      <vt:variant>
        <vt:i4>0</vt:i4>
      </vt:variant>
      <vt:variant>
        <vt:i4>5</vt:i4>
      </vt:variant>
      <vt:variant>
        <vt:lpwstr/>
      </vt:variant>
      <vt:variant>
        <vt:lpwstr>_Toc121834475</vt:lpwstr>
      </vt:variant>
      <vt:variant>
        <vt:i4>1966135</vt:i4>
      </vt:variant>
      <vt:variant>
        <vt:i4>644</vt:i4>
      </vt:variant>
      <vt:variant>
        <vt:i4>0</vt:i4>
      </vt:variant>
      <vt:variant>
        <vt:i4>5</vt:i4>
      </vt:variant>
      <vt:variant>
        <vt:lpwstr/>
      </vt:variant>
      <vt:variant>
        <vt:lpwstr>_Toc121834474</vt:lpwstr>
      </vt:variant>
      <vt:variant>
        <vt:i4>1966135</vt:i4>
      </vt:variant>
      <vt:variant>
        <vt:i4>638</vt:i4>
      </vt:variant>
      <vt:variant>
        <vt:i4>0</vt:i4>
      </vt:variant>
      <vt:variant>
        <vt:i4>5</vt:i4>
      </vt:variant>
      <vt:variant>
        <vt:lpwstr/>
      </vt:variant>
      <vt:variant>
        <vt:lpwstr>_Toc121834473</vt:lpwstr>
      </vt:variant>
      <vt:variant>
        <vt:i4>1966135</vt:i4>
      </vt:variant>
      <vt:variant>
        <vt:i4>632</vt:i4>
      </vt:variant>
      <vt:variant>
        <vt:i4>0</vt:i4>
      </vt:variant>
      <vt:variant>
        <vt:i4>5</vt:i4>
      </vt:variant>
      <vt:variant>
        <vt:lpwstr/>
      </vt:variant>
      <vt:variant>
        <vt:lpwstr>_Toc121834472</vt:lpwstr>
      </vt:variant>
      <vt:variant>
        <vt:i4>1966135</vt:i4>
      </vt:variant>
      <vt:variant>
        <vt:i4>626</vt:i4>
      </vt:variant>
      <vt:variant>
        <vt:i4>0</vt:i4>
      </vt:variant>
      <vt:variant>
        <vt:i4>5</vt:i4>
      </vt:variant>
      <vt:variant>
        <vt:lpwstr/>
      </vt:variant>
      <vt:variant>
        <vt:lpwstr>_Toc121834471</vt:lpwstr>
      </vt:variant>
      <vt:variant>
        <vt:i4>1966135</vt:i4>
      </vt:variant>
      <vt:variant>
        <vt:i4>620</vt:i4>
      </vt:variant>
      <vt:variant>
        <vt:i4>0</vt:i4>
      </vt:variant>
      <vt:variant>
        <vt:i4>5</vt:i4>
      </vt:variant>
      <vt:variant>
        <vt:lpwstr/>
      </vt:variant>
      <vt:variant>
        <vt:lpwstr>_Toc121834470</vt:lpwstr>
      </vt:variant>
      <vt:variant>
        <vt:i4>2031671</vt:i4>
      </vt:variant>
      <vt:variant>
        <vt:i4>614</vt:i4>
      </vt:variant>
      <vt:variant>
        <vt:i4>0</vt:i4>
      </vt:variant>
      <vt:variant>
        <vt:i4>5</vt:i4>
      </vt:variant>
      <vt:variant>
        <vt:lpwstr/>
      </vt:variant>
      <vt:variant>
        <vt:lpwstr>_Toc121834469</vt:lpwstr>
      </vt:variant>
      <vt:variant>
        <vt:i4>2031671</vt:i4>
      </vt:variant>
      <vt:variant>
        <vt:i4>608</vt:i4>
      </vt:variant>
      <vt:variant>
        <vt:i4>0</vt:i4>
      </vt:variant>
      <vt:variant>
        <vt:i4>5</vt:i4>
      </vt:variant>
      <vt:variant>
        <vt:lpwstr/>
      </vt:variant>
      <vt:variant>
        <vt:lpwstr>_Toc121834468</vt:lpwstr>
      </vt:variant>
      <vt:variant>
        <vt:i4>2031671</vt:i4>
      </vt:variant>
      <vt:variant>
        <vt:i4>602</vt:i4>
      </vt:variant>
      <vt:variant>
        <vt:i4>0</vt:i4>
      </vt:variant>
      <vt:variant>
        <vt:i4>5</vt:i4>
      </vt:variant>
      <vt:variant>
        <vt:lpwstr/>
      </vt:variant>
      <vt:variant>
        <vt:lpwstr>_Toc121834467</vt:lpwstr>
      </vt:variant>
      <vt:variant>
        <vt:i4>2031671</vt:i4>
      </vt:variant>
      <vt:variant>
        <vt:i4>596</vt:i4>
      </vt:variant>
      <vt:variant>
        <vt:i4>0</vt:i4>
      </vt:variant>
      <vt:variant>
        <vt:i4>5</vt:i4>
      </vt:variant>
      <vt:variant>
        <vt:lpwstr/>
      </vt:variant>
      <vt:variant>
        <vt:lpwstr>_Toc121834466</vt:lpwstr>
      </vt:variant>
      <vt:variant>
        <vt:i4>2031671</vt:i4>
      </vt:variant>
      <vt:variant>
        <vt:i4>590</vt:i4>
      </vt:variant>
      <vt:variant>
        <vt:i4>0</vt:i4>
      </vt:variant>
      <vt:variant>
        <vt:i4>5</vt:i4>
      </vt:variant>
      <vt:variant>
        <vt:lpwstr/>
      </vt:variant>
      <vt:variant>
        <vt:lpwstr>_Toc121834465</vt:lpwstr>
      </vt:variant>
      <vt:variant>
        <vt:i4>2031671</vt:i4>
      </vt:variant>
      <vt:variant>
        <vt:i4>584</vt:i4>
      </vt:variant>
      <vt:variant>
        <vt:i4>0</vt:i4>
      </vt:variant>
      <vt:variant>
        <vt:i4>5</vt:i4>
      </vt:variant>
      <vt:variant>
        <vt:lpwstr/>
      </vt:variant>
      <vt:variant>
        <vt:lpwstr>_Toc121834464</vt:lpwstr>
      </vt:variant>
      <vt:variant>
        <vt:i4>2031671</vt:i4>
      </vt:variant>
      <vt:variant>
        <vt:i4>578</vt:i4>
      </vt:variant>
      <vt:variant>
        <vt:i4>0</vt:i4>
      </vt:variant>
      <vt:variant>
        <vt:i4>5</vt:i4>
      </vt:variant>
      <vt:variant>
        <vt:lpwstr/>
      </vt:variant>
      <vt:variant>
        <vt:lpwstr>_Toc121834463</vt:lpwstr>
      </vt:variant>
      <vt:variant>
        <vt:i4>2031671</vt:i4>
      </vt:variant>
      <vt:variant>
        <vt:i4>572</vt:i4>
      </vt:variant>
      <vt:variant>
        <vt:i4>0</vt:i4>
      </vt:variant>
      <vt:variant>
        <vt:i4>5</vt:i4>
      </vt:variant>
      <vt:variant>
        <vt:lpwstr/>
      </vt:variant>
      <vt:variant>
        <vt:lpwstr>_Toc121834462</vt:lpwstr>
      </vt:variant>
      <vt:variant>
        <vt:i4>2031671</vt:i4>
      </vt:variant>
      <vt:variant>
        <vt:i4>566</vt:i4>
      </vt:variant>
      <vt:variant>
        <vt:i4>0</vt:i4>
      </vt:variant>
      <vt:variant>
        <vt:i4>5</vt:i4>
      </vt:variant>
      <vt:variant>
        <vt:lpwstr/>
      </vt:variant>
      <vt:variant>
        <vt:lpwstr>_Toc121834461</vt:lpwstr>
      </vt:variant>
      <vt:variant>
        <vt:i4>2031671</vt:i4>
      </vt:variant>
      <vt:variant>
        <vt:i4>560</vt:i4>
      </vt:variant>
      <vt:variant>
        <vt:i4>0</vt:i4>
      </vt:variant>
      <vt:variant>
        <vt:i4>5</vt:i4>
      </vt:variant>
      <vt:variant>
        <vt:lpwstr/>
      </vt:variant>
      <vt:variant>
        <vt:lpwstr>_Toc121834460</vt:lpwstr>
      </vt:variant>
      <vt:variant>
        <vt:i4>1835063</vt:i4>
      </vt:variant>
      <vt:variant>
        <vt:i4>554</vt:i4>
      </vt:variant>
      <vt:variant>
        <vt:i4>0</vt:i4>
      </vt:variant>
      <vt:variant>
        <vt:i4>5</vt:i4>
      </vt:variant>
      <vt:variant>
        <vt:lpwstr/>
      </vt:variant>
      <vt:variant>
        <vt:lpwstr>_Toc121834459</vt:lpwstr>
      </vt:variant>
      <vt:variant>
        <vt:i4>1835063</vt:i4>
      </vt:variant>
      <vt:variant>
        <vt:i4>548</vt:i4>
      </vt:variant>
      <vt:variant>
        <vt:i4>0</vt:i4>
      </vt:variant>
      <vt:variant>
        <vt:i4>5</vt:i4>
      </vt:variant>
      <vt:variant>
        <vt:lpwstr/>
      </vt:variant>
      <vt:variant>
        <vt:lpwstr>_Toc121834458</vt:lpwstr>
      </vt:variant>
      <vt:variant>
        <vt:i4>1835063</vt:i4>
      </vt:variant>
      <vt:variant>
        <vt:i4>542</vt:i4>
      </vt:variant>
      <vt:variant>
        <vt:i4>0</vt:i4>
      </vt:variant>
      <vt:variant>
        <vt:i4>5</vt:i4>
      </vt:variant>
      <vt:variant>
        <vt:lpwstr/>
      </vt:variant>
      <vt:variant>
        <vt:lpwstr>_Toc121834457</vt:lpwstr>
      </vt:variant>
      <vt:variant>
        <vt:i4>1835063</vt:i4>
      </vt:variant>
      <vt:variant>
        <vt:i4>536</vt:i4>
      </vt:variant>
      <vt:variant>
        <vt:i4>0</vt:i4>
      </vt:variant>
      <vt:variant>
        <vt:i4>5</vt:i4>
      </vt:variant>
      <vt:variant>
        <vt:lpwstr/>
      </vt:variant>
      <vt:variant>
        <vt:lpwstr>_Toc121834456</vt:lpwstr>
      </vt:variant>
      <vt:variant>
        <vt:i4>1835063</vt:i4>
      </vt:variant>
      <vt:variant>
        <vt:i4>530</vt:i4>
      </vt:variant>
      <vt:variant>
        <vt:i4>0</vt:i4>
      </vt:variant>
      <vt:variant>
        <vt:i4>5</vt:i4>
      </vt:variant>
      <vt:variant>
        <vt:lpwstr/>
      </vt:variant>
      <vt:variant>
        <vt:lpwstr>_Toc121834455</vt:lpwstr>
      </vt:variant>
      <vt:variant>
        <vt:i4>1835063</vt:i4>
      </vt:variant>
      <vt:variant>
        <vt:i4>524</vt:i4>
      </vt:variant>
      <vt:variant>
        <vt:i4>0</vt:i4>
      </vt:variant>
      <vt:variant>
        <vt:i4>5</vt:i4>
      </vt:variant>
      <vt:variant>
        <vt:lpwstr/>
      </vt:variant>
      <vt:variant>
        <vt:lpwstr>_Toc121834454</vt:lpwstr>
      </vt:variant>
      <vt:variant>
        <vt:i4>1835063</vt:i4>
      </vt:variant>
      <vt:variant>
        <vt:i4>518</vt:i4>
      </vt:variant>
      <vt:variant>
        <vt:i4>0</vt:i4>
      </vt:variant>
      <vt:variant>
        <vt:i4>5</vt:i4>
      </vt:variant>
      <vt:variant>
        <vt:lpwstr/>
      </vt:variant>
      <vt:variant>
        <vt:lpwstr>_Toc121834453</vt:lpwstr>
      </vt:variant>
      <vt:variant>
        <vt:i4>1835063</vt:i4>
      </vt:variant>
      <vt:variant>
        <vt:i4>512</vt:i4>
      </vt:variant>
      <vt:variant>
        <vt:i4>0</vt:i4>
      </vt:variant>
      <vt:variant>
        <vt:i4>5</vt:i4>
      </vt:variant>
      <vt:variant>
        <vt:lpwstr/>
      </vt:variant>
      <vt:variant>
        <vt:lpwstr>_Toc121834452</vt:lpwstr>
      </vt:variant>
      <vt:variant>
        <vt:i4>1835063</vt:i4>
      </vt:variant>
      <vt:variant>
        <vt:i4>506</vt:i4>
      </vt:variant>
      <vt:variant>
        <vt:i4>0</vt:i4>
      </vt:variant>
      <vt:variant>
        <vt:i4>5</vt:i4>
      </vt:variant>
      <vt:variant>
        <vt:lpwstr/>
      </vt:variant>
      <vt:variant>
        <vt:lpwstr>_Toc121834451</vt:lpwstr>
      </vt:variant>
      <vt:variant>
        <vt:i4>1835063</vt:i4>
      </vt:variant>
      <vt:variant>
        <vt:i4>500</vt:i4>
      </vt:variant>
      <vt:variant>
        <vt:i4>0</vt:i4>
      </vt:variant>
      <vt:variant>
        <vt:i4>5</vt:i4>
      </vt:variant>
      <vt:variant>
        <vt:lpwstr/>
      </vt:variant>
      <vt:variant>
        <vt:lpwstr>_Toc121834450</vt:lpwstr>
      </vt:variant>
      <vt:variant>
        <vt:i4>1900599</vt:i4>
      </vt:variant>
      <vt:variant>
        <vt:i4>494</vt:i4>
      </vt:variant>
      <vt:variant>
        <vt:i4>0</vt:i4>
      </vt:variant>
      <vt:variant>
        <vt:i4>5</vt:i4>
      </vt:variant>
      <vt:variant>
        <vt:lpwstr/>
      </vt:variant>
      <vt:variant>
        <vt:lpwstr>_Toc121834449</vt:lpwstr>
      </vt:variant>
      <vt:variant>
        <vt:i4>1900599</vt:i4>
      </vt:variant>
      <vt:variant>
        <vt:i4>488</vt:i4>
      </vt:variant>
      <vt:variant>
        <vt:i4>0</vt:i4>
      </vt:variant>
      <vt:variant>
        <vt:i4>5</vt:i4>
      </vt:variant>
      <vt:variant>
        <vt:lpwstr/>
      </vt:variant>
      <vt:variant>
        <vt:lpwstr>_Toc121834448</vt:lpwstr>
      </vt:variant>
      <vt:variant>
        <vt:i4>1900599</vt:i4>
      </vt:variant>
      <vt:variant>
        <vt:i4>482</vt:i4>
      </vt:variant>
      <vt:variant>
        <vt:i4>0</vt:i4>
      </vt:variant>
      <vt:variant>
        <vt:i4>5</vt:i4>
      </vt:variant>
      <vt:variant>
        <vt:lpwstr/>
      </vt:variant>
      <vt:variant>
        <vt:lpwstr>_Toc121834447</vt:lpwstr>
      </vt:variant>
      <vt:variant>
        <vt:i4>1900599</vt:i4>
      </vt:variant>
      <vt:variant>
        <vt:i4>476</vt:i4>
      </vt:variant>
      <vt:variant>
        <vt:i4>0</vt:i4>
      </vt:variant>
      <vt:variant>
        <vt:i4>5</vt:i4>
      </vt:variant>
      <vt:variant>
        <vt:lpwstr/>
      </vt:variant>
      <vt:variant>
        <vt:lpwstr>_Toc121834446</vt:lpwstr>
      </vt:variant>
      <vt:variant>
        <vt:i4>1900599</vt:i4>
      </vt:variant>
      <vt:variant>
        <vt:i4>470</vt:i4>
      </vt:variant>
      <vt:variant>
        <vt:i4>0</vt:i4>
      </vt:variant>
      <vt:variant>
        <vt:i4>5</vt:i4>
      </vt:variant>
      <vt:variant>
        <vt:lpwstr/>
      </vt:variant>
      <vt:variant>
        <vt:lpwstr>_Toc121834445</vt:lpwstr>
      </vt:variant>
      <vt:variant>
        <vt:i4>1900599</vt:i4>
      </vt:variant>
      <vt:variant>
        <vt:i4>464</vt:i4>
      </vt:variant>
      <vt:variant>
        <vt:i4>0</vt:i4>
      </vt:variant>
      <vt:variant>
        <vt:i4>5</vt:i4>
      </vt:variant>
      <vt:variant>
        <vt:lpwstr/>
      </vt:variant>
      <vt:variant>
        <vt:lpwstr>_Toc121834444</vt:lpwstr>
      </vt:variant>
      <vt:variant>
        <vt:i4>1900599</vt:i4>
      </vt:variant>
      <vt:variant>
        <vt:i4>458</vt:i4>
      </vt:variant>
      <vt:variant>
        <vt:i4>0</vt:i4>
      </vt:variant>
      <vt:variant>
        <vt:i4>5</vt:i4>
      </vt:variant>
      <vt:variant>
        <vt:lpwstr/>
      </vt:variant>
      <vt:variant>
        <vt:lpwstr>_Toc121834443</vt:lpwstr>
      </vt:variant>
      <vt:variant>
        <vt:i4>1900599</vt:i4>
      </vt:variant>
      <vt:variant>
        <vt:i4>452</vt:i4>
      </vt:variant>
      <vt:variant>
        <vt:i4>0</vt:i4>
      </vt:variant>
      <vt:variant>
        <vt:i4>5</vt:i4>
      </vt:variant>
      <vt:variant>
        <vt:lpwstr/>
      </vt:variant>
      <vt:variant>
        <vt:lpwstr>_Toc121834442</vt:lpwstr>
      </vt:variant>
      <vt:variant>
        <vt:i4>1900599</vt:i4>
      </vt:variant>
      <vt:variant>
        <vt:i4>446</vt:i4>
      </vt:variant>
      <vt:variant>
        <vt:i4>0</vt:i4>
      </vt:variant>
      <vt:variant>
        <vt:i4>5</vt:i4>
      </vt:variant>
      <vt:variant>
        <vt:lpwstr/>
      </vt:variant>
      <vt:variant>
        <vt:lpwstr>_Toc121834441</vt:lpwstr>
      </vt:variant>
      <vt:variant>
        <vt:i4>1900599</vt:i4>
      </vt:variant>
      <vt:variant>
        <vt:i4>440</vt:i4>
      </vt:variant>
      <vt:variant>
        <vt:i4>0</vt:i4>
      </vt:variant>
      <vt:variant>
        <vt:i4>5</vt:i4>
      </vt:variant>
      <vt:variant>
        <vt:lpwstr/>
      </vt:variant>
      <vt:variant>
        <vt:lpwstr>_Toc121834440</vt:lpwstr>
      </vt:variant>
      <vt:variant>
        <vt:i4>1703991</vt:i4>
      </vt:variant>
      <vt:variant>
        <vt:i4>434</vt:i4>
      </vt:variant>
      <vt:variant>
        <vt:i4>0</vt:i4>
      </vt:variant>
      <vt:variant>
        <vt:i4>5</vt:i4>
      </vt:variant>
      <vt:variant>
        <vt:lpwstr/>
      </vt:variant>
      <vt:variant>
        <vt:lpwstr>_Toc121834439</vt:lpwstr>
      </vt:variant>
      <vt:variant>
        <vt:i4>1703991</vt:i4>
      </vt:variant>
      <vt:variant>
        <vt:i4>428</vt:i4>
      </vt:variant>
      <vt:variant>
        <vt:i4>0</vt:i4>
      </vt:variant>
      <vt:variant>
        <vt:i4>5</vt:i4>
      </vt:variant>
      <vt:variant>
        <vt:lpwstr/>
      </vt:variant>
      <vt:variant>
        <vt:lpwstr>_Toc121834438</vt:lpwstr>
      </vt:variant>
      <vt:variant>
        <vt:i4>1703991</vt:i4>
      </vt:variant>
      <vt:variant>
        <vt:i4>422</vt:i4>
      </vt:variant>
      <vt:variant>
        <vt:i4>0</vt:i4>
      </vt:variant>
      <vt:variant>
        <vt:i4>5</vt:i4>
      </vt:variant>
      <vt:variant>
        <vt:lpwstr/>
      </vt:variant>
      <vt:variant>
        <vt:lpwstr>_Toc121834437</vt:lpwstr>
      </vt:variant>
      <vt:variant>
        <vt:i4>1703991</vt:i4>
      </vt:variant>
      <vt:variant>
        <vt:i4>416</vt:i4>
      </vt:variant>
      <vt:variant>
        <vt:i4>0</vt:i4>
      </vt:variant>
      <vt:variant>
        <vt:i4>5</vt:i4>
      </vt:variant>
      <vt:variant>
        <vt:lpwstr/>
      </vt:variant>
      <vt:variant>
        <vt:lpwstr>_Toc121834436</vt:lpwstr>
      </vt:variant>
      <vt:variant>
        <vt:i4>1703991</vt:i4>
      </vt:variant>
      <vt:variant>
        <vt:i4>410</vt:i4>
      </vt:variant>
      <vt:variant>
        <vt:i4>0</vt:i4>
      </vt:variant>
      <vt:variant>
        <vt:i4>5</vt:i4>
      </vt:variant>
      <vt:variant>
        <vt:lpwstr/>
      </vt:variant>
      <vt:variant>
        <vt:lpwstr>_Toc121834435</vt:lpwstr>
      </vt:variant>
      <vt:variant>
        <vt:i4>1703991</vt:i4>
      </vt:variant>
      <vt:variant>
        <vt:i4>404</vt:i4>
      </vt:variant>
      <vt:variant>
        <vt:i4>0</vt:i4>
      </vt:variant>
      <vt:variant>
        <vt:i4>5</vt:i4>
      </vt:variant>
      <vt:variant>
        <vt:lpwstr/>
      </vt:variant>
      <vt:variant>
        <vt:lpwstr>_Toc121834434</vt:lpwstr>
      </vt:variant>
      <vt:variant>
        <vt:i4>1703991</vt:i4>
      </vt:variant>
      <vt:variant>
        <vt:i4>398</vt:i4>
      </vt:variant>
      <vt:variant>
        <vt:i4>0</vt:i4>
      </vt:variant>
      <vt:variant>
        <vt:i4>5</vt:i4>
      </vt:variant>
      <vt:variant>
        <vt:lpwstr/>
      </vt:variant>
      <vt:variant>
        <vt:lpwstr>_Toc121834433</vt:lpwstr>
      </vt:variant>
      <vt:variant>
        <vt:i4>1703991</vt:i4>
      </vt:variant>
      <vt:variant>
        <vt:i4>392</vt:i4>
      </vt:variant>
      <vt:variant>
        <vt:i4>0</vt:i4>
      </vt:variant>
      <vt:variant>
        <vt:i4>5</vt:i4>
      </vt:variant>
      <vt:variant>
        <vt:lpwstr/>
      </vt:variant>
      <vt:variant>
        <vt:lpwstr>_Toc121834432</vt:lpwstr>
      </vt:variant>
      <vt:variant>
        <vt:i4>1703991</vt:i4>
      </vt:variant>
      <vt:variant>
        <vt:i4>386</vt:i4>
      </vt:variant>
      <vt:variant>
        <vt:i4>0</vt:i4>
      </vt:variant>
      <vt:variant>
        <vt:i4>5</vt:i4>
      </vt:variant>
      <vt:variant>
        <vt:lpwstr/>
      </vt:variant>
      <vt:variant>
        <vt:lpwstr>_Toc121834431</vt:lpwstr>
      </vt:variant>
      <vt:variant>
        <vt:i4>1703991</vt:i4>
      </vt:variant>
      <vt:variant>
        <vt:i4>380</vt:i4>
      </vt:variant>
      <vt:variant>
        <vt:i4>0</vt:i4>
      </vt:variant>
      <vt:variant>
        <vt:i4>5</vt:i4>
      </vt:variant>
      <vt:variant>
        <vt:lpwstr/>
      </vt:variant>
      <vt:variant>
        <vt:lpwstr>_Toc121834430</vt:lpwstr>
      </vt:variant>
      <vt:variant>
        <vt:i4>1769527</vt:i4>
      </vt:variant>
      <vt:variant>
        <vt:i4>374</vt:i4>
      </vt:variant>
      <vt:variant>
        <vt:i4>0</vt:i4>
      </vt:variant>
      <vt:variant>
        <vt:i4>5</vt:i4>
      </vt:variant>
      <vt:variant>
        <vt:lpwstr/>
      </vt:variant>
      <vt:variant>
        <vt:lpwstr>_Toc121834429</vt:lpwstr>
      </vt:variant>
      <vt:variant>
        <vt:i4>1769527</vt:i4>
      </vt:variant>
      <vt:variant>
        <vt:i4>368</vt:i4>
      </vt:variant>
      <vt:variant>
        <vt:i4>0</vt:i4>
      </vt:variant>
      <vt:variant>
        <vt:i4>5</vt:i4>
      </vt:variant>
      <vt:variant>
        <vt:lpwstr/>
      </vt:variant>
      <vt:variant>
        <vt:lpwstr>_Toc121834428</vt:lpwstr>
      </vt:variant>
      <vt:variant>
        <vt:i4>1769527</vt:i4>
      </vt:variant>
      <vt:variant>
        <vt:i4>362</vt:i4>
      </vt:variant>
      <vt:variant>
        <vt:i4>0</vt:i4>
      </vt:variant>
      <vt:variant>
        <vt:i4>5</vt:i4>
      </vt:variant>
      <vt:variant>
        <vt:lpwstr/>
      </vt:variant>
      <vt:variant>
        <vt:lpwstr>_Toc121834427</vt:lpwstr>
      </vt:variant>
      <vt:variant>
        <vt:i4>1769527</vt:i4>
      </vt:variant>
      <vt:variant>
        <vt:i4>356</vt:i4>
      </vt:variant>
      <vt:variant>
        <vt:i4>0</vt:i4>
      </vt:variant>
      <vt:variant>
        <vt:i4>5</vt:i4>
      </vt:variant>
      <vt:variant>
        <vt:lpwstr/>
      </vt:variant>
      <vt:variant>
        <vt:lpwstr>_Toc121834426</vt:lpwstr>
      </vt:variant>
      <vt:variant>
        <vt:i4>1769527</vt:i4>
      </vt:variant>
      <vt:variant>
        <vt:i4>350</vt:i4>
      </vt:variant>
      <vt:variant>
        <vt:i4>0</vt:i4>
      </vt:variant>
      <vt:variant>
        <vt:i4>5</vt:i4>
      </vt:variant>
      <vt:variant>
        <vt:lpwstr/>
      </vt:variant>
      <vt:variant>
        <vt:lpwstr>_Toc121834425</vt:lpwstr>
      </vt:variant>
      <vt:variant>
        <vt:i4>1769527</vt:i4>
      </vt:variant>
      <vt:variant>
        <vt:i4>344</vt:i4>
      </vt:variant>
      <vt:variant>
        <vt:i4>0</vt:i4>
      </vt:variant>
      <vt:variant>
        <vt:i4>5</vt:i4>
      </vt:variant>
      <vt:variant>
        <vt:lpwstr/>
      </vt:variant>
      <vt:variant>
        <vt:lpwstr>_Toc121834424</vt:lpwstr>
      </vt:variant>
      <vt:variant>
        <vt:i4>1769527</vt:i4>
      </vt:variant>
      <vt:variant>
        <vt:i4>338</vt:i4>
      </vt:variant>
      <vt:variant>
        <vt:i4>0</vt:i4>
      </vt:variant>
      <vt:variant>
        <vt:i4>5</vt:i4>
      </vt:variant>
      <vt:variant>
        <vt:lpwstr/>
      </vt:variant>
      <vt:variant>
        <vt:lpwstr>_Toc121834423</vt:lpwstr>
      </vt:variant>
      <vt:variant>
        <vt:i4>1769527</vt:i4>
      </vt:variant>
      <vt:variant>
        <vt:i4>332</vt:i4>
      </vt:variant>
      <vt:variant>
        <vt:i4>0</vt:i4>
      </vt:variant>
      <vt:variant>
        <vt:i4>5</vt:i4>
      </vt:variant>
      <vt:variant>
        <vt:lpwstr/>
      </vt:variant>
      <vt:variant>
        <vt:lpwstr>_Toc121834422</vt:lpwstr>
      </vt:variant>
      <vt:variant>
        <vt:i4>1769527</vt:i4>
      </vt:variant>
      <vt:variant>
        <vt:i4>326</vt:i4>
      </vt:variant>
      <vt:variant>
        <vt:i4>0</vt:i4>
      </vt:variant>
      <vt:variant>
        <vt:i4>5</vt:i4>
      </vt:variant>
      <vt:variant>
        <vt:lpwstr/>
      </vt:variant>
      <vt:variant>
        <vt:lpwstr>_Toc121834421</vt:lpwstr>
      </vt:variant>
      <vt:variant>
        <vt:i4>1769527</vt:i4>
      </vt:variant>
      <vt:variant>
        <vt:i4>320</vt:i4>
      </vt:variant>
      <vt:variant>
        <vt:i4>0</vt:i4>
      </vt:variant>
      <vt:variant>
        <vt:i4>5</vt:i4>
      </vt:variant>
      <vt:variant>
        <vt:lpwstr/>
      </vt:variant>
      <vt:variant>
        <vt:lpwstr>_Toc121834420</vt:lpwstr>
      </vt:variant>
      <vt:variant>
        <vt:i4>1572919</vt:i4>
      </vt:variant>
      <vt:variant>
        <vt:i4>314</vt:i4>
      </vt:variant>
      <vt:variant>
        <vt:i4>0</vt:i4>
      </vt:variant>
      <vt:variant>
        <vt:i4>5</vt:i4>
      </vt:variant>
      <vt:variant>
        <vt:lpwstr/>
      </vt:variant>
      <vt:variant>
        <vt:lpwstr>_Toc121834419</vt:lpwstr>
      </vt:variant>
      <vt:variant>
        <vt:i4>1572919</vt:i4>
      </vt:variant>
      <vt:variant>
        <vt:i4>308</vt:i4>
      </vt:variant>
      <vt:variant>
        <vt:i4>0</vt:i4>
      </vt:variant>
      <vt:variant>
        <vt:i4>5</vt:i4>
      </vt:variant>
      <vt:variant>
        <vt:lpwstr/>
      </vt:variant>
      <vt:variant>
        <vt:lpwstr>_Toc121834418</vt:lpwstr>
      </vt:variant>
      <vt:variant>
        <vt:i4>1572919</vt:i4>
      </vt:variant>
      <vt:variant>
        <vt:i4>302</vt:i4>
      </vt:variant>
      <vt:variant>
        <vt:i4>0</vt:i4>
      </vt:variant>
      <vt:variant>
        <vt:i4>5</vt:i4>
      </vt:variant>
      <vt:variant>
        <vt:lpwstr/>
      </vt:variant>
      <vt:variant>
        <vt:lpwstr>_Toc121834417</vt:lpwstr>
      </vt:variant>
      <vt:variant>
        <vt:i4>1572919</vt:i4>
      </vt:variant>
      <vt:variant>
        <vt:i4>296</vt:i4>
      </vt:variant>
      <vt:variant>
        <vt:i4>0</vt:i4>
      </vt:variant>
      <vt:variant>
        <vt:i4>5</vt:i4>
      </vt:variant>
      <vt:variant>
        <vt:lpwstr/>
      </vt:variant>
      <vt:variant>
        <vt:lpwstr>_Toc121834416</vt:lpwstr>
      </vt:variant>
      <vt:variant>
        <vt:i4>1572919</vt:i4>
      </vt:variant>
      <vt:variant>
        <vt:i4>290</vt:i4>
      </vt:variant>
      <vt:variant>
        <vt:i4>0</vt:i4>
      </vt:variant>
      <vt:variant>
        <vt:i4>5</vt:i4>
      </vt:variant>
      <vt:variant>
        <vt:lpwstr/>
      </vt:variant>
      <vt:variant>
        <vt:lpwstr>_Toc121834415</vt:lpwstr>
      </vt:variant>
      <vt:variant>
        <vt:i4>1572919</vt:i4>
      </vt:variant>
      <vt:variant>
        <vt:i4>284</vt:i4>
      </vt:variant>
      <vt:variant>
        <vt:i4>0</vt:i4>
      </vt:variant>
      <vt:variant>
        <vt:i4>5</vt:i4>
      </vt:variant>
      <vt:variant>
        <vt:lpwstr/>
      </vt:variant>
      <vt:variant>
        <vt:lpwstr>_Toc121834414</vt:lpwstr>
      </vt:variant>
      <vt:variant>
        <vt:i4>1572919</vt:i4>
      </vt:variant>
      <vt:variant>
        <vt:i4>278</vt:i4>
      </vt:variant>
      <vt:variant>
        <vt:i4>0</vt:i4>
      </vt:variant>
      <vt:variant>
        <vt:i4>5</vt:i4>
      </vt:variant>
      <vt:variant>
        <vt:lpwstr/>
      </vt:variant>
      <vt:variant>
        <vt:lpwstr>_Toc121834413</vt:lpwstr>
      </vt:variant>
      <vt:variant>
        <vt:i4>1572919</vt:i4>
      </vt:variant>
      <vt:variant>
        <vt:i4>272</vt:i4>
      </vt:variant>
      <vt:variant>
        <vt:i4>0</vt:i4>
      </vt:variant>
      <vt:variant>
        <vt:i4>5</vt:i4>
      </vt:variant>
      <vt:variant>
        <vt:lpwstr/>
      </vt:variant>
      <vt:variant>
        <vt:lpwstr>_Toc121834412</vt:lpwstr>
      </vt:variant>
      <vt:variant>
        <vt:i4>1572919</vt:i4>
      </vt:variant>
      <vt:variant>
        <vt:i4>266</vt:i4>
      </vt:variant>
      <vt:variant>
        <vt:i4>0</vt:i4>
      </vt:variant>
      <vt:variant>
        <vt:i4>5</vt:i4>
      </vt:variant>
      <vt:variant>
        <vt:lpwstr/>
      </vt:variant>
      <vt:variant>
        <vt:lpwstr>_Toc121834411</vt:lpwstr>
      </vt:variant>
      <vt:variant>
        <vt:i4>1572919</vt:i4>
      </vt:variant>
      <vt:variant>
        <vt:i4>260</vt:i4>
      </vt:variant>
      <vt:variant>
        <vt:i4>0</vt:i4>
      </vt:variant>
      <vt:variant>
        <vt:i4>5</vt:i4>
      </vt:variant>
      <vt:variant>
        <vt:lpwstr/>
      </vt:variant>
      <vt:variant>
        <vt:lpwstr>_Toc121834410</vt:lpwstr>
      </vt:variant>
      <vt:variant>
        <vt:i4>1638455</vt:i4>
      </vt:variant>
      <vt:variant>
        <vt:i4>254</vt:i4>
      </vt:variant>
      <vt:variant>
        <vt:i4>0</vt:i4>
      </vt:variant>
      <vt:variant>
        <vt:i4>5</vt:i4>
      </vt:variant>
      <vt:variant>
        <vt:lpwstr/>
      </vt:variant>
      <vt:variant>
        <vt:lpwstr>_Toc121834409</vt:lpwstr>
      </vt:variant>
      <vt:variant>
        <vt:i4>1638455</vt:i4>
      </vt:variant>
      <vt:variant>
        <vt:i4>248</vt:i4>
      </vt:variant>
      <vt:variant>
        <vt:i4>0</vt:i4>
      </vt:variant>
      <vt:variant>
        <vt:i4>5</vt:i4>
      </vt:variant>
      <vt:variant>
        <vt:lpwstr/>
      </vt:variant>
      <vt:variant>
        <vt:lpwstr>_Toc121834408</vt:lpwstr>
      </vt:variant>
      <vt:variant>
        <vt:i4>1638455</vt:i4>
      </vt:variant>
      <vt:variant>
        <vt:i4>242</vt:i4>
      </vt:variant>
      <vt:variant>
        <vt:i4>0</vt:i4>
      </vt:variant>
      <vt:variant>
        <vt:i4>5</vt:i4>
      </vt:variant>
      <vt:variant>
        <vt:lpwstr/>
      </vt:variant>
      <vt:variant>
        <vt:lpwstr>_Toc121834407</vt:lpwstr>
      </vt:variant>
      <vt:variant>
        <vt:i4>1638455</vt:i4>
      </vt:variant>
      <vt:variant>
        <vt:i4>236</vt:i4>
      </vt:variant>
      <vt:variant>
        <vt:i4>0</vt:i4>
      </vt:variant>
      <vt:variant>
        <vt:i4>5</vt:i4>
      </vt:variant>
      <vt:variant>
        <vt:lpwstr/>
      </vt:variant>
      <vt:variant>
        <vt:lpwstr>_Toc121834406</vt:lpwstr>
      </vt:variant>
      <vt:variant>
        <vt:i4>1638455</vt:i4>
      </vt:variant>
      <vt:variant>
        <vt:i4>230</vt:i4>
      </vt:variant>
      <vt:variant>
        <vt:i4>0</vt:i4>
      </vt:variant>
      <vt:variant>
        <vt:i4>5</vt:i4>
      </vt:variant>
      <vt:variant>
        <vt:lpwstr/>
      </vt:variant>
      <vt:variant>
        <vt:lpwstr>_Toc121834405</vt:lpwstr>
      </vt:variant>
      <vt:variant>
        <vt:i4>1638455</vt:i4>
      </vt:variant>
      <vt:variant>
        <vt:i4>224</vt:i4>
      </vt:variant>
      <vt:variant>
        <vt:i4>0</vt:i4>
      </vt:variant>
      <vt:variant>
        <vt:i4>5</vt:i4>
      </vt:variant>
      <vt:variant>
        <vt:lpwstr/>
      </vt:variant>
      <vt:variant>
        <vt:lpwstr>_Toc121834404</vt:lpwstr>
      </vt:variant>
      <vt:variant>
        <vt:i4>7798844</vt:i4>
      </vt:variant>
      <vt:variant>
        <vt:i4>219</vt:i4>
      </vt:variant>
      <vt:variant>
        <vt:i4>0</vt:i4>
      </vt:variant>
      <vt:variant>
        <vt:i4>5</vt:i4>
      </vt:variant>
      <vt:variant>
        <vt:lpwstr>https://www.aioh.org.au/resources/consultants/</vt:lpwstr>
      </vt:variant>
      <vt:variant>
        <vt:lpwstr/>
      </vt:variant>
      <vt:variant>
        <vt:i4>7077990</vt:i4>
      </vt:variant>
      <vt:variant>
        <vt:i4>216</vt:i4>
      </vt:variant>
      <vt:variant>
        <vt:i4>0</vt:i4>
      </vt:variant>
      <vt:variant>
        <vt:i4>5</vt:i4>
      </vt:variant>
      <vt:variant>
        <vt:lpwstr>https://www.health.gov.au/resources/publications/enhealth-guidance-potential-health-effects-of-mould-in-the-environment</vt:lpwstr>
      </vt:variant>
      <vt:variant>
        <vt:lpwstr/>
      </vt:variant>
      <vt:variant>
        <vt:i4>5111818</vt:i4>
      </vt:variant>
      <vt:variant>
        <vt:i4>213</vt:i4>
      </vt:variant>
      <vt:variant>
        <vt:i4>0</vt:i4>
      </vt:variant>
      <vt:variant>
        <vt:i4>5</vt:i4>
      </vt:variant>
      <vt:variant>
        <vt:lpwstr/>
      </vt:variant>
      <vt:variant>
        <vt:lpwstr>Sect321IfAHealthEffectAssociatedWithExpo</vt:lpwstr>
      </vt:variant>
      <vt:variant>
        <vt:i4>4653130</vt:i4>
      </vt:variant>
      <vt:variant>
        <vt:i4>210</vt:i4>
      </vt:variant>
      <vt:variant>
        <vt:i4>0</vt:i4>
      </vt:variant>
      <vt:variant>
        <vt:i4>5</vt:i4>
      </vt:variant>
      <vt:variant>
        <vt:lpwstr/>
      </vt:variant>
      <vt:variant>
        <vt:lpwstr>Sect32PatientsPresentingWithPersistentDe</vt:lpwstr>
      </vt:variant>
      <vt:variant>
        <vt:i4>131166</vt:i4>
      </vt:variant>
      <vt:variant>
        <vt:i4>204</vt:i4>
      </vt:variant>
      <vt:variant>
        <vt:i4>0</vt:i4>
      </vt:variant>
      <vt:variant>
        <vt:i4>5</vt:i4>
      </vt:variant>
      <vt:variant>
        <vt:lpwstr/>
      </vt:variant>
      <vt:variant>
        <vt:lpwstr>Section711Asthma</vt:lpwstr>
      </vt:variant>
      <vt:variant>
        <vt:i4>7667764</vt:i4>
      </vt:variant>
      <vt:variant>
        <vt:i4>201</vt:i4>
      </vt:variant>
      <vt:variant>
        <vt:i4>0</vt:i4>
      </vt:variant>
      <vt:variant>
        <vt:i4>5</vt:i4>
      </vt:variant>
      <vt:variant>
        <vt:lpwstr>https://www.asthmahandbook.org.au/</vt:lpwstr>
      </vt:variant>
      <vt:variant>
        <vt:lpwstr/>
      </vt:variant>
      <vt:variant>
        <vt:i4>4718663</vt:i4>
      </vt:variant>
      <vt:variant>
        <vt:i4>198</vt:i4>
      </vt:variant>
      <vt:variant>
        <vt:i4>0</vt:i4>
      </vt:variant>
      <vt:variant>
        <vt:i4>5</vt:i4>
      </vt:variant>
      <vt:variant>
        <vt:lpwstr/>
      </vt:variant>
      <vt:variant>
        <vt:lpwstr>Section73ManagementOfPatientsWithPersist</vt:lpwstr>
      </vt:variant>
      <vt:variant>
        <vt:i4>4784192</vt:i4>
      </vt:variant>
      <vt:variant>
        <vt:i4>195</vt:i4>
      </vt:variant>
      <vt:variant>
        <vt:i4>0</vt:i4>
      </vt:variant>
      <vt:variant>
        <vt:i4>5</vt:i4>
      </vt:variant>
      <vt:variant>
        <vt:lpwstr/>
      </vt:variant>
      <vt:variant>
        <vt:lpwstr>Section64ManagementOfPatientsWithPersist</vt:lpwstr>
      </vt:variant>
      <vt:variant>
        <vt:i4>65567</vt:i4>
      </vt:variant>
      <vt:variant>
        <vt:i4>192</vt:i4>
      </vt:variant>
      <vt:variant>
        <vt:i4>0</vt:i4>
      </vt:variant>
      <vt:variant>
        <vt:i4>5</vt:i4>
      </vt:variant>
      <vt:variant>
        <vt:lpwstr/>
      </vt:variant>
      <vt:variant>
        <vt:lpwstr>Sect6231AustralianConsensusGuidelinesFor</vt:lpwstr>
      </vt:variant>
      <vt:variant>
        <vt:i4>6684733</vt:i4>
      </vt:variant>
      <vt:variant>
        <vt:i4>189</vt:i4>
      </vt:variant>
      <vt:variant>
        <vt:i4>0</vt:i4>
      </vt:variant>
      <vt:variant>
        <vt:i4>5</vt:i4>
      </vt:variant>
      <vt:variant>
        <vt:lpwstr/>
      </vt:variant>
      <vt:variant>
        <vt:lpwstr>Section623MouldRelatedInfection</vt:lpwstr>
      </vt:variant>
      <vt:variant>
        <vt:i4>8323127</vt:i4>
      </vt:variant>
      <vt:variant>
        <vt:i4>186</vt:i4>
      </vt:variant>
      <vt:variant>
        <vt:i4>0</vt:i4>
      </vt:variant>
      <vt:variant>
        <vt:i4>5</vt:i4>
      </vt:variant>
      <vt:variant>
        <vt:lpwstr/>
      </vt:variant>
      <vt:variant>
        <vt:lpwstr>Section622MouldAllergy</vt:lpwstr>
      </vt:variant>
      <vt:variant>
        <vt:i4>5963788</vt:i4>
      </vt:variant>
      <vt:variant>
        <vt:i4>180</vt:i4>
      </vt:variant>
      <vt:variant>
        <vt:i4>0</vt:i4>
      </vt:variant>
      <vt:variant>
        <vt:i4>5</vt:i4>
      </vt:variant>
      <vt:variant>
        <vt:lpwstr/>
      </vt:variant>
      <vt:variant>
        <vt:lpwstr>Sect621Asthma</vt:lpwstr>
      </vt:variant>
      <vt:variant>
        <vt:i4>7667764</vt:i4>
      </vt:variant>
      <vt:variant>
        <vt:i4>177</vt:i4>
      </vt:variant>
      <vt:variant>
        <vt:i4>0</vt:i4>
      </vt:variant>
      <vt:variant>
        <vt:i4>5</vt:i4>
      </vt:variant>
      <vt:variant>
        <vt:lpwstr>https://www.asthmahandbook.org.au/</vt:lpwstr>
      </vt:variant>
      <vt:variant>
        <vt:lpwstr/>
      </vt:variant>
      <vt:variant>
        <vt:i4>4653131</vt:i4>
      </vt:variant>
      <vt:variant>
        <vt:i4>174</vt:i4>
      </vt:variant>
      <vt:variant>
        <vt:i4>0</vt:i4>
      </vt:variant>
      <vt:variant>
        <vt:i4>5</vt:i4>
      </vt:variant>
      <vt:variant>
        <vt:lpwstr/>
      </vt:variant>
      <vt:variant>
        <vt:lpwstr>Sect62GeneralMedicationTreatment</vt:lpwstr>
      </vt:variant>
      <vt:variant>
        <vt:i4>6881331</vt:i4>
      </vt:variant>
      <vt:variant>
        <vt:i4>171</vt:i4>
      </vt:variant>
      <vt:variant>
        <vt:i4>0</vt:i4>
      </vt:variant>
      <vt:variant>
        <vt:i4>5</vt:i4>
      </vt:variant>
      <vt:variant>
        <vt:lpwstr>https://www.tg.org.au/</vt:lpwstr>
      </vt:variant>
      <vt:variant>
        <vt:lpwstr/>
      </vt:variant>
      <vt:variant>
        <vt:i4>5832799</vt:i4>
      </vt:variant>
      <vt:variant>
        <vt:i4>168</vt:i4>
      </vt:variant>
      <vt:variant>
        <vt:i4>0</vt:i4>
      </vt:variant>
      <vt:variant>
        <vt:i4>5</vt:i4>
      </vt:variant>
      <vt:variant>
        <vt:lpwstr/>
      </vt:variant>
      <vt:variant>
        <vt:lpwstr>Sect61ReinforceMinimisingOrAvoidingExpos</vt:lpwstr>
      </vt:variant>
      <vt:variant>
        <vt:i4>7077990</vt:i4>
      </vt:variant>
      <vt:variant>
        <vt:i4>165</vt:i4>
      </vt:variant>
      <vt:variant>
        <vt:i4>0</vt:i4>
      </vt:variant>
      <vt:variant>
        <vt:i4>5</vt:i4>
      </vt:variant>
      <vt:variant>
        <vt:lpwstr>https://www.health.gov.au/resources/publications/enhealth-guidance-potential-health-effects-of-mould-in-the-environment</vt:lpwstr>
      </vt:variant>
      <vt:variant>
        <vt:lpwstr/>
      </vt:variant>
      <vt:variant>
        <vt:i4>2293795</vt:i4>
      </vt:variant>
      <vt:variant>
        <vt:i4>162</vt:i4>
      </vt:variant>
      <vt:variant>
        <vt:i4>0</vt:i4>
      </vt:variant>
      <vt:variant>
        <vt:i4>5</vt:i4>
      </vt:variant>
      <vt:variant>
        <vt:lpwstr/>
      </vt:variant>
      <vt:variant>
        <vt:lpwstr>Section54HP</vt:lpwstr>
      </vt:variant>
      <vt:variant>
        <vt:i4>3997753</vt:i4>
      </vt:variant>
      <vt:variant>
        <vt:i4>159</vt:i4>
      </vt:variant>
      <vt:variant>
        <vt:i4>0</vt:i4>
      </vt:variant>
      <vt:variant>
        <vt:i4>5</vt:i4>
      </vt:variant>
      <vt:variant>
        <vt:lpwstr/>
      </vt:variant>
      <vt:variant>
        <vt:lpwstr>Section53MouldRelatedInfection</vt:lpwstr>
      </vt:variant>
      <vt:variant>
        <vt:i4>5832793</vt:i4>
      </vt:variant>
      <vt:variant>
        <vt:i4>156</vt:i4>
      </vt:variant>
      <vt:variant>
        <vt:i4>0</vt:i4>
      </vt:variant>
      <vt:variant>
        <vt:i4>5</vt:i4>
      </vt:variant>
      <vt:variant>
        <vt:lpwstr/>
      </vt:variant>
      <vt:variant>
        <vt:lpwstr>Section52MouldAllergy</vt:lpwstr>
      </vt:variant>
      <vt:variant>
        <vt:i4>3342397</vt:i4>
      </vt:variant>
      <vt:variant>
        <vt:i4>153</vt:i4>
      </vt:variant>
      <vt:variant>
        <vt:i4>0</vt:i4>
      </vt:variant>
      <vt:variant>
        <vt:i4>5</vt:i4>
      </vt:variant>
      <vt:variant>
        <vt:lpwstr/>
      </vt:variant>
      <vt:variant>
        <vt:lpwstr>Section51Asthma</vt:lpwstr>
      </vt:variant>
      <vt:variant>
        <vt:i4>7667764</vt:i4>
      </vt:variant>
      <vt:variant>
        <vt:i4>150</vt:i4>
      </vt:variant>
      <vt:variant>
        <vt:i4>0</vt:i4>
      </vt:variant>
      <vt:variant>
        <vt:i4>5</vt:i4>
      </vt:variant>
      <vt:variant>
        <vt:lpwstr>https://www.asthmahandbook.org.au/</vt:lpwstr>
      </vt:variant>
      <vt:variant>
        <vt:lpwstr/>
      </vt:variant>
      <vt:variant>
        <vt:i4>1638419</vt:i4>
      </vt:variant>
      <vt:variant>
        <vt:i4>147</vt:i4>
      </vt:variant>
      <vt:variant>
        <vt:i4>0</vt:i4>
      </vt:variant>
      <vt:variant>
        <vt:i4>5</vt:i4>
      </vt:variant>
      <vt:variant>
        <vt:lpwstr/>
      </vt:variant>
      <vt:variant>
        <vt:lpwstr>AppendixCUnlikelyDifferentialDiagnosesOr</vt:lpwstr>
      </vt:variant>
      <vt:variant>
        <vt:i4>6029380</vt:i4>
      </vt:variant>
      <vt:variant>
        <vt:i4>144</vt:i4>
      </vt:variant>
      <vt:variant>
        <vt:i4>0</vt:i4>
      </vt:variant>
      <vt:variant>
        <vt:i4>5</vt:i4>
      </vt:variant>
      <vt:variant>
        <vt:lpwstr/>
      </vt:variant>
      <vt:variant>
        <vt:lpwstr>Section46DiagnosticTestsThatAreNotRecomm</vt:lpwstr>
      </vt:variant>
      <vt:variant>
        <vt:i4>2097189</vt:i4>
      </vt:variant>
      <vt:variant>
        <vt:i4>141</vt:i4>
      </vt:variant>
      <vt:variant>
        <vt:i4>0</vt:i4>
      </vt:variant>
      <vt:variant>
        <vt:i4>5</vt:i4>
      </vt:variant>
      <vt:variant>
        <vt:lpwstr/>
      </vt:variant>
      <vt:variant>
        <vt:lpwstr>Section44HPDiagnostics</vt:lpwstr>
      </vt:variant>
      <vt:variant>
        <vt:i4>2031686</vt:i4>
      </vt:variant>
      <vt:variant>
        <vt:i4>138</vt:i4>
      </vt:variant>
      <vt:variant>
        <vt:i4>0</vt:i4>
      </vt:variant>
      <vt:variant>
        <vt:i4>5</vt:i4>
      </vt:variant>
      <vt:variant>
        <vt:lpwstr/>
      </vt:variant>
      <vt:variant>
        <vt:lpwstr>Section432ProvideAdviceToPatientsAboutTh</vt:lpwstr>
      </vt:variant>
      <vt:variant>
        <vt:i4>6029327</vt:i4>
      </vt:variant>
      <vt:variant>
        <vt:i4>135</vt:i4>
      </vt:variant>
      <vt:variant>
        <vt:i4>0</vt:i4>
      </vt:variant>
      <vt:variant>
        <vt:i4>5</vt:i4>
      </vt:variant>
      <vt:variant>
        <vt:lpwstr/>
      </vt:variant>
      <vt:variant>
        <vt:lpwstr>Sect431RecommendedDiagnosticTests</vt:lpwstr>
      </vt:variant>
      <vt:variant>
        <vt:i4>5898327</vt:i4>
      </vt:variant>
      <vt:variant>
        <vt:i4>132</vt:i4>
      </vt:variant>
      <vt:variant>
        <vt:i4>0</vt:i4>
      </vt:variant>
      <vt:variant>
        <vt:i4>5</vt:i4>
      </vt:variant>
      <vt:variant>
        <vt:lpwstr/>
      </vt:variant>
      <vt:variant>
        <vt:lpwstr>Section43MouldAllergyDiagnostics</vt:lpwstr>
      </vt:variant>
      <vt:variant>
        <vt:i4>2359355</vt:i4>
      </vt:variant>
      <vt:variant>
        <vt:i4>129</vt:i4>
      </vt:variant>
      <vt:variant>
        <vt:i4>0</vt:i4>
      </vt:variant>
      <vt:variant>
        <vt:i4>5</vt:i4>
      </vt:variant>
      <vt:variant>
        <vt:lpwstr/>
      </vt:variant>
      <vt:variant>
        <vt:lpwstr>Section42MouldInfectionDiagnostics</vt:lpwstr>
      </vt:variant>
      <vt:variant>
        <vt:i4>262169</vt:i4>
      </vt:variant>
      <vt:variant>
        <vt:i4>126</vt:i4>
      </vt:variant>
      <vt:variant>
        <vt:i4>0</vt:i4>
      </vt:variant>
      <vt:variant>
        <vt:i4>5</vt:i4>
      </vt:variant>
      <vt:variant>
        <vt:lpwstr/>
      </vt:variant>
      <vt:variant>
        <vt:lpwstr>Section414InfantsAged0To12Months</vt:lpwstr>
      </vt:variant>
      <vt:variant>
        <vt:i4>7995517</vt:i4>
      </vt:variant>
      <vt:variant>
        <vt:i4>123</vt:i4>
      </vt:variant>
      <vt:variant>
        <vt:i4>0</vt:i4>
      </vt:variant>
      <vt:variant>
        <vt:i4>5</vt:i4>
      </vt:variant>
      <vt:variant>
        <vt:lpwstr/>
      </vt:variant>
      <vt:variant>
        <vt:lpwstr>Section413ChildrenAged1Year</vt:lpwstr>
      </vt:variant>
      <vt:variant>
        <vt:i4>1179712</vt:i4>
      </vt:variant>
      <vt:variant>
        <vt:i4>120</vt:i4>
      </vt:variant>
      <vt:variant>
        <vt:i4>0</vt:i4>
      </vt:variant>
      <vt:variant>
        <vt:i4>5</vt:i4>
      </vt:variant>
      <vt:variant>
        <vt:lpwstr/>
      </vt:variant>
      <vt:variant>
        <vt:lpwstr>Section412Adolescents</vt:lpwstr>
      </vt:variant>
      <vt:variant>
        <vt:i4>70</vt:i4>
      </vt:variant>
      <vt:variant>
        <vt:i4>117</vt:i4>
      </vt:variant>
      <vt:variant>
        <vt:i4>0</vt:i4>
      </vt:variant>
      <vt:variant>
        <vt:i4>5</vt:i4>
      </vt:variant>
      <vt:variant>
        <vt:lpwstr/>
      </vt:variant>
      <vt:variant>
        <vt:lpwstr>Section411Adults</vt:lpwstr>
      </vt:variant>
      <vt:variant>
        <vt:i4>3276861</vt:i4>
      </vt:variant>
      <vt:variant>
        <vt:i4>114</vt:i4>
      </vt:variant>
      <vt:variant>
        <vt:i4>0</vt:i4>
      </vt:variant>
      <vt:variant>
        <vt:i4>5</vt:i4>
      </vt:variant>
      <vt:variant>
        <vt:lpwstr/>
      </vt:variant>
      <vt:variant>
        <vt:lpwstr>Section41Asthma</vt:lpwstr>
      </vt:variant>
      <vt:variant>
        <vt:i4>7667764</vt:i4>
      </vt:variant>
      <vt:variant>
        <vt:i4>111</vt:i4>
      </vt:variant>
      <vt:variant>
        <vt:i4>0</vt:i4>
      </vt:variant>
      <vt:variant>
        <vt:i4>5</vt:i4>
      </vt:variant>
      <vt:variant>
        <vt:lpwstr>https://www.asthmahandbook.org.au/</vt:lpwstr>
      </vt:variant>
      <vt:variant>
        <vt:lpwstr/>
      </vt:variant>
      <vt:variant>
        <vt:i4>720927</vt:i4>
      </vt:variant>
      <vt:variant>
        <vt:i4>108</vt:i4>
      </vt:variant>
      <vt:variant>
        <vt:i4>0</vt:i4>
      </vt:variant>
      <vt:variant>
        <vt:i4>5</vt:i4>
      </vt:variant>
      <vt:variant>
        <vt:lpwstr/>
      </vt:variant>
      <vt:variant>
        <vt:lpwstr>Sect3124MycosesMouldRelatedInfectionsInS</vt:lpwstr>
      </vt:variant>
      <vt:variant>
        <vt:i4>6422638</vt:i4>
      </vt:variant>
      <vt:variant>
        <vt:i4>105</vt:i4>
      </vt:variant>
      <vt:variant>
        <vt:i4>0</vt:i4>
      </vt:variant>
      <vt:variant>
        <vt:i4>5</vt:i4>
      </vt:variant>
      <vt:variant>
        <vt:lpwstr/>
      </vt:variant>
      <vt:variant>
        <vt:lpwstr>Sect3123ABPAandAFRSinSusceptiblePeople</vt:lpwstr>
      </vt:variant>
      <vt:variant>
        <vt:i4>262148</vt:i4>
      </vt:variant>
      <vt:variant>
        <vt:i4>102</vt:i4>
      </vt:variant>
      <vt:variant>
        <vt:i4>0</vt:i4>
      </vt:variant>
      <vt:variant>
        <vt:i4>5</vt:i4>
      </vt:variant>
      <vt:variant>
        <vt:lpwstr/>
      </vt:variant>
      <vt:variant>
        <vt:lpwstr>Sect3122ClinicalPresentationOfHPAndPoten</vt:lpwstr>
      </vt:variant>
      <vt:variant>
        <vt:i4>6357113</vt:i4>
      </vt:variant>
      <vt:variant>
        <vt:i4>99</vt:i4>
      </vt:variant>
      <vt:variant>
        <vt:i4>0</vt:i4>
      </vt:variant>
      <vt:variant>
        <vt:i4>5</vt:i4>
      </vt:variant>
      <vt:variant>
        <vt:lpwstr/>
      </vt:variant>
      <vt:variant>
        <vt:lpwstr>Sect3121HP</vt:lpwstr>
      </vt:variant>
      <vt:variant>
        <vt:i4>1376268</vt:i4>
      </vt:variant>
      <vt:variant>
        <vt:i4>96</vt:i4>
      </vt:variant>
      <vt:variant>
        <vt:i4>0</vt:i4>
      </vt:variant>
      <vt:variant>
        <vt:i4>5</vt:i4>
      </vt:variant>
      <vt:variant>
        <vt:lpwstr/>
      </vt:variant>
      <vt:variant>
        <vt:lpwstr>AppendixALikelyDifferentialDiagnosesOrSy</vt:lpwstr>
      </vt:variant>
      <vt:variant>
        <vt:i4>5767193</vt:i4>
      </vt:variant>
      <vt:variant>
        <vt:i4>93</vt:i4>
      </vt:variant>
      <vt:variant>
        <vt:i4>0</vt:i4>
      </vt:variant>
      <vt:variant>
        <vt:i4>5</vt:i4>
      </vt:variant>
      <vt:variant>
        <vt:lpwstr/>
      </vt:variant>
      <vt:variant>
        <vt:lpwstr>Sect217AdviceOnManagingDiscussionsAboutS</vt:lpwstr>
      </vt:variant>
      <vt:variant>
        <vt:i4>5373952</vt:i4>
      </vt:variant>
      <vt:variant>
        <vt:i4>90</vt:i4>
      </vt:variant>
      <vt:variant>
        <vt:i4>0</vt:i4>
      </vt:variant>
      <vt:variant>
        <vt:i4>5</vt:i4>
      </vt:variant>
      <vt:variant>
        <vt:lpwstr/>
      </vt:variant>
      <vt:variant>
        <vt:lpwstr>Sect215MouldTestingAndMouldTestingReport</vt:lpwstr>
      </vt:variant>
      <vt:variant>
        <vt:i4>1376282</vt:i4>
      </vt:variant>
      <vt:variant>
        <vt:i4>87</vt:i4>
      </vt:variant>
      <vt:variant>
        <vt:i4>0</vt:i4>
      </vt:variant>
      <vt:variant>
        <vt:i4>5</vt:i4>
      </vt:variant>
      <vt:variant>
        <vt:lpwstr/>
      </vt:variant>
      <vt:variant>
        <vt:lpwstr>Section3314SBSandTMS</vt:lpwstr>
      </vt:variant>
      <vt:variant>
        <vt:i4>1572883</vt:i4>
      </vt:variant>
      <vt:variant>
        <vt:i4>84</vt:i4>
      </vt:variant>
      <vt:variant>
        <vt:i4>0</vt:i4>
      </vt:variant>
      <vt:variant>
        <vt:i4>5</vt:i4>
      </vt:variant>
      <vt:variant>
        <vt:lpwstr/>
      </vt:variant>
      <vt:variant>
        <vt:lpwstr>AppendixFPotentialSideEffectsOfPharmaceu</vt:lpwstr>
      </vt:variant>
      <vt:variant>
        <vt:i4>1572890</vt:i4>
      </vt:variant>
      <vt:variant>
        <vt:i4>81</vt:i4>
      </vt:variant>
      <vt:variant>
        <vt:i4>0</vt:i4>
      </vt:variant>
      <vt:variant>
        <vt:i4>5</vt:i4>
      </vt:variant>
      <vt:variant>
        <vt:lpwstr/>
      </vt:variant>
      <vt:variant>
        <vt:lpwstr>AppendixECIRS</vt:lpwstr>
      </vt:variant>
      <vt:variant>
        <vt:i4>917504</vt:i4>
      </vt:variant>
      <vt:variant>
        <vt:i4>78</vt:i4>
      </vt:variant>
      <vt:variant>
        <vt:i4>0</vt:i4>
      </vt:variant>
      <vt:variant>
        <vt:i4>5</vt:i4>
      </vt:variant>
      <vt:variant>
        <vt:lpwstr/>
      </vt:variant>
      <vt:variant>
        <vt:lpwstr>AppendixDenHealthFactsheetOnPotentialHea</vt:lpwstr>
      </vt:variant>
      <vt:variant>
        <vt:i4>5636123</vt:i4>
      </vt:variant>
      <vt:variant>
        <vt:i4>75</vt:i4>
      </vt:variant>
      <vt:variant>
        <vt:i4>0</vt:i4>
      </vt:variant>
      <vt:variant>
        <vt:i4>5</vt:i4>
      </vt:variant>
      <vt:variant>
        <vt:lpwstr/>
      </vt:variant>
      <vt:variant>
        <vt:lpwstr>Sect214ProvideAdviceOnAvoidingOrMinimisi</vt:lpwstr>
      </vt:variant>
      <vt:variant>
        <vt:i4>7077990</vt:i4>
      </vt:variant>
      <vt:variant>
        <vt:i4>72</vt:i4>
      </vt:variant>
      <vt:variant>
        <vt:i4>0</vt:i4>
      </vt:variant>
      <vt:variant>
        <vt:i4>5</vt:i4>
      </vt:variant>
      <vt:variant>
        <vt:lpwstr>https://www.health.gov.au/resources/publications/enhealth-guidance-potential-health-effects-of-mould-in-the-environment</vt:lpwstr>
      </vt:variant>
      <vt:variant>
        <vt:lpwstr/>
      </vt:variant>
      <vt:variant>
        <vt:i4>262169</vt:i4>
      </vt:variant>
      <vt:variant>
        <vt:i4>69</vt:i4>
      </vt:variant>
      <vt:variant>
        <vt:i4>0</vt:i4>
      </vt:variant>
      <vt:variant>
        <vt:i4>5</vt:i4>
      </vt:variant>
      <vt:variant>
        <vt:lpwstr/>
      </vt:variant>
      <vt:variant>
        <vt:lpwstr>Section414InfantsAged0To12Months</vt:lpwstr>
      </vt:variant>
      <vt:variant>
        <vt:i4>4849748</vt:i4>
      </vt:variant>
      <vt:variant>
        <vt:i4>66</vt:i4>
      </vt:variant>
      <vt:variant>
        <vt:i4>0</vt:i4>
      </vt:variant>
      <vt:variant>
        <vt:i4>5</vt:i4>
      </vt:variant>
      <vt:variant>
        <vt:lpwstr>https://www.asthmahandbook.org.au/diagnosis/children</vt:lpwstr>
      </vt:variant>
      <vt:variant>
        <vt:lpwstr/>
      </vt:variant>
      <vt:variant>
        <vt:i4>2687100</vt:i4>
      </vt:variant>
      <vt:variant>
        <vt:i4>63</vt:i4>
      </vt:variant>
      <vt:variant>
        <vt:i4>0</vt:i4>
      </vt:variant>
      <vt:variant>
        <vt:i4>5</vt:i4>
      </vt:variant>
      <vt:variant>
        <vt:lpwstr/>
      </vt:variant>
      <vt:variant>
        <vt:lpwstr>Sect213ClinicalExamination</vt:lpwstr>
      </vt:variant>
      <vt:variant>
        <vt:i4>5308482</vt:i4>
      </vt:variant>
      <vt:variant>
        <vt:i4>60</vt:i4>
      </vt:variant>
      <vt:variant>
        <vt:i4>0</vt:i4>
      </vt:variant>
      <vt:variant>
        <vt:i4>5</vt:i4>
      </vt:variant>
      <vt:variant>
        <vt:lpwstr/>
      </vt:variant>
      <vt:variant>
        <vt:lpwstr>Sect22ConsultWithAndReferToAppropriateEx</vt:lpwstr>
      </vt:variant>
      <vt:variant>
        <vt:i4>5439495</vt:i4>
      </vt:variant>
      <vt:variant>
        <vt:i4>57</vt:i4>
      </vt:variant>
      <vt:variant>
        <vt:i4>0</vt:i4>
      </vt:variant>
      <vt:variant>
        <vt:i4>5</vt:i4>
      </vt:variant>
      <vt:variant>
        <vt:lpwstr/>
      </vt:variant>
      <vt:variant>
        <vt:lpwstr>Sect124IndividualsAndPatientsAtRiskOfHea</vt:lpwstr>
      </vt:variant>
      <vt:variant>
        <vt:i4>5767194</vt:i4>
      </vt:variant>
      <vt:variant>
        <vt:i4>54</vt:i4>
      </vt:variant>
      <vt:variant>
        <vt:i4>0</vt:i4>
      </vt:variant>
      <vt:variant>
        <vt:i4>5</vt:i4>
      </vt:variant>
      <vt:variant>
        <vt:lpwstr/>
      </vt:variant>
      <vt:variant>
        <vt:lpwstr>Sect212IdentifySusceptiblePeople</vt:lpwstr>
      </vt:variant>
      <vt:variant>
        <vt:i4>5439495</vt:i4>
      </vt:variant>
      <vt:variant>
        <vt:i4>51</vt:i4>
      </vt:variant>
      <vt:variant>
        <vt:i4>0</vt:i4>
      </vt:variant>
      <vt:variant>
        <vt:i4>5</vt:i4>
      </vt:variant>
      <vt:variant>
        <vt:lpwstr/>
      </vt:variant>
      <vt:variant>
        <vt:lpwstr>Sect124IndividualsAndPatientsAtRiskOfHea</vt:lpwstr>
      </vt:variant>
      <vt:variant>
        <vt:i4>4915210</vt:i4>
      </vt:variant>
      <vt:variant>
        <vt:i4>48</vt:i4>
      </vt:variant>
      <vt:variant>
        <vt:i4>0</vt:i4>
      </vt:variant>
      <vt:variant>
        <vt:i4>5</vt:i4>
      </vt:variant>
      <vt:variant>
        <vt:lpwstr/>
      </vt:variant>
      <vt:variant>
        <vt:lpwstr>Sect216PrecautionaryAdviceAboutLinkingMo</vt:lpwstr>
      </vt:variant>
      <vt:variant>
        <vt:i4>5636115</vt:i4>
      </vt:variant>
      <vt:variant>
        <vt:i4>45</vt:i4>
      </vt:variant>
      <vt:variant>
        <vt:i4>0</vt:i4>
      </vt:variant>
      <vt:variant>
        <vt:i4>5</vt:i4>
      </vt:variant>
      <vt:variant>
        <vt:lpwstr/>
      </vt:variant>
      <vt:variant>
        <vt:lpwstr>Sect126LimitationsAndIssuesAboutTheHuman</vt:lpwstr>
      </vt:variant>
      <vt:variant>
        <vt:i4>4390940</vt:i4>
      </vt:variant>
      <vt:variant>
        <vt:i4>42</vt:i4>
      </vt:variant>
      <vt:variant>
        <vt:i4>0</vt:i4>
      </vt:variant>
      <vt:variant>
        <vt:i4>5</vt:i4>
      </vt:variant>
      <vt:variant>
        <vt:lpwstr/>
      </vt:variant>
      <vt:variant>
        <vt:lpwstr>Sect125MechanismsToExplainVariousHealthE</vt:lpwstr>
      </vt:variant>
      <vt:variant>
        <vt:i4>5046274</vt:i4>
      </vt:variant>
      <vt:variant>
        <vt:i4>39</vt:i4>
      </vt:variant>
      <vt:variant>
        <vt:i4>0</vt:i4>
      </vt:variant>
      <vt:variant>
        <vt:i4>5</vt:i4>
      </vt:variant>
      <vt:variant>
        <vt:lpwstr/>
      </vt:variant>
      <vt:variant>
        <vt:lpwstr>Sect121ACausalRelationshipBetweenMouldDa</vt:lpwstr>
      </vt:variant>
      <vt:variant>
        <vt:i4>4718603</vt:i4>
      </vt:variant>
      <vt:variant>
        <vt:i4>36</vt:i4>
      </vt:variant>
      <vt:variant>
        <vt:i4>0</vt:i4>
      </vt:variant>
      <vt:variant>
        <vt:i4>5</vt:i4>
      </vt:variant>
      <vt:variant>
        <vt:lpwstr/>
      </vt:variant>
      <vt:variant>
        <vt:lpwstr>Sect123ResponseToExposureToMouldVariesBe</vt:lpwstr>
      </vt:variant>
      <vt:variant>
        <vt:i4>4784145</vt:i4>
      </vt:variant>
      <vt:variant>
        <vt:i4>33</vt:i4>
      </vt:variant>
      <vt:variant>
        <vt:i4>0</vt:i4>
      </vt:variant>
      <vt:variant>
        <vt:i4>5</vt:i4>
      </vt:variant>
      <vt:variant>
        <vt:lpwstr/>
      </vt:variant>
      <vt:variant>
        <vt:lpwstr>Sect211ClinicalAdviceForMedicalProfessio</vt:lpwstr>
      </vt:variant>
      <vt:variant>
        <vt:i4>4390979</vt:i4>
      </vt:variant>
      <vt:variant>
        <vt:i4>30</vt:i4>
      </vt:variant>
      <vt:variant>
        <vt:i4>0</vt:i4>
      </vt:variant>
      <vt:variant>
        <vt:i4>5</vt:i4>
      </vt:variant>
      <vt:variant>
        <vt:lpwstr/>
      </vt:variant>
      <vt:variant>
        <vt:lpwstr>Sect21FollowUsualClinicalAssessmentPract</vt:lpwstr>
      </vt:variant>
      <vt:variant>
        <vt:i4>1572883</vt:i4>
      </vt:variant>
      <vt:variant>
        <vt:i4>27</vt:i4>
      </vt:variant>
      <vt:variant>
        <vt:i4>0</vt:i4>
      </vt:variant>
      <vt:variant>
        <vt:i4>5</vt:i4>
      </vt:variant>
      <vt:variant>
        <vt:lpwstr/>
      </vt:variant>
      <vt:variant>
        <vt:lpwstr>AppendixFPotentialSideEffectsOfPharmaceu</vt:lpwstr>
      </vt:variant>
      <vt:variant>
        <vt:i4>1572890</vt:i4>
      </vt:variant>
      <vt:variant>
        <vt:i4>24</vt:i4>
      </vt:variant>
      <vt:variant>
        <vt:i4>0</vt:i4>
      </vt:variant>
      <vt:variant>
        <vt:i4>5</vt:i4>
      </vt:variant>
      <vt:variant>
        <vt:lpwstr/>
      </vt:variant>
      <vt:variant>
        <vt:lpwstr>AppendixECIRS</vt:lpwstr>
      </vt:variant>
      <vt:variant>
        <vt:i4>1638419</vt:i4>
      </vt:variant>
      <vt:variant>
        <vt:i4>21</vt:i4>
      </vt:variant>
      <vt:variant>
        <vt:i4>0</vt:i4>
      </vt:variant>
      <vt:variant>
        <vt:i4>5</vt:i4>
      </vt:variant>
      <vt:variant>
        <vt:lpwstr/>
      </vt:variant>
      <vt:variant>
        <vt:lpwstr>AppendixCUnlikelyDifferentialDiagnosesOr</vt:lpwstr>
      </vt:variant>
      <vt:variant>
        <vt:i4>4915222</vt:i4>
      </vt:variant>
      <vt:variant>
        <vt:i4>18</vt:i4>
      </vt:variant>
      <vt:variant>
        <vt:i4>0</vt:i4>
      </vt:variant>
      <vt:variant>
        <vt:i4>5</vt:i4>
      </vt:variant>
      <vt:variant>
        <vt:lpwstr/>
      </vt:variant>
      <vt:variant>
        <vt:lpwstr>Sect133HealthEffectsForWhichThereIsInade</vt:lpwstr>
      </vt:variant>
      <vt:variant>
        <vt:i4>65541</vt:i4>
      </vt:variant>
      <vt:variant>
        <vt:i4>15</vt:i4>
      </vt:variant>
      <vt:variant>
        <vt:i4>0</vt:i4>
      </vt:variant>
      <vt:variant>
        <vt:i4>5</vt:i4>
      </vt:variant>
      <vt:variant>
        <vt:lpwstr/>
      </vt:variant>
      <vt:variant>
        <vt:lpwstr>AppendixBLessLikelyDifferentialDiagnoses</vt:lpwstr>
      </vt:variant>
      <vt:variant>
        <vt:i4>5439517</vt:i4>
      </vt:variant>
      <vt:variant>
        <vt:i4>12</vt:i4>
      </vt:variant>
      <vt:variant>
        <vt:i4>0</vt:i4>
      </vt:variant>
      <vt:variant>
        <vt:i4>5</vt:i4>
      </vt:variant>
      <vt:variant>
        <vt:lpwstr/>
      </vt:variant>
      <vt:variant>
        <vt:lpwstr>Sect132HealthEffectsForWhichThereIsLimit</vt:lpwstr>
      </vt:variant>
      <vt:variant>
        <vt:i4>1376268</vt:i4>
      </vt:variant>
      <vt:variant>
        <vt:i4>9</vt:i4>
      </vt:variant>
      <vt:variant>
        <vt:i4>0</vt:i4>
      </vt:variant>
      <vt:variant>
        <vt:i4>5</vt:i4>
      </vt:variant>
      <vt:variant>
        <vt:lpwstr/>
      </vt:variant>
      <vt:variant>
        <vt:lpwstr>AppendixALikelyDifferentialDiagnosesOrSy</vt:lpwstr>
      </vt:variant>
      <vt:variant>
        <vt:i4>5570590</vt:i4>
      </vt:variant>
      <vt:variant>
        <vt:i4>6</vt:i4>
      </vt:variant>
      <vt:variant>
        <vt:i4>0</vt:i4>
      </vt:variant>
      <vt:variant>
        <vt:i4>5</vt:i4>
      </vt:variant>
      <vt:variant>
        <vt:lpwstr/>
      </vt:variant>
      <vt:variant>
        <vt:lpwstr>Sect312HPMouldRelatedInfectionsAndAllerg</vt:lpwstr>
      </vt:variant>
      <vt:variant>
        <vt:i4>5636108</vt:i4>
      </vt:variant>
      <vt:variant>
        <vt:i4>3</vt:i4>
      </vt:variant>
      <vt:variant>
        <vt:i4>0</vt:i4>
      </vt:variant>
      <vt:variant>
        <vt:i4>5</vt:i4>
      </vt:variant>
      <vt:variant>
        <vt:lpwstr/>
      </vt:variant>
      <vt:variant>
        <vt:lpwstr>Sect131DifferentialDiagnosesOrSymptomsFo</vt:lpwstr>
      </vt:variant>
      <vt:variant>
        <vt:i4>7340135</vt:i4>
      </vt:variant>
      <vt:variant>
        <vt:i4>3</vt:i4>
      </vt:variant>
      <vt:variant>
        <vt:i4>0</vt:i4>
      </vt:variant>
      <vt:variant>
        <vt:i4>5</vt:i4>
      </vt:variant>
      <vt:variant>
        <vt:lpwstr>https://www.nata.com.au/accredited-facility</vt:lpwstr>
      </vt:variant>
      <vt:variant>
        <vt:lpwstr/>
      </vt:variant>
      <vt:variant>
        <vt:i4>5046342</vt:i4>
      </vt:variant>
      <vt:variant>
        <vt:i4>0</vt:i4>
      </vt:variant>
      <vt:variant>
        <vt:i4>0</vt:i4>
      </vt:variant>
      <vt:variant>
        <vt:i4>5</vt:i4>
      </vt:variant>
      <vt:variant>
        <vt:lpwstr>https://www.epa.gov/air-research/environmental-relative-moldiness-index-ermi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Biotoxins (indoor damp and mould) Clinical Pathway</dc:title>
  <dc:subject>Chronic Conditions</dc:subject>
  <dc:creator>Australian Government Department of Health and Aged Care</dc:creator>
  <cp:keywords>Chronic conditions; Biotoxins; Biotoxin-related Illness</cp:keywords>
  <dc:description/>
  <cp:lastModifiedBy>COSTIN, Siobhan</cp:lastModifiedBy>
  <cp:revision>21</cp:revision>
  <cp:lastPrinted>2023-01-19T22:08:00Z</cp:lastPrinted>
  <dcterms:created xsi:type="dcterms:W3CDTF">2023-11-15T03:09:00Z</dcterms:created>
  <dcterms:modified xsi:type="dcterms:W3CDTF">2023-11-30T03:07:00Z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0x010100266966F133664895A6EE3632470D45F5003A1336C2BAFBBA4EA878036FAA9347D0</vt:lpwstr>
  </property>
  <property fmtid="{D5CDD505-2E9C-101B-9397-08002B2CF9AE}" pid="5" name="MediaServiceImageTags">
    <vt:lpwstr/>
  </property>
  <property fmtid="{D5CDD505-2E9C-101B-9397-08002B2CF9AE}" pid="6" name="ZOTERO_PREF_2">
    <vt:lpwstr>tationUpdates" value="true"/&gt;&lt;/prefs&gt;&lt;/data&gt;</vt:lpwstr>
  </property>
  <property fmtid="{D5CDD505-2E9C-101B-9397-08002B2CF9AE}" pid="7" name="ZOTERO_PREF_1">
    <vt:lpwstr>&lt;data data-version="3" zotero-version="6.0.18"&gt;&lt;session id="Hb4RYnH6"/&gt;&lt;style id="http://www.zotero.org/styles/apa" locale="en-US" hasBibliography="1" bibliographyStyleHasBeenSet="1"/&gt;&lt;prefs&gt;&lt;pref name="fieldType" value="Field"/&gt;&lt;pref name="dontAskDelayCi</vt:lpwstr>
  </property>
</Properties>
</file>