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F39F" w14:textId="4EA33FEB" w:rsidR="009C5F3A" w:rsidRDefault="007E5F75" w:rsidP="00CC452B">
      <w:pPr>
        <w:spacing w:after="0"/>
        <w:rPr>
          <w:rFonts w:ascii="FranklinGothicURW" w:hAnsi="FranklinGothicURW"/>
          <w:color w:val="7F7572"/>
          <w:sz w:val="28"/>
          <w:szCs w:val="28"/>
          <w:lang w:eastAsia="en-GB"/>
        </w:rPr>
      </w:pPr>
      <w:r>
        <w:rPr>
          <w:rFonts w:ascii="FranklinGothicURW" w:hAnsi="FranklinGothicURW"/>
          <w:noProof/>
          <w:color w:val="7F7572"/>
          <w:sz w:val="28"/>
          <w:szCs w:val="28"/>
        </w:rPr>
        <w:drawing>
          <wp:inline distT="0" distB="0" distL="0" distR="0" wp14:anchorId="7251144A" wp14:editId="18D76B93">
            <wp:extent cx="5640719" cy="8026400"/>
            <wp:effectExtent l="0" t="0" r="0" b="0"/>
            <wp:docPr id="1" name="Picture 1" descr="Australian Government Department of Health, Medical Research Future Fund, Million Minds Mental Health Research Mission Implementation Plan,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Medical Research Future Fund, Million Minds Mental Health Research Mission Implementation Plan, March 2023"/>
                    <pic:cNvPicPr/>
                  </pic:nvPicPr>
                  <pic:blipFill>
                    <a:blip r:embed="rId8">
                      <a:extLst>
                        <a:ext uri="{28A0092B-C50C-407E-A947-70E740481C1C}">
                          <a14:useLocalDpi xmlns:a14="http://schemas.microsoft.com/office/drawing/2010/main" val="0"/>
                        </a:ext>
                      </a:extLst>
                    </a:blip>
                    <a:stretch>
                      <a:fillRect/>
                    </a:stretch>
                  </pic:blipFill>
                  <pic:spPr>
                    <a:xfrm>
                      <a:off x="0" y="0"/>
                      <a:ext cx="5645282" cy="8032893"/>
                    </a:xfrm>
                    <a:prstGeom prst="rect">
                      <a:avLst/>
                    </a:prstGeom>
                  </pic:spPr>
                </pic:pic>
              </a:graphicData>
            </a:graphic>
          </wp:inline>
        </w:drawing>
      </w:r>
      <w:r w:rsidR="00CC452B">
        <w:rPr>
          <w:rFonts w:ascii="FranklinGothicURW" w:hAnsi="FranklinGothicURW"/>
          <w:color w:val="7F7572"/>
          <w:sz w:val="28"/>
          <w:szCs w:val="28"/>
        </w:rPr>
        <w:br w:type="page"/>
      </w:r>
    </w:p>
    <w:p w14:paraId="2068E7EB" w14:textId="70F36C0C" w:rsidR="009C5F3A" w:rsidRPr="005C4C63" w:rsidRDefault="009C5F3A" w:rsidP="009C5F3A">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Background</w:t>
      </w:r>
    </w:p>
    <w:p w14:paraId="38BA235D" w14:textId="77777777" w:rsidR="00C21E06" w:rsidRDefault="00C21E06" w:rsidP="00E87737">
      <w:pPr>
        <w:rPr>
          <w:b/>
          <w:bCs/>
          <w:iCs/>
        </w:rPr>
      </w:pPr>
      <w:r w:rsidRPr="00C21E06">
        <w:t>The Million Minds Mental Health Research Mission is an initiative of the Medical Research Future Fund (MRFF). It is providing $125 million over 10 years from 2018–19.</w:t>
      </w:r>
    </w:p>
    <w:p w14:paraId="581C7997" w14:textId="77777777" w:rsidR="00C21E06" w:rsidRDefault="00C21E06" w:rsidP="00E87737">
      <w:pPr>
        <w:rPr>
          <w:b/>
          <w:bCs/>
          <w:iCs/>
        </w:rPr>
      </w:pPr>
      <w:r w:rsidRPr="00C21E06">
        <w:t>The mission’s goal is to improve the quality of life of an additional one million people, who might not otherwise benefit from mental health research, to be part of new approaches to prevention, detection, diagnosis, treatment and recovery developed from the work of the mission.</w:t>
      </w:r>
    </w:p>
    <w:p w14:paraId="37A78838" w14:textId="2BC15858" w:rsidR="00C21E06" w:rsidRDefault="00C21E06" w:rsidP="00E87737">
      <w:pPr>
        <w:rPr>
          <w:b/>
          <w:bCs/>
          <w:iCs/>
        </w:rPr>
      </w:pPr>
      <w:r w:rsidRPr="00C21E06">
        <w:t xml:space="preserve">To date, the mission has provided $64.8 million for 18 mental health research grants through four grant opportunities (see Appendix A). The priority areas of these grant opportunities were informed by the </w:t>
      </w:r>
      <w:hyperlink r:id="rId9" w:history="1">
        <w:r w:rsidRPr="0051643E">
          <w:rPr>
            <w:rStyle w:val="Hyperlink"/>
          </w:rPr>
          <w:t>mission’s first roadmap</w:t>
        </w:r>
      </w:hyperlink>
      <w:r w:rsidRPr="00C21E06">
        <w:t xml:space="preserve">, which was published on 7 November 2018. </w:t>
      </w:r>
    </w:p>
    <w:p w14:paraId="48CC79DA" w14:textId="77777777" w:rsidR="00EB2F24" w:rsidRDefault="00C21E06" w:rsidP="00E87737">
      <w:r>
        <w:t>A</w:t>
      </w:r>
      <w:r w:rsidRPr="00C21E06">
        <w:t xml:space="preserve"> review assessed the mission’s progress against its goals. The Million Minds Mental Health Research Mission Review Final Report details the findings of this evaluation and was published on 30 June 2022.</w:t>
      </w:r>
    </w:p>
    <w:p w14:paraId="23B41996" w14:textId="2271AEB8" w:rsidR="00C21E06" w:rsidRDefault="00C21E06" w:rsidP="00E87737">
      <w:pPr>
        <w:rPr>
          <w:b/>
          <w:bCs/>
          <w:iCs/>
        </w:rPr>
      </w:pPr>
      <w:r w:rsidRPr="00C21E06">
        <w:t>The mission’s second Expert Advisory Panel (the Panel) was appointed in April 2022.</w:t>
      </w:r>
      <w:r w:rsidR="00EB2F24">
        <w:t xml:space="preserve"> </w:t>
      </w:r>
      <w:r w:rsidRPr="00C21E06">
        <w:t>The Panel’s role was to provide advice on the strategic priorities for the remainder of the mission, by revising the existing roadmap and developing this plan. As part of this process, the Panel considered the findings from the review and ensured that the priority-setting approach aligned with the approach used by the other MRFF missions.</w:t>
      </w:r>
    </w:p>
    <w:p w14:paraId="37FCDC6B" w14:textId="77777777" w:rsidR="00C21E06" w:rsidRDefault="00C21E06" w:rsidP="00E87737">
      <w:pPr>
        <w:rPr>
          <w:b/>
          <w:bCs/>
          <w:iCs/>
        </w:rPr>
      </w:pPr>
      <w:r w:rsidRPr="00C21E06">
        <w:t>This plan supports the implementation of the mission’s roadmap and establishes a strategic plan to address the mission’s goals for the remainder of its funded period within the context of the MRFF 2nd 10</w:t>
      </w:r>
      <w:r w:rsidRPr="00C21E06">
        <w:rPr>
          <w:rFonts w:ascii="Cambria Math" w:hAnsi="Cambria Math" w:cs="Cambria Math"/>
        </w:rPr>
        <w:t>‑</w:t>
      </w:r>
      <w:r w:rsidRPr="00C21E06">
        <w:t>year plan. This implementation plan should be read in the context of the mission roadmap, which describes the mission</w:t>
      </w:r>
      <w:r w:rsidRPr="00C21E06">
        <w:rPr>
          <w:rFonts w:cs="Calibri"/>
        </w:rPr>
        <w:t>’</w:t>
      </w:r>
      <w:r w:rsidRPr="00C21E06">
        <w:t>s scope, goals and principles.</w:t>
      </w:r>
    </w:p>
    <w:p w14:paraId="02CA5975" w14:textId="44CBBD41" w:rsidR="00C21E06" w:rsidRDefault="00C21E06" w:rsidP="00E87737">
      <w:pPr>
        <w:rPr>
          <w:b/>
          <w:bCs/>
          <w:iCs/>
        </w:rPr>
      </w:pPr>
      <w:r w:rsidRPr="00C21E06">
        <w:t xml:space="preserve">The mission will align with the </w:t>
      </w:r>
      <w:hyperlink r:id="rId10" w:history="1">
        <w:r w:rsidRPr="0051643E">
          <w:rPr>
            <w:rStyle w:val="Hyperlink"/>
          </w:rPr>
          <w:t>National Mental Health Research Strategy</w:t>
        </w:r>
      </w:hyperlink>
      <w:r w:rsidRPr="00C21E06">
        <w:t xml:space="preserve"> and extend Australian Government support for the </w:t>
      </w:r>
      <w:hyperlink r:id="rId11" w:history="1">
        <w:r w:rsidRPr="0051643E">
          <w:rPr>
            <w:rStyle w:val="Hyperlink"/>
          </w:rPr>
          <w:t>Fifth National Mental Health and Suicide Prevention Plan</w:t>
        </w:r>
      </w:hyperlink>
      <w:r w:rsidRPr="00C21E06">
        <w:t>.</w:t>
      </w:r>
    </w:p>
    <w:p w14:paraId="0640CCA1" w14:textId="579D1D2D" w:rsidR="0051643E" w:rsidRDefault="0051643E">
      <w:pPr>
        <w:spacing w:after="0"/>
        <w:rPr>
          <w:rFonts w:ascii="Franklin Gothic Medium" w:hAnsi="Franklin Gothic Medium" w:cs="Arial"/>
          <w:color w:val="495F7B"/>
          <w:kern w:val="32"/>
          <w:sz w:val="40"/>
          <w:szCs w:val="32"/>
        </w:rPr>
      </w:pPr>
      <w:r>
        <w:rPr>
          <w:rFonts w:ascii="Franklin Gothic Medium" w:hAnsi="Franklin Gothic Medium"/>
          <w:b/>
          <w:bCs/>
          <w:color w:val="495F7B"/>
        </w:rPr>
        <w:br w:type="page"/>
      </w:r>
    </w:p>
    <w:p w14:paraId="0B68A55C" w14:textId="7AA0CF62" w:rsidR="009C5F3A" w:rsidRPr="005C4C63" w:rsidRDefault="009C5F3A" w:rsidP="009C5F3A">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Overview</w:t>
      </w:r>
    </w:p>
    <w:p w14:paraId="5223F82C" w14:textId="25B158F9" w:rsidR="009C5F3A" w:rsidRDefault="00C21E06" w:rsidP="00E87737">
      <w:r w:rsidRPr="00C21E06">
        <w:t>To target activities to achieve the objectives of the mission within the 10-year plan, the following aims and priority areas for research investment have been identified.</w:t>
      </w:r>
    </w:p>
    <w:tbl>
      <w:tblPr>
        <w:tblStyle w:val="TableGrid"/>
        <w:tblW w:w="0" w:type="auto"/>
        <w:tblLook w:val="04A0" w:firstRow="1" w:lastRow="0" w:firstColumn="1" w:lastColumn="0" w:noHBand="0" w:noVBand="1"/>
      </w:tblPr>
      <w:tblGrid>
        <w:gridCol w:w="3681"/>
        <w:gridCol w:w="5335"/>
      </w:tblGrid>
      <w:tr w:rsidR="009C5F3A" w:rsidRPr="002D19AE" w14:paraId="734C91D5" w14:textId="77777777" w:rsidTr="00D8325F">
        <w:trPr>
          <w:trHeight w:val="127"/>
          <w:tblHeader/>
        </w:trPr>
        <w:tc>
          <w:tcPr>
            <w:tcW w:w="3681" w:type="dxa"/>
          </w:tcPr>
          <w:p w14:paraId="02C9A24C" w14:textId="1A379CA2" w:rsidR="009C5F3A" w:rsidRPr="00C95CBA" w:rsidRDefault="009C5F3A" w:rsidP="00E87737">
            <w:pPr>
              <w:rPr>
                <w:b/>
                <w:bCs/>
              </w:rPr>
            </w:pPr>
            <w:bookmarkStart w:id="0" w:name="ColumnTitle_1"/>
            <w:bookmarkEnd w:id="0"/>
            <w:r w:rsidRPr="00C95CBA">
              <w:rPr>
                <w:b/>
                <w:bCs/>
              </w:rPr>
              <w:t>Aim</w:t>
            </w:r>
          </w:p>
        </w:tc>
        <w:tc>
          <w:tcPr>
            <w:tcW w:w="5335" w:type="dxa"/>
          </w:tcPr>
          <w:p w14:paraId="0C63FF7A" w14:textId="131B73EB" w:rsidR="009C5F3A" w:rsidRPr="00C95CBA" w:rsidRDefault="009C5F3A" w:rsidP="00E87737">
            <w:pPr>
              <w:rPr>
                <w:b/>
                <w:bCs/>
              </w:rPr>
            </w:pPr>
            <w:r w:rsidRPr="00C95CBA">
              <w:rPr>
                <w:b/>
                <w:bCs/>
              </w:rPr>
              <w:t>Priority areas for investment</w:t>
            </w:r>
          </w:p>
        </w:tc>
      </w:tr>
      <w:tr w:rsidR="009C5F3A" w:rsidRPr="002D19AE" w14:paraId="5AFA5D7E" w14:textId="77777777" w:rsidTr="002274B8">
        <w:tc>
          <w:tcPr>
            <w:tcW w:w="3681" w:type="dxa"/>
            <w:vMerge w:val="restart"/>
          </w:tcPr>
          <w:p w14:paraId="5B839726" w14:textId="18BBF6E2" w:rsidR="009C5F3A" w:rsidRPr="002D19AE" w:rsidRDefault="009C5F3A" w:rsidP="00E87737">
            <w:r w:rsidRPr="002D19AE">
              <w:t xml:space="preserve">1. </w:t>
            </w:r>
            <w:r w:rsidR="00C21E06" w:rsidRPr="00C21E06">
              <w:t>Better understanding of the contributing factors of mental illness</w:t>
            </w:r>
          </w:p>
        </w:tc>
        <w:tc>
          <w:tcPr>
            <w:tcW w:w="5335" w:type="dxa"/>
          </w:tcPr>
          <w:p w14:paraId="624A6465" w14:textId="05D6A497" w:rsidR="009C5F3A" w:rsidRPr="002D19AE" w:rsidRDefault="002D19AE" w:rsidP="00E87737">
            <w:r w:rsidRPr="002D19AE">
              <w:t xml:space="preserve">1.1 </w:t>
            </w:r>
            <w:r w:rsidR="00C21E06" w:rsidRPr="00C21E06">
              <w:t>Understanding the shifts in society contributing to mental illness</w:t>
            </w:r>
          </w:p>
        </w:tc>
      </w:tr>
      <w:tr w:rsidR="009C5F3A" w:rsidRPr="002D19AE" w14:paraId="26A54156" w14:textId="77777777" w:rsidTr="002274B8">
        <w:tc>
          <w:tcPr>
            <w:tcW w:w="3681" w:type="dxa"/>
            <w:vMerge/>
          </w:tcPr>
          <w:p w14:paraId="51E18CB4" w14:textId="77777777" w:rsidR="009C5F3A" w:rsidRPr="002D19AE" w:rsidRDefault="009C5F3A" w:rsidP="00E87737"/>
        </w:tc>
        <w:tc>
          <w:tcPr>
            <w:tcW w:w="5335" w:type="dxa"/>
          </w:tcPr>
          <w:p w14:paraId="54DFBEBD" w14:textId="2D925DED" w:rsidR="009C5F3A" w:rsidRPr="002D19AE" w:rsidRDefault="002D19AE" w:rsidP="00E87737">
            <w:r w:rsidRPr="002D19AE">
              <w:t xml:space="preserve">1.2 </w:t>
            </w:r>
            <w:r w:rsidR="00C21E06" w:rsidRPr="00C21E06">
              <w:t>Understanding the factors that enhance the social and emotional wellbeing of people</w:t>
            </w:r>
          </w:p>
        </w:tc>
      </w:tr>
      <w:tr w:rsidR="002D19AE" w:rsidRPr="002D19AE" w14:paraId="402D0018" w14:textId="77777777" w:rsidTr="002274B8">
        <w:tc>
          <w:tcPr>
            <w:tcW w:w="3681" w:type="dxa"/>
            <w:vMerge w:val="restart"/>
          </w:tcPr>
          <w:p w14:paraId="530B588D" w14:textId="6B6B94EC" w:rsidR="002D19AE" w:rsidRPr="002D19AE" w:rsidRDefault="002D19AE" w:rsidP="00E87737">
            <w:r w:rsidRPr="002D19AE">
              <w:t xml:space="preserve">2. </w:t>
            </w:r>
            <w:r w:rsidR="00C21E06" w:rsidRPr="00C21E06">
              <w:t>Ensuring population wellbeing in the face of critical and emerging challenges</w:t>
            </w:r>
          </w:p>
        </w:tc>
        <w:tc>
          <w:tcPr>
            <w:tcW w:w="5335" w:type="dxa"/>
          </w:tcPr>
          <w:p w14:paraId="755104AB" w14:textId="04320CAD" w:rsidR="002D19AE" w:rsidRPr="002D19AE" w:rsidRDefault="002D19AE" w:rsidP="00E87737">
            <w:r w:rsidRPr="002D19AE">
              <w:t xml:space="preserve">2.1 </w:t>
            </w:r>
            <w:r w:rsidR="00C21E06" w:rsidRPr="00C21E06">
              <w:t>Understanding and responding to the emerging challenges for people</w:t>
            </w:r>
          </w:p>
        </w:tc>
      </w:tr>
      <w:tr w:rsidR="002D19AE" w:rsidRPr="002D19AE" w14:paraId="67224C5D" w14:textId="77777777" w:rsidTr="002274B8">
        <w:tc>
          <w:tcPr>
            <w:tcW w:w="3681" w:type="dxa"/>
            <w:vMerge/>
          </w:tcPr>
          <w:p w14:paraId="196968D2" w14:textId="77777777" w:rsidR="002D19AE" w:rsidRPr="002D19AE" w:rsidRDefault="002D19AE" w:rsidP="00E87737"/>
        </w:tc>
        <w:tc>
          <w:tcPr>
            <w:tcW w:w="5335" w:type="dxa"/>
          </w:tcPr>
          <w:p w14:paraId="7BE6FA6E" w14:textId="18C07D15" w:rsidR="002D19AE" w:rsidRPr="002D19AE" w:rsidRDefault="002D19AE" w:rsidP="00E87737">
            <w:r w:rsidRPr="002D19AE">
              <w:t xml:space="preserve">2.2 </w:t>
            </w:r>
            <w:r w:rsidR="00C21E06" w:rsidRPr="00C21E06">
              <w:t>Addressing critical mental health challenges</w:t>
            </w:r>
          </w:p>
        </w:tc>
      </w:tr>
      <w:tr w:rsidR="002274B8" w:rsidRPr="002D19AE" w14:paraId="41BD6C7A" w14:textId="77777777" w:rsidTr="002274B8">
        <w:tc>
          <w:tcPr>
            <w:tcW w:w="3681" w:type="dxa"/>
            <w:vMerge w:val="restart"/>
          </w:tcPr>
          <w:p w14:paraId="29C8670E" w14:textId="7C5639B3" w:rsidR="002274B8" w:rsidRPr="002D19AE" w:rsidRDefault="002274B8" w:rsidP="00E87737">
            <w:r w:rsidRPr="002D19AE">
              <w:t xml:space="preserve">3. </w:t>
            </w:r>
            <w:r w:rsidR="00C21E06" w:rsidRPr="00C21E06">
              <w:t>Timely access to evidence-based treatment and prevention</w:t>
            </w:r>
          </w:p>
        </w:tc>
        <w:tc>
          <w:tcPr>
            <w:tcW w:w="5335" w:type="dxa"/>
          </w:tcPr>
          <w:p w14:paraId="082655FC" w14:textId="14DD360E" w:rsidR="002274B8" w:rsidRPr="002D19AE" w:rsidRDefault="002D19AE" w:rsidP="00E87737">
            <w:r w:rsidRPr="002D19AE">
              <w:t xml:space="preserve">3.1 </w:t>
            </w:r>
            <w:r w:rsidR="00C21E06" w:rsidRPr="00C21E06">
              <w:t>Improving access to, and delivery of, evidence-based treatment and prevention</w:t>
            </w:r>
          </w:p>
        </w:tc>
      </w:tr>
      <w:tr w:rsidR="002274B8" w:rsidRPr="002D19AE" w14:paraId="64F82B12" w14:textId="77777777" w:rsidTr="002274B8">
        <w:tc>
          <w:tcPr>
            <w:tcW w:w="3681" w:type="dxa"/>
            <w:vMerge/>
          </w:tcPr>
          <w:p w14:paraId="1AF76C8C" w14:textId="77777777" w:rsidR="002274B8" w:rsidRPr="002D19AE" w:rsidRDefault="002274B8" w:rsidP="00E87737"/>
        </w:tc>
        <w:tc>
          <w:tcPr>
            <w:tcW w:w="5335" w:type="dxa"/>
          </w:tcPr>
          <w:p w14:paraId="210C03BD" w14:textId="75F1A58E" w:rsidR="002274B8" w:rsidRPr="002D19AE" w:rsidRDefault="002D19AE" w:rsidP="00E87737">
            <w:r w:rsidRPr="002D19AE">
              <w:t xml:space="preserve">3.2 </w:t>
            </w:r>
            <w:r w:rsidR="00C21E06" w:rsidRPr="00C21E06">
              <w:t>Creating innovative treatments and preventions</w:t>
            </w:r>
          </w:p>
        </w:tc>
      </w:tr>
    </w:tbl>
    <w:p w14:paraId="25DA7B6A" w14:textId="77777777" w:rsidR="00C21E06" w:rsidRDefault="00C21E06" w:rsidP="002274B8">
      <w:pPr>
        <w:pStyle w:val="Heading1"/>
        <w:rPr>
          <w:rFonts w:ascii="Franklin Gothic Medium" w:hAnsi="Franklin Gothic Medium"/>
          <w:b w:val="0"/>
          <w:bCs w:val="0"/>
          <w:color w:val="495F7B"/>
        </w:rPr>
      </w:pPr>
    </w:p>
    <w:p w14:paraId="6B55E818" w14:textId="77777777" w:rsidR="0051643E" w:rsidRDefault="0051643E">
      <w:pPr>
        <w:spacing w:after="0"/>
        <w:rPr>
          <w:rFonts w:ascii="Franklin Gothic Medium" w:hAnsi="Franklin Gothic Medium" w:cs="Arial"/>
          <w:color w:val="495F7B"/>
          <w:kern w:val="32"/>
          <w:sz w:val="40"/>
          <w:szCs w:val="32"/>
        </w:rPr>
      </w:pPr>
      <w:r>
        <w:rPr>
          <w:rFonts w:ascii="Franklin Gothic Medium" w:hAnsi="Franklin Gothic Medium"/>
          <w:b/>
          <w:bCs/>
          <w:color w:val="495F7B"/>
        </w:rPr>
        <w:br w:type="page"/>
      </w:r>
    </w:p>
    <w:p w14:paraId="12D8240C" w14:textId="44B192B4" w:rsidR="002274B8" w:rsidRPr="005C4C63" w:rsidRDefault="002274B8" w:rsidP="002274B8">
      <w:pPr>
        <w:pStyle w:val="Heading1"/>
        <w:rPr>
          <w:rFonts w:ascii="Franklin Gothic Medium" w:hAnsi="Franklin Gothic Medium"/>
          <w:b w:val="0"/>
          <w:bCs w:val="0"/>
          <w:color w:val="495F7B"/>
        </w:rPr>
      </w:pPr>
      <w:bookmarkStart w:id="1" w:name="_Implementation_strategy"/>
      <w:bookmarkEnd w:id="1"/>
      <w:r w:rsidRPr="005C4C63">
        <w:rPr>
          <w:rFonts w:ascii="Franklin Gothic Medium" w:hAnsi="Franklin Gothic Medium"/>
          <w:b w:val="0"/>
          <w:bCs w:val="0"/>
          <w:color w:val="495F7B"/>
        </w:rPr>
        <w:lastRenderedPageBreak/>
        <w:t>Implementation strategy</w:t>
      </w:r>
    </w:p>
    <w:p w14:paraId="47626DBB" w14:textId="77777777" w:rsidR="00C21E06" w:rsidRDefault="00C21E06" w:rsidP="0081109B">
      <w:pPr>
        <w:rPr>
          <w:rFonts w:eastAsiaTheme="minorHAnsi"/>
          <w:lang w:val="en-GB" w:eastAsia="en-US"/>
        </w:rPr>
      </w:pPr>
      <w:r w:rsidRPr="00C21E06">
        <w:rPr>
          <w:rFonts w:eastAsiaTheme="minorHAnsi"/>
          <w:lang w:val="en-GB" w:eastAsia="en-US"/>
        </w:rPr>
        <w:t xml:space="preserve">The implementation strategy has been developed to guide research investment over the life of the mission. The implementation strategy is intended to make the research purpose and direction </w:t>
      </w:r>
      <w:proofErr w:type="gramStart"/>
      <w:r w:rsidRPr="00C21E06">
        <w:rPr>
          <w:rFonts w:eastAsiaTheme="minorHAnsi"/>
          <w:lang w:val="en-GB" w:eastAsia="en-US"/>
        </w:rPr>
        <w:t>transparent, and</w:t>
      </w:r>
      <w:proofErr w:type="gramEnd"/>
      <w:r w:rsidRPr="00C21E06">
        <w:rPr>
          <w:rFonts w:eastAsiaTheme="minorHAnsi"/>
          <w:lang w:val="en-GB" w:eastAsia="en-US"/>
        </w:rPr>
        <w:t xml:space="preserve"> provide certainty to stakeholders. It also establishes how the outcomes of each focus area will be evaluated in terms of benefit to Australians, which will clarify the intended outcome and facilitate tracking of the mission’s progress towards its objectives.</w:t>
      </w:r>
    </w:p>
    <w:p w14:paraId="3A04DAE1" w14:textId="4888D7E6" w:rsidR="00C21E06" w:rsidRDefault="00C21E06" w:rsidP="00C21E06">
      <w:pPr>
        <w:pStyle w:val="Heading2"/>
        <w:rPr>
          <w:rFonts w:ascii="Franklin Gothic Medium" w:hAnsi="Franklin Gothic Medium"/>
          <w:b w:val="0"/>
          <w:bCs w:val="0"/>
          <w:color w:val="495F7A"/>
        </w:rPr>
      </w:pPr>
      <w:r>
        <w:rPr>
          <w:rFonts w:ascii="Franklin Gothic Medium" w:hAnsi="Franklin Gothic Medium"/>
          <w:b w:val="0"/>
          <w:bCs w:val="0"/>
          <w:color w:val="495F7A"/>
        </w:rPr>
        <w:t>Research activities</w:t>
      </w:r>
    </w:p>
    <w:p w14:paraId="1B4A46C9" w14:textId="77777777" w:rsidR="00C21E06" w:rsidRDefault="00C21E06" w:rsidP="0081109B">
      <w:pPr>
        <w:rPr>
          <w:rFonts w:eastAsiaTheme="minorHAnsi"/>
          <w:lang w:val="en-GB" w:eastAsia="en-US"/>
        </w:rPr>
      </w:pPr>
      <w:r w:rsidRPr="00C21E06">
        <w:rPr>
          <w:rFonts w:eastAsiaTheme="minorHAnsi"/>
          <w:lang w:val="en-GB" w:eastAsia="en-US"/>
        </w:rPr>
        <w:t xml:space="preserve">Priority areas for investment are allocated across </w:t>
      </w:r>
      <w:proofErr w:type="gramStart"/>
      <w:r w:rsidRPr="00C21E06">
        <w:rPr>
          <w:rFonts w:eastAsiaTheme="minorHAnsi"/>
          <w:lang w:val="en-GB" w:eastAsia="en-US"/>
        </w:rPr>
        <w:t>short, medium and long term</w:t>
      </w:r>
      <w:proofErr w:type="gramEnd"/>
      <w:r w:rsidRPr="00C21E06">
        <w:rPr>
          <w:rFonts w:eastAsiaTheme="minorHAnsi"/>
          <w:lang w:val="en-GB" w:eastAsia="en-US"/>
        </w:rPr>
        <w:t xml:space="preserve"> timeframes.</w:t>
      </w:r>
    </w:p>
    <w:p w14:paraId="12ECA078" w14:textId="0B8A581A" w:rsidR="00C21E06" w:rsidRDefault="00C21E06" w:rsidP="0081109B">
      <w:pPr>
        <w:rPr>
          <w:rFonts w:eastAsiaTheme="minorHAnsi"/>
          <w:lang w:val="en-GB" w:eastAsia="en-US"/>
        </w:rPr>
      </w:pPr>
      <w:r w:rsidRPr="00C21E06">
        <w:rPr>
          <w:rFonts w:eastAsiaTheme="minorHAnsi"/>
          <w:lang w:val="en-GB" w:eastAsia="en-US"/>
        </w:rPr>
        <w:t>Research activities will be, or contribute to, programs of work of national strategic importance that are informed by the key priority areas outlined in this implementation plan. Research activities will be both small and large scale, with the aim to concentrate research efforts into areas of critical importance and areas not already targeted through existing initiatives.</w:t>
      </w:r>
    </w:p>
    <w:p w14:paraId="24793761" w14:textId="56EC520F" w:rsidR="0081109B" w:rsidRDefault="00C21E06" w:rsidP="00C21E06">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Small-scale activities</w:t>
      </w:r>
    </w:p>
    <w:p w14:paraId="6B4DA604" w14:textId="445EB7DC" w:rsidR="00C21E06" w:rsidRDefault="00C21E06" w:rsidP="00C21E06">
      <w:pPr>
        <w:rPr>
          <w:rFonts w:eastAsiaTheme="minorHAnsi"/>
        </w:rPr>
      </w:pPr>
      <w:r w:rsidRPr="00C21E06">
        <w:rPr>
          <w:rFonts w:eastAsiaTheme="minorHAnsi"/>
        </w:rPr>
        <w:t xml:space="preserve">The small-scale activities in this implementation plan will be supported through </w:t>
      </w:r>
      <w:hyperlink r:id="rId12" w:history="1">
        <w:r w:rsidRPr="0051643E">
          <w:rPr>
            <w:rStyle w:val="Hyperlink"/>
            <w:rFonts w:eastAsiaTheme="minorHAnsi"/>
          </w:rPr>
          <w:t>MRFF Incubator Grants</w:t>
        </w:r>
      </w:hyperlink>
      <w:r w:rsidRPr="00C21E06">
        <w:rPr>
          <w:rFonts w:eastAsiaTheme="minorHAnsi"/>
        </w:rPr>
        <w:t>. These activities will use novel strategies to generate new approaches, and potentially contribute to substantial breakthroughs, to address areas of unmet need.</w:t>
      </w:r>
    </w:p>
    <w:p w14:paraId="579BFF36" w14:textId="77777777" w:rsidR="00C21E06" w:rsidRDefault="00C21E06" w:rsidP="00C21E06">
      <w:pPr>
        <w:rPr>
          <w:rFonts w:eastAsiaTheme="minorHAnsi"/>
        </w:rPr>
      </w:pPr>
      <w:r w:rsidRPr="00C21E06">
        <w:rPr>
          <w:rFonts w:eastAsiaTheme="minorHAnsi"/>
        </w:rPr>
        <w:t>The findings generated from these activities will allow for a greater ability to attract further funding to develop or implement solutions in health care or practice.</w:t>
      </w:r>
    </w:p>
    <w:p w14:paraId="4314F160" w14:textId="615D6942" w:rsidR="00C21E06" w:rsidRPr="00C21E06" w:rsidRDefault="00C21E06" w:rsidP="00C21E06">
      <w:pPr>
        <w:rPr>
          <w:rFonts w:eastAsiaTheme="minorHAnsi"/>
        </w:rPr>
      </w:pPr>
      <w:r w:rsidRPr="00C21E06">
        <w:rPr>
          <w:rFonts w:eastAsiaTheme="minorHAnsi"/>
        </w:rPr>
        <w:t>These activities will also contribute to capacity building, as targeted funding will be provided for Early- and Mid-Career Researcher (EMCR)-led research.</w:t>
      </w:r>
    </w:p>
    <w:p w14:paraId="75A9AE87" w14:textId="68C1CA74" w:rsidR="00C21E06" w:rsidRDefault="00C21E06" w:rsidP="00C21E06">
      <w:pPr>
        <w:pStyle w:val="Heading3"/>
        <w:ind w:left="0" w:firstLine="0"/>
        <w:rPr>
          <w:rFonts w:ascii="Franklin Gothic Medium" w:hAnsi="Franklin Gothic Medium"/>
          <w:b w:val="0"/>
          <w:bCs w:val="0"/>
          <w:color w:val="495F7A"/>
        </w:rPr>
      </w:pPr>
      <w:bookmarkStart w:id="2" w:name="_Large-scale_activities_and"/>
      <w:bookmarkEnd w:id="2"/>
      <w:r>
        <w:rPr>
          <w:rFonts w:ascii="Franklin Gothic Medium" w:hAnsi="Franklin Gothic Medium"/>
          <w:b w:val="0"/>
          <w:bCs w:val="0"/>
          <w:color w:val="495F7A"/>
        </w:rPr>
        <w:t>Large-scale activities and collaborations</w:t>
      </w:r>
    </w:p>
    <w:p w14:paraId="1C4820C9" w14:textId="77777777" w:rsidR="00FF7618" w:rsidRDefault="00FF7618" w:rsidP="002C09C8">
      <w:pPr>
        <w:rPr>
          <w:rFonts w:eastAsiaTheme="minorHAnsi"/>
          <w:lang w:val="en-GB" w:eastAsia="en-US"/>
        </w:rPr>
      </w:pPr>
      <w:r w:rsidRPr="00FF7618">
        <w:rPr>
          <w:rFonts w:eastAsiaTheme="minorHAnsi"/>
          <w:lang w:val="en-GB" w:eastAsia="en-US"/>
        </w:rPr>
        <w:t xml:space="preserve">The large-scale activities in this implementation plan will be significant collaborative efforts to drive the implementation of sustainable, </w:t>
      </w:r>
      <w:proofErr w:type="gramStart"/>
      <w:r w:rsidRPr="00FF7618">
        <w:rPr>
          <w:rFonts w:eastAsiaTheme="minorHAnsi"/>
          <w:lang w:val="en-GB" w:eastAsia="en-US"/>
        </w:rPr>
        <w:t>systematic</w:t>
      </w:r>
      <w:proofErr w:type="gramEnd"/>
      <w:r w:rsidRPr="00FF7618">
        <w:rPr>
          <w:rFonts w:eastAsiaTheme="minorHAnsi"/>
          <w:lang w:val="en-GB" w:eastAsia="en-US"/>
        </w:rPr>
        <w:t xml:space="preserve"> and substantial improvements to health care and health system effectiveness.</w:t>
      </w:r>
    </w:p>
    <w:p w14:paraId="26BF960B" w14:textId="77777777" w:rsidR="00FF7618" w:rsidRDefault="00FF7618" w:rsidP="002C09C8">
      <w:pPr>
        <w:rPr>
          <w:rFonts w:cs="FranklinGothicURWBoo"/>
          <w:szCs w:val="22"/>
        </w:rPr>
      </w:pPr>
      <w:r>
        <w:rPr>
          <w:rFonts w:cs="FranklinGothicURWBoo"/>
          <w:szCs w:val="22"/>
        </w:rPr>
        <w:t xml:space="preserve">These collaborations will: </w:t>
      </w:r>
    </w:p>
    <w:p w14:paraId="1EEBF509" w14:textId="623528F4" w:rsidR="00FF7618" w:rsidRPr="002C09C8" w:rsidRDefault="00FF7618" w:rsidP="002C09C8">
      <w:pPr>
        <w:pStyle w:val="ListParagraph"/>
        <w:numPr>
          <w:ilvl w:val="0"/>
          <w:numId w:val="30"/>
        </w:numPr>
        <w:rPr>
          <w:rFonts w:cs="FranklinGothicURWBoo"/>
          <w:szCs w:val="22"/>
        </w:rPr>
      </w:pPr>
      <w:r w:rsidRPr="002C09C8">
        <w:rPr>
          <w:rFonts w:cs="FranklinGothicURWBoo"/>
          <w:szCs w:val="22"/>
        </w:rPr>
        <w:t xml:space="preserve">be multi-institutional </w:t>
      </w:r>
    </w:p>
    <w:p w14:paraId="5D240B9C" w14:textId="0449C7E7" w:rsidR="00FF7618" w:rsidRPr="002C09C8" w:rsidRDefault="00FF7618" w:rsidP="002C09C8">
      <w:pPr>
        <w:pStyle w:val="ListParagraph"/>
        <w:numPr>
          <w:ilvl w:val="0"/>
          <w:numId w:val="30"/>
        </w:numPr>
        <w:rPr>
          <w:rFonts w:cs="FranklinGothicURWBoo"/>
          <w:szCs w:val="22"/>
        </w:rPr>
      </w:pPr>
      <w:r w:rsidRPr="002C09C8">
        <w:rPr>
          <w:rFonts w:cs="FranklinGothicURWBoo"/>
          <w:szCs w:val="22"/>
        </w:rPr>
        <w:t xml:space="preserve">encompass multiple geographies and demographics </w:t>
      </w:r>
    </w:p>
    <w:p w14:paraId="4ADE3DBE" w14:textId="4FDD03DB" w:rsidR="00FF7618" w:rsidRPr="002C09C8" w:rsidRDefault="00FF7618" w:rsidP="002C09C8">
      <w:pPr>
        <w:pStyle w:val="ListParagraph"/>
        <w:numPr>
          <w:ilvl w:val="0"/>
          <w:numId w:val="30"/>
        </w:numPr>
        <w:rPr>
          <w:rFonts w:cs="FranklinGothicURWBoo"/>
          <w:szCs w:val="22"/>
        </w:rPr>
      </w:pPr>
      <w:r w:rsidRPr="002C09C8">
        <w:rPr>
          <w:rFonts w:cs="FranklinGothicURWBoo"/>
          <w:szCs w:val="22"/>
        </w:rPr>
        <w:t xml:space="preserve">consist of multidisciplinary and interdisciplinary teams </w:t>
      </w:r>
    </w:p>
    <w:p w14:paraId="7D0B5A9D" w14:textId="5FA0FCA2" w:rsidR="00FF7618" w:rsidRPr="002C09C8" w:rsidRDefault="00FF7618" w:rsidP="002C09C8">
      <w:pPr>
        <w:pStyle w:val="ListParagraph"/>
        <w:numPr>
          <w:ilvl w:val="0"/>
          <w:numId w:val="30"/>
        </w:numPr>
        <w:rPr>
          <w:szCs w:val="22"/>
        </w:rPr>
      </w:pPr>
      <w:r w:rsidRPr="002C09C8">
        <w:rPr>
          <w:szCs w:val="22"/>
        </w:rPr>
        <w:t xml:space="preserve">partner with population groups and service providers </w:t>
      </w:r>
    </w:p>
    <w:p w14:paraId="37A031AC" w14:textId="77777777" w:rsidR="00FF7618" w:rsidRDefault="00FF7618" w:rsidP="002C09C8">
      <w:pPr>
        <w:rPr>
          <w:rFonts w:cs="FranklinGothicURWBoo"/>
          <w:szCs w:val="22"/>
        </w:rPr>
      </w:pPr>
      <w:r>
        <w:rPr>
          <w:rFonts w:cs="FranklinGothicURWBoo"/>
          <w:szCs w:val="22"/>
        </w:rPr>
        <w:t xml:space="preserve">These collaborative efforts must: </w:t>
      </w:r>
    </w:p>
    <w:p w14:paraId="179E580C" w14:textId="5E2FBC19" w:rsidR="00FF7618" w:rsidRPr="002C09C8" w:rsidRDefault="00FF7618" w:rsidP="002C09C8">
      <w:pPr>
        <w:pStyle w:val="ListParagraph"/>
        <w:numPr>
          <w:ilvl w:val="0"/>
          <w:numId w:val="31"/>
        </w:numPr>
        <w:rPr>
          <w:rFonts w:cs="FranklinGothicURWBoo"/>
          <w:szCs w:val="22"/>
        </w:rPr>
      </w:pPr>
      <w:r w:rsidRPr="002C09C8">
        <w:rPr>
          <w:rFonts w:cs="FranklinGothicURWBoo"/>
          <w:szCs w:val="22"/>
        </w:rPr>
        <w:t xml:space="preserve">be bold, inspirational and widely relevant to society </w:t>
      </w:r>
    </w:p>
    <w:p w14:paraId="30A47F8E" w14:textId="5CB4BBE7" w:rsidR="00FF7618" w:rsidRPr="002C09C8" w:rsidRDefault="00FF7618" w:rsidP="002C09C8">
      <w:pPr>
        <w:pStyle w:val="ListParagraph"/>
        <w:numPr>
          <w:ilvl w:val="0"/>
          <w:numId w:val="31"/>
        </w:numPr>
        <w:rPr>
          <w:rFonts w:cs="FranklinGothicURWBoo"/>
          <w:szCs w:val="22"/>
        </w:rPr>
      </w:pPr>
      <w:r w:rsidRPr="002C09C8">
        <w:rPr>
          <w:rFonts w:cs="FranklinGothicURWBoo"/>
          <w:szCs w:val="22"/>
        </w:rPr>
        <w:t xml:space="preserve">be clearly framed (targeted, measurable and time-bound) </w:t>
      </w:r>
    </w:p>
    <w:p w14:paraId="31BE3118" w14:textId="48633FF8" w:rsidR="00FF7618" w:rsidRPr="002C09C8" w:rsidRDefault="00FF7618" w:rsidP="002C09C8">
      <w:pPr>
        <w:pStyle w:val="ListParagraph"/>
        <w:numPr>
          <w:ilvl w:val="0"/>
          <w:numId w:val="31"/>
        </w:numPr>
        <w:rPr>
          <w:rFonts w:cs="FranklinGothicURWBoo"/>
          <w:szCs w:val="22"/>
        </w:rPr>
      </w:pPr>
      <w:r w:rsidRPr="002C09C8">
        <w:rPr>
          <w:rFonts w:cs="FranklinGothicURWBoo"/>
          <w:szCs w:val="22"/>
        </w:rPr>
        <w:t xml:space="preserve">be impact driven but with realistic goals </w:t>
      </w:r>
    </w:p>
    <w:p w14:paraId="686E3CA2" w14:textId="07035C11" w:rsidR="00FF7618" w:rsidRPr="002C09C8" w:rsidRDefault="00FF7618" w:rsidP="002C09C8">
      <w:pPr>
        <w:pStyle w:val="ListParagraph"/>
        <w:numPr>
          <w:ilvl w:val="0"/>
          <w:numId w:val="31"/>
        </w:numPr>
        <w:rPr>
          <w:rFonts w:cs="FranklinGothicURWBoo"/>
          <w:szCs w:val="22"/>
        </w:rPr>
      </w:pPr>
      <w:r w:rsidRPr="002C09C8">
        <w:rPr>
          <w:rFonts w:cs="FranklinGothicURWBoo"/>
          <w:szCs w:val="22"/>
        </w:rPr>
        <w:t xml:space="preserve">operate under a strong governance structure </w:t>
      </w:r>
    </w:p>
    <w:p w14:paraId="681907AA" w14:textId="3FFD8F7C" w:rsidR="00FF7618" w:rsidRPr="002C09C8" w:rsidRDefault="00FF7618" w:rsidP="002C09C8">
      <w:pPr>
        <w:pStyle w:val="ListParagraph"/>
        <w:numPr>
          <w:ilvl w:val="0"/>
          <w:numId w:val="31"/>
        </w:numPr>
        <w:rPr>
          <w:rFonts w:cs="FranklinGothicURWBoo"/>
          <w:szCs w:val="22"/>
        </w:rPr>
      </w:pPr>
      <w:r w:rsidRPr="002C09C8">
        <w:rPr>
          <w:rFonts w:cs="FranklinGothicURWBoo"/>
          <w:szCs w:val="22"/>
        </w:rPr>
        <w:t xml:space="preserve">mobilise resources across states and institutions at both the national and local level, with at least 3 different institutions with a reputation for working in mental health </w:t>
      </w:r>
    </w:p>
    <w:p w14:paraId="2347E56B" w14:textId="410099DD" w:rsidR="00FF7618" w:rsidRPr="002C09C8" w:rsidRDefault="00FF7618" w:rsidP="002C09C8">
      <w:pPr>
        <w:pStyle w:val="ListParagraph"/>
        <w:numPr>
          <w:ilvl w:val="0"/>
          <w:numId w:val="31"/>
        </w:numPr>
        <w:rPr>
          <w:rFonts w:cs="FranklinGothicURWBoo"/>
          <w:szCs w:val="22"/>
        </w:rPr>
      </w:pPr>
      <w:r w:rsidRPr="002C09C8">
        <w:rPr>
          <w:rFonts w:cs="FranklinGothicURWBoo"/>
          <w:szCs w:val="22"/>
        </w:rPr>
        <w:t xml:space="preserve">link activities across different disciplines and different types of research and innovation </w:t>
      </w:r>
    </w:p>
    <w:p w14:paraId="1838F97D" w14:textId="77777777" w:rsidR="00FF7618" w:rsidRPr="002C09C8" w:rsidRDefault="00FF7618" w:rsidP="002C09C8">
      <w:pPr>
        <w:pStyle w:val="ListParagraph"/>
        <w:numPr>
          <w:ilvl w:val="0"/>
          <w:numId w:val="31"/>
        </w:numPr>
        <w:rPr>
          <w:szCs w:val="22"/>
        </w:rPr>
      </w:pPr>
      <w:r w:rsidRPr="002C09C8">
        <w:rPr>
          <w:szCs w:val="22"/>
        </w:rPr>
        <w:lastRenderedPageBreak/>
        <w:t xml:space="preserve">make it easier for people to understand the value of investments in research and innovation </w:t>
      </w:r>
    </w:p>
    <w:p w14:paraId="26811B4A" w14:textId="178B9369" w:rsidR="00FF7618" w:rsidRDefault="00FF7618" w:rsidP="00FF7618">
      <w:pPr>
        <w:pStyle w:val="Heading2"/>
        <w:rPr>
          <w:rFonts w:ascii="Franklin Gothic Medium" w:hAnsi="Franklin Gothic Medium"/>
          <w:b w:val="0"/>
          <w:bCs w:val="0"/>
          <w:color w:val="495F7A"/>
        </w:rPr>
      </w:pPr>
      <w:r>
        <w:rPr>
          <w:rFonts w:ascii="Franklin Gothic Medium" w:hAnsi="Franklin Gothic Medium"/>
          <w:b w:val="0"/>
          <w:bCs w:val="0"/>
          <w:color w:val="495F7A"/>
        </w:rPr>
        <w:t>Mission monitoring and evaluation</w:t>
      </w:r>
    </w:p>
    <w:p w14:paraId="0EF95BA7" w14:textId="26499186" w:rsidR="00FF7618" w:rsidRDefault="00FF7618" w:rsidP="00FF7618">
      <w:r w:rsidRPr="00FF7618">
        <w:t xml:space="preserve">To support the Million Minds Mental Health Research Mission, the </w:t>
      </w:r>
      <w:hyperlink r:id="rId13" w:history="1">
        <w:r w:rsidRPr="00A464CA">
          <w:rPr>
            <w:rStyle w:val="Hyperlink"/>
          </w:rPr>
          <w:t>MRFF Monitoring, evaluation and learning strategy</w:t>
        </w:r>
      </w:hyperlink>
      <w:r w:rsidRPr="00FF7618">
        <w:t xml:space="preserve"> provides an overarching framework for assessing the performance of the MRFF, focused on individual grants, grant opportunities, initiatives (</w:t>
      </w:r>
      <w:proofErr w:type="spellStart"/>
      <w:r w:rsidRPr="00FF7618">
        <w:t>eg</w:t>
      </w:r>
      <w:proofErr w:type="spellEnd"/>
      <w:r w:rsidRPr="00FF7618">
        <w:t xml:space="preserve"> the Million Minds Mental Health Research Mission) and the entire program.</w:t>
      </w:r>
    </w:p>
    <w:p w14:paraId="2E1ED80A" w14:textId="6ADD98EB" w:rsidR="00FF7618" w:rsidRDefault="00FF7618" w:rsidP="00FF7618">
      <w:r w:rsidRPr="00FF7618">
        <w:t>The strategy sets out the principles and approach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The Million Minds Mental Health Research Mission and grants funded under this initiative will be evaluated against the strategy.</w:t>
      </w:r>
    </w:p>
    <w:p w14:paraId="742AB4D3" w14:textId="36B149B8" w:rsidR="00FF7618" w:rsidRDefault="00FF7618" w:rsidP="00FF7618">
      <w:pPr>
        <w:pStyle w:val="Heading2"/>
        <w:rPr>
          <w:rFonts w:ascii="Franklin Gothic Medium" w:hAnsi="Franklin Gothic Medium"/>
          <w:b w:val="0"/>
          <w:bCs w:val="0"/>
          <w:color w:val="495F7A"/>
        </w:rPr>
      </w:pPr>
      <w:r>
        <w:rPr>
          <w:rFonts w:ascii="Franklin Gothic Medium" w:hAnsi="Franklin Gothic Medium"/>
          <w:b w:val="0"/>
          <w:bCs w:val="0"/>
          <w:color w:val="495F7A"/>
        </w:rPr>
        <w:t>Research gender data</w:t>
      </w:r>
    </w:p>
    <w:p w14:paraId="3636ECE4" w14:textId="1F1E01CF" w:rsidR="00FF7618" w:rsidRDefault="00FF7618" w:rsidP="00FF7618">
      <w:r w:rsidRPr="00FF7618">
        <w:t>To date, 56% of the Chief Investigators leading mental health research projects funded by the mission are women. Further, 12 (67%) of the 18 of these mental health research projects are led by women. Despite this, 50% of funding to date has been allocated to projects led by men.</w:t>
      </w:r>
    </w:p>
    <w:p w14:paraId="47BA6C71" w14:textId="77777777" w:rsidR="00B041F6" w:rsidRDefault="00FF7618" w:rsidP="00FF7618">
      <w:r w:rsidRPr="00FF7618">
        <w:t xml:space="preserve">The gender data for researchers funded through the mission will continue to be monitored, with a particular focus on the gender data for researchers in large-scale projects. </w:t>
      </w:r>
    </w:p>
    <w:p w14:paraId="5D381E84" w14:textId="56FD1FD1" w:rsidR="00FF7618" w:rsidRDefault="00FF7618" w:rsidP="00FF7618">
      <w:r w:rsidRPr="00FF7618">
        <w:t xml:space="preserve">Further data on the mission and all MRFF initiatives is provided in the </w:t>
      </w:r>
      <w:hyperlink r:id="rId14" w:history="1">
        <w:r w:rsidRPr="00A464CA">
          <w:rPr>
            <w:rStyle w:val="Hyperlink"/>
          </w:rPr>
          <w:t>Medical Research Future Fund grant opportunity gender data report – 22 March 2022.</w:t>
        </w:r>
      </w:hyperlink>
    </w:p>
    <w:p w14:paraId="1BDBA678" w14:textId="011DEF90" w:rsidR="00FF7618" w:rsidRDefault="00FF7618" w:rsidP="00FF7618">
      <w:pPr>
        <w:pStyle w:val="Heading2"/>
        <w:rPr>
          <w:rFonts w:ascii="Franklin Gothic Medium" w:hAnsi="Franklin Gothic Medium"/>
          <w:b w:val="0"/>
          <w:bCs w:val="0"/>
          <w:color w:val="495F7A"/>
        </w:rPr>
      </w:pPr>
      <w:r w:rsidRPr="00FF7618">
        <w:rPr>
          <w:rFonts w:ascii="Franklin Gothic Medium" w:hAnsi="Franklin Gothic Medium"/>
          <w:b w:val="0"/>
          <w:bCs w:val="0"/>
          <w:color w:val="495F7A"/>
        </w:rPr>
        <w:t>Alignment with the National Mental Health Research Strategy</w:t>
      </w:r>
    </w:p>
    <w:p w14:paraId="29528719" w14:textId="538B897C" w:rsidR="00FF7618" w:rsidRDefault="00FF7618" w:rsidP="002C09C8">
      <w:pPr>
        <w:pStyle w:val="NormalBeforeBullet"/>
      </w:pPr>
      <w:r>
        <w:t xml:space="preserve">The National Mental Health Commission’s </w:t>
      </w:r>
      <w:hyperlink r:id="rId15" w:history="1">
        <w:r w:rsidRPr="00C95CBA">
          <w:rPr>
            <w:rStyle w:val="Hyperlink"/>
          </w:rPr>
          <w:t>National Mental Health Research Strategy</w:t>
        </w:r>
      </w:hyperlink>
      <w:r w:rsidRPr="00C95CBA">
        <w:rPr>
          <w:rStyle w:val="A3"/>
          <w:u w:val="none"/>
        </w:rPr>
        <w:t xml:space="preserve"> </w:t>
      </w:r>
      <w:r w:rsidRPr="00A464CA">
        <w:t>outlines</w:t>
      </w:r>
      <w:r>
        <w:t xml:space="preserve"> the following five principles for driving reform in the mental health research system: </w:t>
      </w:r>
    </w:p>
    <w:p w14:paraId="5E159B4E" w14:textId="2677D9BD" w:rsidR="00FF7618" w:rsidRDefault="00FF7618" w:rsidP="002C09C8">
      <w:pPr>
        <w:pStyle w:val="ListParagraph"/>
        <w:numPr>
          <w:ilvl w:val="0"/>
          <w:numId w:val="29"/>
        </w:numPr>
      </w:pPr>
      <w:r>
        <w:t xml:space="preserve">Strengthen mental health research </w:t>
      </w:r>
    </w:p>
    <w:p w14:paraId="7DF3D546" w14:textId="27D50C40" w:rsidR="00FF7618" w:rsidRDefault="00FF7618" w:rsidP="002C09C8">
      <w:pPr>
        <w:pStyle w:val="ListParagraph"/>
        <w:numPr>
          <w:ilvl w:val="0"/>
          <w:numId w:val="29"/>
        </w:numPr>
      </w:pPr>
      <w:r>
        <w:t xml:space="preserve">Strive for research with impact </w:t>
      </w:r>
    </w:p>
    <w:p w14:paraId="0E49EBBF" w14:textId="45E4394B" w:rsidR="00FF7618" w:rsidRDefault="00FF7618" w:rsidP="002C09C8">
      <w:pPr>
        <w:pStyle w:val="ListParagraph"/>
        <w:numPr>
          <w:ilvl w:val="0"/>
          <w:numId w:val="29"/>
        </w:numPr>
      </w:pPr>
      <w:r>
        <w:t xml:space="preserve">Support lived experience, collaboration and leadership in mental health </w:t>
      </w:r>
    </w:p>
    <w:p w14:paraId="44E5C80B" w14:textId="6BC5368F" w:rsidR="00FF7618" w:rsidRDefault="00FF7618" w:rsidP="002C09C8">
      <w:pPr>
        <w:pStyle w:val="ListParagraph"/>
        <w:numPr>
          <w:ilvl w:val="0"/>
          <w:numId w:val="29"/>
        </w:numPr>
      </w:pPr>
      <w:r>
        <w:t xml:space="preserve">Embrace a whole-of-life and whole-of-community approach to mental health research </w:t>
      </w:r>
    </w:p>
    <w:p w14:paraId="3E3816AD" w14:textId="77777777" w:rsidR="00FF7618" w:rsidRDefault="00FF7618" w:rsidP="002C09C8">
      <w:pPr>
        <w:pStyle w:val="ListParagraph"/>
        <w:numPr>
          <w:ilvl w:val="0"/>
          <w:numId w:val="29"/>
        </w:numPr>
      </w:pPr>
      <w:r>
        <w:t xml:space="preserve">Grow a strong mental health research workforce </w:t>
      </w:r>
    </w:p>
    <w:p w14:paraId="670218EF" w14:textId="77777777" w:rsidR="00FF7618" w:rsidRDefault="00FF7618" w:rsidP="002C09C8">
      <w:pPr>
        <w:pStyle w:val="NormalBeforeBullet"/>
      </w:pPr>
      <w:r>
        <w:t xml:space="preserve">The implementation strategy is consistent with the current priorities identified consistently across diverse mental health research domains in the National Mental Health Research Strategy: </w:t>
      </w:r>
    </w:p>
    <w:p w14:paraId="56837458" w14:textId="1039ECF9" w:rsidR="00FF7618" w:rsidRDefault="00FF7618" w:rsidP="002C09C8">
      <w:pPr>
        <w:pStyle w:val="ListParagraph"/>
        <w:numPr>
          <w:ilvl w:val="0"/>
          <w:numId w:val="28"/>
        </w:numPr>
      </w:pPr>
      <w:r>
        <w:t xml:space="preserve">increasing investment in mental health research from public and private sources to address the gap between current research investment and burden of illness </w:t>
      </w:r>
    </w:p>
    <w:p w14:paraId="0C1346EA" w14:textId="0107BD05" w:rsidR="00FF7618" w:rsidRDefault="00FF7618" w:rsidP="002C09C8">
      <w:pPr>
        <w:pStyle w:val="ListParagraph"/>
        <w:numPr>
          <w:ilvl w:val="0"/>
          <w:numId w:val="28"/>
        </w:numPr>
      </w:pPr>
      <w:r>
        <w:t xml:space="preserve">opportunities to support collaborative and partnership approaches between research, practice and lived experienced </w:t>
      </w:r>
    </w:p>
    <w:p w14:paraId="5A94248C" w14:textId="78C2C2BB" w:rsidR="00FF7618" w:rsidRDefault="00FF7618" w:rsidP="002C09C8">
      <w:pPr>
        <w:pStyle w:val="ListParagraph"/>
        <w:numPr>
          <w:ilvl w:val="0"/>
          <w:numId w:val="28"/>
        </w:numPr>
      </w:pPr>
      <w:r>
        <w:t xml:space="preserve">enabling data sharing, linkage and standardised national data collection </w:t>
      </w:r>
    </w:p>
    <w:p w14:paraId="004AE8C7" w14:textId="6928332B" w:rsidR="00FF7618" w:rsidRDefault="00FF7618" w:rsidP="002C09C8">
      <w:pPr>
        <w:pStyle w:val="ListParagraph"/>
        <w:numPr>
          <w:ilvl w:val="0"/>
          <w:numId w:val="28"/>
        </w:numPr>
      </w:pPr>
      <w:r>
        <w:t xml:space="preserve">lack of diversity in funding sources for mental health research with opportunities in partnership with government, business, education and philanthropy </w:t>
      </w:r>
    </w:p>
    <w:p w14:paraId="48338D74" w14:textId="77777777" w:rsidR="00FF7618" w:rsidRDefault="00FF7618" w:rsidP="002C09C8">
      <w:pPr>
        <w:pStyle w:val="ListParagraph"/>
        <w:numPr>
          <w:ilvl w:val="0"/>
          <w:numId w:val="28"/>
        </w:numPr>
      </w:pPr>
      <w:r>
        <w:t xml:space="preserve">supporting research in the areas of: </w:t>
      </w:r>
    </w:p>
    <w:p w14:paraId="5E027E28" w14:textId="77777777" w:rsidR="00FF7618" w:rsidRDefault="00FF7618" w:rsidP="002C09C8">
      <w:pPr>
        <w:pStyle w:val="ListParagraph"/>
        <w:numPr>
          <w:ilvl w:val="1"/>
          <w:numId w:val="28"/>
        </w:numPr>
      </w:pPr>
      <w:r w:rsidRPr="00FF7618">
        <w:t xml:space="preserve">developing treatment and therapeutic interventions </w:t>
      </w:r>
    </w:p>
    <w:p w14:paraId="4C120E9F" w14:textId="77777777" w:rsidR="00FF7618" w:rsidRDefault="00FF7618" w:rsidP="002C09C8">
      <w:pPr>
        <w:pStyle w:val="ListParagraph"/>
        <w:numPr>
          <w:ilvl w:val="1"/>
          <w:numId w:val="28"/>
        </w:numPr>
      </w:pPr>
      <w:r w:rsidRPr="00FF7618">
        <w:t xml:space="preserve">prevention of illness and the promotion of wellbeing, including addressing stigma </w:t>
      </w:r>
    </w:p>
    <w:p w14:paraId="7E7F8C4A" w14:textId="77777777" w:rsidR="00FF7618" w:rsidRDefault="00FF7618" w:rsidP="002C09C8">
      <w:pPr>
        <w:pStyle w:val="ListParagraph"/>
        <w:numPr>
          <w:ilvl w:val="1"/>
          <w:numId w:val="28"/>
        </w:numPr>
      </w:pPr>
      <w:r w:rsidRPr="00FF7618">
        <w:t xml:space="preserve">detection, screening and diagnosis </w:t>
      </w:r>
    </w:p>
    <w:p w14:paraId="3F7884A2" w14:textId="7BEAEC7E" w:rsidR="00FF7618" w:rsidRPr="00FF7618" w:rsidRDefault="00FF7618" w:rsidP="002C09C8">
      <w:pPr>
        <w:pStyle w:val="ListParagraph"/>
        <w:numPr>
          <w:ilvl w:val="1"/>
          <w:numId w:val="28"/>
        </w:numPr>
      </w:pPr>
      <w:r w:rsidRPr="00FF7618">
        <w:t>innovation and novel approaches to identification, intervention and support</w:t>
      </w:r>
    </w:p>
    <w:p w14:paraId="548DFE1E" w14:textId="0D8518D1" w:rsidR="00FF7618" w:rsidRDefault="00FF7618" w:rsidP="00FF7618"/>
    <w:p w14:paraId="5313FB77" w14:textId="107248BD" w:rsidR="00FF7618" w:rsidRDefault="00FF7618" w:rsidP="00FF7618">
      <w:pPr>
        <w:pStyle w:val="Heading2"/>
        <w:rPr>
          <w:rFonts w:ascii="Franklin Gothic Medium" w:hAnsi="Franklin Gothic Medium"/>
          <w:b w:val="0"/>
          <w:bCs w:val="0"/>
          <w:color w:val="495F7A"/>
        </w:rPr>
      </w:pPr>
      <w:r>
        <w:rPr>
          <w:rFonts w:ascii="Franklin Gothic Medium" w:hAnsi="Franklin Gothic Medium"/>
          <w:b w:val="0"/>
          <w:bCs w:val="0"/>
          <w:color w:val="495F7A"/>
        </w:rPr>
        <w:t>The importance of wellbeing</w:t>
      </w:r>
    </w:p>
    <w:p w14:paraId="6A56B7F2" w14:textId="3503CF27" w:rsidR="00FF7618" w:rsidRDefault="00FF7618" w:rsidP="00FF7618">
      <w:pPr>
        <w:rPr>
          <w:rFonts w:ascii="FranklinGothicURWBoo" w:eastAsiaTheme="minorHAnsi" w:hAnsi="FranklinGothicURWBoo" w:cs="FranklinGothicURWBoo"/>
          <w:szCs w:val="22"/>
          <w:lang w:eastAsia="en-US"/>
        </w:rPr>
      </w:pPr>
      <w:r w:rsidRPr="00FF7618">
        <w:rPr>
          <w:rFonts w:ascii="FranklinGothicURWBoo" w:eastAsiaTheme="minorHAnsi" w:hAnsi="FranklinGothicURWBoo" w:cs="FranklinGothicURWBoo"/>
          <w:szCs w:val="22"/>
          <w:lang w:eastAsia="en-US"/>
        </w:rPr>
        <w:t>The Roadmap and this plan make reference to wellbeing in a number of different contexts. It is recognised that defining wellbeing is challenging and that the concept of wellbeing differs across people and cultures. Researchers supported by the mission should consider how wellbeing is conceptualised relative to their research by considering advice and learnings from groups such as First Nations peoples, people with living and lived experience, and culturally and linguistically diverse communities.</w:t>
      </w:r>
    </w:p>
    <w:p w14:paraId="6E2ED08D" w14:textId="150392B5" w:rsidR="006D0F90" w:rsidRDefault="006D0F90" w:rsidP="00FF7618">
      <w:pPr>
        <w:rPr>
          <w:rFonts w:ascii="FranklinGothicURWBoo" w:eastAsiaTheme="minorHAnsi" w:hAnsi="FranklinGothicURWBoo" w:cs="FranklinGothicURWBoo"/>
          <w:szCs w:val="22"/>
          <w:lang w:eastAsia="en-US"/>
        </w:rPr>
      </w:pPr>
    </w:p>
    <w:p w14:paraId="451FE95E" w14:textId="74489D27" w:rsidR="006D0F90" w:rsidRDefault="006D0F90" w:rsidP="00FF7618">
      <w:pPr>
        <w:rPr>
          <w:rFonts w:ascii="FranklinGothicURWBoo" w:eastAsiaTheme="minorHAnsi" w:hAnsi="FranklinGothicURWBoo" w:cs="FranklinGothicURWBoo"/>
          <w:szCs w:val="22"/>
          <w:lang w:eastAsia="en-US"/>
        </w:rPr>
      </w:pPr>
    </w:p>
    <w:p w14:paraId="20C1D17D" w14:textId="468E66AD" w:rsidR="006D0F90" w:rsidRDefault="006D0F90" w:rsidP="00FF7618">
      <w:pPr>
        <w:rPr>
          <w:rFonts w:ascii="FranklinGothicURWBoo" w:eastAsiaTheme="minorHAnsi" w:hAnsi="FranklinGothicURWBoo" w:cs="FranklinGothicURWBoo"/>
          <w:szCs w:val="22"/>
          <w:lang w:eastAsia="en-US"/>
        </w:rPr>
      </w:pPr>
    </w:p>
    <w:p w14:paraId="6005D283" w14:textId="5A69D95C" w:rsidR="006D0F90" w:rsidRDefault="006D0F90" w:rsidP="00FF7618">
      <w:pPr>
        <w:rPr>
          <w:rFonts w:ascii="FranklinGothicURWBoo" w:eastAsiaTheme="minorHAnsi" w:hAnsi="FranklinGothicURWBoo" w:cs="FranklinGothicURWBoo"/>
          <w:szCs w:val="22"/>
          <w:lang w:eastAsia="en-US"/>
        </w:rPr>
      </w:pPr>
    </w:p>
    <w:p w14:paraId="29C47C3C" w14:textId="71DECD28" w:rsidR="006D0F90" w:rsidRDefault="006D0F90" w:rsidP="00FF7618">
      <w:pPr>
        <w:rPr>
          <w:rFonts w:ascii="FranklinGothicURWBoo" w:eastAsiaTheme="minorHAnsi" w:hAnsi="FranklinGothicURWBoo" w:cs="FranklinGothicURWBoo"/>
          <w:szCs w:val="22"/>
          <w:lang w:eastAsia="en-US"/>
        </w:rPr>
      </w:pPr>
    </w:p>
    <w:p w14:paraId="0B715CB0" w14:textId="16FD87CF" w:rsidR="006D0F90" w:rsidRDefault="006D0F90" w:rsidP="00FF7618">
      <w:pPr>
        <w:rPr>
          <w:rFonts w:ascii="FranklinGothicURWBoo" w:eastAsiaTheme="minorHAnsi" w:hAnsi="FranklinGothicURWBoo" w:cs="FranklinGothicURWBoo"/>
          <w:szCs w:val="22"/>
          <w:lang w:eastAsia="en-US"/>
        </w:rPr>
      </w:pPr>
    </w:p>
    <w:p w14:paraId="26C2A007" w14:textId="77777777" w:rsidR="006D0F90" w:rsidRDefault="006D0F90" w:rsidP="00FF7618"/>
    <w:p w14:paraId="0235BBCE" w14:textId="77777777" w:rsidR="00A464CA" w:rsidRDefault="00A464CA">
      <w:pPr>
        <w:spacing w:after="0"/>
        <w:rPr>
          <w:rFonts w:ascii="Franklin Gothic Medium" w:hAnsi="Franklin Gothic Medium" w:cs="Arial"/>
          <w:color w:val="495F7A"/>
          <w:kern w:val="32"/>
          <w:sz w:val="40"/>
          <w:szCs w:val="32"/>
        </w:rPr>
      </w:pPr>
      <w:r>
        <w:rPr>
          <w:rFonts w:ascii="Franklin Gothic Medium" w:hAnsi="Franklin Gothic Medium"/>
          <w:b/>
          <w:bCs/>
          <w:color w:val="495F7A"/>
        </w:rPr>
        <w:br w:type="page"/>
      </w:r>
    </w:p>
    <w:p w14:paraId="370E050C" w14:textId="32366BDD" w:rsidR="008F2B31" w:rsidRPr="002B1882" w:rsidRDefault="008F2B31" w:rsidP="008F2B31">
      <w:pPr>
        <w:pStyle w:val="Heading1"/>
        <w:ind w:left="0" w:firstLine="0"/>
        <w:rPr>
          <w:rFonts w:ascii="Franklin Gothic Medium" w:hAnsi="Franklin Gothic Medium"/>
          <w:b w:val="0"/>
          <w:bCs w:val="0"/>
          <w:color w:val="495F7A"/>
        </w:rPr>
      </w:pPr>
      <w:r w:rsidRPr="002B1882">
        <w:rPr>
          <w:rFonts w:ascii="Franklin Gothic Medium" w:hAnsi="Franklin Gothic Medium"/>
          <w:b w:val="0"/>
          <w:bCs w:val="0"/>
          <w:color w:val="495F7A"/>
        </w:rPr>
        <w:lastRenderedPageBreak/>
        <w:t xml:space="preserve">Aim 1: </w:t>
      </w:r>
      <w:r w:rsidR="00A464CA" w:rsidRPr="00A464CA">
        <w:rPr>
          <w:rFonts w:ascii="Franklin Gothic Medium" w:hAnsi="Franklin Gothic Medium"/>
          <w:b w:val="0"/>
          <w:bCs w:val="0"/>
          <w:color w:val="495F7A"/>
        </w:rPr>
        <w:t>Better understanding of the contributing factors of mental illness</w:t>
      </w:r>
    </w:p>
    <w:p w14:paraId="6AC8CBAB" w14:textId="3FF3CB22" w:rsidR="008F2B31" w:rsidRPr="005C4C63" w:rsidRDefault="008F2B31" w:rsidP="008F2B31">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1.1</w:t>
      </w:r>
    </w:p>
    <w:p w14:paraId="03AFCA48" w14:textId="77777777" w:rsidR="002B1882" w:rsidRDefault="002B1882" w:rsidP="0081109B">
      <w:pPr>
        <w:pStyle w:val="Heading2"/>
        <w:rPr>
          <w:rFonts w:cs="Times New Roman"/>
          <w:b w:val="0"/>
          <w:bCs w:val="0"/>
          <w:iCs w:val="0"/>
          <w:sz w:val="22"/>
          <w:szCs w:val="20"/>
        </w:rPr>
      </w:pPr>
      <w:r w:rsidRPr="002B1882">
        <w:rPr>
          <w:rFonts w:cs="Times New Roman"/>
          <w:b w:val="0"/>
          <w:bCs w:val="0"/>
          <w:iCs w:val="0"/>
          <w:sz w:val="22"/>
          <w:szCs w:val="20"/>
        </w:rPr>
        <w:t>Understanding the shifts in society contributing to mental illness</w:t>
      </w:r>
    </w:p>
    <w:p w14:paraId="46864281" w14:textId="6B99BB35" w:rsidR="0081109B" w:rsidRPr="005C4C63" w:rsidRDefault="0081109B" w:rsidP="0081109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1.</w:t>
      </w:r>
      <w:r>
        <w:rPr>
          <w:rFonts w:ascii="Franklin Gothic Medium" w:hAnsi="Franklin Gothic Medium"/>
          <w:b w:val="0"/>
          <w:bCs w:val="0"/>
          <w:color w:val="495F7A"/>
        </w:rPr>
        <w:t>2</w:t>
      </w:r>
    </w:p>
    <w:p w14:paraId="4CD19EDD" w14:textId="00ACEC34" w:rsidR="0081109B" w:rsidRDefault="002B1882" w:rsidP="0081109B">
      <w:r w:rsidRPr="002B1882">
        <w:t>Understanding the factors that enhance the social and emotional wellbeing of people</w:t>
      </w:r>
    </w:p>
    <w:tbl>
      <w:tblPr>
        <w:tblStyle w:val="TableGrid"/>
        <w:tblW w:w="0" w:type="auto"/>
        <w:tblLook w:val="04A0" w:firstRow="1" w:lastRow="0" w:firstColumn="1" w:lastColumn="0" w:noHBand="0" w:noVBand="1"/>
      </w:tblPr>
      <w:tblGrid>
        <w:gridCol w:w="2547"/>
        <w:gridCol w:w="6469"/>
      </w:tblGrid>
      <w:tr w:rsidR="008F2B31" w14:paraId="6C94C508" w14:textId="77777777" w:rsidTr="005C4C63">
        <w:trPr>
          <w:tblHeader/>
        </w:trPr>
        <w:tc>
          <w:tcPr>
            <w:tcW w:w="2547" w:type="dxa"/>
          </w:tcPr>
          <w:p w14:paraId="091F2CF9" w14:textId="50B385A1" w:rsidR="008F2B31" w:rsidRPr="00807F6F" w:rsidRDefault="008F2B31" w:rsidP="007712FC">
            <w:pPr>
              <w:pStyle w:val="TableHeading"/>
              <w:keepNext w:val="0"/>
              <w:rPr>
                <w:color w:val="495F7A"/>
              </w:rPr>
            </w:pPr>
            <w:bookmarkStart w:id="3" w:name="ColumnTitle_2"/>
            <w:bookmarkEnd w:id="3"/>
            <w:r w:rsidRPr="00807F6F">
              <w:rPr>
                <w:color w:val="495F7A"/>
              </w:rPr>
              <w:t>Research to begin in the ...</w:t>
            </w:r>
          </w:p>
        </w:tc>
        <w:tc>
          <w:tcPr>
            <w:tcW w:w="6469" w:type="dxa"/>
          </w:tcPr>
          <w:p w14:paraId="0C0D12BE" w14:textId="3A7B9FE9" w:rsidR="008F2B31" w:rsidRPr="00807F6F" w:rsidRDefault="008F2B31" w:rsidP="007712FC">
            <w:pPr>
              <w:pStyle w:val="TableHeading"/>
              <w:keepNext w:val="0"/>
              <w:rPr>
                <w:color w:val="495F7A"/>
              </w:rPr>
            </w:pPr>
            <w:r w:rsidRPr="00807F6F">
              <w:rPr>
                <w:color w:val="495F7A"/>
              </w:rPr>
              <w:t>Priorities for investment (research questions and objectives)</w:t>
            </w:r>
          </w:p>
        </w:tc>
      </w:tr>
      <w:tr w:rsidR="008F2B31" w14:paraId="30DA78B6" w14:textId="77777777" w:rsidTr="005C4C63">
        <w:tc>
          <w:tcPr>
            <w:tcW w:w="2547" w:type="dxa"/>
          </w:tcPr>
          <w:p w14:paraId="310E02C9" w14:textId="60BCFC43" w:rsidR="008F2B31" w:rsidRDefault="00807F6F" w:rsidP="002C09C8">
            <w:r w:rsidRPr="00807F6F">
              <w:rPr>
                <w:color w:val="495F7A"/>
              </w:rPr>
              <w:t>medium term</w:t>
            </w:r>
            <w:r>
              <w:t xml:space="preserve"> (2–</w:t>
            </w:r>
            <w:r w:rsidR="00720928">
              <w:t>6</w:t>
            </w:r>
            <w:r>
              <w:t> years)</w:t>
            </w:r>
          </w:p>
        </w:tc>
        <w:tc>
          <w:tcPr>
            <w:tcW w:w="6469" w:type="dxa"/>
          </w:tcPr>
          <w:p w14:paraId="5F762877" w14:textId="46B5293E" w:rsidR="002B1882" w:rsidRDefault="002B1882" w:rsidP="002C09C8">
            <w:r w:rsidRPr="002B1882">
              <w:t>Small-scale developmental projects (</w:t>
            </w:r>
            <w:hyperlink r:id="rId16" w:history="1">
              <w:r w:rsidRPr="00A464CA">
                <w:rPr>
                  <w:rStyle w:val="Hyperlink"/>
                </w:rPr>
                <w:t>Incubator Grants</w:t>
              </w:r>
            </w:hyperlink>
            <w:r w:rsidRPr="002B1882">
              <w:t>) to improve the understanding of the (for each of these priorities, the top-ranked project and the top-ranked EMCR-le</w:t>
            </w:r>
            <w:r>
              <w:t>d</w:t>
            </w:r>
            <w:r w:rsidR="00933F86">
              <w:rPr>
                <w:rStyle w:val="FootnoteReference"/>
              </w:rPr>
              <w:footnoteReference w:id="1"/>
            </w:r>
            <w:r w:rsidRPr="002B1882">
              <w:t xml:space="preserve"> project will be funded):</w:t>
            </w:r>
          </w:p>
          <w:p w14:paraId="0B06DCA0" w14:textId="77777777" w:rsidR="002B1882" w:rsidRDefault="002B1882" w:rsidP="002C09C8">
            <w:pPr>
              <w:pStyle w:val="ListParagraph"/>
              <w:numPr>
                <w:ilvl w:val="0"/>
                <w:numId w:val="32"/>
              </w:numPr>
            </w:pPr>
            <w:r w:rsidRPr="002B1882">
              <w:t>social determinants of mental health to inform the prevention of, and treatments for, mental illness and psychological distress</w:t>
            </w:r>
          </w:p>
          <w:p w14:paraId="6228AC85" w14:textId="1D01E598" w:rsidR="002B1882" w:rsidRDefault="002B1882" w:rsidP="002C09C8">
            <w:pPr>
              <w:pStyle w:val="ListParagraph"/>
              <w:numPr>
                <w:ilvl w:val="0"/>
                <w:numId w:val="32"/>
              </w:numPr>
            </w:pPr>
            <w:r w:rsidRPr="002B1882">
              <w:t>social determinants and protective factors for the optimal mental health of children (0 to 12 years)</w:t>
            </w:r>
            <w:r w:rsidR="00933F86">
              <w:rPr>
                <w:rStyle w:val="FootnoteReference"/>
              </w:rPr>
              <w:footnoteReference w:id="2"/>
            </w:r>
          </w:p>
          <w:p w14:paraId="621240E8" w14:textId="72652D7F" w:rsidR="002B1882" w:rsidRDefault="002B1882" w:rsidP="002C09C8">
            <w:pPr>
              <w:pStyle w:val="ListParagraph"/>
              <w:numPr>
                <w:ilvl w:val="0"/>
                <w:numId w:val="32"/>
              </w:numPr>
            </w:pPr>
            <w:r w:rsidRPr="002B1882">
              <w:t>social determinants and protective factors for the optimal mental health of young people (12 to 25 years)</w:t>
            </w:r>
            <w:r w:rsidR="00933F86">
              <w:rPr>
                <w:rStyle w:val="FootnoteReference"/>
              </w:rPr>
              <w:footnoteReference w:id="3"/>
            </w:r>
          </w:p>
          <w:p w14:paraId="5A5372DA" w14:textId="13D43386" w:rsidR="002B1882" w:rsidRDefault="002B1882" w:rsidP="002C09C8">
            <w:r w:rsidRPr="002B1882">
              <w:t>Small-scale projects (</w:t>
            </w:r>
            <w:hyperlink r:id="rId17" w:history="1">
              <w:r w:rsidRPr="00A464CA">
                <w:rPr>
                  <w:rStyle w:val="Hyperlink"/>
                </w:rPr>
                <w:t>Incubator Grants</w:t>
              </w:r>
            </w:hyperlink>
            <w:r w:rsidRPr="002B1882">
              <w:t>) to develop new and improved</w:t>
            </w:r>
            <w:r>
              <w:t xml:space="preserve"> </w:t>
            </w:r>
            <w:r w:rsidRPr="002B1882">
              <w:t>diagnostic tools for mental illness (the top-ranked project and the top-ranked EMCR-led project will be funded).</w:t>
            </w:r>
          </w:p>
          <w:p w14:paraId="018D9D5C" w14:textId="0141FE87" w:rsidR="002B1882" w:rsidRPr="0081109B" w:rsidRDefault="002B1882" w:rsidP="002C09C8">
            <w:r w:rsidRPr="002B1882">
              <w:t>A large-scale multidisciplinary project</w:t>
            </w:r>
            <w:r w:rsidR="00933F86">
              <w:rPr>
                <w:rStyle w:val="FootnoteReference"/>
              </w:rPr>
              <w:footnoteReference w:id="4"/>
            </w:r>
            <w:r w:rsidRPr="002B1882">
              <w:t xml:space="preserve"> conducted in partnership with priority population groups to identify structural inequalities as well as individual mental health challenges leading to poor mental health, and then develop collective strategies to improve the mental health of these communities.</w:t>
            </w:r>
          </w:p>
        </w:tc>
      </w:tr>
    </w:tbl>
    <w:p w14:paraId="2EF473E5" w14:textId="77777777" w:rsidR="00A80C04" w:rsidRDefault="00A80C04">
      <w:r>
        <w:br w:type="page"/>
      </w:r>
    </w:p>
    <w:tbl>
      <w:tblPr>
        <w:tblStyle w:val="TableGrid"/>
        <w:tblW w:w="0" w:type="auto"/>
        <w:tblLook w:val="04A0" w:firstRow="1" w:lastRow="0" w:firstColumn="1" w:lastColumn="0" w:noHBand="0" w:noVBand="1"/>
      </w:tblPr>
      <w:tblGrid>
        <w:gridCol w:w="2547"/>
        <w:gridCol w:w="6469"/>
      </w:tblGrid>
      <w:tr w:rsidR="008F2B31" w14:paraId="64E1A197" w14:textId="77777777" w:rsidTr="005C4C63">
        <w:tc>
          <w:tcPr>
            <w:tcW w:w="2547" w:type="dxa"/>
          </w:tcPr>
          <w:p w14:paraId="4855B0FD" w14:textId="3A99879D" w:rsidR="008F2B31" w:rsidRDefault="00807F6F" w:rsidP="007712FC">
            <w:pPr>
              <w:pStyle w:val="TableText"/>
              <w:keepNext w:val="0"/>
            </w:pPr>
            <w:r w:rsidRPr="00807F6F">
              <w:rPr>
                <w:color w:val="495F7A"/>
              </w:rPr>
              <w:lastRenderedPageBreak/>
              <w:t>long term</w:t>
            </w:r>
            <w:r>
              <w:t xml:space="preserve"> (6–10 years)</w:t>
            </w:r>
          </w:p>
        </w:tc>
        <w:tc>
          <w:tcPr>
            <w:tcW w:w="6469" w:type="dxa"/>
          </w:tcPr>
          <w:p w14:paraId="1A6F7CC3" w14:textId="41853339" w:rsidR="008F2B31" w:rsidRDefault="002B1882" w:rsidP="002C09C8">
            <w:r w:rsidRPr="002B1882">
              <w:t>Establish a bold and innovative national consortium</w:t>
            </w:r>
            <w:r w:rsidR="00A80C04">
              <w:rPr>
                <w:rStyle w:val="FootnoteReference"/>
              </w:rPr>
              <w:footnoteReference w:id="5"/>
            </w:r>
            <w:r w:rsidRPr="002B1882">
              <w:t xml:space="preserve"> involving multi-institutional collaborations, and encompassing multiple geographies and demographics, consisting of multidisciplinary and interdisciplinary teams combining treatment and public health perspectives that will, through a coherent strategy:</w:t>
            </w:r>
          </w:p>
          <w:p w14:paraId="50C9DEF7" w14:textId="77777777" w:rsidR="002B1882" w:rsidRDefault="002B1882" w:rsidP="002C09C8">
            <w:pPr>
              <w:pStyle w:val="ListParagraph"/>
              <w:numPr>
                <w:ilvl w:val="0"/>
                <w:numId w:val="33"/>
              </w:numPr>
            </w:pPr>
            <w:r w:rsidRPr="002B1882">
              <w:t xml:space="preserve">improve the understanding of the mechanisms underpinning effective mental health interventions and then develop new and improved early interventions, </w:t>
            </w:r>
            <w:r w:rsidRPr="002C09C8">
              <w:rPr>
                <w:b/>
                <w:bCs/>
              </w:rPr>
              <w:t>and</w:t>
            </w:r>
          </w:p>
          <w:p w14:paraId="45B7B0F2" w14:textId="330B3A57" w:rsidR="002B1882" w:rsidRDefault="002B1882" w:rsidP="002C09C8">
            <w:pPr>
              <w:pStyle w:val="ListParagraph"/>
              <w:numPr>
                <w:ilvl w:val="0"/>
                <w:numId w:val="33"/>
              </w:numPr>
            </w:pPr>
            <w:r w:rsidRPr="002B1882">
              <w:t>improve the understanding of protective factors that reduce the negative impact on mental health from shifts in society and how best to strengthen these in the population</w:t>
            </w:r>
          </w:p>
          <w:p w14:paraId="1A73BB35" w14:textId="226511FB" w:rsidR="002B1882" w:rsidRDefault="002B1882" w:rsidP="0081109B">
            <w:pPr>
              <w:pStyle w:val="TableText"/>
            </w:pPr>
          </w:p>
        </w:tc>
      </w:tr>
    </w:tbl>
    <w:p w14:paraId="1AEFE20D" w14:textId="77777777" w:rsidR="00A80C04" w:rsidRDefault="00A80C04" w:rsidP="007869BD">
      <w:pPr>
        <w:pStyle w:val="Heading1"/>
        <w:ind w:left="0" w:firstLine="0"/>
        <w:rPr>
          <w:rFonts w:ascii="Franklin Gothic Medium" w:hAnsi="Franklin Gothic Medium"/>
          <w:b w:val="0"/>
          <w:bCs w:val="0"/>
          <w:color w:val="495F7A"/>
        </w:rPr>
      </w:pPr>
    </w:p>
    <w:p w14:paraId="7E81850D" w14:textId="77777777" w:rsidR="00A80C04" w:rsidRDefault="00A80C04">
      <w:pPr>
        <w:spacing w:after="0"/>
        <w:rPr>
          <w:rFonts w:ascii="Franklin Gothic Medium" w:hAnsi="Franklin Gothic Medium" w:cs="Arial"/>
          <w:color w:val="495F7A"/>
          <w:kern w:val="32"/>
          <w:sz w:val="40"/>
          <w:szCs w:val="32"/>
        </w:rPr>
      </w:pPr>
      <w:r>
        <w:rPr>
          <w:rFonts w:ascii="Franklin Gothic Medium" w:hAnsi="Franklin Gothic Medium"/>
          <w:b/>
          <w:bCs/>
          <w:color w:val="495F7A"/>
        </w:rPr>
        <w:br w:type="page"/>
      </w:r>
    </w:p>
    <w:p w14:paraId="66277D32" w14:textId="7FBFDCAB" w:rsidR="007869BD" w:rsidRPr="002B1882" w:rsidRDefault="007869BD" w:rsidP="007869BD">
      <w:pPr>
        <w:pStyle w:val="Heading1"/>
        <w:ind w:left="0" w:firstLine="0"/>
        <w:rPr>
          <w:rFonts w:ascii="Franklin Gothic Medium" w:hAnsi="Franklin Gothic Medium"/>
          <w:b w:val="0"/>
          <w:bCs w:val="0"/>
          <w:color w:val="495F7A"/>
        </w:rPr>
      </w:pPr>
      <w:r w:rsidRPr="002B1882">
        <w:rPr>
          <w:rFonts w:ascii="Franklin Gothic Medium" w:hAnsi="Franklin Gothic Medium"/>
          <w:b w:val="0"/>
          <w:bCs w:val="0"/>
          <w:color w:val="495F7A"/>
        </w:rPr>
        <w:lastRenderedPageBreak/>
        <w:t xml:space="preserve">Aim 2: </w:t>
      </w:r>
      <w:r w:rsidR="00720928" w:rsidRPr="00720928">
        <w:rPr>
          <w:rFonts w:ascii="Franklin Gothic Medium" w:hAnsi="Franklin Gothic Medium"/>
          <w:b w:val="0"/>
          <w:bCs w:val="0"/>
          <w:color w:val="495F7A"/>
        </w:rPr>
        <w:t>Ensuring population wellbeing in the face of critical and emerging challenges</w:t>
      </w:r>
    </w:p>
    <w:p w14:paraId="1B5CA91C" w14:textId="42BB54A9" w:rsidR="007869BD" w:rsidRPr="005C4C63" w:rsidRDefault="00B30207" w:rsidP="007869BD">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2.1</w:t>
      </w:r>
    </w:p>
    <w:p w14:paraId="4BEB4E91" w14:textId="77777777" w:rsidR="00720928" w:rsidRDefault="00720928" w:rsidP="002C09C8">
      <w:pPr>
        <w:rPr>
          <w:b/>
          <w:bCs/>
          <w:iCs/>
        </w:rPr>
      </w:pPr>
      <w:r w:rsidRPr="00720928">
        <w:t>Understanding and responding to the emerging challenges for people</w:t>
      </w:r>
    </w:p>
    <w:p w14:paraId="717CE73E" w14:textId="76DB08BE" w:rsidR="000D7315" w:rsidRPr="005C4C63" w:rsidRDefault="000D7315" w:rsidP="000D7315">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w:t>
      </w:r>
      <w:r>
        <w:rPr>
          <w:rFonts w:ascii="Franklin Gothic Medium" w:hAnsi="Franklin Gothic Medium"/>
          <w:b w:val="0"/>
          <w:bCs w:val="0"/>
          <w:color w:val="495F7A"/>
        </w:rPr>
        <w:t>2</w:t>
      </w:r>
    </w:p>
    <w:p w14:paraId="76929C23" w14:textId="122A5BC6" w:rsidR="000D7315" w:rsidRPr="00720928" w:rsidRDefault="00720928" w:rsidP="002C09C8">
      <w:pPr>
        <w:rPr>
          <w:b/>
          <w:bCs/>
          <w:iCs/>
        </w:rPr>
      </w:pPr>
      <w:r w:rsidRPr="00720928">
        <w:t>Addressing critical mental health challenges</w:t>
      </w:r>
    </w:p>
    <w:tbl>
      <w:tblPr>
        <w:tblStyle w:val="TableGrid"/>
        <w:tblW w:w="0" w:type="auto"/>
        <w:tblLook w:val="04A0" w:firstRow="1" w:lastRow="0" w:firstColumn="1" w:lastColumn="0" w:noHBand="0" w:noVBand="1"/>
      </w:tblPr>
      <w:tblGrid>
        <w:gridCol w:w="2547"/>
        <w:gridCol w:w="6469"/>
      </w:tblGrid>
      <w:tr w:rsidR="000D7315" w14:paraId="1A31A6F0" w14:textId="77777777" w:rsidTr="0076428E">
        <w:trPr>
          <w:tblHeader/>
        </w:trPr>
        <w:tc>
          <w:tcPr>
            <w:tcW w:w="2547" w:type="dxa"/>
          </w:tcPr>
          <w:p w14:paraId="49A8EC8C" w14:textId="77777777" w:rsidR="000D7315" w:rsidRPr="00807F6F" w:rsidRDefault="000D7315" w:rsidP="0076428E">
            <w:pPr>
              <w:pStyle w:val="TableHeading"/>
              <w:keepNext w:val="0"/>
              <w:rPr>
                <w:color w:val="495F7A"/>
              </w:rPr>
            </w:pPr>
            <w:r w:rsidRPr="00807F6F">
              <w:rPr>
                <w:color w:val="495F7A"/>
              </w:rPr>
              <w:t>Research to begin in the ...</w:t>
            </w:r>
          </w:p>
        </w:tc>
        <w:tc>
          <w:tcPr>
            <w:tcW w:w="6469" w:type="dxa"/>
          </w:tcPr>
          <w:p w14:paraId="70878622" w14:textId="77777777" w:rsidR="000D7315" w:rsidRPr="00807F6F" w:rsidRDefault="000D7315" w:rsidP="0076428E">
            <w:pPr>
              <w:pStyle w:val="TableHeading"/>
              <w:keepNext w:val="0"/>
              <w:rPr>
                <w:color w:val="495F7A"/>
              </w:rPr>
            </w:pPr>
            <w:r w:rsidRPr="00807F6F">
              <w:rPr>
                <w:color w:val="495F7A"/>
              </w:rPr>
              <w:t>Priorities for investment (research questions and objectives)</w:t>
            </w:r>
          </w:p>
        </w:tc>
      </w:tr>
      <w:tr w:rsidR="000D7315" w14:paraId="5FFA4DD6" w14:textId="77777777" w:rsidTr="0076428E">
        <w:tc>
          <w:tcPr>
            <w:tcW w:w="2547" w:type="dxa"/>
          </w:tcPr>
          <w:p w14:paraId="7DDDFDE8" w14:textId="77777777" w:rsidR="000D7315" w:rsidRDefault="000D7315" w:rsidP="0076428E">
            <w:pPr>
              <w:pStyle w:val="TableText"/>
              <w:keepNext w:val="0"/>
            </w:pPr>
            <w:r w:rsidRPr="00807F6F">
              <w:rPr>
                <w:color w:val="495F7A"/>
              </w:rPr>
              <w:t>short term</w:t>
            </w:r>
            <w:r>
              <w:t xml:space="preserve"> (1–2 years)</w:t>
            </w:r>
          </w:p>
        </w:tc>
        <w:tc>
          <w:tcPr>
            <w:tcW w:w="6469" w:type="dxa"/>
          </w:tcPr>
          <w:p w14:paraId="5BD39B51" w14:textId="7369BC00" w:rsidR="000D7315" w:rsidRPr="0081109B" w:rsidRDefault="00720928" w:rsidP="00720928">
            <w:pPr>
              <w:pStyle w:val="TableBullet"/>
              <w:numPr>
                <w:ilvl w:val="0"/>
                <w:numId w:val="0"/>
              </w:numPr>
              <w:ind w:left="216" w:hanging="216"/>
            </w:pPr>
            <w:r>
              <w:t>Refer to Appendix A</w:t>
            </w:r>
          </w:p>
        </w:tc>
      </w:tr>
      <w:tr w:rsidR="000D7315" w14:paraId="12B1FCFF" w14:textId="77777777" w:rsidTr="0076428E">
        <w:tc>
          <w:tcPr>
            <w:tcW w:w="2547" w:type="dxa"/>
          </w:tcPr>
          <w:p w14:paraId="2088FBA9" w14:textId="5A08BF95" w:rsidR="000D7315" w:rsidRDefault="000D7315" w:rsidP="0076428E">
            <w:pPr>
              <w:pStyle w:val="TableText"/>
              <w:keepNext w:val="0"/>
            </w:pPr>
            <w:r w:rsidRPr="00807F6F">
              <w:rPr>
                <w:color w:val="495F7A"/>
              </w:rPr>
              <w:t>medium term</w:t>
            </w:r>
            <w:r>
              <w:t xml:space="preserve"> (2–</w:t>
            </w:r>
            <w:r w:rsidR="00720928">
              <w:t>6</w:t>
            </w:r>
            <w:r>
              <w:t> years)</w:t>
            </w:r>
          </w:p>
        </w:tc>
        <w:tc>
          <w:tcPr>
            <w:tcW w:w="6469" w:type="dxa"/>
          </w:tcPr>
          <w:p w14:paraId="1BF08B14" w14:textId="6D8E39E0" w:rsidR="00720928" w:rsidRDefault="00720928" w:rsidP="002C09C8">
            <w:r w:rsidRPr="00720928">
              <w:t>Small-scale developmental projects (</w:t>
            </w:r>
            <w:hyperlink r:id="rId18" w:history="1">
              <w:r w:rsidRPr="00A464CA">
                <w:rPr>
                  <w:rStyle w:val="Hyperlink"/>
                </w:rPr>
                <w:t>Incubator Grants</w:t>
              </w:r>
            </w:hyperlink>
            <w:r w:rsidRPr="00720928">
              <w:t>) to improve (for each of these priorities, the top-ranked project and the top-ranked EMCR-led</w:t>
            </w:r>
            <w:r w:rsidR="00A80C04">
              <w:rPr>
                <w:rStyle w:val="FootnoteReference"/>
              </w:rPr>
              <w:footnoteReference w:id="6"/>
            </w:r>
            <w:r w:rsidRPr="00720928">
              <w:t xml:space="preserve"> project will be funded):</w:t>
            </w:r>
          </w:p>
          <w:p w14:paraId="73AB8D1F" w14:textId="496DFF86" w:rsidR="00720928" w:rsidRPr="00720928" w:rsidRDefault="00720928" w:rsidP="002C09C8">
            <w:pPr>
              <w:pStyle w:val="ListParagraph"/>
              <w:numPr>
                <w:ilvl w:val="0"/>
                <w:numId w:val="34"/>
              </w:numPr>
            </w:pPr>
            <w:r w:rsidRPr="002C09C8">
              <w:rPr>
                <w:rFonts w:cs="FranklinGothicURWBoo"/>
                <w:szCs w:val="22"/>
              </w:rPr>
              <w:t>environmental threats (such as bushfires, floods, effects of climate change and others)</w:t>
            </w:r>
          </w:p>
          <w:p w14:paraId="39DBF80C" w14:textId="05A0F8F5" w:rsidR="00720928" w:rsidRPr="002C09C8" w:rsidRDefault="00720928" w:rsidP="002C09C8">
            <w:pPr>
              <w:pStyle w:val="ListParagraph"/>
              <w:numPr>
                <w:ilvl w:val="0"/>
                <w:numId w:val="34"/>
              </w:numPr>
            </w:pPr>
            <w:r w:rsidRPr="002C09C8">
              <w:rPr>
                <w:szCs w:val="22"/>
              </w:rPr>
              <w:t>the COVID-19 pandemic including long COVID</w:t>
            </w:r>
          </w:p>
          <w:p w14:paraId="460D98F6" w14:textId="2D1D1B50" w:rsidR="00720928" w:rsidRPr="000D7315" w:rsidRDefault="0078500C" w:rsidP="002C09C8">
            <w:r w:rsidRPr="0078500C">
              <w:t>A large-scale multidisciplinary project</w:t>
            </w:r>
            <w:r w:rsidR="00A80C04">
              <w:rPr>
                <w:rStyle w:val="FootnoteReference"/>
              </w:rPr>
              <w:footnoteReference w:id="7"/>
            </w:r>
            <w:r w:rsidRPr="0078500C">
              <w:t xml:space="preserve"> to build knowledge of the factors that protect the mental wellbeing of individuals and communities from environmental threats and/or the COVID-19 pandemic, how these vary between communities, and how to foster these in communities through community-based leadership.</w:t>
            </w:r>
          </w:p>
        </w:tc>
      </w:tr>
    </w:tbl>
    <w:p w14:paraId="593F2A17" w14:textId="77777777" w:rsidR="00A80C04" w:rsidRDefault="00A80C04">
      <w:r>
        <w:br w:type="page"/>
      </w:r>
    </w:p>
    <w:tbl>
      <w:tblPr>
        <w:tblStyle w:val="TableGrid"/>
        <w:tblW w:w="0" w:type="auto"/>
        <w:tblLook w:val="04A0" w:firstRow="1" w:lastRow="0" w:firstColumn="1" w:lastColumn="0" w:noHBand="0" w:noVBand="1"/>
      </w:tblPr>
      <w:tblGrid>
        <w:gridCol w:w="2547"/>
        <w:gridCol w:w="6469"/>
      </w:tblGrid>
      <w:tr w:rsidR="000D7315" w14:paraId="3A10F4F2" w14:textId="77777777" w:rsidTr="0076428E">
        <w:tc>
          <w:tcPr>
            <w:tcW w:w="2547" w:type="dxa"/>
          </w:tcPr>
          <w:p w14:paraId="51437E21" w14:textId="5688CD77" w:rsidR="000D7315" w:rsidRDefault="000D7315" w:rsidP="0076428E">
            <w:pPr>
              <w:pStyle w:val="TableText"/>
              <w:keepNext w:val="0"/>
            </w:pPr>
            <w:r w:rsidRPr="00807F6F">
              <w:rPr>
                <w:color w:val="495F7A"/>
              </w:rPr>
              <w:lastRenderedPageBreak/>
              <w:t>long term</w:t>
            </w:r>
            <w:r>
              <w:t xml:space="preserve"> (6–10 years)</w:t>
            </w:r>
          </w:p>
        </w:tc>
        <w:tc>
          <w:tcPr>
            <w:tcW w:w="6469" w:type="dxa"/>
          </w:tcPr>
          <w:p w14:paraId="13EF1BFC" w14:textId="2D2CF3BC" w:rsidR="0078500C" w:rsidRDefault="00720928" w:rsidP="002C09C8">
            <w:r w:rsidRPr="00720928">
              <w:t>Small-scale developmental projects (</w:t>
            </w:r>
            <w:hyperlink r:id="rId19" w:history="1">
              <w:r w:rsidRPr="00A464CA">
                <w:rPr>
                  <w:rStyle w:val="Hyperlink"/>
                </w:rPr>
                <w:t>Incubator Grants</w:t>
              </w:r>
            </w:hyperlink>
            <w:r w:rsidRPr="00720928">
              <w:t>) to improve (for each of these priorities, the top-ranked project and the top-ranked EMCR-led</w:t>
            </w:r>
            <w:r w:rsidR="001D6ECE">
              <w:rPr>
                <w:rStyle w:val="FootnoteReference"/>
              </w:rPr>
              <w:footnoteReference w:id="8"/>
            </w:r>
            <w:r w:rsidRPr="00720928">
              <w:t xml:space="preserve"> project will be funded):</w:t>
            </w:r>
          </w:p>
          <w:p w14:paraId="5E1DA173" w14:textId="77777777" w:rsidR="0078500C" w:rsidRDefault="0078500C" w:rsidP="002C09C8">
            <w:pPr>
              <w:pStyle w:val="ListParagraph"/>
              <w:numPr>
                <w:ilvl w:val="0"/>
                <w:numId w:val="36"/>
              </w:numPr>
            </w:pPr>
            <w:r w:rsidRPr="0078500C">
              <w:t>the early detection and response to new trends of substance use</w:t>
            </w:r>
          </w:p>
          <w:p w14:paraId="01615B1B" w14:textId="77777777" w:rsidR="0078500C" w:rsidRDefault="0078500C" w:rsidP="002C09C8">
            <w:pPr>
              <w:pStyle w:val="ListParagraph"/>
              <w:numPr>
                <w:ilvl w:val="0"/>
                <w:numId w:val="36"/>
              </w:numPr>
            </w:pPr>
            <w:r w:rsidRPr="0078500C">
              <w:t>the understanding of, and how to address the rise of, anxiety disorders in children and young Australians (0 to 25 years)</w:t>
            </w:r>
          </w:p>
          <w:p w14:paraId="553F2A95" w14:textId="77777777" w:rsidR="0078500C" w:rsidRDefault="0078500C" w:rsidP="002C09C8">
            <w:pPr>
              <w:pStyle w:val="ListParagraph"/>
              <w:numPr>
                <w:ilvl w:val="0"/>
                <w:numId w:val="36"/>
              </w:numPr>
            </w:pPr>
            <w:r w:rsidRPr="0078500C">
              <w:t>the understanding of, and how to address the rise of, depression in children and young Australians (0 to 25 years)</w:t>
            </w:r>
          </w:p>
          <w:p w14:paraId="11F61D5E" w14:textId="4D2158E1" w:rsidR="0078500C" w:rsidRDefault="0078500C" w:rsidP="002C09C8">
            <w:pPr>
              <w:pStyle w:val="ListParagraph"/>
              <w:numPr>
                <w:ilvl w:val="0"/>
                <w:numId w:val="36"/>
              </w:numPr>
            </w:pPr>
            <w:r w:rsidRPr="0078500C">
              <w:t>the understanding of, and how to address the rise of, self-harm in children and young Australians (0 to 25 years)</w:t>
            </w:r>
          </w:p>
          <w:p w14:paraId="254A9A5F" w14:textId="6A624269" w:rsidR="0078500C" w:rsidRPr="000D7315" w:rsidRDefault="0078500C" w:rsidP="002C09C8">
            <w:r w:rsidRPr="0078500C">
              <w:t>Establish a national consortium</w:t>
            </w:r>
            <w:r w:rsidR="001D6ECE">
              <w:rPr>
                <w:rStyle w:val="FootnoteReference"/>
              </w:rPr>
              <w:footnoteReference w:id="9"/>
            </w:r>
            <w:r w:rsidRPr="0078500C">
              <w:t xml:space="preserve"> that partners with service providers and people with lived experience, and encompasses multiple geographies and demographics, to develop preventions, interventions, treatments, and models of care, based on the findings from existing epidemiological research.</w:t>
            </w:r>
          </w:p>
        </w:tc>
      </w:tr>
    </w:tbl>
    <w:p w14:paraId="6EB18A2C" w14:textId="727447D3" w:rsidR="00B30207" w:rsidRDefault="00B30207" w:rsidP="00B30207">
      <w:pPr>
        <w:pStyle w:val="TFIHolderSpace"/>
      </w:pPr>
    </w:p>
    <w:p w14:paraId="69DB780D" w14:textId="77777777" w:rsidR="00A80C04" w:rsidRDefault="00A80C04">
      <w:pPr>
        <w:spacing w:after="0"/>
        <w:rPr>
          <w:rFonts w:ascii="Franklin Gothic Medium" w:hAnsi="Franklin Gothic Medium" w:cs="Arial"/>
          <w:color w:val="49557D"/>
          <w:kern w:val="32"/>
          <w:sz w:val="40"/>
          <w:szCs w:val="32"/>
        </w:rPr>
      </w:pPr>
      <w:bookmarkStart w:id="4" w:name="Heading_1"/>
      <w:bookmarkEnd w:id="4"/>
      <w:r>
        <w:rPr>
          <w:rFonts w:ascii="Franklin Gothic Medium" w:hAnsi="Franklin Gothic Medium"/>
          <w:b/>
          <w:bCs/>
          <w:color w:val="49557D"/>
        </w:rPr>
        <w:br w:type="page"/>
      </w:r>
    </w:p>
    <w:p w14:paraId="26139046" w14:textId="673EA8B8" w:rsidR="009710BB" w:rsidRPr="0078500C" w:rsidRDefault="009710BB" w:rsidP="009710BB">
      <w:pPr>
        <w:pStyle w:val="Heading1"/>
        <w:ind w:left="0" w:firstLine="0"/>
        <w:rPr>
          <w:rFonts w:ascii="Franklin Gothic Medium" w:hAnsi="Franklin Gothic Medium"/>
          <w:b w:val="0"/>
          <w:bCs w:val="0"/>
          <w:color w:val="49557D"/>
        </w:rPr>
      </w:pPr>
      <w:r w:rsidRPr="0078500C">
        <w:rPr>
          <w:rFonts w:ascii="Franklin Gothic Medium" w:hAnsi="Franklin Gothic Medium"/>
          <w:b w:val="0"/>
          <w:bCs w:val="0"/>
          <w:color w:val="49557D"/>
        </w:rPr>
        <w:lastRenderedPageBreak/>
        <w:t xml:space="preserve">Aim 3: </w:t>
      </w:r>
      <w:r w:rsidR="00A464CA" w:rsidRPr="00A464CA">
        <w:rPr>
          <w:rFonts w:ascii="Franklin Gothic Medium" w:hAnsi="Franklin Gothic Medium"/>
          <w:b w:val="0"/>
          <w:bCs w:val="0"/>
          <w:color w:val="49557D"/>
        </w:rPr>
        <w:t>Timely access to evidence-based treatment and prevention</w:t>
      </w:r>
    </w:p>
    <w:p w14:paraId="3E9E86D1" w14:textId="3B59872C" w:rsidR="009710BB" w:rsidRPr="005C4C63" w:rsidRDefault="009710BB" w:rsidP="009710B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3.1</w:t>
      </w:r>
    </w:p>
    <w:p w14:paraId="7CAE8444" w14:textId="77777777" w:rsidR="0078500C" w:rsidRDefault="0078500C" w:rsidP="002C09C8">
      <w:pPr>
        <w:rPr>
          <w:b/>
          <w:bCs/>
          <w:iCs/>
        </w:rPr>
      </w:pPr>
      <w:r w:rsidRPr="0078500C">
        <w:t>Improving access to, and delivery of, evidence-based treatment and prevention</w:t>
      </w:r>
    </w:p>
    <w:p w14:paraId="4B68F10A" w14:textId="67F6A897" w:rsidR="00C6772E" w:rsidRPr="005C4C63" w:rsidRDefault="00C6772E" w:rsidP="00C6772E">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3.2</w:t>
      </w:r>
    </w:p>
    <w:p w14:paraId="6357D342" w14:textId="5598AE4E" w:rsidR="00C6772E" w:rsidRDefault="0078500C" w:rsidP="00C6772E">
      <w:r w:rsidRPr="0078500C">
        <w:t>Creating innovative treatments and preventions</w:t>
      </w:r>
    </w:p>
    <w:tbl>
      <w:tblPr>
        <w:tblStyle w:val="TableGrid"/>
        <w:tblW w:w="0" w:type="auto"/>
        <w:tblLook w:val="04A0" w:firstRow="1" w:lastRow="0" w:firstColumn="1" w:lastColumn="0" w:noHBand="0" w:noVBand="1"/>
      </w:tblPr>
      <w:tblGrid>
        <w:gridCol w:w="2547"/>
        <w:gridCol w:w="6469"/>
      </w:tblGrid>
      <w:tr w:rsidR="000D7315" w14:paraId="68ED5327" w14:textId="77777777" w:rsidTr="0076428E">
        <w:trPr>
          <w:tblHeader/>
        </w:trPr>
        <w:tc>
          <w:tcPr>
            <w:tcW w:w="2547" w:type="dxa"/>
          </w:tcPr>
          <w:p w14:paraId="3A97AE22" w14:textId="77777777" w:rsidR="000D7315" w:rsidRPr="00807F6F" w:rsidRDefault="000D7315" w:rsidP="0076428E">
            <w:pPr>
              <w:pStyle w:val="TableHeading"/>
              <w:keepNext w:val="0"/>
              <w:rPr>
                <w:color w:val="495F7A"/>
              </w:rPr>
            </w:pPr>
            <w:r w:rsidRPr="00807F6F">
              <w:rPr>
                <w:color w:val="495F7A"/>
              </w:rPr>
              <w:t>Research to begin in the ...</w:t>
            </w:r>
          </w:p>
        </w:tc>
        <w:tc>
          <w:tcPr>
            <w:tcW w:w="6469" w:type="dxa"/>
          </w:tcPr>
          <w:p w14:paraId="68002737" w14:textId="77777777" w:rsidR="000D7315" w:rsidRPr="00807F6F" w:rsidRDefault="000D7315" w:rsidP="0076428E">
            <w:pPr>
              <w:pStyle w:val="TableHeading"/>
              <w:keepNext w:val="0"/>
              <w:rPr>
                <w:color w:val="495F7A"/>
              </w:rPr>
            </w:pPr>
            <w:r w:rsidRPr="00807F6F">
              <w:rPr>
                <w:color w:val="495F7A"/>
              </w:rPr>
              <w:t>Priorities for investment (research questions and objectives)</w:t>
            </w:r>
          </w:p>
        </w:tc>
      </w:tr>
      <w:tr w:rsidR="000D7315" w14:paraId="1360E05F" w14:textId="77777777" w:rsidTr="0076428E">
        <w:tc>
          <w:tcPr>
            <w:tcW w:w="2547" w:type="dxa"/>
          </w:tcPr>
          <w:p w14:paraId="739BE7C4" w14:textId="77777777" w:rsidR="000D7315" w:rsidRDefault="000D7315" w:rsidP="0076428E">
            <w:pPr>
              <w:pStyle w:val="TableText"/>
              <w:keepNext w:val="0"/>
            </w:pPr>
            <w:r w:rsidRPr="00807F6F">
              <w:rPr>
                <w:color w:val="495F7A"/>
              </w:rPr>
              <w:t>short term</w:t>
            </w:r>
            <w:r>
              <w:t xml:space="preserve"> (1–2 years)</w:t>
            </w:r>
          </w:p>
        </w:tc>
        <w:tc>
          <w:tcPr>
            <w:tcW w:w="6469" w:type="dxa"/>
          </w:tcPr>
          <w:p w14:paraId="102C6D11" w14:textId="7A1AB4A8" w:rsidR="000D7315" w:rsidRPr="0081109B" w:rsidRDefault="0078500C" w:rsidP="002C09C8">
            <w:r>
              <w:t>Refer to Appendix A</w:t>
            </w:r>
          </w:p>
        </w:tc>
      </w:tr>
      <w:tr w:rsidR="000D7315" w14:paraId="36C616F9" w14:textId="77777777" w:rsidTr="0076428E">
        <w:tc>
          <w:tcPr>
            <w:tcW w:w="2547" w:type="dxa"/>
          </w:tcPr>
          <w:p w14:paraId="068C6306" w14:textId="00DFE631" w:rsidR="000D7315" w:rsidRDefault="000D7315" w:rsidP="0076428E">
            <w:pPr>
              <w:pStyle w:val="TableText"/>
              <w:keepNext w:val="0"/>
            </w:pPr>
            <w:r w:rsidRPr="00807F6F">
              <w:rPr>
                <w:color w:val="495F7A"/>
              </w:rPr>
              <w:t>medium term</w:t>
            </w:r>
            <w:r>
              <w:t xml:space="preserve"> (2–</w:t>
            </w:r>
            <w:r w:rsidR="0078500C">
              <w:t>6</w:t>
            </w:r>
            <w:r>
              <w:t> years)</w:t>
            </w:r>
          </w:p>
        </w:tc>
        <w:tc>
          <w:tcPr>
            <w:tcW w:w="6469" w:type="dxa"/>
          </w:tcPr>
          <w:p w14:paraId="24A7070C" w14:textId="280F5137" w:rsidR="000D7315" w:rsidRPr="000D7315" w:rsidRDefault="0078500C" w:rsidP="002C09C8">
            <w:r w:rsidRPr="0078500C">
              <w:t>Small-scale developmental projects (</w:t>
            </w:r>
            <w:hyperlink r:id="rId20" w:history="1">
              <w:r w:rsidRPr="00A464CA">
                <w:rPr>
                  <w:rStyle w:val="Hyperlink"/>
                </w:rPr>
                <w:t>Incubator Grants</w:t>
              </w:r>
            </w:hyperlink>
            <w:r w:rsidRPr="0078500C">
              <w:t>) to improve capability in, and develop new models of care for, rural and remote settings or other under-researched settings (the top-ranked project and the top-ranked EMCR-led</w:t>
            </w:r>
            <w:r w:rsidR="001D6ECE">
              <w:rPr>
                <w:rStyle w:val="FootnoteReference"/>
              </w:rPr>
              <w:footnoteReference w:id="10"/>
            </w:r>
            <w:r w:rsidRPr="0078500C">
              <w:t xml:space="preserve"> project will be funded).</w:t>
            </w:r>
          </w:p>
        </w:tc>
      </w:tr>
      <w:tr w:rsidR="000D7315" w14:paraId="2D2F62A1" w14:textId="77777777" w:rsidTr="0076428E">
        <w:tc>
          <w:tcPr>
            <w:tcW w:w="2547" w:type="dxa"/>
          </w:tcPr>
          <w:p w14:paraId="686C3076" w14:textId="77777777" w:rsidR="000D7315" w:rsidRDefault="000D7315" w:rsidP="0076428E">
            <w:pPr>
              <w:pStyle w:val="TableText"/>
              <w:keepNext w:val="0"/>
            </w:pPr>
            <w:r w:rsidRPr="00807F6F">
              <w:rPr>
                <w:color w:val="495F7A"/>
              </w:rPr>
              <w:t>long term</w:t>
            </w:r>
            <w:r>
              <w:t xml:space="preserve"> (6–10 years)</w:t>
            </w:r>
          </w:p>
        </w:tc>
        <w:tc>
          <w:tcPr>
            <w:tcW w:w="6469" w:type="dxa"/>
          </w:tcPr>
          <w:p w14:paraId="2498BF6B" w14:textId="708D5195" w:rsidR="0078500C" w:rsidRDefault="0078500C" w:rsidP="002C09C8">
            <w:r w:rsidRPr="0078500C">
              <w:t>Small-scale developmental projects (</w:t>
            </w:r>
            <w:hyperlink r:id="rId21" w:history="1">
              <w:r w:rsidRPr="00A464CA">
                <w:rPr>
                  <w:rStyle w:val="Hyperlink"/>
                </w:rPr>
                <w:t>Incubator Grants</w:t>
              </w:r>
            </w:hyperlink>
            <w:r w:rsidRPr="0078500C">
              <w:t>) to improve understanding of the key components of (for each of these priorities, the top-ranked project and the top-ranked EMCR-led</w:t>
            </w:r>
            <w:r w:rsidR="001D6ECE">
              <w:rPr>
                <w:vertAlign w:val="superscript"/>
              </w:rPr>
              <w:t>10</w:t>
            </w:r>
            <w:r w:rsidRPr="0078500C">
              <w:t xml:space="preserve"> project will be funded):</w:t>
            </w:r>
          </w:p>
          <w:p w14:paraId="21A8CBF4" w14:textId="4D279F8D" w:rsidR="0078500C" w:rsidRDefault="0078500C" w:rsidP="002C09C8">
            <w:pPr>
              <w:pStyle w:val="ListParagraph"/>
              <w:numPr>
                <w:ilvl w:val="0"/>
                <w:numId w:val="37"/>
              </w:numPr>
            </w:pPr>
            <w:r w:rsidRPr="0078500C">
              <w:t>high-quality mental health care and how these components can be incorporated into optimal personalised care for individuals</w:t>
            </w:r>
          </w:p>
          <w:p w14:paraId="3C043841" w14:textId="61589048" w:rsidR="0078500C" w:rsidRDefault="0078500C" w:rsidP="002C09C8">
            <w:pPr>
              <w:pStyle w:val="ListParagraph"/>
              <w:numPr>
                <w:ilvl w:val="0"/>
                <w:numId w:val="37"/>
              </w:numPr>
            </w:pPr>
            <w:r w:rsidRPr="0078500C">
              <w:t>high-quality prevention strategies</w:t>
            </w:r>
          </w:p>
          <w:p w14:paraId="198C0F30" w14:textId="62133986" w:rsidR="000D7315" w:rsidRPr="000D7315" w:rsidRDefault="0078500C" w:rsidP="002C09C8">
            <w:r w:rsidRPr="0078500C">
              <w:t>Mid-Career Researcher (MCR)-led</w:t>
            </w:r>
            <w:r w:rsidR="001D6ECE">
              <w:rPr>
                <w:rStyle w:val="FootnoteReference"/>
              </w:rPr>
              <w:footnoteReference w:id="11"/>
            </w:r>
            <w:r w:rsidRPr="0078500C">
              <w:t xml:space="preserve"> large-scale implementation research projects</w:t>
            </w:r>
            <w:r w:rsidR="001D6ECE">
              <w:rPr>
                <w:rStyle w:val="FootnoteReference"/>
              </w:rPr>
              <w:footnoteReference w:id="12"/>
            </w:r>
            <w:r w:rsidRPr="0078500C">
              <w:t xml:space="preserve"> involving multi-institutional collaborations consisting of multidisciplinary and interdisciplinary teams to bring into practice new evidence-based preventions, interventions, models of care and improvements to workforce capability.</w:t>
            </w:r>
          </w:p>
        </w:tc>
      </w:tr>
    </w:tbl>
    <w:p w14:paraId="7019D2D2" w14:textId="77777777" w:rsidR="00D674D7" w:rsidRPr="00D674D7" w:rsidRDefault="00D674D7" w:rsidP="00D674D7">
      <w:bookmarkStart w:id="5" w:name="ColumnTitle_12"/>
      <w:bookmarkEnd w:id="5"/>
    </w:p>
    <w:p w14:paraId="4D87637D" w14:textId="509B1F20" w:rsidR="00D674D7" w:rsidRDefault="00D674D7">
      <w:pPr>
        <w:spacing w:after="0"/>
        <w:rPr>
          <w:rFonts w:ascii="Franklin Gothic Medium" w:hAnsi="Franklin Gothic Medium" w:cs="Arial"/>
          <w:color w:val="495F7A"/>
          <w:kern w:val="32"/>
          <w:sz w:val="40"/>
          <w:szCs w:val="32"/>
        </w:rPr>
      </w:pPr>
      <w:r>
        <w:rPr>
          <w:rFonts w:ascii="Franklin Gothic Medium" w:hAnsi="Franklin Gothic Medium"/>
          <w:b/>
          <w:bCs/>
          <w:color w:val="495F7A"/>
        </w:rPr>
        <w:br w:type="page"/>
      </w:r>
    </w:p>
    <w:p w14:paraId="1CDADAD8" w14:textId="45CFBCB6" w:rsidR="00B81C76" w:rsidRPr="00C95CBA" w:rsidRDefault="00B81C76" w:rsidP="00C95CBA">
      <w:pPr>
        <w:pStyle w:val="Heading2"/>
        <w:rPr>
          <w:rFonts w:ascii="Franklin Gothic Medium" w:hAnsi="Franklin Gothic Medium"/>
          <w:color w:val="495F7A"/>
        </w:rPr>
      </w:pPr>
      <w:r w:rsidRPr="00C95CBA">
        <w:rPr>
          <w:rFonts w:ascii="Franklin Gothic Medium" w:hAnsi="Franklin Gothic Medium"/>
          <w:color w:val="495F7A"/>
        </w:rPr>
        <w:lastRenderedPageBreak/>
        <w:t>Evaluation approach and measures</w:t>
      </w:r>
    </w:p>
    <w:p w14:paraId="7164DA44"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Increased number of people who have access to research and research findings</w:t>
      </w:r>
    </w:p>
    <w:p w14:paraId="2631EFDF"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Better understanding of the contributing factors of mental illness</w:t>
      </w:r>
    </w:p>
    <w:p w14:paraId="754E7049"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Improved population social and emotional wellbeing in the face of critical and emerging challenges</w:t>
      </w:r>
    </w:p>
    <w:p w14:paraId="1BD3A968"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 xml:space="preserve">Increased wellbeing through reduced stigma, and increased availability and uptake of evidence-based treatment, </w:t>
      </w:r>
      <w:proofErr w:type="gramStart"/>
      <w:r w:rsidRPr="002C09C8">
        <w:rPr>
          <w:rFonts w:eastAsiaTheme="minorHAnsi"/>
          <w:lang w:val="en-GB" w:eastAsia="en-US"/>
        </w:rPr>
        <w:t>prevention</w:t>
      </w:r>
      <w:proofErr w:type="gramEnd"/>
      <w:r w:rsidRPr="002C09C8">
        <w:rPr>
          <w:rFonts w:eastAsiaTheme="minorHAnsi"/>
          <w:lang w:val="en-GB" w:eastAsia="en-US"/>
        </w:rPr>
        <w:t xml:space="preserve"> and early intervention</w:t>
      </w:r>
    </w:p>
    <w:p w14:paraId="4DBA1CFD"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 xml:space="preserve">Demonstrated translation of research into novel methods, and innovative programs, </w:t>
      </w:r>
      <w:proofErr w:type="gramStart"/>
      <w:r w:rsidRPr="002C09C8">
        <w:rPr>
          <w:rFonts w:eastAsiaTheme="minorHAnsi"/>
          <w:lang w:val="en-GB" w:eastAsia="en-US"/>
        </w:rPr>
        <w:t>policy</w:t>
      </w:r>
      <w:proofErr w:type="gramEnd"/>
      <w:r w:rsidRPr="002C09C8">
        <w:rPr>
          <w:rFonts w:eastAsiaTheme="minorHAnsi"/>
          <w:lang w:val="en-GB" w:eastAsia="en-US"/>
        </w:rPr>
        <w:t xml:space="preserve"> and practice</w:t>
      </w:r>
    </w:p>
    <w:p w14:paraId="1B604ADA"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Stronger collaborations and partnerships between disciplines, jurisdictions and institutions that have undertaken large-scale bold and innovative research projects involving people of all demographics and with living and lived experience</w:t>
      </w:r>
    </w:p>
    <w:p w14:paraId="0CDF9D23"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Demonstrated growth in, and development of, the capacity of EMCRs</w:t>
      </w:r>
    </w:p>
    <w:p w14:paraId="26662D67" w14:textId="77777777" w:rsidR="00AF5AC4" w:rsidRPr="002C09C8" w:rsidRDefault="0078500C" w:rsidP="002C09C8">
      <w:pPr>
        <w:pStyle w:val="ListParagraph"/>
        <w:numPr>
          <w:ilvl w:val="0"/>
          <w:numId w:val="38"/>
        </w:numPr>
        <w:rPr>
          <w:rFonts w:eastAsiaTheme="minorHAnsi"/>
          <w:lang w:val="en-GB" w:eastAsia="en-US"/>
        </w:rPr>
      </w:pPr>
      <w:r w:rsidRPr="002C09C8">
        <w:rPr>
          <w:rFonts w:eastAsiaTheme="minorHAnsi"/>
          <w:lang w:val="en-GB" w:eastAsia="en-US"/>
        </w:rPr>
        <w:t xml:space="preserve">Development of new, </w:t>
      </w:r>
      <w:proofErr w:type="gramStart"/>
      <w:r w:rsidRPr="002C09C8">
        <w:rPr>
          <w:rFonts w:eastAsiaTheme="minorHAnsi"/>
          <w:lang w:val="en-GB" w:eastAsia="en-US"/>
        </w:rPr>
        <w:t>innovative</w:t>
      </w:r>
      <w:proofErr w:type="gramEnd"/>
      <w:r w:rsidRPr="002C09C8">
        <w:rPr>
          <w:rFonts w:eastAsiaTheme="minorHAnsi"/>
          <w:lang w:val="en-GB" w:eastAsia="en-US"/>
        </w:rPr>
        <w:t xml:space="preserve"> and novel approaches to the detection, screening, identification, assessment, treatment and therapeutic interventions of mental illness and psychological distress </w:t>
      </w:r>
    </w:p>
    <w:p w14:paraId="1B40097E" w14:textId="1C2E2B0E" w:rsidR="00AF5AC4" w:rsidRPr="005C4C63" w:rsidRDefault="00AF5AC4" w:rsidP="00D674D7">
      <w:pPr>
        <w:pStyle w:val="Heading2"/>
        <w:ind w:left="0" w:firstLine="0"/>
        <w:rPr>
          <w:rFonts w:ascii="Franklin Gothic Medium" w:hAnsi="Franklin Gothic Medium"/>
          <w:color w:val="495F7A"/>
        </w:rPr>
      </w:pPr>
      <w:r w:rsidRPr="00AF5AC4">
        <w:rPr>
          <w:rFonts w:ascii="Franklin Gothic Medium" w:hAnsi="Franklin Gothic Medium"/>
          <w:color w:val="495F7A"/>
        </w:rPr>
        <w:t>Opportunities to use additional investment and other research to support the priority areas include, but are not limited to, the following</w:t>
      </w:r>
    </w:p>
    <w:p w14:paraId="62421CD3" w14:textId="77777777" w:rsidR="00AF5AC4"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The Australian Government through:</w:t>
      </w:r>
    </w:p>
    <w:p w14:paraId="2BB249E1" w14:textId="77777777" w:rsidR="00AF5AC4" w:rsidRPr="002C09C8" w:rsidRDefault="00AF5AC4" w:rsidP="002C09C8">
      <w:pPr>
        <w:pStyle w:val="ListParagraph"/>
        <w:numPr>
          <w:ilvl w:val="1"/>
          <w:numId w:val="39"/>
        </w:numPr>
        <w:rPr>
          <w:rFonts w:eastAsiaTheme="minorHAnsi"/>
          <w:lang w:val="en-GB" w:eastAsia="en-US"/>
        </w:rPr>
      </w:pPr>
      <w:r w:rsidRPr="002C09C8">
        <w:rPr>
          <w:rFonts w:eastAsiaTheme="minorHAnsi"/>
          <w:lang w:val="en-GB" w:eastAsia="en-US"/>
        </w:rPr>
        <w:t>the National Health and Medical Research Council (NHMRC)</w:t>
      </w:r>
    </w:p>
    <w:p w14:paraId="0BE61A3F" w14:textId="77777777" w:rsidR="00AF5AC4" w:rsidRPr="002C09C8" w:rsidRDefault="00AF5AC4" w:rsidP="002C09C8">
      <w:pPr>
        <w:pStyle w:val="ListParagraph"/>
        <w:numPr>
          <w:ilvl w:val="1"/>
          <w:numId w:val="39"/>
        </w:numPr>
        <w:rPr>
          <w:rFonts w:eastAsiaTheme="minorHAnsi"/>
          <w:lang w:val="en-GB" w:eastAsia="en-US"/>
        </w:rPr>
      </w:pPr>
      <w:r w:rsidRPr="002C09C8">
        <w:rPr>
          <w:rFonts w:eastAsiaTheme="minorHAnsi"/>
          <w:lang w:val="en-GB" w:eastAsia="en-US"/>
        </w:rPr>
        <w:t>the Australian Research Council</w:t>
      </w:r>
    </w:p>
    <w:p w14:paraId="57E3E877" w14:textId="77777777" w:rsidR="00AF5AC4" w:rsidRPr="002C09C8" w:rsidRDefault="00AF5AC4" w:rsidP="002C09C8">
      <w:pPr>
        <w:pStyle w:val="ListParagraph"/>
        <w:numPr>
          <w:ilvl w:val="1"/>
          <w:numId w:val="39"/>
        </w:numPr>
        <w:rPr>
          <w:rFonts w:eastAsiaTheme="minorHAnsi"/>
          <w:lang w:val="en-GB" w:eastAsia="en-US"/>
        </w:rPr>
      </w:pPr>
      <w:r w:rsidRPr="002C09C8">
        <w:rPr>
          <w:rFonts w:eastAsiaTheme="minorHAnsi"/>
          <w:lang w:val="en-GB" w:eastAsia="en-US"/>
        </w:rPr>
        <w:t xml:space="preserve">MRFF initiatives, </w:t>
      </w:r>
      <w:proofErr w:type="gramStart"/>
      <w:r w:rsidRPr="002C09C8">
        <w:rPr>
          <w:rFonts w:eastAsiaTheme="minorHAnsi"/>
          <w:lang w:val="en-GB" w:eastAsia="en-US"/>
        </w:rPr>
        <w:t>missions</w:t>
      </w:r>
      <w:proofErr w:type="gramEnd"/>
      <w:r w:rsidRPr="002C09C8">
        <w:rPr>
          <w:rFonts w:eastAsiaTheme="minorHAnsi"/>
          <w:lang w:val="en-GB" w:eastAsia="en-US"/>
        </w:rPr>
        <w:t xml:space="preserve"> and grant opportunities (such as the Indigenous Health Research Fund, Primary Health Care Research initiative, Rapid Applied Research Translation initiative, and Innovative Therapies for Mental Illness grant opportunity)</w:t>
      </w:r>
    </w:p>
    <w:p w14:paraId="395B5ABF" w14:textId="1066EECD" w:rsidR="00AF5AC4" w:rsidRPr="002C09C8" w:rsidRDefault="00AF5AC4" w:rsidP="002C09C8">
      <w:pPr>
        <w:pStyle w:val="ListParagraph"/>
        <w:numPr>
          <w:ilvl w:val="1"/>
          <w:numId w:val="39"/>
        </w:numPr>
        <w:rPr>
          <w:rFonts w:eastAsiaTheme="minorHAnsi"/>
          <w:lang w:val="en-GB" w:eastAsia="en-US"/>
        </w:rPr>
      </w:pPr>
      <w:r w:rsidRPr="002C09C8">
        <w:rPr>
          <w:rFonts w:eastAsiaTheme="minorHAnsi"/>
          <w:lang w:val="en-GB" w:eastAsia="en-US"/>
        </w:rPr>
        <w:t>other funding to support the National Mental Health and Suicide Prevention Plan</w:t>
      </w:r>
    </w:p>
    <w:p w14:paraId="6270863F" w14:textId="77777777" w:rsidR="00AF5AC4"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Corporate, philanthropic and investment funds investment (such as Future Generation Global or Paul Ramsay Foundation)</w:t>
      </w:r>
    </w:p>
    <w:p w14:paraId="64C3AB0F" w14:textId="2F6F788D" w:rsidR="00AF5AC4"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State and territory governments</w:t>
      </w:r>
    </w:p>
    <w:p w14:paraId="172D4570" w14:textId="77777777" w:rsidR="00AF5AC4"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Education sector (such as tertiary education institutions)</w:t>
      </w:r>
    </w:p>
    <w:p w14:paraId="2ACD19E3" w14:textId="324EE17D" w:rsidR="00AF5AC4"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Mental health and suicide prevention nongovernment organisations and research bodies</w:t>
      </w:r>
    </w:p>
    <w:p w14:paraId="4517F310" w14:textId="77777777" w:rsidR="00AF5AC4"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Justice sector (such as youth justice programs)</w:t>
      </w:r>
    </w:p>
    <w:p w14:paraId="65EC491F" w14:textId="356A2B9D" w:rsidR="00AF5AC4"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Social care sector</w:t>
      </w:r>
    </w:p>
    <w:p w14:paraId="24981F76" w14:textId="100C1846" w:rsidR="00B463AA" w:rsidRPr="002C09C8" w:rsidRDefault="00AF5AC4" w:rsidP="002C09C8">
      <w:pPr>
        <w:pStyle w:val="ListParagraph"/>
        <w:numPr>
          <w:ilvl w:val="0"/>
          <w:numId w:val="39"/>
        </w:numPr>
        <w:rPr>
          <w:rFonts w:eastAsiaTheme="minorHAnsi"/>
          <w:lang w:val="en-GB" w:eastAsia="en-US"/>
        </w:rPr>
      </w:pPr>
      <w:r w:rsidRPr="002C09C8">
        <w:rPr>
          <w:rFonts w:eastAsiaTheme="minorHAnsi"/>
          <w:lang w:val="en-GB" w:eastAsia="en-US"/>
        </w:rPr>
        <w:t xml:space="preserve">International research bodies and foundations (such as MQ, </w:t>
      </w:r>
      <w:proofErr w:type="spellStart"/>
      <w:r w:rsidRPr="002C09C8">
        <w:rPr>
          <w:rFonts w:eastAsiaTheme="minorHAnsi"/>
          <w:lang w:val="en-GB" w:eastAsia="en-US"/>
        </w:rPr>
        <w:t>Wellcome</w:t>
      </w:r>
      <w:proofErr w:type="spellEnd"/>
      <w:r w:rsidRPr="002C09C8">
        <w:rPr>
          <w:rFonts w:eastAsiaTheme="minorHAnsi"/>
          <w:lang w:val="en-GB" w:eastAsia="en-US"/>
        </w:rPr>
        <w:t xml:space="preserve"> or the National Institute for Health and Care Research)</w:t>
      </w:r>
    </w:p>
    <w:p w14:paraId="4BFB5A09" w14:textId="3999DA6A" w:rsidR="00AF5AC4" w:rsidRPr="00C95CBA" w:rsidRDefault="00AF5AC4" w:rsidP="00D674D7">
      <w:pPr>
        <w:pStyle w:val="Heading2"/>
        <w:ind w:left="0" w:firstLine="0"/>
        <w:rPr>
          <w:rFonts w:ascii="Franklin Gothic Medium" w:hAnsi="Franklin Gothic Medium"/>
          <w:color w:val="495F7A"/>
        </w:rPr>
      </w:pPr>
      <w:r w:rsidRPr="00C95CBA">
        <w:rPr>
          <w:rFonts w:ascii="Franklin Gothic Medium" w:hAnsi="Franklin Gothic Medium"/>
          <w:color w:val="495F7A"/>
        </w:rPr>
        <w:t>Activities required to support the research and facilitate long-term implementation include, but are not limited to, the following</w:t>
      </w:r>
    </w:p>
    <w:p w14:paraId="11DBD0C1" w14:textId="278388B1" w:rsidR="00AF5AC4" w:rsidRPr="002C09C8" w:rsidRDefault="00AF5AC4" w:rsidP="002C09C8">
      <w:pPr>
        <w:pStyle w:val="ListParagraph"/>
        <w:numPr>
          <w:ilvl w:val="0"/>
          <w:numId w:val="40"/>
        </w:numPr>
        <w:rPr>
          <w:rFonts w:eastAsiaTheme="minorHAnsi"/>
          <w:lang w:val="en-GB" w:eastAsia="en-US"/>
        </w:rPr>
      </w:pPr>
      <w:r w:rsidRPr="002C09C8">
        <w:rPr>
          <w:rFonts w:eastAsiaTheme="minorHAnsi"/>
          <w:lang w:val="en-GB" w:eastAsia="en-US"/>
        </w:rPr>
        <w:t>Sponsoring of sector and researcher workshops to develop longer-term projects that might be funded by NHMRC and MRFF initiatives</w:t>
      </w:r>
    </w:p>
    <w:p w14:paraId="5B269804" w14:textId="77777777" w:rsidR="00AF5AC4" w:rsidRPr="00AF5AC4" w:rsidRDefault="00AF5AC4" w:rsidP="00AF5AC4"/>
    <w:p w14:paraId="29F60C2F" w14:textId="77777777" w:rsidR="00AF5AC4" w:rsidRPr="00AF5AC4" w:rsidRDefault="00AF5AC4" w:rsidP="00AF5AC4">
      <w:pPr>
        <w:pStyle w:val="Heading2"/>
        <w:rPr>
          <w:rFonts w:eastAsiaTheme="minorHAnsi"/>
          <w:lang w:val="en-GB" w:eastAsia="en-US"/>
        </w:rPr>
      </w:pPr>
    </w:p>
    <w:sectPr w:rsidR="00AF5AC4" w:rsidRPr="00AF5AC4" w:rsidSect="004B236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5CF3" w14:textId="77777777" w:rsidR="0007577C" w:rsidRDefault="0007577C" w:rsidP="00462B3E">
      <w:pPr>
        <w:spacing w:after="0"/>
      </w:pPr>
      <w:r>
        <w:separator/>
      </w:r>
    </w:p>
  </w:endnote>
  <w:endnote w:type="continuationSeparator" w:id="0">
    <w:p w14:paraId="5ECFF0CA" w14:textId="77777777" w:rsidR="0007577C" w:rsidRDefault="0007577C" w:rsidP="00462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Atten Round New Bold">
    <w:altName w:val="Atten Round New Bold"/>
    <w:panose1 w:val="00000000000000000000"/>
    <w:charset w:val="00"/>
    <w:family w:val="swiss"/>
    <w:notTrueType/>
    <w:pitch w:val="default"/>
    <w:sig w:usb0="00000003" w:usb1="00000000" w:usb2="00000000" w:usb3="00000000" w:csb0="00000001" w:csb1="00000000"/>
  </w:font>
  <w:font w:name="FranklinGothicURWDem">
    <w:altName w:val="Calibri"/>
    <w:charset w:val="00"/>
    <w:family w:val="swiss"/>
    <w:pitch w:val="default"/>
    <w:sig w:usb0="00000003" w:usb1="00000000" w:usb2="00000000" w:usb3="00000000" w:csb0="00000001" w:csb1="00000000"/>
  </w:font>
  <w:font w:name="FranklinGothicURW">
    <w:altName w:val="Cambria"/>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324978"/>
      <w:docPartObj>
        <w:docPartGallery w:val="Page Numbers (Bottom of Page)"/>
        <w:docPartUnique/>
      </w:docPartObj>
    </w:sdtPr>
    <w:sdtEndPr>
      <w:rPr>
        <w:rStyle w:val="PageNumber"/>
      </w:rPr>
    </w:sdtEndPr>
    <w:sdtContent>
      <w:p w14:paraId="5B495D9C" w14:textId="1316F405" w:rsidR="004B236C" w:rsidRDefault="004B236C"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D9A2D9" w14:textId="77777777" w:rsidR="004B236C" w:rsidRDefault="004B236C" w:rsidP="004B2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177838"/>
      <w:docPartObj>
        <w:docPartGallery w:val="Page Numbers (Bottom of Page)"/>
        <w:docPartUnique/>
      </w:docPartObj>
    </w:sdtPr>
    <w:sdtEndPr>
      <w:rPr>
        <w:rStyle w:val="PageNumber"/>
      </w:rPr>
    </w:sdtEndPr>
    <w:sdtContent>
      <w:p w14:paraId="5EA1CA79" w14:textId="63EF8DDF" w:rsidR="004B236C" w:rsidRDefault="004B236C" w:rsidP="00F73FB8">
        <w:pPr>
          <w:pStyle w:val="Footer"/>
          <w:framePr w:wrap="none" w:vAnchor="text" w:hAnchor="margin" w:xAlign="right" w:y="1"/>
          <w:rPr>
            <w:rStyle w:val="PageNumber"/>
          </w:rPr>
        </w:pPr>
        <w:r w:rsidRPr="004B236C">
          <w:rPr>
            <w:rStyle w:val="PageNumber"/>
            <w:rFonts w:ascii="Calibri" w:hAnsi="Calibri"/>
            <w:b w:val="0"/>
            <w:bCs/>
          </w:rPr>
          <w:fldChar w:fldCharType="begin"/>
        </w:r>
        <w:r w:rsidRPr="004B236C">
          <w:rPr>
            <w:rStyle w:val="PageNumber"/>
            <w:rFonts w:ascii="Calibri" w:hAnsi="Calibri"/>
            <w:b w:val="0"/>
            <w:bCs/>
          </w:rPr>
          <w:instrText xml:space="preserve"> PAGE </w:instrText>
        </w:r>
        <w:r w:rsidRPr="004B236C">
          <w:rPr>
            <w:rStyle w:val="PageNumber"/>
            <w:rFonts w:ascii="Calibri" w:hAnsi="Calibri"/>
            <w:b w:val="0"/>
            <w:bCs/>
          </w:rPr>
          <w:fldChar w:fldCharType="separate"/>
        </w:r>
        <w:r w:rsidRPr="004B236C">
          <w:rPr>
            <w:rStyle w:val="PageNumber"/>
            <w:rFonts w:ascii="Calibri" w:hAnsi="Calibri"/>
            <w:b w:val="0"/>
            <w:bCs/>
            <w:noProof/>
          </w:rPr>
          <w:t>2</w:t>
        </w:r>
        <w:r w:rsidRPr="004B236C">
          <w:rPr>
            <w:rStyle w:val="PageNumber"/>
            <w:rFonts w:ascii="Calibri" w:hAnsi="Calibri"/>
            <w:b w:val="0"/>
            <w:bCs/>
          </w:rPr>
          <w:fldChar w:fldCharType="end"/>
        </w:r>
      </w:p>
    </w:sdtContent>
  </w:sdt>
  <w:p w14:paraId="1C575D44" w14:textId="77777777" w:rsidR="004B236C" w:rsidRDefault="004B236C" w:rsidP="004B23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BD8E" w14:textId="77777777" w:rsidR="00F264B8" w:rsidRDefault="00F26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7770" w14:textId="77777777" w:rsidR="0007577C" w:rsidRDefault="0007577C" w:rsidP="00462B3E">
      <w:pPr>
        <w:spacing w:after="0"/>
      </w:pPr>
      <w:r>
        <w:separator/>
      </w:r>
    </w:p>
  </w:footnote>
  <w:footnote w:type="continuationSeparator" w:id="0">
    <w:p w14:paraId="0CFAEDEB" w14:textId="77777777" w:rsidR="0007577C" w:rsidRDefault="0007577C" w:rsidP="00462B3E">
      <w:pPr>
        <w:spacing w:after="0"/>
      </w:pPr>
      <w:r>
        <w:continuationSeparator/>
      </w:r>
    </w:p>
  </w:footnote>
  <w:footnote w:id="1">
    <w:p w14:paraId="2EFC1367" w14:textId="3597BE66" w:rsidR="00933F86" w:rsidRPr="00A80C04" w:rsidRDefault="00933F86" w:rsidP="00A80C04">
      <w:pPr>
        <w:pStyle w:val="Pa15"/>
        <w:spacing w:line="276" w:lineRule="auto"/>
        <w:rPr>
          <w:rFonts w:asciiTheme="minorHAnsi" w:hAnsiTheme="minorHAnsi" w:cstheme="minorHAnsi"/>
          <w:color w:val="000000"/>
          <w:sz w:val="16"/>
          <w:szCs w:val="16"/>
        </w:rPr>
      </w:pPr>
      <w:r w:rsidRPr="00A80C04">
        <w:rPr>
          <w:rStyle w:val="FootnoteReference"/>
          <w:rFonts w:asciiTheme="minorHAnsi" w:hAnsiTheme="minorHAnsi" w:cstheme="minorHAnsi"/>
          <w:sz w:val="16"/>
          <w:szCs w:val="16"/>
        </w:rPr>
        <w:footnoteRef/>
      </w:r>
      <w:r w:rsidRPr="00A80C04">
        <w:rPr>
          <w:rFonts w:asciiTheme="minorHAnsi" w:hAnsiTheme="minorHAnsi" w:cstheme="minorHAnsi"/>
          <w:sz w:val="16"/>
          <w:szCs w:val="16"/>
        </w:rPr>
        <w:t xml:space="preserve"> </w:t>
      </w:r>
      <w:r w:rsidRPr="00A80C04">
        <w:rPr>
          <w:rFonts w:asciiTheme="minorHAnsi" w:hAnsiTheme="minorHAnsi" w:cstheme="minorHAnsi"/>
          <w:color w:val="000000"/>
          <w:sz w:val="16"/>
          <w:szCs w:val="16"/>
        </w:rPr>
        <w:t>Chief Investigator A and &gt;50% of the Chief Investigator team must be Early- and Mid-Career Researchers (EMCRs).</w:t>
      </w:r>
    </w:p>
  </w:footnote>
  <w:footnote w:id="2">
    <w:p w14:paraId="6CD1AAB8" w14:textId="77EB1217" w:rsidR="00933F86" w:rsidRPr="00A80C04" w:rsidRDefault="00933F86" w:rsidP="00A80C04">
      <w:pPr>
        <w:pStyle w:val="Pa8"/>
        <w:spacing w:line="276" w:lineRule="auto"/>
        <w:rPr>
          <w:rFonts w:asciiTheme="minorHAnsi" w:hAnsiTheme="minorHAnsi" w:cstheme="minorHAnsi"/>
          <w:color w:val="000000"/>
          <w:sz w:val="16"/>
          <w:szCs w:val="16"/>
        </w:rPr>
      </w:pPr>
      <w:r w:rsidRPr="00A80C04">
        <w:rPr>
          <w:rStyle w:val="FootnoteReference"/>
          <w:rFonts w:asciiTheme="minorHAnsi" w:hAnsiTheme="minorHAnsi" w:cstheme="minorHAnsi"/>
          <w:sz w:val="16"/>
          <w:szCs w:val="16"/>
        </w:rPr>
        <w:footnoteRef/>
      </w:r>
      <w:r w:rsidRPr="00A80C04">
        <w:rPr>
          <w:rFonts w:asciiTheme="minorHAnsi" w:hAnsiTheme="minorHAnsi" w:cstheme="minorHAnsi"/>
          <w:sz w:val="16"/>
          <w:szCs w:val="16"/>
        </w:rPr>
        <w:t xml:space="preserve"> </w:t>
      </w:r>
      <w:r w:rsidRPr="00A80C04">
        <w:rPr>
          <w:rFonts w:asciiTheme="minorHAnsi" w:hAnsiTheme="minorHAnsi" w:cstheme="minorHAnsi"/>
          <w:color w:val="000000"/>
          <w:sz w:val="16"/>
          <w:szCs w:val="16"/>
        </w:rPr>
        <w:t xml:space="preserve">Age range is in alignment with the National Mental Health Commission </w:t>
      </w:r>
      <w:hyperlink r:id="rId1" w:history="1">
        <w:r w:rsidRPr="00A80C04">
          <w:rPr>
            <w:rStyle w:val="Hyperlink"/>
            <w:rFonts w:asciiTheme="minorHAnsi" w:hAnsiTheme="minorHAnsi" w:cstheme="minorHAnsi"/>
            <w:sz w:val="16"/>
            <w:szCs w:val="16"/>
          </w:rPr>
          <w:t>National Children’s Mental Health and Wellb</w:t>
        </w:r>
        <w:r w:rsidRPr="00A80C04">
          <w:rPr>
            <w:rStyle w:val="Hyperlink"/>
            <w:rFonts w:asciiTheme="minorHAnsi" w:hAnsiTheme="minorHAnsi" w:cstheme="minorHAnsi"/>
            <w:sz w:val="16"/>
            <w:szCs w:val="16"/>
          </w:rPr>
          <w:t>e</w:t>
        </w:r>
        <w:r w:rsidRPr="00A80C04">
          <w:rPr>
            <w:rStyle w:val="Hyperlink"/>
            <w:rFonts w:asciiTheme="minorHAnsi" w:hAnsiTheme="minorHAnsi" w:cstheme="minorHAnsi"/>
            <w:sz w:val="16"/>
            <w:szCs w:val="16"/>
          </w:rPr>
          <w:t>ing Strategy 2021</w:t>
        </w:r>
      </w:hyperlink>
      <w:r w:rsidRPr="00A80C04">
        <w:rPr>
          <w:rFonts w:asciiTheme="minorHAnsi" w:hAnsiTheme="minorHAnsi" w:cstheme="minorHAnsi"/>
          <w:color w:val="000000"/>
          <w:sz w:val="16"/>
          <w:szCs w:val="16"/>
        </w:rPr>
        <w:t>.</w:t>
      </w:r>
    </w:p>
  </w:footnote>
  <w:footnote w:id="3">
    <w:p w14:paraId="2E8F5FB1" w14:textId="371E8507" w:rsidR="00933F86" w:rsidRPr="00A80C04" w:rsidRDefault="00933F86" w:rsidP="00A80C04">
      <w:pPr>
        <w:pStyle w:val="FootnoteText"/>
        <w:spacing w:line="276" w:lineRule="auto"/>
        <w:rPr>
          <w:rFonts w:asciiTheme="minorHAnsi" w:hAnsiTheme="minorHAnsi" w:cstheme="minorHAnsi"/>
          <w:sz w:val="16"/>
          <w:szCs w:val="16"/>
        </w:rPr>
      </w:pPr>
      <w:r w:rsidRPr="00A80C04">
        <w:rPr>
          <w:rStyle w:val="FootnoteReference"/>
          <w:rFonts w:asciiTheme="minorHAnsi" w:hAnsiTheme="minorHAnsi" w:cstheme="minorHAnsi"/>
          <w:sz w:val="16"/>
          <w:szCs w:val="16"/>
        </w:rPr>
        <w:footnoteRef/>
      </w:r>
      <w:r w:rsidRPr="00A80C04">
        <w:rPr>
          <w:rFonts w:asciiTheme="minorHAnsi" w:hAnsiTheme="minorHAnsi" w:cstheme="minorHAnsi"/>
          <w:sz w:val="16"/>
          <w:szCs w:val="16"/>
        </w:rPr>
        <w:t xml:space="preserve"> Age range is in alignment with the approach taken by the </w:t>
      </w:r>
      <w:hyperlink r:id="rId2" w:history="1">
        <w:r w:rsidRPr="00A80C04">
          <w:rPr>
            <w:rStyle w:val="Hyperlink"/>
            <w:rFonts w:asciiTheme="minorHAnsi" w:hAnsiTheme="minorHAnsi" w:cstheme="minorHAnsi"/>
            <w:sz w:val="16"/>
            <w:szCs w:val="16"/>
          </w:rPr>
          <w:t>Headspace Natio</w:t>
        </w:r>
        <w:r w:rsidRPr="00A80C04">
          <w:rPr>
            <w:rStyle w:val="Hyperlink"/>
            <w:rFonts w:asciiTheme="minorHAnsi" w:hAnsiTheme="minorHAnsi" w:cstheme="minorHAnsi"/>
            <w:sz w:val="16"/>
            <w:szCs w:val="16"/>
          </w:rPr>
          <w:t>n</w:t>
        </w:r>
        <w:r w:rsidRPr="00A80C04">
          <w:rPr>
            <w:rStyle w:val="Hyperlink"/>
            <w:rFonts w:asciiTheme="minorHAnsi" w:hAnsiTheme="minorHAnsi" w:cstheme="minorHAnsi"/>
            <w:sz w:val="16"/>
            <w:szCs w:val="16"/>
          </w:rPr>
          <w:t>al Youth Mental Health Foundation.</w:t>
        </w:r>
      </w:hyperlink>
    </w:p>
  </w:footnote>
  <w:footnote w:id="4">
    <w:p w14:paraId="7F6985D8" w14:textId="10C3FF14" w:rsidR="00933F86" w:rsidRPr="00A80C04" w:rsidRDefault="00933F86" w:rsidP="00A80C04">
      <w:pPr>
        <w:pStyle w:val="Default"/>
        <w:spacing w:line="276" w:lineRule="auto"/>
        <w:rPr>
          <w:rFonts w:asciiTheme="minorHAnsi" w:hAnsiTheme="minorHAnsi" w:cstheme="minorHAnsi"/>
          <w:sz w:val="16"/>
          <w:szCs w:val="16"/>
        </w:rPr>
      </w:pPr>
      <w:r w:rsidRPr="00A80C04">
        <w:rPr>
          <w:rStyle w:val="FootnoteReference"/>
          <w:rFonts w:asciiTheme="minorHAnsi" w:hAnsiTheme="minorHAnsi" w:cstheme="minorHAnsi"/>
          <w:sz w:val="16"/>
          <w:szCs w:val="16"/>
        </w:rPr>
        <w:footnoteRef/>
      </w:r>
      <w:r w:rsidRPr="00A80C04">
        <w:rPr>
          <w:rFonts w:asciiTheme="minorHAnsi" w:hAnsiTheme="minorHAnsi" w:cstheme="minorHAnsi"/>
          <w:sz w:val="16"/>
          <w:szCs w:val="16"/>
        </w:rPr>
        <w:t xml:space="preserve"> See </w:t>
      </w:r>
      <w:hyperlink w:anchor="_Large-scale_activities_and" w:history="1">
        <w:r w:rsidRPr="00A80C04">
          <w:rPr>
            <w:rStyle w:val="Hyperlink"/>
            <w:rFonts w:asciiTheme="minorHAnsi" w:hAnsiTheme="minorHAnsi" w:cstheme="minorHAnsi"/>
            <w:sz w:val="16"/>
            <w:szCs w:val="16"/>
          </w:rPr>
          <w:t>Large-scale activities a</w:t>
        </w:r>
        <w:r w:rsidRPr="00A80C04">
          <w:rPr>
            <w:rStyle w:val="Hyperlink"/>
            <w:rFonts w:asciiTheme="minorHAnsi" w:hAnsiTheme="minorHAnsi" w:cstheme="minorHAnsi"/>
            <w:sz w:val="16"/>
            <w:szCs w:val="16"/>
          </w:rPr>
          <w:t>n</w:t>
        </w:r>
        <w:r w:rsidRPr="00A80C04">
          <w:rPr>
            <w:rStyle w:val="Hyperlink"/>
            <w:rFonts w:asciiTheme="minorHAnsi" w:hAnsiTheme="minorHAnsi" w:cstheme="minorHAnsi"/>
            <w:sz w:val="16"/>
            <w:szCs w:val="16"/>
          </w:rPr>
          <w:t>d collaborations</w:t>
        </w:r>
      </w:hyperlink>
      <w:r w:rsidRPr="00A80C04">
        <w:rPr>
          <w:rStyle w:val="A12"/>
          <w:rFonts w:asciiTheme="minorHAnsi" w:hAnsiTheme="minorHAnsi" w:cstheme="minorHAnsi"/>
        </w:rPr>
        <w:t xml:space="preserve"> </w:t>
      </w:r>
      <w:r w:rsidRPr="00A80C04">
        <w:rPr>
          <w:rFonts w:asciiTheme="minorHAnsi" w:hAnsiTheme="minorHAnsi" w:cstheme="minorHAnsi"/>
          <w:sz w:val="16"/>
          <w:szCs w:val="16"/>
        </w:rPr>
        <w:t>under the ‘Implementation strategy’ section on page 4.</w:t>
      </w:r>
    </w:p>
    <w:p w14:paraId="5BCE31BF" w14:textId="0E40A52F" w:rsidR="00933F86" w:rsidRDefault="00933F86">
      <w:pPr>
        <w:pStyle w:val="FootnoteText"/>
      </w:pPr>
    </w:p>
  </w:footnote>
  <w:footnote w:id="5">
    <w:p w14:paraId="2E0AF67D" w14:textId="3A45A141" w:rsidR="00A80C04" w:rsidRPr="00A80C04" w:rsidRDefault="00A80C04">
      <w:pPr>
        <w:pStyle w:val="FootnoteText"/>
        <w:rPr>
          <w:sz w:val="16"/>
          <w:szCs w:val="16"/>
        </w:rPr>
      </w:pPr>
      <w:r w:rsidRPr="00A80C04">
        <w:rPr>
          <w:rStyle w:val="FootnoteReference"/>
          <w:sz w:val="16"/>
          <w:szCs w:val="16"/>
        </w:rPr>
        <w:footnoteRef/>
      </w:r>
      <w:r w:rsidRPr="00A80C04">
        <w:rPr>
          <w:sz w:val="16"/>
          <w:szCs w:val="16"/>
        </w:rPr>
        <w:t xml:space="preserve"> See </w:t>
      </w:r>
      <w:hyperlink w:anchor="_Large-scale_activities_and" w:history="1">
        <w:r w:rsidRPr="00A80C04">
          <w:rPr>
            <w:rStyle w:val="Hyperlink"/>
            <w:sz w:val="16"/>
            <w:szCs w:val="16"/>
          </w:rPr>
          <w:t>Large-scale activities and colla</w:t>
        </w:r>
        <w:r w:rsidRPr="00A80C04">
          <w:rPr>
            <w:rStyle w:val="Hyperlink"/>
            <w:sz w:val="16"/>
            <w:szCs w:val="16"/>
          </w:rPr>
          <w:t>b</w:t>
        </w:r>
        <w:r w:rsidRPr="00A80C04">
          <w:rPr>
            <w:rStyle w:val="Hyperlink"/>
            <w:sz w:val="16"/>
            <w:szCs w:val="16"/>
          </w:rPr>
          <w:t>orations</w:t>
        </w:r>
      </w:hyperlink>
      <w:r w:rsidRPr="00A80C04">
        <w:rPr>
          <w:sz w:val="16"/>
          <w:szCs w:val="16"/>
        </w:rPr>
        <w:t xml:space="preserve"> under the ‘Implementation strategy’ section on page 4.</w:t>
      </w:r>
    </w:p>
  </w:footnote>
  <w:footnote w:id="6">
    <w:p w14:paraId="044F26F6" w14:textId="4F633CB7" w:rsidR="00A80C04" w:rsidRPr="00A80C04" w:rsidRDefault="00A80C04" w:rsidP="001D6ECE">
      <w:pPr>
        <w:pStyle w:val="Pa15"/>
        <w:spacing w:line="276" w:lineRule="auto"/>
        <w:rPr>
          <w:rFonts w:asciiTheme="minorHAnsi" w:hAnsiTheme="minorHAnsi" w:cstheme="minorHAnsi"/>
          <w:color w:val="000000"/>
          <w:sz w:val="16"/>
          <w:szCs w:val="16"/>
        </w:rPr>
      </w:pPr>
      <w:r w:rsidRPr="00A80C04">
        <w:rPr>
          <w:rStyle w:val="FootnoteReference"/>
          <w:rFonts w:asciiTheme="minorHAnsi" w:hAnsiTheme="minorHAnsi" w:cstheme="minorHAnsi"/>
          <w:sz w:val="16"/>
          <w:szCs w:val="16"/>
        </w:rPr>
        <w:footnoteRef/>
      </w:r>
      <w:r w:rsidRPr="00A80C04">
        <w:rPr>
          <w:rFonts w:asciiTheme="minorHAnsi" w:hAnsiTheme="minorHAnsi" w:cstheme="minorHAnsi"/>
          <w:sz w:val="16"/>
          <w:szCs w:val="16"/>
        </w:rPr>
        <w:t xml:space="preserve"> </w:t>
      </w:r>
      <w:r w:rsidRPr="00A80C04">
        <w:rPr>
          <w:rFonts w:asciiTheme="minorHAnsi" w:hAnsiTheme="minorHAnsi" w:cstheme="minorHAnsi"/>
          <w:color w:val="000000"/>
          <w:sz w:val="16"/>
          <w:szCs w:val="16"/>
        </w:rPr>
        <w:t>Chief Investigator A and &gt;50% of the Chief Investigator team must be Early- and Mid-Career Researchers (EMCRs).</w:t>
      </w:r>
    </w:p>
  </w:footnote>
  <w:footnote w:id="7">
    <w:p w14:paraId="50AD95F1" w14:textId="40E364A9" w:rsidR="00A80C04" w:rsidRDefault="00A80C04" w:rsidP="001D6ECE">
      <w:pPr>
        <w:pStyle w:val="FootnoteText"/>
        <w:spacing w:line="276" w:lineRule="auto"/>
      </w:pPr>
      <w:r w:rsidRPr="00A80C04">
        <w:rPr>
          <w:rStyle w:val="FootnoteReference"/>
          <w:rFonts w:asciiTheme="minorHAnsi" w:hAnsiTheme="minorHAnsi" w:cstheme="minorHAnsi"/>
          <w:sz w:val="16"/>
          <w:szCs w:val="16"/>
        </w:rPr>
        <w:footnoteRef/>
      </w:r>
      <w:r w:rsidRPr="00A80C04">
        <w:rPr>
          <w:rFonts w:asciiTheme="minorHAnsi" w:hAnsiTheme="minorHAnsi" w:cstheme="minorHAnsi"/>
          <w:sz w:val="16"/>
          <w:szCs w:val="16"/>
        </w:rPr>
        <w:t xml:space="preserve"> See </w:t>
      </w:r>
      <w:hyperlink w:anchor="_Large-scale_activities_and" w:history="1">
        <w:r w:rsidRPr="00A80C04">
          <w:rPr>
            <w:rStyle w:val="Hyperlink"/>
            <w:rFonts w:asciiTheme="minorHAnsi" w:hAnsiTheme="minorHAnsi" w:cstheme="minorHAnsi"/>
            <w:sz w:val="16"/>
            <w:szCs w:val="16"/>
          </w:rPr>
          <w:t>Large-scale activities and collaborations</w:t>
        </w:r>
      </w:hyperlink>
      <w:r w:rsidRPr="00A80C04">
        <w:rPr>
          <w:rFonts w:asciiTheme="minorHAnsi" w:hAnsiTheme="minorHAnsi" w:cstheme="minorHAnsi"/>
          <w:sz w:val="16"/>
          <w:szCs w:val="16"/>
        </w:rPr>
        <w:t xml:space="preserve"> under the ‘Implementation strategy’ section on page 4.</w:t>
      </w:r>
    </w:p>
  </w:footnote>
  <w:footnote w:id="8">
    <w:p w14:paraId="308F3443" w14:textId="53B53941" w:rsidR="001D6ECE" w:rsidRPr="001D6ECE" w:rsidRDefault="001D6ECE" w:rsidP="001D6ECE">
      <w:pPr>
        <w:pStyle w:val="Pa15"/>
        <w:spacing w:line="276" w:lineRule="auto"/>
        <w:rPr>
          <w:rFonts w:asciiTheme="minorHAnsi" w:hAnsiTheme="minorHAnsi" w:cstheme="minorHAnsi"/>
          <w:color w:val="000000"/>
          <w:sz w:val="16"/>
          <w:szCs w:val="16"/>
        </w:rPr>
      </w:pPr>
      <w:r w:rsidRPr="001D6ECE">
        <w:rPr>
          <w:rStyle w:val="FootnoteReference"/>
          <w:rFonts w:asciiTheme="minorHAnsi" w:hAnsiTheme="minorHAnsi" w:cstheme="minorHAnsi"/>
          <w:sz w:val="16"/>
          <w:szCs w:val="16"/>
        </w:rPr>
        <w:footnoteRef/>
      </w:r>
      <w:r w:rsidRPr="001D6ECE">
        <w:rPr>
          <w:rFonts w:asciiTheme="minorHAnsi" w:hAnsiTheme="minorHAnsi" w:cstheme="minorHAnsi"/>
          <w:sz w:val="16"/>
          <w:szCs w:val="16"/>
        </w:rPr>
        <w:t xml:space="preserve"> </w:t>
      </w:r>
      <w:r w:rsidRPr="001D6ECE">
        <w:rPr>
          <w:rFonts w:asciiTheme="minorHAnsi" w:hAnsiTheme="minorHAnsi" w:cstheme="minorHAnsi"/>
          <w:color w:val="000000"/>
          <w:sz w:val="16"/>
          <w:szCs w:val="16"/>
        </w:rPr>
        <w:t>Chief Investigator A and &gt;50% of the Chief Investigator team must be Early- and Mid-Career Researchers (EMCRs).</w:t>
      </w:r>
    </w:p>
  </w:footnote>
  <w:footnote w:id="9">
    <w:p w14:paraId="569AA124" w14:textId="78607903" w:rsidR="001D6ECE" w:rsidRPr="001D6ECE" w:rsidRDefault="001D6ECE" w:rsidP="001D6ECE">
      <w:pPr>
        <w:pStyle w:val="Pa15"/>
        <w:spacing w:line="276" w:lineRule="auto"/>
        <w:rPr>
          <w:rFonts w:cs="FranklinGothicURWBoo"/>
          <w:color w:val="000000"/>
        </w:rPr>
      </w:pPr>
      <w:r w:rsidRPr="001D6ECE">
        <w:rPr>
          <w:rStyle w:val="FootnoteReference"/>
          <w:rFonts w:asciiTheme="minorHAnsi" w:hAnsiTheme="minorHAnsi" w:cstheme="minorHAnsi"/>
          <w:sz w:val="16"/>
          <w:szCs w:val="16"/>
        </w:rPr>
        <w:footnoteRef/>
      </w:r>
      <w:r w:rsidRPr="001D6ECE">
        <w:rPr>
          <w:rFonts w:asciiTheme="minorHAnsi" w:hAnsiTheme="minorHAnsi" w:cstheme="minorHAnsi"/>
          <w:sz w:val="16"/>
          <w:szCs w:val="16"/>
        </w:rPr>
        <w:t xml:space="preserve"> See </w:t>
      </w:r>
      <w:hyperlink w:anchor="_Large-scale_activities_and" w:history="1">
        <w:r w:rsidRPr="001D6ECE">
          <w:rPr>
            <w:rStyle w:val="Hyperlink"/>
            <w:rFonts w:asciiTheme="minorHAnsi" w:hAnsiTheme="minorHAnsi" w:cstheme="minorHAnsi"/>
            <w:sz w:val="16"/>
            <w:szCs w:val="16"/>
          </w:rPr>
          <w:t>Large-scale activities</w:t>
        </w:r>
        <w:r w:rsidRPr="001D6ECE">
          <w:rPr>
            <w:rStyle w:val="Hyperlink"/>
            <w:rFonts w:asciiTheme="minorHAnsi" w:hAnsiTheme="minorHAnsi" w:cstheme="minorHAnsi"/>
            <w:sz w:val="16"/>
            <w:szCs w:val="16"/>
          </w:rPr>
          <w:t xml:space="preserve"> </w:t>
        </w:r>
        <w:r w:rsidRPr="001D6ECE">
          <w:rPr>
            <w:rStyle w:val="Hyperlink"/>
            <w:rFonts w:asciiTheme="minorHAnsi" w:hAnsiTheme="minorHAnsi" w:cstheme="minorHAnsi"/>
            <w:sz w:val="16"/>
            <w:szCs w:val="16"/>
          </w:rPr>
          <w:t>and collaborations</w:t>
        </w:r>
      </w:hyperlink>
      <w:r w:rsidRPr="001D6ECE">
        <w:rPr>
          <w:rFonts w:asciiTheme="minorHAnsi" w:hAnsiTheme="minorHAnsi" w:cstheme="minorHAnsi"/>
          <w:sz w:val="16"/>
          <w:szCs w:val="16"/>
        </w:rPr>
        <w:t xml:space="preserve"> under the ‘Implementation strategy’ section on page 4.</w:t>
      </w:r>
    </w:p>
  </w:footnote>
  <w:footnote w:id="10">
    <w:p w14:paraId="6EAB7ED3" w14:textId="470FDB4F" w:rsidR="001D6ECE" w:rsidRPr="001D6ECE" w:rsidRDefault="001D6ECE" w:rsidP="001D6ECE">
      <w:pPr>
        <w:pStyle w:val="FootnoteText"/>
        <w:spacing w:line="276" w:lineRule="auto"/>
        <w:rPr>
          <w:rFonts w:asciiTheme="minorHAnsi" w:hAnsiTheme="minorHAnsi" w:cstheme="minorHAnsi"/>
          <w:sz w:val="18"/>
          <w:szCs w:val="18"/>
        </w:rPr>
      </w:pPr>
      <w:r w:rsidRPr="001D6ECE">
        <w:rPr>
          <w:rStyle w:val="FootnoteReference"/>
          <w:rFonts w:asciiTheme="minorHAnsi" w:hAnsiTheme="minorHAnsi" w:cstheme="minorHAnsi"/>
          <w:sz w:val="18"/>
          <w:szCs w:val="18"/>
        </w:rPr>
        <w:footnoteRef/>
      </w:r>
      <w:r w:rsidRPr="001D6ECE">
        <w:rPr>
          <w:rFonts w:asciiTheme="minorHAnsi" w:hAnsiTheme="minorHAnsi" w:cstheme="minorHAnsi"/>
          <w:sz w:val="18"/>
          <w:szCs w:val="18"/>
        </w:rPr>
        <w:t xml:space="preserve"> Chief Investigator A and &gt;50% of the Chief Investigator team must be Early- and Mid-Career Researchers (EMCRs).</w:t>
      </w:r>
    </w:p>
  </w:footnote>
  <w:footnote w:id="11">
    <w:p w14:paraId="1EEF6BEB" w14:textId="77839036" w:rsidR="001D6ECE" w:rsidRPr="001D6ECE" w:rsidRDefault="001D6ECE" w:rsidP="001D6ECE">
      <w:pPr>
        <w:pStyle w:val="Pa2"/>
        <w:spacing w:line="276" w:lineRule="auto"/>
        <w:rPr>
          <w:rFonts w:asciiTheme="minorHAnsi" w:hAnsiTheme="minorHAnsi" w:cstheme="minorHAnsi"/>
          <w:color w:val="000000"/>
          <w:sz w:val="18"/>
          <w:szCs w:val="18"/>
        </w:rPr>
      </w:pPr>
      <w:r w:rsidRPr="001D6ECE">
        <w:rPr>
          <w:rStyle w:val="FootnoteReference"/>
          <w:rFonts w:asciiTheme="minorHAnsi" w:hAnsiTheme="minorHAnsi" w:cstheme="minorHAnsi"/>
          <w:sz w:val="18"/>
          <w:szCs w:val="18"/>
        </w:rPr>
        <w:footnoteRef/>
      </w:r>
      <w:r w:rsidRPr="001D6ECE">
        <w:rPr>
          <w:rFonts w:asciiTheme="minorHAnsi" w:hAnsiTheme="minorHAnsi" w:cstheme="minorHAnsi"/>
          <w:sz w:val="18"/>
          <w:szCs w:val="18"/>
        </w:rPr>
        <w:t xml:space="preserve"> </w:t>
      </w:r>
      <w:r w:rsidRPr="001D6ECE">
        <w:rPr>
          <w:rFonts w:asciiTheme="minorHAnsi" w:hAnsiTheme="minorHAnsi" w:cstheme="minorHAnsi"/>
          <w:color w:val="000000"/>
          <w:sz w:val="18"/>
          <w:szCs w:val="18"/>
        </w:rPr>
        <w:t>Chief Investigator A and &gt;50% of the Chief Investigator team must be MCRs (MCR being &lt;10 years post-PhD).</w:t>
      </w:r>
    </w:p>
  </w:footnote>
  <w:footnote w:id="12">
    <w:p w14:paraId="1692AAB7" w14:textId="160768AB" w:rsidR="001D6ECE" w:rsidRDefault="001D6ECE" w:rsidP="001D6ECE">
      <w:pPr>
        <w:pStyle w:val="FootnoteText"/>
        <w:spacing w:line="276" w:lineRule="auto"/>
      </w:pPr>
      <w:r w:rsidRPr="001D6ECE">
        <w:rPr>
          <w:rStyle w:val="FootnoteReference"/>
          <w:rFonts w:asciiTheme="minorHAnsi" w:hAnsiTheme="minorHAnsi" w:cstheme="minorHAnsi"/>
          <w:sz w:val="18"/>
          <w:szCs w:val="18"/>
        </w:rPr>
        <w:footnoteRef/>
      </w:r>
      <w:r w:rsidRPr="001D6ECE">
        <w:rPr>
          <w:rFonts w:asciiTheme="minorHAnsi" w:hAnsiTheme="minorHAnsi" w:cstheme="minorHAnsi"/>
          <w:sz w:val="18"/>
          <w:szCs w:val="18"/>
        </w:rPr>
        <w:t xml:space="preserve"> See </w:t>
      </w:r>
      <w:hyperlink w:anchor="_Large-scale_activities_and" w:history="1">
        <w:r w:rsidRPr="001D6ECE">
          <w:rPr>
            <w:rStyle w:val="Hyperlink"/>
            <w:rFonts w:asciiTheme="minorHAnsi" w:hAnsiTheme="minorHAnsi" w:cstheme="minorHAnsi"/>
            <w:sz w:val="18"/>
            <w:szCs w:val="18"/>
          </w:rPr>
          <w:t>Large-scale activities and collaborations</w:t>
        </w:r>
      </w:hyperlink>
      <w:r w:rsidRPr="001D6ECE">
        <w:rPr>
          <w:rFonts w:asciiTheme="minorHAnsi" w:hAnsiTheme="minorHAnsi" w:cstheme="minorHAnsi"/>
          <w:sz w:val="18"/>
          <w:szCs w:val="18"/>
        </w:rPr>
        <w:t xml:space="preserve"> under the ‘Implementation strategy’ section on page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B657" w14:textId="77777777" w:rsidR="00F264B8" w:rsidRDefault="00F26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3BCF" w14:textId="77777777" w:rsidR="00F264B8" w:rsidRDefault="00F26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5FCE" w14:textId="77777777" w:rsidR="00F264B8" w:rsidRDefault="00F26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19EBF"/>
    <w:multiLevelType w:val="hybridMultilevel"/>
    <w:tmpl w:val="923E2B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E2AFE6"/>
    <w:multiLevelType w:val="hybridMultilevel"/>
    <w:tmpl w:val="D11B74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E89C03"/>
    <w:multiLevelType w:val="hybridMultilevel"/>
    <w:tmpl w:val="EC57A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C0489"/>
    <w:multiLevelType w:val="hybridMultilevel"/>
    <w:tmpl w:val="53B25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0790A"/>
    <w:multiLevelType w:val="hybridMultilevel"/>
    <w:tmpl w:val="7800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A1CB1"/>
    <w:multiLevelType w:val="hybridMultilevel"/>
    <w:tmpl w:val="EEF48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109ED"/>
    <w:multiLevelType w:val="hybridMultilevel"/>
    <w:tmpl w:val="0A828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5B3838"/>
    <w:multiLevelType w:val="hybridMultilevel"/>
    <w:tmpl w:val="DBAAA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7D5A95"/>
    <w:multiLevelType w:val="hybridMultilevel"/>
    <w:tmpl w:val="9834A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848E1"/>
    <w:multiLevelType w:val="hybridMultilevel"/>
    <w:tmpl w:val="5EE02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323343"/>
    <w:multiLevelType w:val="hybridMultilevel"/>
    <w:tmpl w:val="7EF4E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75D21"/>
    <w:multiLevelType w:val="hybridMultilevel"/>
    <w:tmpl w:val="2D568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6117C4"/>
    <w:multiLevelType w:val="hybridMultilevel"/>
    <w:tmpl w:val="C32BE0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1532506"/>
    <w:multiLevelType w:val="hybridMultilevel"/>
    <w:tmpl w:val="78A58A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8F2375"/>
    <w:multiLevelType w:val="hybridMultilevel"/>
    <w:tmpl w:val="F7E47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80D104F"/>
    <w:multiLevelType w:val="hybridMultilevel"/>
    <w:tmpl w:val="CDF8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A26D95"/>
    <w:multiLevelType w:val="hybridMultilevel"/>
    <w:tmpl w:val="8B0E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F52D4F"/>
    <w:multiLevelType w:val="hybridMultilevel"/>
    <w:tmpl w:val="D53C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DA29DF"/>
    <w:multiLevelType w:val="hybridMultilevel"/>
    <w:tmpl w:val="FBD00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7611A3"/>
    <w:multiLevelType w:val="hybridMultilevel"/>
    <w:tmpl w:val="A068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2A3C3E"/>
    <w:multiLevelType w:val="hybridMultilevel"/>
    <w:tmpl w:val="C6A0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AF0A98"/>
    <w:multiLevelType w:val="hybridMultilevel"/>
    <w:tmpl w:val="1B76C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612FDA"/>
    <w:multiLevelType w:val="hybridMultilevel"/>
    <w:tmpl w:val="F7C28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A6C94"/>
    <w:multiLevelType w:val="hybridMultilevel"/>
    <w:tmpl w:val="523A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5D055C"/>
    <w:multiLevelType w:val="hybridMultilevel"/>
    <w:tmpl w:val="C0621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351DE"/>
    <w:multiLevelType w:val="hybridMultilevel"/>
    <w:tmpl w:val="1674C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3E5AD2"/>
    <w:multiLevelType w:val="hybridMultilevel"/>
    <w:tmpl w:val="0754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DD02D2"/>
    <w:multiLevelType w:val="hybridMultilevel"/>
    <w:tmpl w:val="C0D4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5B4F9E"/>
    <w:multiLevelType w:val="hybridMultilevel"/>
    <w:tmpl w:val="4FB0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7A7E24"/>
    <w:multiLevelType w:val="hybridMultilevel"/>
    <w:tmpl w:val="F2CE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5017A2"/>
    <w:multiLevelType w:val="hybridMultilevel"/>
    <w:tmpl w:val="BC966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9B6FF6"/>
    <w:multiLevelType w:val="hybridMultilevel"/>
    <w:tmpl w:val="1AF6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8"/>
  </w:num>
  <w:num w:numId="4">
    <w:abstractNumId w:val="6"/>
  </w:num>
  <w:num w:numId="5">
    <w:abstractNumId w:val="3"/>
  </w:num>
  <w:num w:numId="6">
    <w:abstractNumId w:val="35"/>
  </w:num>
  <w:num w:numId="7">
    <w:abstractNumId w:val="18"/>
  </w:num>
  <w:num w:numId="8">
    <w:abstractNumId w:val="13"/>
  </w:num>
  <w:num w:numId="9">
    <w:abstractNumId w:val="1"/>
  </w:num>
  <w:num w:numId="10">
    <w:abstractNumId w:val="2"/>
  </w:num>
  <w:num w:numId="11">
    <w:abstractNumId w:val="28"/>
  </w:num>
  <w:num w:numId="12">
    <w:abstractNumId w:val="23"/>
  </w:num>
  <w:num w:numId="13">
    <w:abstractNumId w:val="16"/>
  </w:num>
  <w:num w:numId="14">
    <w:abstractNumId w:val="15"/>
  </w:num>
  <w:num w:numId="15">
    <w:abstractNumId w:val="4"/>
  </w:num>
  <w:num w:numId="16">
    <w:abstractNumId w:val="12"/>
  </w:num>
  <w:num w:numId="17">
    <w:abstractNumId w:val="27"/>
  </w:num>
  <w:num w:numId="18">
    <w:abstractNumId w:val="36"/>
  </w:num>
  <w:num w:numId="19">
    <w:abstractNumId w:val="0"/>
  </w:num>
  <w:num w:numId="20">
    <w:abstractNumId w:val="31"/>
  </w:num>
  <w:num w:numId="21">
    <w:abstractNumId w:val="37"/>
  </w:num>
  <w:num w:numId="22">
    <w:abstractNumId w:val="5"/>
  </w:num>
  <w:num w:numId="23">
    <w:abstractNumId w:val="39"/>
  </w:num>
  <w:num w:numId="24">
    <w:abstractNumId w:val="7"/>
  </w:num>
  <w:num w:numId="25">
    <w:abstractNumId w:val="25"/>
  </w:num>
  <w:num w:numId="26">
    <w:abstractNumId w:val="30"/>
  </w:num>
  <w:num w:numId="27">
    <w:abstractNumId w:val="33"/>
  </w:num>
  <w:num w:numId="28">
    <w:abstractNumId w:val="29"/>
  </w:num>
  <w:num w:numId="29">
    <w:abstractNumId w:val="11"/>
  </w:num>
  <w:num w:numId="30">
    <w:abstractNumId w:val="14"/>
  </w:num>
  <w:num w:numId="31">
    <w:abstractNumId w:val="10"/>
  </w:num>
  <w:num w:numId="32">
    <w:abstractNumId w:val="20"/>
  </w:num>
  <w:num w:numId="33">
    <w:abstractNumId w:val="26"/>
  </w:num>
  <w:num w:numId="34">
    <w:abstractNumId w:val="8"/>
  </w:num>
  <w:num w:numId="35">
    <w:abstractNumId w:val="21"/>
  </w:num>
  <w:num w:numId="36">
    <w:abstractNumId w:val="9"/>
  </w:num>
  <w:num w:numId="37">
    <w:abstractNumId w:val="32"/>
  </w:num>
  <w:num w:numId="38">
    <w:abstractNumId w:val="19"/>
  </w:num>
  <w:num w:numId="39">
    <w:abstractNumId w:val="22"/>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3A"/>
    <w:rsid w:val="00025721"/>
    <w:rsid w:val="00060B6D"/>
    <w:rsid w:val="00074BA7"/>
    <w:rsid w:val="0007577C"/>
    <w:rsid w:val="000D7315"/>
    <w:rsid w:val="00116E9C"/>
    <w:rsid w:val="001567E8"/>
    <w:rsid w:val="0017707E"/>
    <w:rsid w:val="001D6ECE"/>
    <w:rsid w:val="002274B8"/>
    <w:rsid w:val="00240513"/>
    <w:rsid w:val="002A6A91"/>
    <w:rsid w:val="002B1882"/>
    <w:rsid w:val="002C09C8"/>
    <w:rsid w:val="002D19AE"/>
    <w:rsid w:val="002F1461"/>
    <w:rsid w:val="003C6A47"/>
    <w:rsid w:val="003C7EE6"/>
    <w:rsid w:val="00413188"/>
    <w:rsid w:val="0041526B"/>
    <w:rsid w:val="00462B3E"/>
    <w:rsid w:val="004B236C"/>
    <w:rsid w:val="004E620D"/>
    <w:rsid w:val="005060F9"/>
    <w:rsid w:val="0051643E"/>
    <w:rsid w:val="00532C95"/>
    <w:rsid w:val="00581132"/>
    <w:rsid w:val="005C4C63"/>
    <w:rsid w:val="005C5F2C"/>
    <w:rsid w:val="005C77F3"/>
    <w:rsid w:val="005D0AAD"/>
    <w:rsid w:val="00620E3E"/>
    <w:rsid w:val="00634BE3"/>
    <w:rsid w:val="00640023"/>
    <w:rsid w:val="00662CC4"/>
    <w:rsid w:val="00682DBA"/>
    <w:rsid w:val="006A6A3E"/>
    <w:rsid w:val="006B531A"/>
    <w:rsid w:val="006D0F90"/>
    <w:rsid w:val="00701032"/>
    <w:rsid w:val="00720928"/>
    <w:rsid w:val="00741242"/>
    <w:rsid w:val="007712FC"/>
    <w:rsid w:val="0078500C"/>
    <w:rsid w:val="007869BD"/>
    <w:rsid w:val="007E5F75"/>
    <w:rsid w:val="00807F6F"/>
    <w:rsid w:val="0081109B"/>
    <w:rsid w:val="00835FE6"/>
    <w:rsid w:val="008F1E73"/>
    <w:rsid w:val="008F2B31"/>
    <w:rsid w:val="008F7925"/>
    <w:rsid w:val="00901B4F"/>
    <w:rsid w:val="00933F86"/>
    <w:rsid w:val="0093576F"/>
    <w:rsid w:val="00936E57"/>
    <w:rsid w:val="009710BB"/>
    <w:rsid w:val="009C5586"/>
    <w:rsid w:val="009C5F3A"/>
    <w:rsid w:val="009F2E25"/>
    <w:rsid w:val="00A23E0E"/>
    <w:rsid w:val="00A464CA"/>
    <w:rsid w:val="00A80C04"/>
    <w:rsid w:val="00AB53B3"/>
    <w:rsid w:val="00AF5AC4"/>
    <w:rsid w:val="00B041F6"/>
    <w:rsid w:val="00B30207"/>
    <w:rsid w:val="00B463AA"/>
    <w:rsid w:val="00B81C76"/>
    <w:rsid w:val="00BC00C4"/>
    <w:rsid w:val="00BC0788"/>
    <w:rsid w:val="00BE78FD"/>
    <w:rsid w:val="00C21E06"/>
    <w:rsid w:val="00C52921"/>
    <w:rsid w:val="00C6772E"/>
    <w:rsid w:val="00C81674"/>
    <w:rsid w:val="00C95CBA"/>
    <w:rsid w:val="00CA570C"/>
    <w:rsid w:val="00CA5DC6"/>
    <w:rsid w:val="00CC452B"/>
    <w:rsid w:val="00D3634E"/>
    <w:rsid w:val="00D6734A"/>
    <w:rsid w:val="00D674D7"/>
    <w:rsid w:val="00D8325F"/>
    <w:rsid w:val="00DF52E0"/>
    <w:rsid w:val="00E45F16"/>
    <w:rsid w:val="00E87737"/>
    <w:rsid w:val="00EB2F24"/>
    <w:rsid w:val="00F23483"/>
    <w:rsid w:val="00F264B8"/>
    <w:rsid w:val="00F453DE"/>
    <w:rsid w:val="00F4752D"/>
    <w:rsid w:val="00F47712"/>
    <w:rsid w:val="00FD435B"/>
    <w:rsid w:val="00FF08C1"/>
    <w:rsid w:val="00FF7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0E95"/>
  <w15:chartTrackingRefBased/>
  <w15:docId w15:val="{C96FCED2-931F-C240-AA87-6972C381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15"/>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2D19AE"/>
    <w:pPr>
      <w:keepNext/>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9C5F3A"/>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9C5F3A"/>
    <w:pPr>
      <w:keepNext/>
      <w:spacing w:before="240"/>
      <w:ind w:left="720" w:hanging="720"/>
      <w:outlineLvl w:val="2"/>
    </w:pPr>
    <w:rPr>
      <w:rFonts w:cs="Arial"/>
      <w:b/>
      <w:bCs/>
      <w:szCs w:val="26"/>
    </w:rPr>
  </w:style>
  <w:style w:type="paragraph" w:styleId="Heading4">
    <w:name w:val="heading 4"/>
    <w:basedOn w:val="Normal"/>
    <w:next w:val="Normal"/>
    <w:link w:val="Heading4Char"/>
    <w:rsid w:val="009C5F3A"/>
    <w:pPr>
      <w:keepNext/>
      <w:spacing w:before="120" w:after="120"/>
      <w:outlineLvl w:val="3"/>
    </w:pPr>
    <w:rPr>
      <w:b/>
      <w:bCs/>
      <w:i/>
      <w:szCs w:val="28"/>
    </w:rPr>
  </w:style>
  <w:style w:type="paragraph" w:styleId="Heading5">
    <w:name w:val="heading 5"/>
    <w:basedOn w:val="Normal"/>
    <w:next w:val="Normal"/>
    <w:link w:val="Heading5Char"/>
    <w:rsid w:val="009C5F3A"/>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9AE"/>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9C5F3A"/>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9C5F3A"/>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9C5F3A"/>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9C5F3A"/>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9C5F3A"/>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9C5F3A"/>
    <w:rPr>
      <w:rFonts w:ascii="Calibri" w:eastAsiaTheme="majorEastAsia" w:hAnsi="Calibri" w:cstheme="majorBidi"/>
      <w:b/>
      <w:iCs/>
      <w:sz w:val="40"/>
      <w:lang w:eastAsia="en-AU"/>
    </w:rPr>
  </w:style>
  <w:style w:type="paragraph" w:customStyle="1" w:styleId="PullQuote">
    <w:name w:val="PullQuote"/>
    <w:basedOn w:val="Normal"/>
    <w:next w:val="Normal"/>
    <w:rsid w:val="009C5F3A"/>
    <w:rPr>
      <w:b/>
      <w:color w:val="7B7B7B" w:themeColor="accent3" w:themeShade="BF"/>
    </w:rPr>
  </w:style>
  <w:style w:type="paragraph" w:customStyle="1" w:styleId="ReportDate">
    <w:name w:val="ReportDate"/>
    <w:basedOn w:val="Normal"/>
    <w:rsid w:val="009C5F3A"/>
    <w:pPr>
      <w:jc w:val="center"/>
    </w:pPr>
    <w:rPr>
      <w:sz w:val="40"/>
    </w:rPr>
  </w:style>
  <w:style w:type="paragraph" w:customStyle="1" w:styleId="Heading1a">
    <w:name w:val="Heading 1a"/>
    <w:basedOn w:val="Heading1"/>
    <w:next w:val="Normal"/>
    <w:rsid w:val="009C5F3A"/>
    <w:pPr>
      <w:outlineLvl w:val="9"/>
    </w:pPr>
  </w:style>
  <w:style w:type="paragraph" w:customStyle="1" w:styleId="Heading2a">
    <w:name w:val="Heading 2a"/>
    <w:basedOn w:val="Heading2"/>
    <w:next w:val="Normal"/>
    <w:rsid w:val="009C5F3A"/>
    <w:pPr>
      <w:ind w:left="0" w:firstLine="0"/>
      <w:outlineLvl w:val="9"/>
    </w:pPr>
  </w:style>
  <w:style w:type="paragraph" w:customStyle="1" w:styleId="Heading3a">
    <w:name w:val="Heading 3a"/>
    <w:basedOn w:val="Heading3"/>
    <w:next w:val="Normal"/>
    <w:rsid w:val="009C5F3A"/>
    <w:pPr>
      <w:ind w:left="0" w:firstLine="0"/>
      <w:outlineLvl w:val="9"/>
    </w:pPr>
  </w:style>
  <w:style w:type="paragraph" w:styleId="Header">
    <w:name w:val="header"/>
    <w:basedOn w:val="Normal"/>
    <w:link w:val="HeaderChar"/>
    <w:semiHidden/>
    <w:rsid w:val="009C5F3A"/>
    <w:pPr>
      <w:tabs>
        <w:tab w:val="right" w:pos="9000"/>
      </w:tabs>
      <w:spacing w:after="0"/>
    </w:pPr>
    <w:rPr>
      <w:sz w:val="18"/>
    </w:rPr>
  </w:style>
  <w:style w:type="character" w:customStyle="1" w:styleId="HeaderChar">
    <w:name w:val="Header Char"/>
    <w:basedOn w:val="DefaultParagraphFont"/>
    <w:link w:val="Header"/>
    <w:semiHidden/>
    <w:rsid w:val="009C5F3A"/>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9C5F3A"/>
    <w:pPr>
      <w:tabs>
        <w:tab w:val="right" w:pos="9000"/>
      </w:tabs>
      <w:spacing w:after="0"/>
    </w:pPr>
    <w:rPr>
      <w:sz w:val="20"/>
    </w:rPr>
  </w:style>
  <w:style w:type="character" w:customStyle="1" w:styleId="FooterChar">
    <w:name w:val="Footer Char"/>
    <w:basedOn w:val="DefaultParagraphFont"/>
    <w:link w:val="Footer"/>
    <w:uiPriority w:val="99"/>
    <w:rsid w:val="009C5F3A"/>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9C5F3A"/>
    <w:rPr>
      <w:rFonts w:ascii="Times New Roman" w:hAnsi="Times New Roman"/>
      <w:b/>
      <w:sz w:val="20"/>
    </w:rPr>
  </w:style>
  <w:style w:type="paragraph" w:customStyle="1" w:styleId="TableText">
    <w:name w:val="TableText"/>
    <w:basedOn w:val="Normal"/>
    <w:rsid w:val="009C5F3A"/>
    <w:pPr>
      <w:keepNext/>
      <w:spacing w:before="60" w:after="60"/>
    </w:pPr>
    <w:rPr>
      <w:sz w:val="21"/>
      <w:szCs w:val="21"/>
    </w:rPr>
  </w:style>
  <w:style w:type="paragraph" w:customStyle="1" w:styleId="TFListNotesSpace">
    <w:name w:val="TFListNotes+Space"/>
    <w:basedOn w:val="TableText"/>
    <w:next w:val="Normal"/>
    <w:rsid w:val="009C5F3A"/>
    <w:pPr>
      <w:keepNext w:val="0"/>
      <w:keepLines/>
      <w:spacing w:before="0" w:after="360"/>
      <w:ind w:left="170" w:hanging="170"/>
    </w:pPr>
    <w:rPr>
      <w:sz w:val="18"/>
      <w:szCs w:val="18"/>
    </w:rPr>
  </w:style>
  <w:style w:type="paragraph" w:customStyle="1" w:styleId="TFListNotes">
    <w:name w:val="TFListNotes"/>
    <w:basedOn w:val="TFListNotesSpace"/>
    <w:rsid w:val="009C5F3A"/>
    <w:pPr>
      <w:keepNext/>
      <w:spacing w:after="0"/>
    </w:pPr>
  </w:style>
  <w:style w:type="paragraph" w:customStyle="1" w:styleId="TableName">
    <w:name w:val="TableName"/>
    <w:basedOn w:val="TableText"/>
    <w:rsid w:val="009C5F3A"/>
    <w:pPr>
      <w:tabs>
        <w:tab w:val="left" w:pos="1080"/>
      </w:tabs>
      <w:spacing w:before="120" w:after="120"/>
      <w:ind w:left="1080" w:hanging="1080"/>
    </w:pPr>
    <w:rPr>
      <w:b/>
      <w:bCs/>
      <w:sz w:val="22"/>
    </w:rPr>
  </w:style>
  <w:style w:type="paragraph" w:customStyle="1" w:styleId="TableHeading">
    <w:name w:val="TableHeading"/>
    <w:basedOn w:val="TableText"/>
    <w:rsid w:val="009C5F3A"/>
    <w:rPr>
      <w:b/>
      <w:bCs/>
    </w:rPr>
  </w:style>
  <w:style w:type="paragraph" w:customStyle="1" w:styleId="TableBullet">
    <w:name w:val="TableBullet"/>
    <w:basedOn w:val="TableText"/>
    <w:rsid w:val="009C5F3A"/>
    <w:pPr>
      <w:numPr>
        <w:numId w:val="1"/>
      </w:numPr>
      <w:tabs>
        <w:tab w:val="clear" w:pos="360"/>
        <w:tab w:val="left" w:pos="216"/>
      </w:tabs>
      <w:ind w:left="216" w:hanging="216"/>
    </w:pPr>
  </w:style>
  <w:style w:type="paragraph" w:customStyle="1" w:styleId="TableDash">
    <w:name w:val="TableDash"/>
    <w:basedOn w:val="TableText"/>
    <w:rsid w:val="009C5F3A"/>
    <w:pPr>
      <w:numPr>
        <w:numId w:val="2"/>
      </w:numPr>
      <w:tabs>
        <w:tab w:val="clear" w:pos="216"/>
        <w:tab w:val="num" w:pos="432"/>
      </w:tabs>
    </w:pPr>
  </w:style>
  <w:style w:type="paragraph" w:styleId="Quote">
    <w:name w:val="Quote"/>
    <w:basedOn w:val="Normal"/>
    <w:link w:val="QuoteChar"/>
    <w:rsid w:val="009C5F3A"/>
    <w:pPr>
      <w:ind w:left="720" w:right="720"/>
    </w:pPr>
    <w:rPr>
      <w:sz w:val="20"/>
    </w:rPr>
  </w:style>
  <w:style w:type="character" w:customStyle="1" w:styleId="QuoteChar">
    <w:name w:val="Quote Char"/>
    <w:basedOn w:val="DefaultParagraphFont"/>
    <w:link w:val="Quote"/>
    <w:rsid w:val="009C5F3A"/>
    <w:rPr>
      <w:rFonts w:ascii="Calibri" w:eastAsia="Times New Roman" w:hAnsi="Calibri" w:cs="Times New Roman"/>
      <w:color w:val="000000"/>
      <w:sz w:val="20"/>
      <w:szCs w:val="20"/>
      <w:lang w:eastAsia="en-AU"/>
    </w:rPr>
  </w:style>
  <w:style w:type="paragraph" w:customStyle="1" w:styleId="References">
    <w:name w:val="References"/>
    <w:basedOn w:val="Normal"/>
    <w:rsid w:val="009C5F3A"/>
    <w:pPr>
      <w:keepLines/>
      <w:ind w:left="720" w:hanging="720"/>
    </w:pPr>
  </w:style>
  <w:style w:type="paragraph" w:styleId="FootnoteText">
    <w:name w:val="footnote text"/>
    <w:basedOn w:val="Normal"/>
    <w:link w:val="FootnoteTextChar"/>
    <w:semiHidden/>
    <w:rsid w:val="009C5F3A"/>
    <w:pPr>
      <w:spacing w:after="0"/>
      <w:ind w:left="360" w:hanging="360"/>
    </w:pPr>
    <w:rPr>
      <w:sz w:val="20"/>
    </w:rPr>
  </w:style>
  <w:style w:type="character" w:customStyle="1" w:styleId="FootnoteTextChar">
    <w:name w:val="Footnote Text Char"/>
    <w:basedOn w:val="DefaultParagraphFont"/>
    <w:link w:val="FootnoteText"/>
    <w:semiHidden/>
    <w:rsid w:val="009C5F3A"/>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9C5F3A"/>
    <w:rPr>
      <w:vertAlign w:val="superscript"/>
    </w:rPr>
  </w:style>
  <w:style w:type="paragraph" w:customStyle="1" w:styleId="FigTabPara">
    <w:name w:val="FigTabPara"/>
    <w:basedOn w:val="Normal"/>
    <w:next w:val="TFIHolder"/>
    <w:rsid w:val="009C5F3A"/>
    <w:pPr>
      <w:keepNext/>
      <w:spacing w:after="120"/>
      <w:ind w:left="1077"/>
    </w:pPr>
  </w:style>
  <w:style w:type="paragraph" w:customStyle="1" w:styleId="TFIHolder">
    <w:name w:val="TFIHolder"/>
    <w:basedOn w:val="TFAbbrevs"/>
    <w:qFormat/>
    <w:rsid w:val="009C5F3A"/>
    <w:rPr>
      <w:sz w:val="12"/>
    </w:rPr>
  </w:style>
  <w:style w:type="paragraph" w:customStyle="1" w:styleId="TFAbbrevs">
    <w:name w:val="TFAbbrevs"/>
    <w:basedOn w:val="TFListNotes"/>
    <w:rsid w:val="009C5F3A"/>
  </w:style>
  <w:style w:type="paragraph" w:customStyle="1" w:styleId="FigureNameSpace">
    <w:name w:val="FigureName+Space"/>
    <w:basedOn w:val="Normal"/>
    <w:next w:val="Normal"/>
    <w:rsid w:val="009C5F3A"/>
    <w:pPr>
      <w:keepLines/>
      <w:tabs>
        <w:tab w:val="left" w:pos="1080"/>
      </w:tabs>
      <w:spacing w:before="120" w:after="360"/>
      <w:ind w:left="1080" w:hanging="1080"/>
    </w:pPr>
    <w:rPr>
      <w:b/>
      <w:bCs/>
    </w:rPr>
  </w:style>
  <w:style w:type="paragraph" w:styleId="TOC1">
    <w:name w:val="toc 1"/>
    <w:basedOn w:val="Normal"/>
    <w:next w:val="Normal"/>
    <w:autoRedefine/>
    <w:uiPriority w:val="39"/>
    <w:rsid w:val="009C5F3A"/>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9C5F3A"/>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9C5F3A"/>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9C5F3A"/>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9C5F3A"/>
    <w:pPr>
      <w:numPr>
        <w:numId w:val="3"/>
      </w:numPr>
      <w:spacing w:after="0"/>
    </w:pPr>
  </w:style>
  <w:style w:type="paragraph" w:customStyle="1" w:styleId="Bullet">
    <w:name w:val="Bullet"/>
    <w:basedOn w:val="BulletBeforeDash"/>
    <w:qFormat/>
    <w:rsid w:val="009C5F3A"/>
    <w:pPr>
      <w:spacing w:after="120"/>
    </w:pPr>
  </w:style>
  <w:style w:type="paragraph" w:customStyle="1" w:styleId="BulletLast">
    <w:name w:val="BulletLast"/>
    <w:basedOn w:val="Bullet"/>
    <w:qFormat/>
    <w:rsid w:val="009C5F3A"/>
    <w:pPr>
      <w:spacing w:after="240"/>
    </w:pPr>
  </w:style>
  <w:style w:type="paragraph" w:customStyle="1" w:styleId="Dash">
    <w:name w:val="Dash"/>
    <w:basedOn w:val="Normal"/>
    <w:rsid w:val="009C5F3A"/>
    <w:pPr>
      <w:numPr>
        <w:numId w:val="4"/>
      </w:numPr>
      <w:tabs>
        <w:tab w:val="clear" w:pos="216"/>
        <w:tab w:val="left" w:pos="720"/>
      </w:tabs>
      <w:spacing w:after="0"/>
      <w:ind w:left="720" w:hanging="360"/>
    </w:pPr>
  </w:style>
  <w:style w:type="paragraph" w:customStyle="1" w:styleId="DashLast">
    <w:name w:val="DashLast"/>
    <w:basedOn w:val="Dash"/>
    <w:rsid w:val="009C5F3A"/>
    <w:pPr>
      <w:spacing w:after="120"/>
    </w:pPr>
  </w:style>
  <w:style w:type="paragraph" w:customStyle="1" w:styleId="DashLastSpace">
    <w:name w:val="DashLast+Space"/>
    <w:basedOn w:val="DashLast"/>
    <w:rsid w:val="009C5F3A"/>
    <w:pPr>
      <w:spacing w:after="240"/>
    </w:pPr>
  </w:style>
  <w:style w:type="paragraph" w:customStyle="1" w:styleId="NormalBeforeBullet">
    <w:name w:val="NormalBeforeBullet"/>
    <w:basedOn w:val="Normal"/>
    <w:qFormat/>
    <w:rsid w:val="009C5F3A"/>
    <w:pPr>
      <w:keepNext/>
      <w:spacing w:after="120"/>
    </w:pPr>
  </w:style>
  <w:style w:type="paragraph" w:customStyle="1" w:styleId="BoxText">
    <w:name w:val="BoxText"/>
    <w:basedOn w:val="Normal"/>
    <w:qFormat/>
    <w:rsid w:val="009C5F3A"/>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9C5F3A"/>
    <w:pPr>
      <w:spacing w:before="120" w:after="60"/>
    </w:pPr>
    <w:rPr>
      <w:sz w:val="18"/>
    </w:rPr>
  </w:style>
  <w:style w:type="paragraph" w:customStyle="1" w:styleId="BoxName">
    <w:name w:val="BoxName"/>
    <w:basedOn w:val="BoxText"/>
    <w:rsid w:val="009C5F3A"/>
    <w:pPr>
      <w:keepNext/>
      <w:spacing w:before="180"/>
      <w:ind w:left="1080" w:hanging="1080"/>
    </w:pPr>
    <w:rPr>
      <w:b/>
      <w:bCs/>
      <w:sz w:val="24"/>
    </w:rPr>
  </w:style>
  <w:style w:type="paragraph" w:customStyle="1" w:styleId="BoxHeading">
    <w:name w:val="BoxHeading"/>
    <w:basedOn w:val="BoxText"/>
    <w:rsid w:val="009C5F3A"/>
    <w:pPr>
      <w:keepNext/>
      <w:spacing w:before="120" w:after="60"/>
    </w:pPr>
    <w:rPr>
      <w:b/>
      <w:bCs/>
    </w:rPr>
  </w:style>
  <w:style w:type="paragraph" w:customStyle="1" w:styleId="BoxBullet">
    <w:name w:val="BoxBullet"/>
    <w:basedOn w:val="BoxText"/>
    <w:rsid w:val="009C5F3A"/>
    <w:pPr>
      <w:numPr>
        <w:numId w:val="8"/>
      </w:numPr>
    </w:pPr>
  </w:style>
  <w:style w:type="paragraph" w:customStyle="1" w:styleId="BoxDashManual">
    <w:name w:val="BoxDashManual"/>
    <w:basedOn w:val="BoxText"/>
    <w:rsid w:val="009C5F3A"/>
    <w:pPr>
      <w:tabs>
        <w:tab w:val="left" w:pos="360"/>
        <w:tab w:val="left" w:pos="720"/>
      </w:tabs>
      <w:ind w:left="720" w:hanging="720"/>
    </w:pPr>
  </w:style>
  <w:style w:type="paragraph" w:customStyle="1" w:styleId="FigureName">
    <w:name w:val="FigureName"/>
    <w:basedOn w:val="FigureNameSpace"/>
    <w:next w:val="Normal"/>
    <w:rsid w:val="009C5F3A"/>
    <w:pPr>
      <w:keepNext/>
      <w:spacing w:after="120"/>
      <w:ind w:left="1077" w:hanging="1077"/>
    </w:pPr>
  </w:style>
  <w:style w:type="paragraph" w:styleId="Index1">
    <w:name w:val="index 1"/>
    <w:basedOn w:val="Normal"/>
    <w:next w:val="Normal"/>
    <w:rsid w:val="009C5F3A"/>
    <w:pPr>
      <w:spacing w:after="0"/>
      <w:ind w:left="518" w:hanging="518"/>
    </w:pPr>
    <w:rPr>
      <w:noProof/>
    </w:rPr>
  </w:style>
  <w:style w:type="paragraph" w:styleId="Index2">
    <w:name w:val="index 2"/>
    <w:basedOn w:val="Index1"/>
    <w:next w:val="Normal"/>
    <w:rsid w:val="009C5F3A"/>
    <w:pPr>
      <w:ind w:left="816" w:hanging="476"/>
    </w:pPr>
  </w:style>
  <w:style w:type="paragraph" w:styleId="TOC4">
    <w:name w:val="toc 4"/>
    <w:basedOn w:val="Normal"/>
    <w:next w:val="Normal"/>
    <w:autoRedefine/>
    <w:semiHidden/>
    <w:rsid w:val="009C5F3A"/>
    <w:pPr>
      <w:tabs>
        <w:tab w:val="right" w:leader="dot" w:pos="9016"/>
      </w:tabs>
      <w:spacing w:after="0"/>
      <w:ind w:left="2160" w:right="720"/>
    </w:pPr>
    <w:rPr>
      <w:noProof/>
      <w:szCs w:val="24"/>
    </w:rPr>
  </w:style>
  <w:style w:type="paragraph" w:customStyle="1" w:styleId="NumberList">
    <w:name w:val="NumberList"/>
    <w:basedOn w:val="Normal"/>
    <w:rsid w:val="009C5F3A"/>
    <w:pPr>
      <w:tabs>
        <w:tab w:val="left" w:pos="360"/>
      </w:tabs>
      <w:ind w:left="360" w:hanging="360"/>
    </w:pPr>
  </w:style>
  <w:style w:type="paragraph" w:customStyle="1" w:styleId="TFNoteSourceSpace">
    <w:name w:val="TFNoteSource+Space"/>
    <w:basedOn w:val="TFListNotesSpace"/>
    <w:next w:val="Normal"/>
    <w:rsid w:val="009C5F3A"/>
  </w:style>
  <w:style w:type="paragraph" w:customStyle="1" w:styleId="TFNoteSource">
    <w:name w:val="TFNoteSource"/>
    <w:basedOn w:val="TFNoteSourceSpace"/>
    <w:rsid w:val="009C5F3A"/>
    <w:pPr>
      <w:spacing w:after="0"/>
    </w:pPr>
  </w:style>
  <w:style w:type="character" w:customStyle="1" w:styleId="DesignerNotesChar">
    <w:name w:val="DesignerNotesChar"/>
    <w:basedOn w:val="DefaultParagraphFont"/>
    <w:rsid w:val="009C5F3A"/>
    <w:rPr>
      <w:rFonts w:ascii="Arial" w:hAnsi="Arial"/>
      <w:b/>
      <w:color w:val="3366FF"/>
      <w:sz w:val="20"/>
    </w:rPr>
  </w:style>
  <w:style w:type="paragraph" w:customStyle="1" w:styleId="TFAbbrevsSpace">
    <w:name w:val="TFAbbrevs+Space"/>
    <w:basedOn w:val="TFAbbrevs"/>
    <w:next w:val="Normal"/>
    <w:rsid w:val="009C5F3A"/>
    <w:pPr>
      <w:spacing w:after="360"/>
    </w:pPr>
  </w:style>
  <w:style w:type="character" w:styleId="Strong">
    <w:name w:val="Strong"/>
    <w:basedOn w:val="DefaultParagraphFont"/>
    <w:uiPriority w:val="22"/>
    <w:qFormat/>
    <w:rsid w:val="009C5F3A"/>
    <w:rPr>
      <w:b/>
      <w:bCs/>
    </w:rPr>
  </w:style>
  <w:style w:type="character" w:styleId="Emphasis">
    <w:name w:val="Emphasis"/>
    <w:basedOn w:val="DefaultParagraphFont"/>
    <w:uiPriority w:val="20"/>
    <w:qFormat/>
    <w:rsid w:val="009C5F3A"/>
    <w:rPr>
      <w:i/>
      <w:iCs/>
    </w:rPr>
  </w:style>
  <w:style w:type="character" w:customStyle="1" w:styleId="Roman">
    <w:name w:val="Roman"/>
    <w:uiPriority w:val="1"/>
    <w:rsid w:val="009C5F3A"/>
    <w:rPr>
      <w:b w:val="0"/>
      <w:i/>
    </w:rPr>
  </w:style>
  <w:style w:type="character" w:customStyle="1" w:styleId="PullQuoteOrigin">
    <w:name w:val="PullQuoteOrigin"/>
    <w:basedOn w:val="DefaultParagraphFont"/>
    <w:uiPriority w:val="1"/>
    <w:rsid w:val="009C5F3A"/>
    <w:rPr>
      <w:b/>
      <w:noProof/>
      <w:color w:val="7B7B7B" w:themeColor="accent3" w:themeShade="BF"/>
    </w:rPr>
  </w:style>
  <w:style w:type="table" w:styleId="TableGrid">
    <w:name w:val="Table Grid"/>
    <w:basedOn w:val="TableNormal"/>
    <w:uiPriority w:val="59"/>
    <w:rsid w:val="009C5F3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C5F3A"/>
    <w:pPr>
      <w:spacing w:after="240"/>
    </w:pPr>
  </w:style>
  <w:style w:type="paragraph" w:customStyle="1" w:styleId="DesignerNotes">
    <w:name w:val="DesignerNotes"/>
    <w:basedOn w:val="Normal"/>
    <w:rsid w:val="009C5F3A"/>
    <w:rPr>
      <w:rFonts w:ascii="Arial" w:hAnsi="Arial"/>
      <w:b/>
      <w:color w:val="3366FF"/>
      <w:sz w:val="20"/>
    </w:rPr>
  </w:style>
  <w:style w:type="character" w:customStyle="1" w:styleId="Subscript">
    <w:name w:val="Subscript"/>
    <w:basedOn w:val="DefaultParagraphFont"/>
    <w:uiPriority w:val="1"/>
    <w:rsid w:val="009C5F3A"/>
    <w:rPr>
      <w:noProof/>
      <w:vertAlign w:val="subscript"/>
    </w:rPr>
  </w:style>
  <w:style w:type="character" w:customStyle="1" w:styleId="Superscript">
    <w:name w:val="Superscript"/>
    <w:basedOn w:val="DefaultParagraphFont"/>
    <w:uiPriority w:val="1"/>
    <w:rsid w:val="009C5F3A"/>
    <w:rPr>
      <w:noProof/>
      <w:vertAlign w:val="superscript"/>
    </w:rPr>
  </w:style>
  <w:style w:type="character" w:customStyle="1" w:styleId="Symbol">
    <w:name w:val="Symbol"/>
    <w:basedOn w:val="DefaultParagraphFont"/>
    <w:uiPriority w:val="1"/>
    <w:rsid w:val="009C5F3A"/>
    <w:rPr>
      <w:noProof/>
    </w:rPr>
  </w:style>
  <w:style w:type="character" w:customStyle="1" w:styleId="NoBreak">
    <w:name w:val="NoBreak"/>
    <w:basedOn w:val="DefaultParagraphFont"/>
    <w:uiPriority w:val="1"/>
    <w:rsid w:val="009C5F3A"/>
    <w:rPr>
      <w:noProof/>
    </w:rPr>
  </w:style>
  <w:style w:type="paragraph" w:customStyle="1" w:styleId="MathEquation">
    <w:name w:val="MathEquation"/>
    <w:basedOn w:val="Normal"/>
    <w:rsid w:val="009C5F3A"/>
    <w:rPr>
      <w:rFonts w:ascii="Cambria Math" w:hAnsi="Cambria Math"/>
      <w:i/>
      <w:noProof/>
    </w:rPr>
  </w:style>
  <w:style w:type="paragraph" w:customStyle="1" w:styleId="ComputerCode">
    <w:name w:val="ComputerCode"/>
    <w:basedOn w:val="Normal"/>
    <w:rsid w:val="009C5F3A"/>
    <w:pPr>
      <w:ind w:left="567"/>
      <w:contextualSpacing/>
    </w:pPr>
    <w:rPr>
      <w:rFonts w:ascii="Courier New" w:hAnsi="Courier New"/>
      <w:color w:val="auto"/>
      <w:sz w:val="20"/>
      <w:szCs w:val="24"/>
    </w:rPr>
  </w:style>
  <w:style w:type="paragraph" w:customStyle="1" w:styleId="BulletChecklist">
    <w:name w:val="BulletChecklist"/>
    <w:basedOn w:val="Bullet"/>
    <w:rsid w:val="009C5F3A"/>
    <w:pPr>
      <w:numPr>
        <w:numId w:val="6"/>
      </w:numPr>
    </w:pPr>
    <w:rPr>
      <w:noProof/>
    </w:rPr>
  </w:style>
  <w:style w:type="paragraph" w:customStyle="1" w:styleId="ImprintText">
    <w:name w:val="ImprintText"/>
    <w:basedOn w:val="Normal"/>
    <w:rsid w:val="009C5F3A"/>
    <w:pPr>
      <w:spacing w:after="120"/>
    </w:pPr>
    <w:rPr>
      <w:sz w:val="20"/>
    </w:rPr>
  </w:style>
  <w:style w:type="paragraph" w:customStyle="1" w:styleId="AltText">
    <w:name w:val="AltText"/>
    <w:basedOn w:val="Normal"/>
    <w:rsid w:val="009C5F3A"/>
    <w:rPr>
      <w:rFonts w:ascii="Arial" w:hAnsi="Arial"/>
      <w:color w:val="538135" w:themeColor="accent6" w:themeShade="BF"/>
      <w:sz w:val="20"/>
    </w:rPr>
  </w:style>
  <w:style w:type="paragraph" w:styleId="Caption">
    <w:name w:val="caption"/>
    <w:basedOn w:val="Normal"/>
    <w:next w:val="Credit"/>
    <w:uiPriority w:val="35"/>
    <w:unhideWhenUsed/>
    <w:rsid w:val="009C5F3A"/>
    <w:pPr>
      <w:spacing w:after="0"/>
    </w:pPr>
    <w:rPr>
      <w:b/>
      <w:bCs/>
      <w:color w:val="auto"/>
      <w:sz w:val="18"/>
      <w:szCs w:val="18"/>
    </w:rPr>
  </w:style>
  <w:style w:type="paragraph" w:customStyle="1" w:styleId="Credit">
    <w:name w:val="Credit"/>
    <w:basedOn w:val="Caption"/>
    <w:next w:val="Normal"/>
    <w:rsid w:val="009C5F3A"/>
    <w:pPr>
      <w:spacing w:after="240"/>
    </w:pPr>
    <w:rPr>
      <w:b w:val="0"/>
      <w:noProof/>
    </w:rPr>
  </w:style>
  <w:style w:type="paragraph" w:customStyle="1" w:styleId="NormalFirstPara">
    <w:name w:val="NormalFirstPara"/>
    <w:basedOn w:val="Normal"/>
    <w:rsid w:val="009C5F3A"/>
    <w:rPr>
      <w:noProof/>
      <w:color w:val="A5A5A5" w:themeColor="accent3"/>
    </w:rPr>
  </w:style>
  <w:style w:type="paragraph" w:customStyle="1" w:styleId="TableHeadingCA">
    <w:name w:val="TableHeadingCA"/>
    <w:basedOn w:val="TableHeading"/>
    <w:rsid w:val="009C5F3A"/>
    <w:pPr>
      <w:jc w:val="center"/>
    </w:pPr>
  </w:style>
  <w:style w:type="paragraph" w:customStyle="1" w:styleId="TableTextCA">
    <w:name w:val="TableTextCA"/>
    <w:basedOn w:val="TableText"/>
    <w:rsid w:val="009C5F3A"/>
    <w:pPr>
      <w:jc w:val="center"/>
    </w:pPr>
  </w:style>
  <w:style w:type="paragraph" w:customStyle="1" w:styleId="TableTextDecimalAlign">
    <w:name w:val="TableTextDecimalAlign"/>
    <w:basedOn w:val="TableText"/>
    <w:rsid w:val="009C5F3A"/>
    <w:pPr>
      <w:tabs>
        <w:tab w:val="decimal" w:pos="1119"/>
      </w:tabs>
    </w:pPr>
  </w:style>
  <w:style w:type="paragraph" w:customStyle="1" w:styleId="NormalIndent">
    <w:name w:val="NormalIndent"/>
    <w:basedOn w:val="Normal"/>
    <w:rsid w:val="009C5F3A"/>
    <w:pPr>
      <w:ind w:left="357"/>
    </w:pPr>
  </w:style>
  <w:style w:type="paragraph" w:styleId="BalloonText">
    <w:name w:val="Balloon Text"/>
    <w:basedOn w:val="Normal"/>
    <w:link w:val="BalloonTextChar"/>
    <w:uiPriority w:val="99"/>
    <w:semiHidden/>
    <w:unhideWhenUsed/>
    <w:rsid w:val="009C5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3A"/>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9C5F3A"/>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9C5F3A"/>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9C5F3A"/>
    <w:pPr>
      <w:jc w:val="center"/>
    </w:pPr>
    <w:rPr>
      <w:b/>
      <w:sz w:val="40"/>
    </w:rPr>
  </w:style>
  <w:style w:type="paragraph" w:customStyle="1" w:styleId="SectionSubtitle">
    <w:name w:val="SectionSubtitle"/>
    <w:basedOn w:val="Normal"/>
    <w:rsid w:val="009C5F3A"/>
    <w:pPr>
      <w:spacing w:after="0"/>
      <w:jc w:val="center"/>
    </w:pPr>
    <w:rPr>
      <w:sz w:val="32"/>
    </w:rPr>
  </w:style>
  <w:style w:type="paragraph" w:customStyle="1" w:styleId="QuoteNumberList">
    <w:name w:val="QuoteNumberList"/>
    <w:basedOn w:val="Quote"/>
    <w:rsid w:val="009C5F3A"/>
    <w:pPr>
      <w:ind w:left="1117" w:hanging="397"/>
    </w:pPr>
    <w:rPr>
      <w:noProof/>
    </w:rPr>
  </w:style>
  <w:style w:type="paragraph" w:customStyle="1" w:styleId="QuoteBullet">
    <w:name w:val="QuoteBullet"/>
    <w:basedOn w:val="Quote"/>
    <w:rsid w:val="009C5F3A"/>
    <w:pPr>
      <w:numPr>
        <w:numId w:val="7"/>
      </w:numPr>
      <w:ind w:left="1117" w:hanging="397"/>
    </w:pPr>
    <w:rPr>
      <w:noProof/>
    </w:rPr>
  </w:style>
  <w:style w:type="paragraph" w:customStyle="1" w:styleId="BoxDash">
    <w:name w:val="BoxDash"/>
    <w:basedOn w:val="BoxBullet"/>
    <w:rsid w:val="009C5F3A"/>
    <w:pPr>
      <w:numPr>
        <w:numId w:val="5"/>
      </w:numPr>
    </w:pPr>
  </w:style>
  <w:style w:type="character" w:customStyle="1" w:styleId="CrossRef">
    <w:name w:val="CrossRef"/>
    <w:basedOn w:val="DefaultParagraphFont"/>
    <w:uiPriority w:val="1"/>
    <w:rsid w:val="009C5F3A"/>
    <w:rPr>
      <w:rFonts w:ascii="Calibri" w:hAnsi="Calibri"/>
      <w:b/>
      <w:noProof/>
      <w:color w:val="ED7D31" w:themeColor="accent2"/>
      <w:sz w:val="24"/>
    </w:rPr>
  </w:style>
  <w:style w:type="character" w:customStyle="1" w:styleId="StrongEmphasis">
    <w:name w:val="StrongEmphasis"/>
    <w:basedOn w:val="DefaultParagraphFont"/>
    <w:rsid w:val="009C5F3A"/>
    <w:rPr>
      <w:b/>
      <w:bCs/>
      <w:i/>
      <w:iCs/>
    </w:rPr>
  </w:style>
  <w:style w:type="character" w:customStyle="1" w:styleId="MathEquationChar">
    <w:name w:val="MathEquationChar"/>
    <w:basedOn w:val="DefaultParagraphFont"/>
    <w:uiPriority w:val="1"/>
    <w:rsid w:val="009C5F3A"/>
    <w:rPr>
      <w:rFonts w:ascii="Cambria Math" w:hAnsi="Cambria Math"/>
      <w:noProof/>
    </w:rPr>
  </w:style>
  <w:style w:type="character" w:customStyle="1" w:styleId="SubscriptEmphasis">
    <w:name w:val="SubscriptEmphasis"/>
    <w:basedOn w:val="DefaultParagraphFont"/>
    <w:uiPriority w:val="1"/>
    <w:rsid w:val="009C5F3A"/>
    <w:rPr>
      <w:i/>
      <w:noProof/>
      <w:vertAlign w:val="subscript"/>
    </w:rPr>
  </w:style>
  <w:style w:type="paragraph" w:styleId="NormalWeb">
    <w:name w:val="Normal (Web)"/>
    <w:basedOn w:val="Normal"/>
    <w:uiPriority w:val="99"/>
    <w:semiHidden/>
    <w:unhideWhenUsed/>
    <w:rsid w:val="009C5F3A"/>
    <w:pPr>
      <w:spacing w:before="100" w:beforeAutospacing="1" w:after="100" w:afterAutospacing="1"/>
    </w:pPr>
    <w:rPr>
      <w:rFonts w:ascii="Times New Roman" w:hAnsi="Times New Roman"/>
      <w:color w:val="auto"/>
      <w:sz w:val="24"/>
      <w:szCs w:val="24"/>
      <w:lang w:eastAsia="en-GB"/>
    </w:rPr>
  </w:style>
  <w:style w:type="character" w:styleId="Hyperlink">
    <w:name w:val="Hyperlink"/>
    <w:basedOn w:val="DefaultParagraphFont"/>
    <w:uiPriority w:val="99"/>
    <w:unhideWhenUsed/>
    <w:rsid w:val="002274B8"/>
    <w:rPr>
      <w:color w:val="0563C1" w:themeColor="hyperlink"/>
      <w:u w:val="single"/>
    </w:rPr>
  </w:style>
  <w:style w:type="character" w:styleId="UnresolvedMention">
    <w:name w:val="Unresolved Mention"/>
    <w:basedOn w:val="DefaultParagraphFont"/>
    <w:uiPriority w:val="99"/>
    <w:semiHidden/>
    <w:unhideWhenUsed/>
    <w:rsid w:val="002274B8"/>
    <w:rPr>
      <w:color w:val="605E5C"/>
      <w:shd w:val="clear" w:color="auto" w:fill="E1DFDD"/>
    </w:rPr>
  </w:style>
  <w:style w:type="character" w:styleId="CommentReference">
    <w:name w:val="annotation reference"/>
    <w:basedOn w:val="DefaultParagraphFont"/>
    <w:uiPriority w:val="99"/>
    <w:semiHidden/>
    <w:unhideWhenUsed/>
    <w:rsid w:val="00025721"/>
    <w:rPr>
      <w:sz w:val="16"/>
      <w:szCs w:val="16"/>
    </w:rPr>
  </w:style>
  <w:style w:type="paragraph" w:styleId="CommentText">
    <w:name w:val="annotation text"/>
    <w:basedOn w:val="Normal"/>
    <w:link w:val="CommentTextChar"/>
    <w:uiPriority w:val="99"/>
    <w:semiHidden/>
    <w:unhideWhenUsed/>
    <w:rsid w:val="00025721"/>
    <w:rPr>
      <w:sz w:val="20"/>
    </w:rPr>
  </w:style>
  <w:style w:type="character" w:customStyle="1" w:styleId="CommentTextChar">
    <w:name w:val="Comment Text Char"/>
    <w:basedOn w:val="DefaultParagraphFont"/>
    <w:link w:val="CommentText"/>
    <w:uiPriority w:val="99"/>
    <w:semiHidden/>
    <w:rsid w:val="00025721"/>
    <w:rPr>
      <w:rFonts w:ascii="Calibri" w:eastAsia="Times New Roman"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25721"/>
    <w:rPr>
      <w:b/>
      <w:bCs/>
    </w:rPr>
  </w:style>
  <w:style w:type="character" w:customStyle="1" w:styleId="CommentSubjectChar">
    <w:name w:val="Comment Subject Char"/>
    <w:basedOn w:val="CommentTextChar"/>
    <w:link w:val="CommentSubject"/>
    <w:uiPriority w:val="99"/>
    <w:semiHidden/>
    <w:rsid w:val="00025721"/>
    <w:rPr>
      <w:rFonts w:ascii="Calibri" w:eastAsia="Times New Roman" w:hAnsi="Calibri" w:cs="Times New Roman"/>
      <w:b/>
      <w:bCs/>
      <w:color w:val="000000"/>
      <w:sz w:val="20"/>
      <w:szCs w:val="20"/>
      <w:lang w:eastAsia="en-AU"/>
    </w:rPr>
  </w:style>
  <w:style w:type="character" w:styleId="FollowedHyperlink">
    <w:name w:val="FollowedHyperlink"/>
    <w:basedOn w:val="DefaultParagraphFont"/>
    <w:uiPriority w:val="99"/>
    <w:semiHidden/>
    <w:unhideWhenUsed/>
    <w:rsid w:val="006B531A"/>
    <w:rPr>
      <w:color w:val="954F72" w:themeColor="followedHyperlink"/>
      <w:u w:val="single"/>
    </w:rPr>
  </w:style>
  <w:style w:type="paragraph" w:styleId="Revision">
    <w:name w:val="Revision"/>
    <w:hidden/>
    <w:uiPriority w:val="99"/>
    <w:semiHidden/>
    <w:rsid w:val="005060F9"/>
    <w:rPr>
      <w:rFonts w:ascii="Calibri" w:eastAsia="Times New Roman" w:hAnsi="Calibri" w:cs="Times New Roman"/>
      <w:color w:val="000000"/>
      <w:sz w:val="22"/>
      <w:szCs w:val="20"/>
      <w:lang w:eastAsia="en-AU"/>
    </w:rPr>
  </w:style>
  <w:style w:type="paragraph" w:customStyle="1" w:styleId="Pa3">
    <w:name w:val="Pa3"/>
    <w:basedOn w:val="Normal"/>
    <w:next w:val="Normal"/>
    <w:uiPriority w:val="99"/>
    <w:rsid w:val="002D19AE"/>
    <w:pPr>
      <w:autoSpaceDE w:val="0"/>
      <w:autoSpaceDN w:val="0"/>
      <w:adjustRightInd w:val="0"/>
      <w:spacing w:after="0" w:line="221" w:lineRule="atLeast"/>
    </w:pPr>
    <w:rPr>
      <w:rFonts w:ascii="FranklinGothicURWBoo" w:eastAsiaTheme="minorHAnsi" w:hAnsi="FranklinGothicURWBoo" w:cstheme="minorBidi"/>
      <w:color w:val="auto"/>
      <w:sz w:val="24"/>
      <w:szCs w:val="24"/>
      <w:lang w:val="en-GB" w:eastAsia="en-US"/>
    </w:rPr>
  </w:style>
  <w:style w:type="paragraph" w:customStyle="1" w:styleId="Pa5">
    <w:name w:val="Pa5"/>
    <w:basedOn w:val="Normal"/>
    <w:next w:val="Normal"/>
    <w:uiPriority w:val="99"/>
    <w:rsid w:val="002D19AE"/>
    <w:pPr>
      <w:autoSpaceDE w:val="0"/>
      <w:autoSpaceDN w:val="0"/>
      <w:adjustRightInd w:val="0"/>
      <w:spacing w:after="0" w:line="281" w:lineRule="atLeast"/>
    </w:pPr>
    <w:rPr>
      <w:rFonts w:ascii="Atten Round New Bold" w:eastAsiaTheme="minorHAnsi" w:hAnsi="Atten Round New Bold" w:cstheme="minorBidi"/>
      <w:color w:val="auto"/>
      <w:sz w:val="24"/>
      <w:szCs w:val="24"/>
      <w:lang w:val="en-GB" w:eastAsia="en-US"/>
    </w:rPr>
  </w:style>
  <w:style w:type="character" w:customStyle="1" w:styleId="A4">
    <w:name w:val="A4"/>
    <w:uiPriority w:val="99"/>
    <w:rsid w:val="002D19AE"/>
    <w:rPr>
      <w:rFonts w:cs="Atten Round New Bold"/>
      <w:b/>
      <w:bCs/>
      <w:color w:val="000000"/>
      <w:sz w:val="32"/>
      <w:szCs w:val="32"/>
    </w:rPr>
  </w:style>
  <w:style w:type="paragraph" w:customStyle="1" w:styleId="Default">
    <w:name w:val="Default"/>
    <w:rsid w:val="002D19AE"/>
    <w:pPr>
      <w:autoSpaceDE w:val="0"/>
      <w:autoSpaceDN w:val="0"/>
      <w:adjustRightInd w:val="0"/>
    </w:pPr>
    <w:rPr>
      <w:rFonts w:ascii="FranklinGothicURWBoo" w:hAnsi="FranklinGothicURWBoo" w:cs="FranklinGothicURWBoo"/>
      <w:color w:val="000000"/>
      <w:lang w:val="en-GB"/>
    </w:rPr>
  </w:style>
  <w:style w:type="paragraph" w:customStyle="1" w:styleId="Pa6">
    <w:name w:val="Pa6"/>
    <w:basedOn w:val="Default"/>
    <w:next w:val="Default"/>
    <w:uiPriority w:val="99"/>
    <w:rsid w:val="002D19AE"/>
    <w:pPr>
      <w:spacing w:line="221" w:lineRule="atLeast"/>
    </w:pPr>
    <w:rPr>
      <w:rFonts w:cstheme="minorBidi"/>
      <w:color w:val="auto"/>
    </w:rPr>
  </w:style>
  <w:style w:type="paragraph" w:customStyle="1" w:styleId="Pa7">
    <w:name w:val="Pa7"/>
    <w:basedOn w:val="Default"/>
    <w:next w:val="Default"/>
    <w:uiPriority w:val="99"/>
    <w:rsid w:val="002D19AE"/>
    <w:pPr>
      <w:spacing w:line="221" w:lineRule="atLeast"/>
    </w:pPr>
    <w:rPr>
      <w:rFonts w:cstheme="minorBidi"/>
      <w:color w:val="auto"/>
    </w:rPr>
  </w:style>
  <w:style w:type="character" w:customStyle="1" w:styleId="A5">
    <w:name w:val="A5"/>
    <w:uiPriority w:val="99"/>
    <w:rsid w:val="002D19AE"/>
    <w:rPr>
      <w:rFonts w:cs="FranklinGothicURWBoo"/>
      <w:color w:val="000000"/>
      <w:sz w:val="22"/>
      <w:szCs w:val="22"/>
    </w:rPr>
  </w:style>
  <w:style w:type="paragraph" w:customStyle="1" w:styleId="Pa9">
    <w:name w:val="Pa9"/>
    <w:basedOn w:val="Default"/>
    <w:next w:val="Default"/>
    <w:uiPriority w:val="99"/>
    <w:rsid w:val="002D19AE"/>
    <w:pPr>
      <w:spacing w:line="181" w:lineRule="atLeast"/>
    </w:pPr>
    <w:rPr>
      <w:rFonts w:cstheme="minorBidi"/>
      <w:color w:val="auto"/>
    </w:rPr>
  </w:style>
  <w:style w:type="paragraph" w:customStyle="1" w:styleId="Pa13">
    <w:name w:val="Pa13"/>
    <w:basedOn w:val="Default"/>
    <w:next w:val="Default"/>
    <w:uiPriority w:val="99"/>
    <w:rsid w:val="0081109B"/>
    <w:pPr>
      <w:spacing w:line="221" w:lineRule="atLeast"/>
    </w:pPr>
    <w:rPr>
      <w:rFonts w:cstheme="minorBidi"/>
      <w:color w:val="auto"/>
    </w:rPr>
  </w:style>
  <w:style w:type="paragraph" w:customStyle="1" w:styleId="Pa16">
    <w:name w:val="Pa16"/>
    <w:basedOn w:val="Default"/>
    <w:next w:val="Default"/>
    <w:uiPriority w:val="99"/>
    <w:rsid w:val="0081109B"/>
    <w:pPr>
      <w:spacing w:line="221" w:lineRule="atLeast"/>
    </w:pPr>
    <w:rPr>
      <w:rFonts w:ascii="FranklinGothicURWDem" w:hAnsi="FranklinGothicURWDem" w:cstheme="minorBidi"/>
      <w:color w:val="auto"/>
    </w:rPr>
  </w:style>
  <w:style w:type="paragraph" w:customStyle="1" w:styleId="Pa14">
    <w:name w:val="Pa14"/>
    <w:basedOn w:val="Default"/>
    <w:next w:val="Default"/>
    <w:uiPriority w:val="99"/>
    <w:rsid w:val="000D7315"/>
    <w:pPr>
      <w:spacing w:line="221" w:lineRule="atLeast"/>
    </w:pPr>
    <w:rPr>
      <w:rFonts w:cstheme="minorBidi"/>
      <w:color w:val="auto"/>
    </w:rPr>
  </w:style>
  <w:style w:type="paragraph" w:customStyle="1" w:styleId="Pa8">
    <w:name w:val="Pa8"/>
    <w:basedOn w:val="Default"/>
    <w:next w:val="Default"/>
    <w:uiPriority w:val="99"/>
    <w:rsid w:val="00FF7618"/>
    <w:pPr>
      <w:spacing w:line="221" w:lineRule="atLeast"/>
    </w:pPr>
    <w:rPr>
      <w:rFonts w:cstheme="minorBidi"/>
      <w:color w:val="auto"/>
      <w:lang w:val="en-AU"/>
    </w:rPr>
  </w:style>
  <w:style w:type="character" w:customStyle="1" w:styleId="A7">
    <w:name w:val="A7"/>
    <w:uiPriority w:val="99"/>
    <w:rsid w:val="00FF7618"/>
    <w:rPr>
      <w:rFonts w:cs="FranklinGothicURWBoo"/>
      <w:color w:val="000000"/>
      <w:sz w:val="22"/>
      <w:szCs w:val="22"/>
    </w:rPr>
  </w:style>
  <w:style w:type="paragraph" w:customStyle="1" w:styleId="Pa2">
    <w:name w:val="Pa2"/>
    <w:basedOn w:val="Default"/>
    <w:next w:val="Default"/>
    <w:uiPriority w:val="99"/>
    <w:rsid w:val="00FF7618"/>
    <w:pPr>
      <w:spacing w:line="221" w:lineRule="atLeast"/>
    </w:pPr>
    <w:rPr>
      <w:rFonts w:cstheme="minorBidi"/>
      <w:color w:val="auto"/>
      <w:lang w:val="en-AU"/>
    </w:rPr>
  </w:style>
  <w:style w:type="character" w:customStyle="1" w:styleId="A3">
    <w:name w:val="A3"/>
    <w:uiPriority w:val="99"/>
    <w:rsid w:val="00FF7618"/>
    <w:rPr>
      <w:rFonts w:cs="FranklinGothicURWBoo"/>
      <w:color w:val="000000"/>
      <w:sz w:val="22"/>
      <w:szCs w:val="22"/>
      <w:u w:val="single"/>
    </w:rPr>
  </w:style>
  <w:style w:type="paragraph" w:customStyle="1" w:styleId="Pa10">
    <w:name w:val="Pa10"/>
    <w:basedOn w:val="Default"/>
    <w:next w:val="Default"/>
    <w:uiPriority w:val="99"/>
    <w:rsid w:val="00FF7618"/>
    <w:pPr>
      <w:spacing w:line="221" w:lineRule="atLeast"/>
    </w:pPr>
    <w:rPr>
      <w:rFonts w:cstheme="minorBidi"/>
      <w:color w:val="auto"/>
      <w:lang w:val="en-AU"/>
    </w:rPr>
  </w:style>
  <w:style w:type="paragraph" w:customStyle="1" w:styleId="Pa11">
    <w:name w:val="Pa11"/>
    <w:basedOn w:val="Default"/>
    <w:next w:val="Default"/>
    <w:uiPriority w:val="99"/>
    <w:rsid w:val="00FF7618"/>
    <w:pPr>
      <w:spacing w:line="221" w:lineRule="atLeast"/>
    </w:pPr>
    <w:rPr>
      <w:rFonts w:cstheme="minorBidi"/>
      <w:color w:val="auto"/>
      <w:lang w:val="en-AU"/>
    </w:rPr>
  </w:style>
  <w:style w:type="paragraph" w:styleId="ListParagraph">
    <w:name w:val="List Paragraph"/>
    <w:basedOn w:val="Normal"/>
    <w:uiPriority w:val="34"/>
    <w:qFormat/>
    <w:rsid w:val="00AF5AC4"/>
    <w:pPr>
      <w:ind w:left="720"/>
      <w:contextualSpacing/>
    </w:pPr>
  </w:style>
  <w:style w:type="paragraph" w:customStyle="1" w:styleId="Pa15">
    <w:name w:val="Pa15"/>
    <w:basedOn w:val="Default"/>
    <w:next w:val="Default"/>
    <w:uiPriority w:val="99"/>
    <w:rsid w:val="00933F86"/>
    <w:pPr>
      <w:spacing w:line="221" w:lineRule="atLeast"/>
    </w:pPr>
    <w:rPr>
      <w:rFonts w:cstheme="minorBidi"/>
      <w:color w:val="auto"/>
      <w:lang w:val="en-AU"/>
    </w:rPr>
  </w:style>
  <w:style w:type="character" w:customStyle="1" w:styleId="A12">
    <w:name w:val="A12"/>
    <w:uiPriority w:val="99"/>
    <w:rsid w:val="00933F86"/>
    <w:rPr>
      <w:rFonts w:cs="FranklinGothicURWBoo"/>
      <w:color w:val="000000"/>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7199">
      <w:bodyDiv w:val="1"/>
      <w:marLeft w:val="0"/>
      <w:marRight w:val="0"/>
      <w:marTop w:val="0"/>
      <w:marBottom w:val="0"/>
      <w:divBdr>
        <w:top w:val="none" w:sz="0" w:space="0" w:color="auto"/>
        <w:left w:val="none" w:sz="0" w:space="0" w:color="auto"/>
        <w:bottom w:val="none" w:sz="0" w:space="0" w:color="auto"/>
        <w:right w:val="none" w:sz="0" w:space="0" w:color="auto"/>
      </w:divBdr>
      <w:divsChild>
        <w:div w:id="458110063">
          <w:marLeft w:val="0"/>
          <w:marRight w:val="0"/>
          <w:marTop w:val="0"/>
          <w:marBottom w:val="0"/>
          <w:divBdr>
            <w:top w:val="none" w:sz="0" w:space="0" w:color="auto"/>
            <w:left w:val="none" w:sz="0" w:space="0" w:color="auto"/>
            <w:bottom w:val="none" w:sz="0" w:space="0" w:color="auto"/>
            <w:right w:val="none" w:sz="0" w:space="0" w:color="auto"/>
          </w:divBdr>
          <w:divsChild>
            <w:div w:id="1152411035">
              <w:marLeft w:val="0"/>
              <w:marRight w:val="0"/>
              <w:marTop w:val="0"/>
              <w:marBottom w:val="0"/>
              <w:divBdr>
                <w:top w:val="none" w:sz="0" w:space="0" w:color="auto"/>
                <w:left w:val="none" w:sz="0" w:space="0" w:color="auto"/>
                <w:bottom w:val="none" w:sz="0" w:space="0" w:color="auto"/>
                <w:right w:val="none" w:sz="0" w:space="0" w:color="auto"/>
              </w:divBdr>
              <w:divsChild>
                <w:div w:id="960841468">
                  <w:marLeft w:val="0"/>
                  <w:marRight w:val="0"/>
                  <w:marTop w:val="0"/>
                  <w:marBottom w:val="0"/>
                  <w:divBdr>
                    <w:top w:val="none" w:sz="0" w:space="0" w:color="auto"/>
                    <w:left w:val="none" w:sz="0" w:space="0" w:color="auto"/>
                    <w:bottom w:val="none" w:sz="0" w:space="0" w:color="auto"/>
                    <w:right w:val="none" w:sz="0" w:space="0" w:color="auto"/>
                  </w:divBdr>
                  <w:divsChild>
                    <w:div w:id="1878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70375">
      <w:bodyDiv w:val="1"/>
      <w:marLeft w:val="0"/>
      <w:marRight w:val="0"/>
      <w:marTop w:val="0"/>
      <w:marBottom w:val="0"/>
      <w:divBdr>
        <w:top w:val="none" w:sz="0" w:space="0" w:color="auto"/>
        <w:left w:val="none" w:sz="0" w:space="0" w:color="auto"/>
        <w:bottom w:val="none" w:sz="0" w:space="0" w:color="auto"/>
        <w:right w:val="none" w:sz="0" w:space="0" w:color="auto"/>
      </w:divBdr>
      <w:divsChild>
        <w:div w:id="1437095046">
          <w:marLeft w:val="0"/>
          <w:marRight w:val="0"/>
          <w:marTop w:val="0"/>
          <w:marBottom w:val="0"/>
          <w:divBdr>
            <w:top w:val="none" w:sz="0" w:space="0" w:color="auto"/>
            <w:left w:val="none" w:sz="0" w:space="0" w:color="auto"/>
            <w:bottom w:val="none" w:sz="0" w:space="0" w:color="auto"/>
            <w:right w:val="none" w:sz="0" w:space="0" w:color="auto"/>
          </w:divBdr>
          <w:divsChild>
            <w:div w:id="1508667065">
              <w:marLeft w:val="0"/>
              <w:marRight w:val="0"/>
              <w:marTop w:val="0"/>
              <w:marBottom w:val="0"/>
              <w:divBdr>
                <w:top w:val="none" w:sz="0" w:space="0" w:color="auto"/>
                <w:left w:val="none" w:sz="0" w:space="0" w:color="auto"/>
                <w:bottom w:val="none" w:sz="0" w:space="0" w:color="auto"/>
                <w:right w:val="none" w:sz="0" w:space="0" w:color="auto"/>
              </w:divBdr>
              <w:divsChild>
                <w:div w:id="378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83184">
      <w:bodyDiv w:val="1"/>
      <w:marLeft w:val="0"/>
      <w:marRight w:val="0"/>
      <w:marTop w:val="0"/>
      <w:marBottom w:val="0"/>
      <w:divBdr>
        <w:top w:val="none" w:sz="0" w:space="0" w:color="auto"/>
        <w:left w:val="none" w:sz="0" w:space="0" w:color="auto"/>
        <w:bottom w:val="none" w:sz="0" w:space="0" w:color="auto"/>
        <w:right w:val="none" w:sz="0" w:space="0" w:color="auto"/>
      </w:divBdr>
      <w:divsChild>
        <w:div w:id="1268076665">
          <w:marLeft w:val="0"/>
          <w:marRight w:val="0"/>
          <w:marTop w:val="0"/>
          <w:marBottom w:val="0"/>
          <w:divBdr>
            <w:top w:val="none" w:sz="0" w:space="0" w:color="auto"/>
            <w:left w:val="none" w:sz="0" w:space="0" w:color="auto"/>
            <w:bottom w:val="none" w:sz="0" w:space="0" w:color="auto"/>
            <w:right w:val="none" w:sz="0" w:space="0" w:color="auto"/>
          </w:divBdr>
          <w:divsChild>
            <w:div w:id="1165246510">
              <w:marLeft w:val="0"/>
              <w:marRight w:val="0"/>
              <w:marTop w:val="0"/>
              <w:marBottom w:val="0"/>
              <w:divBdr>
                <w:top w:val="none" w:sz="0" w:space="0" w:color="auto"/>
                <w:left w:val="none" w:sz="0" w:space="0" w:color="auto"/>
                <w:bottom w:val="none" w:sz="0" w:space="0" w:color="auto"/>
                <w:right w:val="none" w:sz="0" w:space="0" w:color="auto"/>
              </w:divBdr>
              <w:divsChild>
                <w:div w:id="11670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resources/publications/mrff-monitoring-evaluation-and-learning-strategy-2020-21-to-2023-24" TargetMode="External"/><Relationship Id="rId18" Type="http://schemas.openxmlformats.org/officeDocument/2006/relationships/hyperlink" Target="https://www.health.gov.au/resources/publications/mrff-incubator-gra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health.gov.au/resources/publications/mrff-incubator-grants" TargetMode="External"/><Relationship Id="rId7" Type="http://schemas.openxmlformats.org/officeDocument/2006/relationships/endnotes" Target="endnotes.xml"/><Relationship Id="rId12" Type="http://schemas.openxmlformats.org/officeDocument/2006/relationships/hyperlink" Target="https://www.health.gov.au/resources/publications/mrff-incubator-grants" TargetMode="External"/><Relationship Id="rId17" Type="http://schemas.openxmlformats.org/officeDocument/2006/relationships/hyperlink" Target="https://www.health.gov.au/resources/publications/mrff-incubator-gran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ealth.gov.au/resources/publications/mrff-incubator-grants" TargetMode="External"/><Relationship Id="rId20" Type="http://schemas.openxmlformats.org/officeDocument/2006/relationships/hyperlink" Target="https://www.health.gov.au/resources/publications/mrff-incubator-gr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commission.gov.au/Monitoring-and-Reporting/Fifth-Pl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ntalhealthcommission.gov.au/projects/national-research-strateg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mentalhealthcommission.gov.au/projects/national-research-strategy" TargetMode="External"/><Relationship Id="rId19" Type="http://schemas.openxmlformats.org/officeDocument/2006/relationships/hyperlink" Target="https://www.health.gov.au/resources/publications/mrff-incubator-grants" TargetMode="External"/><Relationship Id="rId4" Type="http://schemas.openxmlformats.org/officeDocument/2006/relationships/settings" Target="settings.xml"/><Relationship Id="rId9" Type="http://schemas.openxmlformats.org/officeDocument/2006/relationships/hyperlink" Target="https://www.health.gov.au/resources/publications/the-million-minds-mission-roadmap" TargetMode="External"/><Relationship Id="rId14" Type="http://schemas.openxmlformats.org/officeDocument/2006/relationships/hyperlink" Target="https://www.health.gov.au/resources/publications/medical-research-future-fund-grant-opportunity-gender-data-report-22-march-2022"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headspace.org.au/explore-topics/for-young-people/headspace-can-help/" TargetMode="External"/><Relationship Id="rId1" Type="http://schemas.openxmlformats.org/officeDocument/2006/relationships/hyperlink" Target="https://www.mentalhealthcommission.gov.au/projects/children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C210-6D92-4378-A8A7-D6B14068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12</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Medical Research Future Fund Indigenous Health Research Fund implementation plan</vt:lpstr>
    </vt:vector>
  </TitlesOfParts>
  <Manager/>
  <Company/>
  <LinksUpToDate>false</LinksUpToDate>
  <CharactersWithSpaces>17813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Million Minds Mental Health Mission Implementation Plan</dc:title>
  <dc:creator>Australian Government Department of Health and Aged Care</dc:creator>
  <cp:keywords>"Medical Research Future Fund; MRFF; Million Minds Mental Health</cp:keywords>
  <dc:description/>
  <dcterms:created xsi:type="dcterms:W3CDTF">2023-03-07T03:47:00Z</dcterms:created>
  <dcterms:modified xsi:type="dcterms:W3CDTF">2023-03-20T23:59:00Z</dcterms:modified>
  <cp:category/>
</cp:coreProperties>
</file>