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80625881"/>
        <w:docPartObj>
          <w:docPartGallery w:val="Cover Pages"/>
          <w:docPartUnique/>
        </w:docPartObj>
      </w:sdtPr>
      <w:sdtEndPr>
        <w:rPr>
          <w:sz w:val="6"/>
          <w:szCs w:val="6"/>
        </w:rPr>
      </w:sdtEndPr>
      <w:sdtContent>
        <w:bookmarkStart w:id="0" w:name="_Ref128391731" w:displacedByCustomXml="prev"/>
        <w:bookmarkEnd w:id="0" w:displacedByCustomXml="prev"/>
        <w:tbl>
          <w:tblPr>
            <w:tblStyle w:val="TableGrid"/>
            <w:tblW w:w="10546" w:type="dxa"/>
            <w:tblLayout w:type="fixed"/>
            <w:tblLook w:val="04A0" w:firstRow="1" w:lastRow="0" w:firstColumn="1" w:lastColumn="0" w:noHBand="0" w:noVBand="1"/>
          </w:tblPr>
          <w:tblGrid>
            <w:gridCol w:w="10546"/>
          </w:tblGrid>
          <w:tr w:rsidR="00061444" w14:paraId="511F39A2" w14:textId="77777777" w:rsidTr="003C4BE4">
            <w:trPr>
              <w:cnfStyle w:val="100000000000" w:firstRow="1" w:lastRow="0" w:firstColumn="0" w:lastColumn="0" w:oddVBand="0" w:evenVBand="0" w:oddHBand="0" w:evenHBand="0" w:firstRowFirstColumn="0" w:firstRowLastColumn="0" w:lastRowFirstColumn="0" w:lastRowLastColumn="0"/>
              <w:trHeight w:hRule="exact" w:val="10773"/>
            </w:trPr>
            <w:tc>
              <w:tcPr>
                <w:tcW w:w="10546" w:type="dxa"/>
                <w:vAlign w:val="center"/>
              </w:tcPr>
              <w:p w14:paraId="1BB6DBE9" w14:textId="5092334D" w:rsidR="00061444" w:rsidRDefault="00887EA4" w:rsidP="0079620C">
                <w:r w:rsidRPr="00887EA4">
                  <w:rPr>
                    <w:rFonts w:ascii="Verdana" w:eastAsia="Verdana" w:hAnsi="Verdana" w:cs="Times New Roman"/>
                    <w:noProof/>
                    <w:sz w:val="18"/>
                    <w:szCs w:val="18"/>
                    <w:lang w:val="en-AU"/>
                  </w:rPr>
                  <w:drawing>
                    <wp:inline distT="0" distB="0" distL="0" distR="0" wp14:anchorId="6847F619" wp14:editId="5EDA6FDB">
                      <wp:extent cx="6243144" cy="6243144"/>
                      <wp:effectExtent l="0" t="0" r="5715" b="571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Picture Placeholder 2">
                                <a:extLst>
                                  <a:ext uri="{C183D7F6-B498-43B3-948B-1728B52AA6E4}">
                                    <adec:decorative xmlns:adec="http://schemas.microsoft.com/office/drawing/2017/decorative" val="1"/>
                                  </a:ext>
                                </a:extLst>
                              </pic:cNvPr>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49346" cy="6249346"/>
                              </a:xfrm>
                              <a:prstGeom prst="rect">
                                <a:avLst/>
                              </a:prstGeom>
                            </pic:spPr>
                          </pic:pic>
                        </a:graphicData>
                      </a:graphic>
                    </wp:inline>
                  </w:drawing>
                </w:r>
              </w:p>
            </w:tc>
          </w:tr>
        </w:tbl>
        <w:p w14:paraId="35F2DA56" w14:textId="63C4BF31" w:rsidR="00061444" w:rsidRDefault="008E5184" w:rsidP="003C4BE4">
          <w:pPr>
            <w:spacing w:after="0" w:line="240" w:lineRule="auto"/>
          </w:pPr>
          <w:r w:rsidRPr="008E5184">
            <w:rPr>
              <w:rFonts w:ascii="Verdana" w:eastAsia="Verdana" w:hAnsi="Verdana" w:cs="Times New Roman"/>
              <w:noProof/>
              <w:sz w:val="18"/>
              <w:szCs w:val="18"/>
              <w:lang w:val="en-AU" w:eastAsia="en-AU"/>
            </w:rPr>
            <w:drawing>
              <wp:anchor distT="0" distB="0" distL="114300" distR="114300" simplePos="0" relativeHeight="251658242" behindDoc="0" locked="0" layoutInCell="1" allowOverlap="1" wp14:anchorId="4B11EE35" wp14:editId="651A099C">
                <wp:simplePos x="0" y="0"/>
                <wp:positionH relativeFrom="margin">
                  <wp:align>left</wp:align>
                </wp:positionH>
                <wp:positionV relativeFrom="topMargin">
                  <wp:posOffset>331444</wp:posOffset>
                </wp:positionV>
                <wp:extent cx="2084070" cy="9144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14:sizeRelH relativeFrom="margin">
                  <wp14:pctWidth>0</wp14:pctWidth>
                </wp14:sizeRelH>
                <wp14:sizeRelV relativeFrom="margin">
                  <wp14:pctHeight>0</wp14:pctHeight>
                </wp14:sizeRelV>
              </wp:anchor>
            </w:drawing>
          </w:r>
          <w:r w:rsidR="00061444">
            <w:rPr>
              <w:noProof/>
            </w:rPr>
            <mc:AlternateContent>
              <mc:Choice Requires="wps">
                <w:drawing>
                  <wp:anchor distT="0" distB="0" distL="114300" distR="114300" simplePos="0" relativeHeight="251658240" behindDoc="1" locked="1" layoutInCell="1" allowOverlap="1" wp14:anchorId="1ECC7519" wp14:editId="367FA178">
                    <wp:simplePos x="0" y="0"/>
                    <wp:positionH relativeFrom="page">
                      <wp:posOffset>0</wp:posOffset>
                    </wp:positionH>
                    <wp:positionV relativeFrom="page">
                      <wp:posOffset>0</wp:posOffset>
                    </wp:positionV>
                    <wp:extent cx="7596000" cy="10728000"/>
                    <wp:effectExtent l="0" t="0" r="508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7CE7B" id="Rectangle 8" o:spid="_x0000_s1026" alt="&quot;&quot;" style="position:absolute;margin-left:0;margin-top:0;width:598.1pt;height:84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" fillcolor="white [3212]" stroked="f" strokeweight="2pt">
                    <w10:wrap anchorx="page" anchory="page"/>
                    <w10:anchorlock/>
                  </v:rect>
                </w:pict>
              </mc:Fallback>
            </mc:AlternateContent>
          </w:r>
        </w:p>
        <w:p w14:paraId="41889005" w14:textId="44E6AE9F" w:rsidR="00120CDC" w:rsidRPr="00AE2C19" w:rsidRDefault="00120CDC" w:rsidP="00120CDC">
          <w:pPr>
            <w:pStyle w:val="Documenttitle"/>
            <w:rPr>
              <w:b/>
            </w:rPr>
          </w:pPr>
          <w:r w:rsidRPr="00AE2C19">
            <w:rPr>
              <w:b/>
            </w:rPr>
            <w:t>Evaluation of Phase One of the Specialist Dementia Care Program</w:t>
          </w:r>
        </w:p>
        <w:p w14:paraId="2F09EF20" w14:textId="5EE9F619" w:rsidR="00120CDC" w:rsidRDefault="00120CDC" w:rsidP="00120CDC">
          <w:pPr>
            <w:pStyle w:val="Documentsubtitle"/>
          </w:pPr>
          <w:r>
            <w:t xml:space="preserve">Summative Report </w:t>
          </w:r>
        </w:p>
        <w:p w14:paraId="5C2BFA11" w14:textId="13C6EE30" w:rsidR="00061444" w:rsidRDefault="00596FA5">
          <w:pPr>
            <w:spacing w:after="200" w:line="276" w:lineRule="auto"/>
            <w:rPr>
              <w:sz w:val="6"/>
              <w:szCs w:val="6"/>
            </w:rPr>
          </w:pPr>
          <w:r>
            <w:rPr>
              <w:noProof/>
              <w:lang w:eastAsia="en-AU"/>
            </w:rPr>
            <w:drawing>
              <wp:anchor distT="0" distB="0" distL="114300" distR="114300" simplePos="0" relativeHeight="251658243" behindDoc="0" locked="0" layoutInCell="1" allowOverlap="1" wp14:anchorId="7923D07D" wp14:editId="3AE8C5C4">
                <wp:simplePos x="0" y="0"/>
                <wp:positionH relativeFrom="page">
                  <wp:posOffset>5164100</wp:posOffset>
                </wp:positionH>
                <wp:positionV relativeFrom="page">
                  <wp:posOffset>9804831</wp:posOffset>
                </wp:positionV>
                <wp:extent cx="2004695" cy="528955"/>
                <wp:effectExtent l="0" t="0" r="0" b="0"/>
                <wp:wrapNone/>
                <wp:docPr id="475882791" name="Picture 475882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Picture 47588279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4695" cy="528955"/>
                        </a:xfrm>
                        <a:prstGeom prst="rect">
                          <a:avLst/>
                        </a:prstGeom>
                      </pic:spPr>
                    </pic:pic>
                  </a:graphicData>
                </a:graphic>
                <wp14:sizeRelH relativeFrom="margin">
                  <wp14:pctWidth>0</wp14:pctWidth>
                </wp14:sizeRelH>
                <wp14:sizeRelV relativeFrom="margin">
                  <wp14:pctHeight>0</wp14:pctHeight>
                </wp14:sizeRelV>
              </wp:anchor>
            </w:drawing>
          </w:r>
          <w:r w:rsidR="002B3D45">
            <w:t xml:space="preserve">April </w:t>
          </w:r>
          <w:r w:rsidR="00120CDC">
            <w:t>2023</w:t>
          </w:r>
          <w:r w:rsidR="00061444">
            <w:rPr>
              <w:sz w:val="6"/>
              <w:szCs w:val="6"/>
            </w:rPr>
            <w:br w:type="page"/>
          </w:r>
        </w:p>
      </w:sdtContent>
    </w:sdt>
    <w:p w14:paraId="16193529" w14:textId="01192CD3" w:rsidR="00212852" w:rsidRDefault="00CF2100" w:rsidP="006730E5">
      <w:pPr>
        <w:pStyle w:val="Sectiontitleun-numbered"/>
      </w:pPr>
      <w:r>
        <w:lastRenderedPageBreak/>
        <w:t>Contents</w:t>
      </w:r>
    </w:p>
    <w:sdt>
      <w:sdtPr>
        <w:rPr>
          <w:sz w:val="20"/>
        </w:rPr>
        <w:id w:val="1364779289"/>
        <w:docPartObj>
          <w:docPartGallery w:val="Table of Contents"/>
          <w:docPartUnique/>
        </w:docPartObj>
      </w:sdtPr>
      <w:sdtEndPr>
        <w:rPr>
          <w:b/>
          <w:bCs/>
          <w:noProof/>
        </w:rPr>
      </w:sdtEndPr>
      <w:sdtContent>
        <w:p w14:paraId="321FF3B0" w14:textId="22C5C7AF" w:rsidR="00D32536" w:rsidRDefault="00A74476">
          <w:pPr>
            <w:pStyle w:val="TOC1"/>
            <w:tabs>
              <w:tab w:val="left" w:pos="400"/>
            </w:tabs>
            <w:rPr>
              <w:rFonts w:eastAsiaTheme="minorEastAsia"/>
              <w:noProof/>
              <w:sz w:val="22"/>
              <w:lang w:val="en-AU" w:eastAsia="en-AU"/>
            </w:rPr>
          </w:pPr>
          <w:r w:rsidRPr="00583DC8">
            <w:rPr>
              <w:sz w:val="20"/>
            </w:rPr>
            <w:fldChar w:fldCharType="begin"/>
          </w:r>
          <w:r w:rsidRPr="00583DC8">
            <w:instrText xml:space="preserve"> TOC \o "1-1" \h \z \u </w:instrText>
          </w:r>
          <w:r w:rsidRPr="00583DC8">
            <w:rPr>
              <w:sz w:val="20"/>
            </w:rPr>
            <w:fldChar w:fldCharType="separate"/>
          </w:r>
          <w:hyperlink w:anchor="_Toc141714789" w:history="1">
            <w:r w:rsidR="00D32536" w:rsidRPr="008C6008">
              <w:rPr>
                <w:rStyle w:val="Hyperlink"/>
                <w:noProof/>
              </w:rPr>
              <w:t>1</w:t>
            </w:r>
            <w:r w:rsidR="00D32536">
              <w:rPr>
                <w:rFonts w:eastAsiaTheme="minorEastAsia"/>
                <w:noProof/>
                <w:sz w:val="22"/>
                <w:lang w:val="en-AU" w:eastAsia="en-AU"/>
              </w:rPr>
              <w:tab/>
            </w:r>
            <w:r w:rsidR="00D32536" w:rsidRPr="008C6008">
              <w:rPr>
                <w:rStyle w:val="Hyperlink"/>
                <w:noProof/>
              </w:rPr>
              <w:t>Introduction</w:t>
            </w:r>
            <w:r w:rsidR="00D32536">
              <w:rPr>
                <w:noProof/>
                <w:webHidden/>
              </w:rPr>
              <w:tab/>
            </w:r>
            <w:r w:rsidR="00D32536">
              <w:rPr>
                <w:noProof/>
                <w:webHidden/>
              </w:rPr>
              <w:fldChar w:fldCharType="begin"/>
            </w:r>
            <w:r w:rsidR="00D32536">
              <w:rPr>
                <w:noProof/>
                <w:webHidden/>
              </w:rPr>
              <w:instrText xml:space="preserve"> PAGEREF _Toc141714789 \h </w:instrText>
            </w:r>
            <w:r w:rsidR="00D32536">
              <w:rPr>
                <w:noProof/>
                <w:webHidden/>
              </w:rPr>
            </w:r>
            <w:r w:rsidR="00D32536">
              <w:rPr>
                <w:noProof/>
                <w:webHidden/>
              </w:rPr>
              <w:fldChar w:fldCharType="separate"/>
            </w:r>
            <w:r w:rsidR="00D32536">
              <w:rPr>
                <w:noProof/>
                <w:webHidden/>
              </w:rPr>
              <w:t>16</w:t>
            </w:r>
            <w:r w:rsidR="00D32536">
              <w:rPr>
                <w:noProof/>
                <w:webHidden/>
              </w:rPr>
              <w:fldChar w:fldCharType="end"/>
            </w:r>
          </w:hyperlink>
        </w:p>
        <w:p w14:paraId="0ED483ED" w14:textId="494EF271" w:rsidR="00D32536" w:rsidRDefault="00D61C33">
          <w:pPr>
            <w:pStyle w:val="TOC1"/>
            <w:tabs>
              <w:tab w:val="left" w:pos="400"/>
            </w:tabs>
            <w:rPr>
              <w:rFonts w:eastAsiaTheme="minorEastAsia"/>
              <w:noProof/>
              <w:sz w:val="22"/>
              <w:lang w:val="en-AU" w:eastAsia="en-AU"/>
            </w:rPr>
          </w:pPr>
          <w:hyperlink w:anchor="_Toc141714790" w:history="1">
            <w:r w:rsidR="00D32536" w:rsidRPr="008C6008">
              <w:rPr>
                <w:rStyle w:val="Hyperlink"/>
                <w:noProof/>
              </w:rPr>
              <w:t>2</w:t>
            </w:r>
            <w:r w:rsidR="00D32536">
              <w:rPr>
                <w:rFonts w:eastAsiaTheme="minorEastAsia"/>
                <w:noProof/>
                <w:sz w:val="22"/>
                <w:lang w:val="en-AU" w:eastAsia="en-AU"/>
              </w:rPr>
              <w:tab/>
            </w:r>
            <w:r w:rsidR="00D32536" w:rsidRPr="008C6008">
              <w:rPr>
                <w:rStyle w:val="Hyperlink"/>
                <w:noProof/>
              </w:rPr>
              <w:t>Referrals and transitions in</w:t>
            </w:r>
            <w:r w:rsidR="00D32536">
              <w:rPr>
                <w:noProof/>
                <w:webHidden/>
              </w:rPr>
              <w:tab/>
            </w:r>
            <w:r w:rsidR="00D32536">
              <w:rPr>
                <w:noProof/>
                <w:webHidden/>
              </w:rPr>
              <w:fldChar w:fldCharType="begin"/>
            </w:r>
            <w:r w:rsidR="00D32536">
              <w:rPr>
                <w:noProof/>
                <w:webHidden/>
              </w:rPr>
              <w:instrText xml:space="preserve"> PAGEREF _Toc141714790 \h </w:instrText>
            </w:r>
            <w:r w:rsidR="00D32536">
              <w:rPr>
                <w:noProof/>
                <w:webHidden/>
              </w:rPr>
            </w:r>
            <w:r w:rsidR="00D32536">
              <w:rPr>
                <w:noProof/>
                <w:webHidden/>
              </w:rPr>
              <w:fldChar w:fldCharType="separate"/>
            </w:r>
            <w:r w:rsidR="00D32536">
              <w:rPr>
                <w:noProof/>
                <w:webHidden/>
              </w:rPr>
              <w:t>22</w:t>
            </w:r>
            <w:r w:rsidR="00D32536">
              <w:rPr>
                <w:noProof/>
                <w:webHidden/>
              </w:rPr>
              <w:fldChar w:fldCharType="end"/>
            </w:r>
          </w:hyperlink>
        </w:p>
        <w:p w14:paraId="09D5DE89" w14:textId="61AC0CA3" w:rsidR="00D32536" w:rsidRDefault="00D61C33">
          <w:pPr>
            <w:pStyle w:val="TOC1"/>
            <w:tabs>
              <w:tab w:val="left" w:pos="400"/>
            </w:tabs>
            <w:rPr>
              <w:rFonts w:eastAsiaTheme="minorEastAsia"/>
              <w:noProof/>
              <w:sz w:val="22"/>
              <w:lang w:val="en-AU" w:eastAsia="en-AU"/>
            </w:rPr>
          </w:pPr>
          <w:hyperlink w:anchor="_Toc141714791" w:history="1">
            <w:r w:rsidR="00D32536" w:rsidRPr="008C6008">
              <w:rPr>
                <w:rStyle w:val="Hyperlink"/>
                <w:noProof/>
              </w:rPr>
              <w:t>3</w:t>
            </w:r>
            <w:r w:rsidR="00D32536">
              <w:rPr>
                <w:rFonts w:eastAsiaTheme="minorEastAsia"/>
                <w:noProof/>
                <w:sz w:val="22"/>
                <w:lang w:val="en-AU" w:eastAsia="en-AU"/>
              </w:rPr>
              <w:tab/>
            </w:r>
            <w:r w:rsidR="00D32536" w:rsidRPr="008C6008">
              <w:rPr>
                <w:rStyle w:val="Hyperlink"/>
                <w:noProof/>
              </w:rPr>
              <w:t>Delivery of care</w:t>
            </w:r>
            <w:r w:rsidR="00D32536">
              <w:rPr>
                <w:noProof/>
                <w:webHidden/>
              </w:rPr>
              <w:tab/>
            </w:r>
            <w:r w:rsidR="00D32536">
              <w:rPr>
                <w:noProof/>
                <w:webHidden/>
              </w:rPr>
              <w:fldChar w:fldCharType="begin"/>
            </w:r>
            <w:r w:rsidR="00D32536">
              <w:rPr>
                <w:noProof/>
                <w:webHidden/>
              </w:rPr>
              <w:instrText xml:space="preserve"> PAGEREF _Toc141714791 \h </w:instrText>
            </w:r>
            <w:r w:rsidR="00D32536">
              <w:rPr>
                <w:noProof/>
                <w:webHidden/>
              </w:rPr>
            </w:r>
            <w:r w:rsidR="00D32536">
              <w:rPr>
                <w:noProof/>
                <w:webHidden/>
              </w:rPr>
              <w:fldChar w:fldCharType="separate"/>
            </w:r>
            <w:r w:rsidR="00D32536">
              <w:rPr>
                <w:noProof/>
                <w:webHidden/>
              </w:rPr>
              <w:t>38</w:t>
            </w:r>
            <w:r w:rsidR="00D32536">
              <w:rPr>
                <w:noProof/>
                <w:webHidden/>
              </w:rPr>
              <w:fldChar w:fldCharType="end"/>
            </w:r>
          </w:hyperlink>
        </w:p>
        <w:p w14:paraId="6CC6F386" w14:textId="43D3D504" w:rsidR="00D32536" w:rsidRDefault="00D61C33">
          <w:pPr>
            <w:pStyle w:val="TOC1"/>
            <w:tabs>
              <w:tab w:val="left" w:pos="400"/>
            </w:tabs>
            <w:rPr>
              <w:rFonts w:eastAsiaTheme="minorEastAsia"/>
              <w:noProof/>
              <w:sz w:val="22"/>
              <w:lang w:val="en-AU" w:eastAsia="en-AU"/>
            </w:rPr>
          </w:pPr>
          <w:hyperlink w:anchor="_Toc141714792" w:history="1">
            <w:r w:rsidR="00D32536" w:rsidRPr="008C6008">
              <w:rPr>
                <w:rStyle w:val="Hyperlink"/>
                <w:noProof/>
              </w:rPr>
              <w:t>4</w:t>
            </w:r>
            <w:r w:rsidR="00D32536">
              <w:rPr>
                <w:rFonts w:eastAsiaTheme="minorEastAsia"/>
                <w:noProof/>
                <w:sz w:val="22"/>
                <w:lang w:val="en-AU" w:eastAsia="en-AU"/>
              </w:rPr>
              <w:tab/>
            </w:r>
            <w:r w:rsidR="00D32536" w:rsidRPr="008C6008">
              <w:rPr>
                <w:rStyle w:val="Hyperlink"/>
                <w:noProof/>
              </w:rPr>
              <w:t>Transitions out</w:t>
            </w:r>
            <w:r w:rsidR="00D32536">
              <w:rPr>
                <w:noProof/>
                <w:webHidden/>
              </w:rPr>
              <w:tab/>
            </w:r>
            <w:r w:rsidR="00D32536">
              <w:rPr>
                <w:noProof/>
                <w:webHidden/>
              </w:rPr>
              <w:fldChar w:fldCharType="begin"/>
            </w:r>
            <w:r w:rsidR="00D32536">
              <w:rPr>
                <w:noProof/>
                <w:webHidden/>
              </w:rPr>
              <w:instrText xml:space="preserve"> PAGEREF _Toc141714792 \h </w:instrText>
            </w:r>
            <w:r w:rsidR="00D32536">
              <w:rPr>
                <w:noProof/>
                <w:webHidden/>
              </w:rPr>
            </w:r>
            <w:r w:rsidR="00D32536">
              <w:rPr>
                <w:noProof/>
                <w:webHidden/>
              </w:rPr>
              <w:fldChar w:fldCharType="separate"/>
            </w:r>
            <w:r w:rsidR="00D32536">
              <w:rPr>
                <w:noProof/>
                <w:webHidden/>
              </w:rPr>
              <w:t>47</w:t>
            </w:r>
            <w:r w:rsidR="00D32536">
              <w:rPr>
                <w:noProof/>
                <w:webHidden/>
              </w:rPr>
              <w:fldChar w:fldCharType="end"/>
            </w:r>
          </w:hyperlink>
        </w:p>
        <w:p w14:paraId="27796001" w14:textId="7D2B8A6C" w:rsidR="00D32536" w:rsidRDefault="00D61C33">
          <w:pPr>
            <w:pStyle w:val="TOC1"/>
            <w:tabs>
              <w:tab w:val="left" w:pos="400"/>
            </w:tabs>
            <w:rPr>
              <w:rFonts w:eastAsiaTheme="minorEastAsia"/>
              <w:noProof/>
              <w:sz w:val="22"/>
              <w:lang w:val="en-AU" w:eastAsia="en-AU"/>
            </w:rPr>
          </w:pPr>
          <w:hyperlink w:anchor="_Toc141714793" w:history="1">
            <w:r w:rsidR="00D32536" w:rsidRPr="008C6008">
              <w:rPr>
                <w:rStyle w:val="Hyperlink"/>
                <w:noProof/>
              </w:rPr>
              <w:t>5</w:t>
            </w:r>
            <w:r w:rsidR="00D32536">
              <w:rPr>
                <w:rFonts w:eastAsiaTheme="minorEastAsia"/>
                <w:noProof/>
                <w:sz w:val="22"/>
                <w:lang w:val="en-AU" w:eastAsia="en-AU"/>
              </w:rPr>
              <w:tab/>
            </w:r>
            <w:r w:rsidR="00D32536" w:rsidRPr="008C6008">
              <w:rPr>
                <w:rStyle w:val="Hyperlink"/>
                <w:noProof/>
              </w:rPr>
              <w:t>Program outcomes</w:t>
            </w:r>
            <w:r w:rsidR="00D32536">
              <w:rPr>
                <w:noProof/>
                <w:webHidden/>
              </w:rPr>
              <w:tab/>
            </w:r>
            <w:r w:rsidR="00D32536">
              <w:rPr>
                <w:noProof/>
                <w:webHidden/>
              </w:rPr>
              <w:fldChar w:fldCharType="begin"/>
            </w:r>
            <w:r w:rsidR="00D32536">
              <w:rPr>
                <w:noProof/>
                <w:webHidden/>
              </w:rPr>
              <w:instrText xml:space="preserve"> PAGEREF _Toc141714793 \h </w:instrText>
            </w:r>
            <w:r w:rsidR="00D32536">
              <w:rPr>
                <w:noProof/>
                <w:webHidden/>
              </w:rPr>
            </w:r>
            <w:r w:rsidR="00D32536">
              <w:rPr>
                <w:noProof/>
                <w:webHidden/>
              </w:rPr>
              <w:fldChar w:fldCharType="separate"/>
            </w:r>
            <w:r w:rsidR="00D32536">
              <w:rPr>
                <w:noProof/>
                <w:webHidden/>
              </w:rPr>
              <w:t>53</w:t>
            </w:r>
            <w:r w:rsidR="00D32536">
              <w:rPr>
                <w:noProof/>
                <w:webHidden/>
              </w:rPr>
              <w:fldChar w:fldCharType="end"/>
            </w:r>
          </w:hyperlink>
        </w:p>
        <w:p w14:paraId="7664D7CF" w14:textId="333BDB1F" w:rsidR="00D32536" w:rsidRDefault="00D61C33">
          <w:pPr>
            <w:pStyle w:val="TOC1"/>
            <w:tabs>
              <w:tab w:val="left" w:pos="400"/>
            </w:tabs>
            <w:rPr>
              <w:rFonts w:eastAsiaTheme="minorEastAsia"/>
              <w:noProof/>
              <w:sz w:val="22"/>
              <w:lang w:val="en-AU" w:eastAsia="en-AU"/>
            </w:rPr>
          </w:pPr>
          <w:hyperlink w:anchor="_Toc141714794" w:history="1">
            <w:r w:rsidR="00D32536" w:rsidRPr="008C6008">
              <w:rPr>
                <w:rStyle w:val="Hyperlink"/>
                <w:noProof/>
              </w:rPr>
              <w:t>6</w:t>
            </w:r>
            <w:r w:rsidR="00D32536">
              <w:rPr>
                <w:rFonts w:eastAsiaTheme="minorEastAsia"/>
                <w:noProof/>
                <w:sz w:val="22"/>
                <w:lang w:val="en-AU" w:eastAsia="en-AU"/>
              </w:rPr>
              <w:tab/>
            </w:r>
            <w:r w:rsidR="00D32536" w:rsidRPr="008C6008">
              <w:rPr>
                <w:rStyle w:val="Hyperlink"/>
                <w:noProof/>
              </w:rPr>
              <w:t>Economic evaluation</w:t>
            </w:r>
            <w:r w:rsidR="00D32536">
              <w:rPr>
                <w:noProof/>
                <w:webHidden/>
              </w:rPr>
              <w:tab/>
            </w:r>
            <w:r w:rsidR="00D32536">
              <w:rPr>
                <w:noProof/>
                <w:webHidden/>
              </w:rPr>
              <w:fldChar w:fldCharType="begin"/>
            </w:r>
            <w:r w:rsidR="00D32536">
              <w:rPr>
                <w:noProof/>
                <w:webHidden/>
              </w:rPr>
              <w:instrText xml:space="preserve"> PAGEREF _Toc141714794 \h </w:instrText>
            </w:r>
            <w:r w:rsidR="00D32536">
              <w:rPr>
                <w:noProof/>
                <w:webHidden/>
              </w:rPr>
            </w:r>
            <w:r w:rsidR="00D32536">
              <w:rPr>
                <w:noProof/>
                <w:webHidden/>
              </w:rPr>
              <w:fldChar w:fldCharType="separate"/>
            </w:r>
            <w:r w:rsidR="00D32536">
              <w:rPr>
                <w:noProof/>
                <w:webHidden/>
              </w:rPr>
              <w:t>66</w:t>
            </w:r>
            <w:r w:rsidR="00D32536">
              <w:rPr>
                <w:noProof/>
                <w:webHidden/>
              </w:rPr>
              <w:fldChar w:fldCharType="end"/>
            </w:r>
          </w:hyperlink>
        </w:p>
        <w:p w14:paraId="15B80B0D" w14:textId="710214D0" w:rsidR="00D32536" w:rsidRDefault="00D61C33">
          <w:pPr>
            <w:pStyle w:val="TOC1"/>
            <w:tabs>
              <w:tab w:val="left" w:pos="400"/>
            </w:tabs>
            <w:rPr>
              <w:rFonts w:eastAsiaTheme="minorEastAsia"/>
              <w:noProof/>
              <w:sz w:val="22"/>
              <w:lang w:val="en-AU" w:eastAsia="en-AU"/>
            </w:rPr>
          </w:pPr>
          <w:hyperlink w:anchor="_Toc141714795" w:history="1">
            <w:r w:rsidR="00D32536" w:rsidRPr="008C6008">
              <w:rPr>
                <w:rStyle w:val="Hyperlink"/>
                <w:noProof/>
              </w:rPr>
              <w:t>7</w:t>
            </w:r>
            <w:r w:rsidR="00D32536">
              <w:rPr>
                <w:rFonts w:eastAsiaTheme="minorEastAsia"/>
                <w:noProof/>
                <w:sz w:val="22"/>
                <w:lang w:val="en-AU" w:eastAsia="en-AU"/>
              </w:rPr>
              <w:tab/>
            </w:r>
            <w:r w:rsidR="00D32536" w:rsidRPr="008C6008">
              <w:rPr>
                <w:rStyle w:val="Hyperlink"/>
                <w:noProof/>
              </w:rPr>
              <w:t>Program administration</w:t>
            </w:r>
            <w:r w:rsidR="00D32536">
              <w:rPr>
                <w:noProof/>
                <w:webHidden/>
              </w:rPr>
              <w:tab/>
            </w:r>
            <w:r w:rsidR="00D32536">
              <w:rPr>
                <w:noProof/>
                <w:webHidden/>
              </w:rPr>
              <w:fldChar w:fldCharType="begin"/>
            </w:r>
            <w:r w:rsidR="00D32536">
              <w:rPr>
                <w:noProof/>
                <w:webHidden/>
              </w:rPr>
              <w:instrText xml:space="preserve"> PAGEREF _Toc141714795 \h </w:instrText>
            </w:r>
            <w:r w:rsidR="00D32536">
              <w:rPr>
                <w:noProof/>
                <w:webHidden/>
              </w:rPr>
            </w:r>
            <w:r w:rsidR="00D32536">
              <w:rPr>
                <w:noProof/>
                <w:webHidden/>
              </w:rPr>
              <w:fldChar w:fldCharType="separate"/>
            </w:r>
            <w:r w:rsidR="00D32536">
              <w:rPr>
                <w:noProof/>
                <w:webHidden/>
              </w:rPr>
              <w:t>76</w:t>
            </w:r>
            <w:r w:rsidR="00D32536">
              <w:rPr>
                <w:noProof/>
                <w:webHidden/>
              </w:rPr>
              <w:fldChar w:fldCharType="end"/>
            </w:r>
          </w:hyperlink>
        </w:p>
        <w:p w14:paraId="508CA619" w14:textId="04A6BE2E" w:rsidR="00D32536" w:rsidRDefault="00D61C33">
          <w:pPr>
            <w:pStyle w:val="TOC1"/>
            <w:tabs>
              <w:tab w:val="left" w:pos="400"/>
            </w:tabs>
            <w:rPr>
              <w:rFonts w:eastAsiaTheme="minorEastAsia"/>
              <w:noProof/>
              <w:sz w:val="22"/>
              <w:lang w:val="en-AU" w:eastAsia="en-AU"/>
            </w:rPr>
          </w:pPr>
          <w:hyperlink w:anchor="_Toc141714796" w:history="1">
            <w:r w:rsidR="00D32536" w:rsidRPr="008C6008">
              <w:rPr>
                <w:rStyle w:val="Hyperlink"/>
                <w:noProof/>
              </w:rPr>
              <w:t>8</w:t>
            </w:r>
            <w:r w:rsidR="00D32536">
              <w:rPr>
                <w:rFonts w:eastAsiaTheme="minorEastAsia"/>
                <w:noProof/>
                <w:sz w:val="22"/>
                <w:lang w:val="en-AU" w:eastAsia="en-AU"/>
              </w:rPr>
              <w:tab/>
            </w:r>
            <w:r w:rsidR="00D32536" w:rsidRPr="008C6008">
              <w:rPr>
                <w:rStyle w:val="Hyperlink"/>
                <w:noProof/>
              </w:rPr>
              <w:t>Expanding Program scope</w:t>
            </w:r>
            <w:r w:rsidR="00D32536">
              <w:rPr>
                <w:noProof/>
                <w:webHidden/>
              </w:rPr>
              <w:tab/>
            </w:r>
            <w:r w:rsidR="00D32536">
              <w:rPr>
                <w:noProof/>
                <w:webHidden/>
              </w:rPr>
              <w:fldChar w:fldCharType="begin"/>
            </w:r>
            <w:r w:rsidR="00D32536">
              <w:rPr>
                <w:noProof/>
                <w:webHidden/>
              </w:rPr>
              <w:instrText xml:space="preserve"> PAGEREF _Toc141714796 \h </w:instrText>
            </w:r>
            <w:r w:rsidR="00D32536">
              <w:rPr>
                <w:noProof/>
                <w:webHidden/>
              </w:rPr>
            </w:r>
            <w:r w:rsidR="00D32536">
              <w:rPr>
                <w:noProof/>
                <w:webHidden/>
              </w:rPr>
              <w:fldChar w:fldCharType="separate"/>
            </w:r>
            <w:r w:rsidR="00D32536">
              <w:rPr>
                <w:noProof/>
                <w:webHidden/>
              </w:rPr>
              <w:t>80</w:t>
            </w:r>
            <w:r w:rsidR="00D32536">
              <w:rPr>
                <w:noProof/>
                <w:webHidden/>
              </w:rPr>
              <w:fldChar w:fldCharType="end"/>
            </w:r>
          </w:hyperlink>
        </w:p>
        <w:p w14:paraId="3ECCE5A6" w14:textId="519C1A6D" w:rsidR="00D32536" w:rsidRDefault="00D61C33">
          <w:pPr>
            <w:pStyle w:val="TOC1"/>
            <w:tabs>
              <w:tab w:val="left" w:pos="400"/>
            </w:tabs>
            <w:rPr>
              <w:rFonts w:eastAsiaTheme="minorEastAsia"/>
              <w:noProof/>
              <w:sz w:val="22"/>
              <w:lang w:val="en-AU" w:eastAsia="en-AU"/>
            </w:rPr>
          </w:pPr>
          <w:hyperlink w:anchor="_Toc141714797" w:history="1">
            <w:r w:rsidR="00D32536" w:rsidRPr="008C6008">
              <w:rPr>
                <w:rStyle w:val="Hyperlink"/>
                <w:noProof/>
              </w:rPr>
              <w:t>9</w:t>
            </w:r>
            <w:r w:rsidR="00D32536">
              <w:rPr>
                <w:rFonts w:eastAsiaTheme="minorEastAsia"/>
                <w:noProof/>
                <w:sz w:val="22"/>
                <w:lang w:val="en-AU" w:eastAsia="en-AU"/>
              </w:rPr>
              <w:tab/>
            </w:r>
            <w:r w:rsidR="00D32536" w:rsidRPr="008C6008">
              <w:rPr>
                <w:rStyle w:val="Hyperlink"/>
                <w:noProof/>
              </w:rPr>
              <w:t>Implications for ongoing implementation</w:t>
            </w:r>
            <w:r w:rsidR="00D32536">
              <w:rPr>
                <w:noProof/>
                <w:webHidden/>
              </w:rPr>
              <w:tab/>
            </w:r>
            <w:r w:rsidR="00D32536">
              <w:rPr>
                <w:noProof/>
                <w:webHidden/>
              </w:rPr>
              <w:fldChar w:fldCharType="begin"/>
            </w:r>
            <w:r w:rsidR="00D32536">
              <w:rPr>
                <w:noProof/>
                <w:webHidden/>
              </w:rPr>
              <w:instrText xml:space="preserve"> PAGEREF _Toc141714797 \h </w:instrText>
            </w:r>
            <w:r w:rsidR="00D32536">
              <w:rPr>
                <w:noProof/>
                <w:webHidden/>
              </w:rPr>
            </w:r>
            <w:r w:rsidR="00D32536">
              <w:rPr>
                <w:noProof/>
                <w:webHidden/>
              </w:rPr>
              <w:fldChar w:fldCharType="separate"/>
            </w:r>
            <w:r w:rsidR="00D32536">
              <w:rPr>
                <w:noProof/>
                <w:webHidden/>
              </w:rPr>
              <w:t>82</w:t>
            </w:r>
            <w:r w:rsidR="00D32536">
              <w:rPr>
                <w:noProof/>
                <w:webHidden/>
              </w:rPr>
              <w:fldChar w:fldCharType="end"/>
            </w:r>
          </w:hyperlink>
        </w:p>
        <w:p w14:paraId="3D9BA27D" w14:textId="5592DF9B" w:rsidR="000B6C05" w:rsidRDefault="00A74476" w:rsidP="00A74476">
          <w:pPr>
            <w:pStyle w:val="TOC2"/>
          </w:pPr>
          <w:r w:rsidRPr="00583DC8">
            <w:rPr>
              <w:sz w:val="26"/>
              <w:szCs w:val="28"/>
            </w:rPr>
            <w:fldChar w:fldCharType="end"/>
          </w:r>
        </w:p>
      </w:sdtContent>
    </w:sdt>
    <w:p w14:paraId="52E41A49" w14:textId="0E561EE8" w:rsidR="00212852" w:rsidRDefault="00212852" w:rsidP="008911A0">
      <w:pPr>
        <w:pStyle w:val="TOC1"/>
        <w:tabs>
          <w:tab w:val="left" w:pos="400"/>
        </w:tabs>
      </w:pPr>
    </w:p>
    <w:p w14:paraId="4093D683" w14:textId="77777777" w:rsidR="00120CDC" w:rsidRDefault="00120CDC">
      <w:pPr>
        <w:spacing w:after="200" w:line="276" w:lineRule="auto"/>
        <w:rPr>
          <w:sz w:val="72"/>
        </w:rPr>
      </w:pPr>
      <w:r>
        <w:br w:type="page"/>
      </w:r>
    </w:p>
    <w:p w14:paraId="104E6251" w14:textId="208E6A65" w:rsidR="00C1438E" w:rsidRDefault="00C1438E" w:rsidP="00127B0E">
      <w:pPr>
        <w:pStyle w:val="Heading1un-numbered"/>
      </w:pPr>
      <w:r>
        <w:lastRenderedPageBreak/>
        <w:t>Glossary</w:t>
      </w:r>
    </w:p>
    <w:tbl>
      <w:tblPr>
        <w:tblStyle w:val="Deloittetable"/>
        <w:tblW w:w="9131" w:type="dxa"/>
        <w:tblLook w:val="04A0" w:firstRow="1" w:lastRow="0" w:firstColumn="1" w:lastColumn="0" w:noHBand="0" w:noVBand="1"/>
      </w:tblPr>
      <w:tblGrid>
        <w:gridCol w:w="2410"/>
        <w:gridCol w:w="6721"/>
      </w:tblGrid>
      <w:tr w:rsidR="00C1438E" w14:paraId="11D3038A" w14:textId="77777777" w:rsidTr="0079620C">
        <w:trPr>
          <w:cnfStyle w:val="100000000000" w:firstRow="1" w:lastRow="0" w:firstColumn="0" w:lastColumn="0" w:oddVBand="0" w:evenVBand="0" w:oddHBand="0" w:evenHBand="0" w:firstRowFirstColumn="0" w:firstRowLastColumn="0" w:lastRowFirstColumn="0" w:lastRowLastColumn="0"/>
          <w:trHeight w:val="239"/>
        </w:trPr>
        <w:tc>
          <w:tcPr>
            <w:tcW w:w="2410" w:type="dxa"/>
          </w:tcPr>
          <w:p w14:paraId="548B4E93" w14:textId="2F39FFB6" w:rsidR="00F62B1B" w:rsidRPr="00120CDC" w:rsidRDefault="003229C2" w:rsidP="00120CDC">
            <w:pPr>
              <w:spacing w:after="0" w:line="240" w:lineRule="auto"/>
              <w:rPr>
                <w:rFonts w:asciiTheme="majorHAnsi" w:hAnsiTheme="majorHAnsi" w:cstheme="majorHAnsi"/>
                <w:b/>
              </w:rPr>
            </w:pPr>
            <w:r w:rsidRPr="00120CDC">
              <w:rPr>
                <w:rFonts w:asciiTheme="majorHAnsi" w:hAnsiTheme="majorHAnsi" w:cstheme="majorHAnsi"/>
                <w:b/>
              </w:rPr>
              <w:t>Acronym</w:t>
            </w:r>
            <w:r w:rsidR="005956A8">
              <w:rPr>
                <w:rFonts w:asciiTheme="majorHAnsi" w:hAnsiTheme="majorHAnsi" w:cstheme="majorHAnsi"/>
                <w:b/>
              </w:rPr>
              <w:t>/</w:t>
            </w:r>
            <w:r w:rsidR="00F62B1B">
              <w:rPr>
                <w:rFonts w:asciiTheme="majorHAnsi" w:hAnsiTheme="majorHAnsi" w:cstheme="majorHAnsi"/>
                <w:b/>
              </w:rPr>
              <w:t>Term</w:t>
            </w:r>
          </w:p>
        </w:tc>
        <w:tc>
          <w:tcPr>
            <w:tcW w:w="6721" w:type="dxa"/>
          </w:tcPr>
          <w:p w14:paraId="7F5242A0" w14:textId="150AE1D2" w:rsidR="00C1438E" w:rsidRPr="00120CDC" w:rsidRDefault="003229C2" w:rsidP="00120CDC">
            <w:pPr>
              <w:spacing w:after="0" w:line="240" w:lineRule="auto"/>
              <w:rPr>
                <w:rFonts w:asciiTheme="majorHAnsi" w:hAnsiTheme="majorHAnsi" w:cstheme="majorHAnsi"/>
                <w:b/>
              </w:rPr>
            </w:pPr>
            <w:r w:rsidRPr="00120CDC">
              <w:rPr>
                <w:rFonts w:asciiTheme="majorHAnsi" w:hAnsiTheme="majorHAnsi" w:cstheme="majorHAnsi"/>
                <w:b/>
              </w:rPr>
              <w:t>Full name</w:t>
            </w:r>
          </w:p>
        </w:tc>
      </w:tr>
      <w:tr w:rsidR="00F1223D" w14:paraId="0EC6100A" w14:textId="77777777" w:rsidTr="00F62B1B">
        <w:trPr>
          <w:trHeight w:val="239"/>
        </w:trPr>
        <w:tc>
          <w:tcPr>
            <w:tcW w:w="2410" w:type="dxa"/>
          </w:tcPr>
          <w:p w14:paraId="131CFAD6" w14:textId="712FCC38" w:rsidR="00F1223D" w:rsidRPr="0079620C" w:rsidRDefault="00F1223D" w:rsidP="00120CDC">
            <w:pPr>
              <w:spacing w:after="0" w:line="240" w:lineRule="auto"/>
              <w:rPr>
                <w:szCs w:val="17"/>
              </w:rPr>
            </w:pPr>
            <w:r w:rsidRPr="0079620C">
              <w:rPr>
                <w:szCs w:val="17"/>
              </w:rPr>
              <w:t>ACT</w:t>
            </w:r>
          </w:p>
        </w:tc>
        <w:tc>
          <w:tcPr>
            <w:tcW w:w="6721" w:type="dxa"/>
          </w:tcPr>
          <w:p w14:paraId="59CFAA53" w14:textId="520F6D6F" w:rsidR="00F1223D" w:rsidRPr="0079620C" w:rsidRDefault="00F1223D" w:rsidP="00120CDC">
            <w:pPr>
              <w:spacing w:after="0" w:line="240" w:lineRule="auto"/>
              <w:rPr>
                <w:szCs w:val="17"/>
              </w:rPr>
            </w:pPr>
            <w:r w:rsidRPr="0079620C">
              <w:rPr>
                <w:szCs w:val="17"/>
              </w:rPr>
              <w:t>Australian Capital Territory</w:t>
            </w:r>
          </w:p>
        </w:tc>
      </w:tr>
      <w:tr w:rsidR="004C44E9" w14:paraId="1945581A" w14:textId="77777777" w:rsidTr="0079620C">
        <w:trPr>
          <w:trHeight w:val="239"/>
        </w:trPr>
        <w:tc>
          <w:tcPr>
            <w:tcW w:w="2410" w:type="dxa"/>
          </w:tcPr>
          <w:p w14:paraId="01638FF5" w14:textId="7DF1787F" w:rsidR="004C44E9" w:rsidRPr="0079620C" w:rsidRDefault="004C44E9" w:rsidP="00120CDC">
            <w:pPr>
              <w:spacing w:after="0" w:line="240" w:lineRule="auto"/>
              <w:rPr>
                <w:szCs w:val="17"/>
              </w:rPr>
            </w:pPr>
            <w:r w:rsidRPr="0079620C">
              <w:rPr>
                <w:szCs w:val="17"/>
              </w:rPr>
              <w:t>BCR</w:t>
            </w:r>
          </w:p>
        </w:tc>
        <w:tc>
          <w:tcPr>
            <w:tcW w:w="6721" w:type="dxa"/>
          </w:tcPr>
          <w:p w14:paraId="639654F0" w14:textId="57724C26" w:rsidR="004C44E9" w:rsidRPr="0079620C" w:rsidRDefault="004C44E9" w:rsidP="00120CDC">
            <w:pPr>
              <w:spacing w:after="0" w:line="240" w:lineRule="auto"/>
              <w:rPr>
                <w:szCs w:val="17"/>
              </w:rPr>
            </w:pPr>
            <w:r w:rsidRPr="0079620C">
              <w:rPr>
                <w:szCs w:val="17"/>
              </w:rPr>
              <w:t>Benefit cost ratio</w:t>
            </w:r>
          </w:p>
        </w:tc>
      </w:tr>
      <w:tr w:rsidR="00DA1B4D" w14:paraId="497A0E2F" w14:textId="77777777" w:rsidTr="0079620C">
        <w:trPr>
          <w:trHeight w:val="228"/>
        </w:trPr>
        <w:tc>
          <w:tcPr>
            <w:tcW w:w="2410" w:type="dxa"/>
          </w:tcPr>
          <w:p w14:paraId="673B9215" w14:textId="43B82E6F" w:rsidR="00DA1B4D" w:rsidRDefault="00DA1B4D" w:rsidP="00120CDC">
            <w:pPr>
              <w:spacing w:after="0" w:line="240" w:lineRule="auto"/>
            </w:pPr>
            <w:r w:rsidRPr="00F514E2">
              <w:rPr>
                <w:szCs w:val="17"/>
              </w:rPr>
              <w:t>BPSD</w:t>
            </w:r>
          </w:p>
        </w:tc>
        <w:tc>
          <w:tcPr>
            <w:tcW w:w="6721" w:type="dxa"/>
          </w:tcPr>
          <w:p w14:paraId="73601E5F" w14:textId="0BDA286D" w:rsidR="00DA1B4D" w:rsidRDefault="00DA1B4D" w:rsidP="00120CDC">
            <w:pPr>
              <w:spacing w:after="0" w:line="240" w:lineRule="auto"/>
            </w:pPr>
            <w:r w:rsidRPr="00F514E2">
              <w:rPr>
                <w:szCs w:val="17"/>
              </w:rPr>
              <w:t xml:space="preserve">Behavioural and psychological symptoms of dementia </w:t>
            </w:r>
          </w:p>
        </w:tc>
      </w:tr>
      <w:tr w:rsidR="00DA1B4D" w14:paraId="481C7382" w14:textId="77777777" w:rsidTr="0079620C">
        <w:trPr>
          <w:trHeight w:val="228"/>
        </w:trPr>
        <w:tc>
          <w:tcPr>
            <w:tcW w:w="2410" w:type="dxa"/>
          </w:tcPr>
          <w:p w14:paraId="6A7EFBA9" w14:textId="4B4D97BE" w:rsidR="00DA1B4D" w:rsidRDefault="00DA1B4D" w:rsidP="00120CDC">
            <w:pPr>
              <w:spacing w:after="0" w:line="240" w:lineRule="auto"/>
            </w:pPr>
            <w:r w:rsidRPr="00F514E2">
              <w:rPr>
                <w:szCs w:val="17"/>
              </w:rPr>
              <w:t>CAC</w:t>
            </w:r>
          </w:p>
        </w:tc>
        <w:tc>
          <w:tcPr>
            <w:tcW w:w="6721" w:type="dxa"/>
          </w:tcPr>
          <w:p w14:paraId="24897363" w14:textId="7AC32C10" w:rsidR="00DA1B4D" w:rsidRDefault="00DA1B4D" w:rsidP="00120CDC">
            <w:pPr>
              <w:spacing w:after="0" w:line="240" w:lineRule="auto"/>
            </w:pPr>
            <w:r w:rsidRPr="00F514E2">
              <w:rPr>
                <w:szCs w:val="17"/>
              </w:rPr>
              <w:t>Clinical Advisory Committee</w:t>
            </w:r>
          </w:p>
        </w:tc>
      </w:tr>
      <w:tr w:rsidR="00DA1B4D" w14:paraId="7E38B4B3" w14:textId="77777777" w:rsidTr="0079620C">
        <w:trPr>
          <w:trHeight w:val="239"/>
        </w:trPr>
        <w:tc>
          <w:tcPr>
            <w:tcW w:w="2410" w:type="dxa"/>
          </w:tcPr>
          <w:p w14:paraId="06881434" w14:textId="2C7E4C10" w:rsidR="00DA1B4D" w:rsidRDefault="00DA1B4D" w:rsidP="00120CDC">
            <w:pPr>
              <w:spacing w:after="0" w:line="240" w:lineRule="auto"/>
            </w:pPr>
            <w:r w:rsidRPr="00F514E2">
              <w:rPr>
                <w:szCs w:val="17"/>
              </w:rPr>
              <w:t>CNS</w:t>
            </w:r>
          </w:p>
        </w:tc>
        <w:tc>
          <w:tcPr>
            <w:tcW w:w="6721" w:type="dxa"/>
          </w:tcPr>
          <w:p w14:paraId="2D7BB76E" w14:textId="0438CB2C" w:rsidR="00DA1B4D" w:rsidRDefault="00DA1B4D" w:rsidP="00120CDC">
            <w:pPr>
              <w:spacing w:after="0" w:line="240" w:lineRule="auto"/>
            </w:pPr>
            <w:r w:rsidRPr="00F514E2">
              <w:rPr>
                <w:szCs w:val="17"/>
              </w:rPr>
              <w:t>Clinical Nurse Specialist</w:t>
            </w:r>
          </w:p>
        </w:tc>
      </w:tr>
      <w:tr w:rsidR="00EE3D60" w14:paraId="0472A87A" w14:textId="77777777" w:rsidTr="00F62B1B">
        <w:trPr>
          <w:trHeight w:val="239"/>
        </w:trPr>
        <w:tc>
          <w:tcPr>
            <w:tcW w:w="2410" w:type="dxa"/>
          </w:tcPr>
          <w:p w14:paraId="57C3A215" w14:textId="76C024DD" w:rsidR="00EE3D60" w:rsidRPr="00F514E2" w:rsidRDefault="00EE3D60" w:rsidP="00120CDC">
            <w:pPr>
              <w:spacing w:after="0" w:line="240" w:lineRule="auto"/>
              <w:rPr>
                <w:szCs w:val="17"/>
              </w:rPr>
            </w:pPr>
            <w:r>
              <w:rPr>
                <w:szCs w:val="17"/>
              </w:rPr>
              <w:t>CRT</w:t>
            </w:r>
          </w:p>
        </w:tc>
        <w:tc>
          <w:tcPr>
            <w:tcW w:w="6721" w:type="dxa"/>
          </w:tcPr>
          <w:p w14:paraId="072DD5E0" w14:textId="60075D22" w:rsidR="00EE3D60" w:rsidRPr="00F514E2" w:rsidRDefault="00EE3D60" w:rsidP="00120CDC">
            <w:pPr>
              <w:spacing w:after="0" w:line="240" w:lineRule="auto"/>
              <w:rPr>
                <w:szCs w:val="17"/>
              </w:rPr>
            </w:pPr>
            <w:r>
              <w:rPr>
                <w:szCs w:val="17"/>
              </w:rPr>
              <w:t>Clinical Review Team</w:t>
            </w:r>
          </w:p>
        </w:tc>
      </w:tr>
      <w:tr w:rsidR="00F62B1B" w14:paraId="07F4BEDA" w14:textId="77777777" w:rsidTr="00F62B1B">
        <w:trPr>
          <w:trHeight w:val="239"/>
        </w:trPr>
        <w:tc>
          <w:tcPr>
            <w:tcW w:w="2410" w:type="dxa"/>
          </w:tcPr>
          <w:p w14:paraId="31A4E411" w14:textId="23B6B9CB" w:rsidR="00F62B1B" w:rsidRPr="00F514E2" w:rsidRDefault="00F62B1B" w:rsidP="00120CDC">
            <w:pPr>
              <w:spacing w:after="0" w:line="240" w:lineRule="auto"/>
              <w:rPr>
                <w:szCs w:val="17"/>
              </w:rPr>
            </w:pPr>
            <w:r>
              <w:rPr>
                <w:szCs w:val="17"/>
              </w:rPr>
              <w:t>DSA</w:t>
            </w:r>
          </w:p>
        </w:tc>
        <w:tc>
          <w:tcPr>
            <w:tcW w:w="6721" w:type="dxa"/>
          </w:tcPr>
          <w:p w14:paraId="1DCE21D6" w14:textId="2A3EF262" w:rsidR="00F62B1B" w:rsidRPr="00F514E2" w:rsidRDefault="00F62B1B" w:rsidP="00120CDC">
            <w:pPr>
              <w:spacing w:after="0" w:line="240" w:lineRule="auto"/>
              <w:rPr>
                <w:szCs w:val="17"/>
              </w:rPr>
            </w:pPr>
            <w:r>
              <w:rPr>
                <w:szCs w:val="17"/>
              </w:rPr>
              <w:t>Dementia Support Australia</w:t>
            </w:r>
          </w:p>
        </w:tc>
      </w:tr>
      <w:tr w:rsidR="006861A5" w14:paraId="3FA1C3ED" w14:textId="77777777" w:rsidTr="0079620C">
        <w:trPr>
          <w:trHeight w:val="239"/>
        </w:trPr>
        <w:tc>
          <w:tcPr>
            <w:tcW w:w="2410" w:type="dxa"/>
          </w:tcPr>
          <w:p w14:paraId="06E69D32" w14:textId="4A2A556B" w:rsidR="006861A5" w:rsidRPr="00F514E2" w:rsidRDefault="006861A5" w:rsidP="00120CDC">
            <w:pPr>
              <w:spacing w:after="0" w:line="240" w:lineRule="auto"/>
              <w:rPr>
                <w:szCs w:val="17"/>
              </w:rPr>
            </w:pPr>
            <w:r>
              <w:rPr>
                <w:szCs w:val="17"/>
              </w:rPr>
              <w:t>EN</w:t>
            </w:r>
          </w:p>
        </w:tc>
        <w:tc>
          <w:tcPr>
            <w:tcW w:w="6721" w:type="dxa"/>
          </w:tcPr>
          <w:p w14:paraId="5829334C" w14:textId="5CF73C60" w:rsidR="006861A5" w:rsidRPr="00F514E2" w:rsidRDefault="006861A5" w:rsidP="00120CDC">
            <w:pPr>
              <w:spacing w:after="0" w:line="240" w:lineRule="auto"/>
              <w:rPr>
                <w:szCs w:val="17"/>
              </w:rPr>
            </w:pPr>
            <w:r>
              <w:rPr>
                <w:szCs w:val="17"/>
              </w:rPr>
              <w:t>Enrolled Nurse</w:t>
            </w:r>
          </w:p>
        </w:tc>
      </w:tr>
      <w:tr w:rsidR="00DA1B4D" w14:paraId="1099DB71" w14:textId="77777777" w:rsidTr="0079620C">
        <w:trPr>
          <w:trHeight w:val="228"/>
        </w:trPr>
        <w:tc>
          <w:tcPr>
            <w:tcW w:w="2410" w:type="dxa"/>
          </w:tcPr>
          <w:p w14:paraId="60792AA4" w14:textId="11D703CB" w:rsidR="00DA1B4D" w:rsidRDefault="00DA1B4D" w:rsidP="00120CDC">
            <w:pPr>
              <w:spacing w:after="0" w:line="240" w:lineRule="auto"/>
            </w:pPr>
            <w:r w:rsidRPr="00F514E2">
              <w:rPr>
                <w:szCs w:val="17"/>
              </w:rPr>
              <w:t>NBA</w:t>
            </w:r>
          </w:p>
        </w:tc>
        <w:tc>
          <w:tcPr>
            <w:tcW w:w="6721" w:type="dxa"/>
          </w:tcPr>
          <w:p w14:paraId="2365B9E9" w14:textId="00B94E0E" w:rsidR="00DA1B4D" w:rsidRDefault="00DA1B4D" w:rsidP="00120CDC">
            <w:pPr>
              <w:spacing w:after="0" w:line="240" w:lineRule="auto"/>
            </w:pPr>
            <w:r w:rsidRPr="00F514E2">
              <w:rPr>
                <w:szCs w:val="17"/>
              </w:rPr>
              <w:t>Needs Based Assessment</w:t>
            </w:r>
          </w:p>
        </w:tc>
      </w:tr>
      <w:tr w:rsidR="001551B3" w14:paraId="080EC68D" w14:textId="77777777" w:rsidTr="0079620C">
        <w:trPr>
          <w:trHeight w:val="228"/>
        </w:trPr>
        <w:tc>
          <w:tcPr>
            <w:tcW w:w="2410" w:type="dxa"/>
          </w:tcPr>
          <w:p w14:paraId="3E991395" w14:textId="44BF5B75" w:rsidR="001551B3" w:rsidRPr="00F514E2" w:rsidRDefault="001551B3" w:rsidP="00120CDC">
            <w:pPr>
              <w:spacing w:after="0" w:line="240" w:lineRule="auto"/>
              <w:rPr>
                <w:szCs w:val="17"/>
              </w:rPr>
            </w:pPr>
            <w:r>
              <w:rPr>
                <w:szCs w:val="17"/>
              </w:rPr>
              <w:t>NPI-NH</w:t>
            </w:r>
          </w:p>
        </w:tc>
        <w:tc>
          <w:tcPr>
            <w:tcW w:w="6721" w:type="dxa"/>
          </w:tcPr>
          <w:p w14:paraId="11912395" w14:textId="61460266" w:rsidR="001551B3" w:rsidRPr="00F514E2" w:rsidRDefault="0069181B" w:rsidP="00120CDC">
            <w:pPr>
              <w:spacing w:after="0" w:line="240" w:lineRule="auto"/>
              <w:rPr>
                <w:szCs w:val="17"/>
              </w:rPr>
            </w:pPr>
            <w:r>
              <w:rPr>
                <w:szCs w:val="17"/>
              </w:rPr>
              <w:t>Neuropsychiatric Inventory – Nursing Home</w:t>
            </w:r>
            <w:r w:rsidR="00BB7E03">
              <w:rPr>
                <w:szCs w:val="17"/>
              </w:rPr>
              <w:t xml:space="preserve"> Version</w:t>
            </w:r>
          </w:p>
        </w:tc>
      </w:tr>
      <w:tr w:rsidR="00DA1B4D" w14:paraId="3AC259B7" w14:textId="77777777" w:rsidTr="0079620C">
        <w:trPr>
          <w:trHeight w:val="228"/>
        </w:trPr>
        <w:tc>
          <w:tcPr>
            <w:tcW w:w="2410" w:type="dxa"/>
          </w:tcPr>
          <w:p w14:paraId="79842F93" w14:textId="5FF41140" w:rsidR="00DA1B4D" w:rsidRDefault="00DA1B4D" w:rsidP="00120CDC">
            <w:pPr>
              <w:spacing w:after="0" w:line="240" w:lineRule="auto"/>
            </w:pPr>
            <w:r w:rsidRPr="00F514E2">
              <w:rPr>
                <w:szCs w:val="17"/>
              </w:rPr>
              <w:t>NSW</w:t>
            </w:r>
          </w:p>
        </w:tc>
        <w:tc>
          <w:tcPr>
            <w:tcW w:w="6721" w:type="dxa"/>
          </w:tcPr>
          <w:p w14:paraId="5F221D13" w14:textId="3146BDDC" w:rsidR="00DA1B4D" w:rsidRDefault="00DA1B4D" w:rsidP="00120CDC">
            <w:pPr>
              <w:spacing w:after="0" w:line="240" w:lineRule="auto"/>
            </w:pPr>
            <w:r w:rsidRPr="00F514E2">
              <w:rPr>
                <w:szCs w:val="17"/>
              </w:rPr>
              <w:t>New South Wales</w:t>
            </w:r>
          </w:p>
        </w:tc>
      </w:tr>
      <w:tr w:rsidR="00F1223D" w14:paraId="55C8745E" w14:textId="77777777" w:rsidTr="00F62B1B">
        <w:trPr>
          <w:trHeight w:val="228"/>
        </w:trPr>
        <w:tc>
          <w:tcPr>
            <w:tcW w:w="2410" w:type="dxa"/>
          </w:tcPr>
          <w:p w14:paraId="085F0772" w14:textId="5EB480F4" w:rsidR="00F1223D" w:rsidRPr="00F514E2" w:rsidRDefault="00F1223D" w:rsidP="00120CDC">
            <w:pPr>
              <w:spacing w:after="0" w:line="240" w:lineRule="auto"/>
              <w:rPr>
                <w:szCs w:val="17"/>
              </w:rPr>
            </w:pPr>
            <w:r>
              <w:rPr>
                <w:szCs w:val="17"/>
              </w:rPr>
              <w:t>NT</w:t>
            </w:r>
          </w:p>
        </w:tc>
        <w:tc>
          <w:tcPr>
            <w:tcW w:w="6721" w:type="dxa"/>
          </w:tcPr>
          <w:p w14:paraId="40AD5CA8" w14:textId="0B2F6588" w:rsidR="00F1223D" w:rsidRPr="00F514E2" w:rsidRDefault="00F1223D" w:rsidP="00120CDC">
            <w:pPr>
              <w:spacing w:after="0" w:line="240" w:lineRule="auto"/>
              <w:rPr>
                <w:szCs w:val="17"/>
              </w:rPr>
            </w:pPr>
            <w:r>
              <w:rPr>
                <w:szCs w:val="17"/>
              </w:rPr>
              <w:t>Northern Territory</w:t>
            </w:r>
          </w:p>
        </w:tc>
      </w:tr>
      <w:tr w:rsidR="00DA1B4D" w14:paraId="077C276C" w14:textId="77777777" w:rsidTr="0079620C">
        <w:trPr>
          <w:trHeight w:val="239"/>
        </w:trPr>
        <w:tc>
          <w:tcPr>
            <w:tcW w:w="2410" w:type="dxa"/>
          </w:tcPr>
          <w:p w14:paraId="4CF885F7" w14:textId="01EE7EA9" w:rsidR="00DA1B4D" w:rsidRDefault="00DA1B4D" w:rsidP="00120CDC">
            <w:pPr>
              <w:spacing w:after="0" w:line="240" w:lineRule="auto"/>
            </w:pPr>
            <w:r w:rsidRPr="00F514E2">
              <w:rPr>
                <w:szCs w:val="17"/>
              </w:rPr>
              <w:t>QLD</w:t>
            </w:r>
          </w:p>
        </w:tc>
        <w:tc>
          <w:tcPr>
            <w:tcW w:w="6721" w:type="dxa"/>
          </w:tcPr>
          <w:p w14:paraId="75382F51" w14:textId="357DD5CA" w:rsidR="00DA1B4D" w:rsidRDefault="00DA1B4D" w:rsidP="00120CDC">
            <w:pPr>
              <w:spacing w:after="0" w:line="240" w:lineRule="auto"/>
            </w:pPr>
            <w:r w:rsidRPr="00F514E2">
              <w:rPr>
                <w:szCs w:val="17"/>
              </w:rPr>
              <w:t>Queensland</w:t>
            </w:r>
          </w:p>
        </w:tc>
      </w:tr>
      <w:tr w:rsidR="00DA1B4D" w14:paraId="420EE343" w14:textId="77777777" w:rsidTr="0079620C">
        <w:trPr>
          <w:trHeight w:val="239"/>
        </w:trPr>
        <w:tc>
          <w:tcPr>
            <w:tcW w:w="2410" w:type="dxa"/>
          </w:tcPr>
          <w:p w14:paraId="61197068" w14:textId="377F694C" w:rsidR="00DA1B4D" w:rsidRDefault="00DA1B4D" w:rsidP="00120CDC">
            <w:pPr>
              <w:spacing w:after="0" w:line="240" w:lineRule="auto"/>
            </w:pPr>
            <w:r w:rsidRPr="00F514E2">
              <w:rPr>
                <w:szCs w:val="17"/>
              </w:rPr>
              <w:t>RACF</w:t>
            </w:r>
          </w:p>
        </w:tc>
        <w:tc>
          <w:tcPr>
            <w:tcW w:w="6721" w:type="dxa"/>
          </w:tcPr>
          <w:p w14:paraId="27FA229F" w14:textId="2DF75AF5" w:rsidR="00DA1B4D" w:rsidRDefault="00DA1B4D" w:rsidP="00120CDC">
            <w:pPr>
              <w:spacing w:after="0" w:line="240" w:lineRule="auto"/>
            </w:pPr>
            <w:r w:rsidRPr="00F514E2">
              <w:rPr>
                <w:szCs w:val="17"/>
              </w:rPr>
              <w:t>Residential aged care facility</w:t>
            </w:r>
          </w:p>
        </w:tc>
      </w:tr>
      <w:tr w:rsidR="006861A5" w14:paraId="02BA43EA" w14:textId="77777777" w:rsidTr="0079620C">
        <w:trPr>
          <w:trHeight w:val="239"/>
        </w:trPr>
        <w:tc>
          <w:tcPr>
            <w:tcW w:w="2410" w:type="dxa"/>
          </w:tcPr>
          <w:p w14:paraId="4CB8D20D" w14:textId="12DD50D2" w:rsidR="006861A5" w:rsidRPr="00F514E2" w:rsidRDefault="006861A5" w:rsidP="00120CDC">
            <w:pPr>
              <w:spacing w:after="0" w:line="240" w:lineRule="auto"/>
              <w:rPr>
                <w:szCs w:val="17"/>
              </w:rPr>
            </w:pPr>
            <w:r>
              <w:rPr>
                <w:szCs w:val="17"/>
              </w:rPr>
              <w:t>RN</w:t>
            </w:r>
          </w:p>
        </w:tc>
        <w:tc>
          <w:tcPr>
            <w:tcW w:w="6721" w:type="dxa"/>
          </w:tcPr>
          <w:p w14:paraId="695F2924" w14:textId="087DACE1" w:rsidR="006861A5" w:rsidRPr="00F514E2" w:rsidRDefault="006861A5" w:rsidP="00120CDC">
            <w:pPr>
              <w:spacing w:after="0" w:line="240" w:lineRule="auto"/>
              <w:rPr>
                <w:szCs w:val="17"/>
              </w:rPr>
            </w:pPr>
            <w:r>
              <w:rPr>
                <w:szCs w:val="17"/>
              </w:rPr>
              <w:t>Registered Nurse</w:t>
            </w:r>
          </w:p>
        </w:tc>
      </w:tr>
      <w:tr w:rsidR="00DA1B4D" w14:paraId="5EF6EA11" w14:textId="77777777" w:rsidTr="0079620C">
        <w:trPr>
          <w:trHeight w:val="239"/>
        </w:trPr>
        <w:tc>
          <w:tcPr>
            <w:tcW w:w="2410" w:type="dxa"/>
          </w:tcPr>
          <w:p w14:paraId="732EFF32" w14:textId="05693463" w:rsidR="00DA1B4D" w:rsidRDefault="00DA1B4D" w:rsidP="00120CDC">
            <w:pPr>
              <w:spacing w:after="0" w:line="240" w:lineRule="auto"/>
            </w:pPr>
            <w:r w:rsidRPr="00F514E2">
              <w:rPr>
                <w:szCs w:val="17"/>
              </w:rPr>
              <w:t>SA</w:t>
            </w:r>
          </w:p>
        </w:tc>
        <w:tc>
          <w:tcPr>
            <w:tcW w:w="6721" w:type="dxa"/>
          </w:tcPr>
          <w:p w14:paraId="6D011E5E" w14:textId="300B631A" w:rsidR="00DA1B4D" w:rsidRDefault="00DA1B4D" w:rsidP="00120CDC">
            <w:pPr>
              <w:spacing w:after="0" w:line="240" w:lineRule="auto"/>
            </w:pPr>
            <w:r w:rsidRPr="00F514E2">
              <w:rPr>
                <w:szCs w:val="17"/>
              </w:rPr>
              <w:t>South Australia</w:t>
            </w:r>
          </w:p>
        </w:tc>
      </w:tr>
      <w:tr w:rsidR="00DA1B4D" w14:paraId="0C691A43" w14:textId="77777777" w:rsidTr="0079620C">
        <w:trPr>
          <w:trHeight w:val="239"/>
        </w:trPr>
        <w:tc>
          <w:tcPr>
            <w:tcW w:w="2410" w:type="dxa"/>
          </w:tcPr>
          <w:p w14:paraId="42F2BEBA" w14:textId="3FE5AB92" w:rsidR="00DA1B4D" w:rsidRDefault="00DA1B4D" w:rsidP="00120CDC">
            <w:pPr>
              <w:spacing w:after="0" w:line="240" w:lineRule="auto"/>
            </w:pPr>
            <w:r w:rsidRPr="00F514E2">
              <w:rPr>
                <w:szCs w:val="17"/>
              </w:rPr>
              <w:t>SDCP</w:t>
            </w:r>
          </w:p>
        </w:tc>
        <w:tc>
          <w:tcPr>
            <w:tcW w:w="6721" w:type="dxa"/>
          </w:tcPr>
          <w:p w14:paraId="758BB9F0" w14:textId="68F3D2AF" w:rsidR="00DA1B4D" w:rsidRDefault="00DA1B4D" w:rsidP="00120CDC">
            <w:pPr>
              <w:spacing w:after="0" w:line="240" w:lineRule="auto"/>
            </w:pPr>
            <w:r w:rsidRPr="00F514E2">
              <w:rPr>
                <w:szCs w:val="17"/>
              </w:rPr>
              <w:t>Specialist Dementia Care Program</w:t>
            </w:r>
          </w:p>
        </w:tc>
      </w:tr>
      <w:tr w:rsidR="00F613C2" w14:paraId="5F2338AA" w14:textId="77777777" w:rsidTr="0079620C">
        <w:trPr>
          <w:trHeight w:val="239"/>
        </w:trPr>
        <w:tc>
          <w:tcPr>
            <w:tcW w:w="2410" w:type="dxa"/>
          </w:tcPr>
          <w:p w14:paraId="12C9294C" w14:textId="5E57E17A" w:rsidR="00F613C2" w:rsidRPr="00F514E2" w:rsidRDefault="004C44E9" w:rsidP="00120CDC">
            <w:pPr>
              <w:spacing w:after="0" w:line="240" w:lineRule="auto"/>
              <w:rPr>
                <w:szCs w:val="17"/>
              </w:rPr>
            </w:pPr>
            <w:r>
              <w:rPr>
                <w:szCs w:val="17"/>
              </w:rPr>
              <w:t>SDCU</w:t>
            </w:r>
          </w:p>
        </w:tc>
        <w:tc>
          <w:tcPr>
            <w:tcW w:w="6721" w:type="dxa"/>
          </w:tcPr>
          <w:p w14:paraId="4A41F365" w14:textId="203F7CB2" w:rsidR="00F613C2" w:rsidRPr="00F514E2" w:rsidRDefault="004C44E9" w:rsidP="00120CDC">
            <w:pPr>
              <w:spacing w:after="0" w:line="240" w:lineRule="auto"/>
              <w:rPr>
                <w:szCs w:val="17"/>
              </w:rPr>
            </w:pPr>
            <w:r>
              <w:rPr>
                <w:szCs w:val="17"/>
              </w:rPr>
              <w:t>Specialist Dementia Care Unit</w:t>
            </w:r>
          </w:p>
        </w:tc>
      </w:tr>
      <w:tr w:rsidR="00F1223D" w14:paraId="0E07C357" w14:textId="77777777" w:rsidTr="00F62B1B">
        <w:trPr>
          <w:trHeight w:val="239"/>
        </w:trPr>
        <w:tc>
          <w:tcPr>
            <w:tcW w:w="2410" w:type="dxa"/>
          </w:tcPr>
          <w:p w14:paraId="5AC7E621" w14:textId="67CA65C3" w:rsidR="00F1223D" w:rsidRDefault="00F1223D" w:rsidP="00120CDC">
            <w:pPr>
              <w:spacing w:after="0" w:line="240" w:lineRule="auto"/>
              <w:rPr>
                <w:szCs w:val="17"/>
              </w:rPr>
            </w:pPr>
            <w:r>
              <w:rPr>
                <w:szCs w:val="17"/>
              </w:rPr>
              <w:t>TAS</w:t>
            </w:r>
          </w:p>
        </w:tc>
        <w:tc>
          <w:tcPr>
            <w:tcW w:w="6721" w:type="dxa"/>
          </w:tcPr>
          <w:p w14:paraId="41D47135" w14:textId="21B087B7" w:rsidR="00F1223D" w:rsidRDefault="00F1223D" w:rsidP="00120CDC">
            <w:pPr>
              <w:spacing w:after="0" w:line="240" w:lineRule="auto"/>
              <w:rPr>
                <w:szCs w:val="17"/>
              </w:rPr>
            </w:pPr>
            <w:r>
              <w:rPr>
                <w:szCs w:val="17"/>
              </w:rPr>
              <w:t>Tasmania</w:t>
            </w:r>
          </w:p>
        </w:tc>
      </w:tr>
      <w:tr w:rsidR="00BB7E03" w14:paraId="0BF5F618" w14:textId="77777777" w:rsidTr="0079620C">
        <w:trPr>
          <w:trHeight w:val="239"/>
        </w:trPr>
        <w:tc>
          <w:tcPr>
            <w:tcW w:w="2410" w:type="dxa"/>
          </w:tcPr>
          <w:p w14:paraId="7A8A6156" w14:textId="128159ED" w:rsidR="00BB7E03" w:rsidRDefault="00BB7E03" w:rsidP="00120CDC">
            <w:pPr>
              <w:spacing w:after="0" w:line="240" w:lineRule="auto"/>
              <w:rPr>
                <w:szCs w:val="17"/>
              </w:rPr>
            </w:pPr>
            <w:r>
              <w:rPr>
                <w:szCs w:val="17"/>
              </w:rPr>
              <w:t>T</w:t>
            </w:r>
            <w:r w:rsidR="00722E91">
              <w:rPr>
                <w:szCs w:val="17"/>
              </w:rPr>
              <w:t>he Department</w:t>
            </w:r>
          </w:p>
        </w:tc>
        <w:tc>
          <w:tcPr>
            <w:tcW w:w="6721" w:type="dxa"/>
          </w:tcPr>
          <w:p w14:paraId="29C52A56" w14:textId="012E354A" w:rsidR="00BB7E03" w:rsidRDefault="003D5ACB" w:rsidP="00120CDC">
            <w:pPr>
              <w:spacing w:after="0" w:line="240" w:lineRule="auto"/>
              <w:rPr>
                <w:szCs w:val="17"/>
              </w:rPr>
            </w:pPr>
            <w:r>
              <w:rPr>
                <w:szCs w:val="17"/>
              </w:rPr>
              <w:t>Australian Government</w:t>
            </w:r>
            <w:r w:rsidR="005956A8">
              <w:rPr>
                <w:szCs w:val="17"/>
              </w:rPr>
              <w:t xml:space="preserve"> Department of Health and Aged Care (</w:t>
            </w:r>
            <w:r w:rsidR="0056157D">
              <w:rPr>
                <w:szCs w:val="17"/>
              </w:rPr>
              <w:t xml:space="preserve">formerly the </w:t>
            </w:r>
            <w:r w:rsidR="006A746D">
              <w:rPr>
                <w:szCs w:val="17"/>
              </w:rPr>
              <w:t xml:space="preserve">Australian Government </w:t>
            </w:r>
            <w:r w:rsidR="0056157D">
              <w:rPr>
                <w:szCs w:val="17"/>
              </w:rPr>
              <w:t>Department of Health)</w:t>
            </w:r>
          </w:p>
        </w:tc>
      </w:tr>
      <w:tr w:rsidR="00DA1B4D" w14:paraId="15B76755" w14:textId="77777777" w:rsidTr="0079620C">
        <w:trPr>
          <w:trHeight w:val="239"/>
        </w:trPr>
        <w:tc>
          <w:tcPr>
            <w:tcW w:w="2410" w:type="dxa"/>
          </w:tcPr>
          <w:p w14:paraId="19FF83F4" w14:textId="6CE66AD3" w:rsidR="00DA1B4D" w:rsidRDefault="00DA1B4D" w:rsidP="00120CDC">
            <w:pPr>
              <w:spacing w:after="0" w:line="240" w:lineRule="auto"/>
            </w:pPr>
            <w:r w:rsidRPr="00F514E2">
              <w:rPr>
                <w:szCs w:val="17"/>
              </w:rPr>
              <w:t>VIC</w:t>
            </w:r>
          </w:p>
        </w:tc>
        <w:tc>
          <w:tcPr>
            <w:tcW w:w="6721" w:type="dxa"/>
          </w:tcPr>
          <w:p w14:paraId="7A75D69E" w14:textId="5E9D0607" w:rsidR="00DA1B4D" w:rsidRDefault="00DA1B4D" w:rsidP="00120CDC">
            <w:pPr>
              <w:spacing w:after="0" w:line="240" w:lineRule="auto"/>
            </w:pPr>
            <w:r w:rsidRPr="00F514E2">
              <w:rPr>
                <w:szCs w:val="17"/>
              </w:rPr>
              <w:t>Victoria</w:t>
            </w:r>
          </w:p>
        </w:tc>
      </w:tr>
      <w:tr w:rsidR="00DA1B4D" w14:paraId="62E6ADAE" w14:textId="77777777" w:rsidTr="0079620C">
        <w:trPr>
          <w:trHeight w:val="239"/>
        </w:trPr>
        <w:tc>
          <w:tcPr>
            <w:tcW w:w="2410" w:type="dxa"/>
          </w:tcPr>
          <w:p w14:paraId="43ACB17F" w14:textId="48FD319B" w:rsidR="00DA1B4D" w:rsidRDefault="00DA1B4D" w:rsidP="00120CDC">
            <w:pPr>
              <w:spacing w:after="0" w:line="240" w:lineRule="auto"/>
            </w:pPr>
            <w:r w:rsidRPr="00F514E2">
              <w:rPr>
                <w:szCs w:val="17"/>
              </w:rPr>
              <w:t>WA</w:t>
            </w:r>
          </w:p>
        </w:tc>
        <w:tc>
          <w:tcPr>
            <w:tcW w:w="6721" w:type="dxa"/>
          </w:tcPr>
          <w:p w14:paraId="532238B7" w14:textId="3464D2D6" w:rsidR="00DA1B4D" w:rsidRDefault="00DA1B4D" w:rsidP="00120CDC">
            <w:pPr>
              <w:spacing w:after="0" w:line="240" w:lineRule="auto"/>
            </w:pPr>
            <w:r w:rsidRPr="00F514E2">
              <w:rPr>
                <w:szCs w:val="17"/>
              </w:rPr>
              <w:t>Western Australia</w:t>
            </w:r>
          </w:p>
        </w:tc>
      </w:tr>
    </w:tbl>
    <w:p w14:paraId="6B6F0E8C" w14:textId="77777777" w:rsidR="00C1438E" w:rsidRPr="00C1438E" w:rsidRDefault="00C1438E" w:rsidP="00C1438E"/>
    <w:p w14:paraId="4145A4F2" w14:textId="605EB142" w:rsidR="00C266EB" w:rsidRDefault="003F2224">
      <w:pPr>
        <w:spacing w:after="200" w:line="276" w:lineRule="auto"/>
      </w:pPr>
      <w:r>
        <w:br w:type="page"/>
      </w:r>
    </w:p>
    <w:p w14:paraId="595A8164" w14:textId="77777777" w:rsidR="0003447A" w:rsidRPr="00B828F6" w:rsidRDefault="0003447A" w:rsidP="00B828F6">
      <w:pPr>
        <w:pStyle w:val="Heading1un-numbered"/>
      </w:pPr>
      <w:r w:rsidRPr="00B828F6">
        <w:lastRenderedPageBreak/>
        <w:t>Executive Summary</w:t>
      </w:r>
    </w:p>
    <w:p w14:paraId="0FBB9FD5" w14:textId="4A62B560" w:rsidR="0060219E" w:rsidRPr="005E46D4" w:rsidRDefault="0060219E" w:rsidP="005E46D4">
      <w:pPr>
        <w:pStyle w:val="Heading2un-numbered"/>
        <w:rPr>
          <w:rFonts w:asciiTheme="majorHAnsi" w:hAnsiTheme="majorHAnsi" w:cstheme="majorHAnsi"/>
          <w:sz w:val="28"/>
          <w:szCs w:val="28"/>
        </w:rPr>
      </w:pPr>
      <w:bookmarkStart w:id="1" w:name="_Toc124433378"/>
      <w:r w:rsidRPr="005E46D4">
        <w:rPr>
          <w:rFonts w:asciiTheme="majorHAnsi" w:hAnsiTheme="majorHAnsi" w:cstheme="majorHAnsi"/>
          <w:sz w:val="28"/>
          <w:szCs w:val="28"/>
        </w:rPr>
        <w:t>Background and scope</w:t>
      </w:r>
      <w:bookmarkEnd w:id="1"/>
    </w:p>
    <w:p w14:paraId="17FE4149" w14:textId="587087F4" w:rsidR="00642463" w:rsidRDefault="00642463" w:rsidP="00642463">
      <w:pPr>
        <w:spacing w:after="170"/>
      </w:pPr>
      <w:r>
        <w:t xml:space="preserve">To better meet the needs of </w:t>
      </w:r>
      <w:r w:rsidR="00806812">
        <w:t>people</w:t>
      </w:r>
      <w:r>
        <w:t xml:space="preserve"> with very severe behavioural and psychological symptoms of dementia (BPSD), the Australian Government established the Specialist Dementia Care Program (SDCP</w:t>
      </w:r>
      <w:r w:rsidR="006D1FEC">
        <w:t xml:space="preserve"> or ‘</w:t>
      </w:r>
      <w:r w:rsidR="0096506A">
        <w:t>the Program</w:t>
      </w:r>
      <w:r w:rsidR="006D1FEC">
        <w:t>’</w:t>
      </w:r>
      <w:r w:rsidR="0096506A">
        <w:t>)</w:t>
      </w:r>
      <w:r>
        <w:t xml:space="preserve">. Each SDCP provider site </w:t>
      </w:r>
      <w:r w:rsidR="006A1463">
        <w:t>(a Specialised Dementia Care Unit (SDCU))</w:t>
      </w:r>
      <w:r>
        <w:t xml:space="preserve"> offers these individuals </w:t>
      </w:r>
      <w:r w:rsidR="00A53BDC">
        <w:t xml:space="preserve">tailored </w:t>
      </w:r>
      <w:r>
        <w:t xml:space="preserve">residential support, focused on reducing or stabilising symptoms over a period of approximately </w:t>
      </w:r>
      <w:r w:rsidR="00A91915">
        <w:t>twelve</w:t>
      </w:r>
      <w:r w:rsidR="00BA4FC6">
        <w:t xml:space="preserve"> </w:t>
      </w:r>
      <w:r>
        <w:t xml:space="preserve">months, with the aim of supporting their transition to less intensive care settings. </w:t>
      </w:r>
      <w:r w:rsidR="00FB6F25">
        <w:t xml:space="preserve">As part of Phase One of the </w:t>
      </w:r>
      <w:r w:rsidR="000B7448">
        <w:t>Program</w:t>
      </w:r>
      <w:r w:rsidR="00FB6F25">
        <w:t xml:space="preserve">, ten SDCUs were </w:t>
      </w:r>
      <w:r w:rsidR="00966F24">
        <w:t xml:space="preserve">established </w:t>
      </w:r>
      <w:r w:rsidR="00FB6F25">
        <w:t>across Australia over the period 2019 to 2020.</w:t>
      </w:r>
    </w:p>
    <w:p w14:paraId="308F8859" w14:textId="1EC7C48D" w:rsidR="008C6457" w:rsidRDefault="00642463" w:rsidP="008C6457">
      <w:pPr>
        <w:spacing w:after="170"/>
      </w:pPr>
      <w:r>
        <w:t xml:space="preserve">In July 2019, the </w:t>
      </w:r>
      <w:r w:rsidR="007A46B8">
        <w:t xml:space="preserve">former </w:t>
      </w:r>
      <w:r>
        <w:t>Australian Government Department of Health</w:t>
      </w:r>
      <w:r w:rsidR="002B54C1">
        <w:t xml:space="preserve">, </w:t>
      </w:r>
      <w:r w:rsidR="00267DA3">
        <w:t>now the Australian Government Department of Health and Aged Care</w:t>
      </w:r>
      <w:r w:rsidR="002B54C1">
        <w:t xml:space="preserve"> (</w:t>
      </w:r>
      <w:r>
        <w:t xml:space="preserve">the Department) </w:t>
      </w:r>
      <w:r w:rsidR="005F0F79">
        <w:t xml:space="preserve">also </w:t>
      </w:r>
      <w:r>
        <w:t xml:space="preserve">engaged Deloitte Access Economics to undertake an evaluation of Phase One of the </w:t>
      </w:r>
      <w:r w:rsidR="006D1FEC">
        <w:t xml:space="preserve">Program </w:t>
      </w:r>
      <w:r>
        <w:t xml:space="preserve">in order to generate </w:t>
      </w:r>
      <w:r w:rsidR="00267DA3">
        <w:t>contemporary</w:t>
      </w:r>
      <w:r>
        <w:t xml:space="preserve"> evidence on the implementation, outcomes, and impact of providing </w:t>
      </w:r>
      <w:r w:rsidR="001D51FD">
        <w:t xml:space="preserve">tailored </w:t>
      </w:r>
      <w:r>
        <w:t xml:space="preserve">residential support for </w:t>
      </w:r>
      <w:r w:rsidR="00077801">
        <w:t xml:space="preserve">people </w:t>
      </w:r>
      <w:r>
        <w:t>with very severe BPSD</w:t>
      </w:r>
      <w:r w:rsidR="008C6457">
        <w:t>. The evaluation activities and reporting schedule was staggered over a three-year period and comprised three annual reports</w:t>
      </w:r>
      <w:r w:rsidR="007038F2">
        <w:t>.</w:t>
      </w:r>
    </w:p>
    <w:p w14:paraId="5855AC2F" w14:textId="726A395F" w:rsidR="0051135A" w:rsidRPr="00FC3D72" w:rsidRDefault="0051135A" w:rsidP="0051135A">
      <w:pPr>
        <w:pStyle w:val="ListBullet"/>
      </w:pPr>
      <w:r w:rsidRPr="0067604E">
        <w:rPr>
          <w:rFonts w:asciiTheme="majorHAnsi" w:hAnsiTheme="majorHAnsi" w:cstheme="majorHAnsi"/>
          <w:b/>
        </w:rPr>
        <w:t>Interim Report (2020)</w:t>
      </w:r>
      <w:r w:rsidR="00645244">
        <w:rPr>
          <w:rFonts w:asciiTheme="majorHAnsi" w:hAnsiTheme="majorHAnsi" w:cstheme="majorHAnsi"/>
          <w:b/>
        </w:rPr>
        <w:t xml:space="preserve"> [SUBMITTED]</w:t>
      </w:r>
      <w:r w:rsidRPr="0067604E">
        <w:rPr>
          <w:rFonts w:asciiTheme="majorHAnsi" w:hAnsiTheme="majorHAnsi" w:cstheme="majorHAnsi"/>
          <w:b/>
        </w:rPr>
        <w:t xml:space="preserve">: </w:t>
      </w:r>
      <w:r w:rsidRPr="00FC3D72">
        <w:t>Th</w:t>
      </w:r>
      <w:r>
        <w:t>e 2020</w:t>
      </w:r>
      <w:r w:rsidRPr="00FC3D72">
        <w:t xml:space="preserve"> Interim Report focused on reviewing the implementation of the first </w:t>
      </w:r>
      <w:r w:rsidR="00346AE5">
        <w:t>6</w:t>
      </w:r>
      <w:r w:rsidR="00346AE5" w:rsidRPr="00FC3D72">
        <w:t xml:space="preserve"> </w:t>
      </w:r>
      <w:r w:rsidRPr="00FC3D72">
        <w:t>to</w:t>
      </w:r>
      <w:r w:rsidRPr="00FC3D72" w:rsidDel="00346AE5">
        <w:t xml:space="preserve"> </w:t>
      </w:r>
      <w:r w:rsidR="00346AE5">
        <w:t>12</w:t>
      </w:r>
      <w:r w:rsidR="00346AE5" w:rsidRPr="00FC3D72">
        <w:t xml:space="preserve"> </w:t>
      </w:r>
      <w:r w:rsidRPr="00FC3D72">
        <w:t xml:space="preserve">months of the first </w:t>
      </w:r>
      <w:r w:rsidR="00D568A3">
        <w:t>SDCU</w:t>
      </w:r>
      <w:r w:rsidRPr="00FC3D72">
        <w:t xml:space="preserve"> (Brightwater) a</w:t>
      </w:r>
      <w:r>
        <w:t xml:space="preserve">nd the </w:t>
      </w:r>
      <w:r w:rsidRPr="00FC3D72">
        <w:t xml:space="preserve">NBA service. </w:t>
      </w:r>
    </w:p>
    <w:p w14:paraId="69BB6C4D" w14:textId="5F70A172" w:rsidR="0051135A" w:rsidRPr="00FC3D72" w:rsidRDefault="0051135A" w:rsidP="0051135A">
      <w:pPr>
        <w:pStyle w:val="ListBullet"/>
      </w:pPr>
      <w:r w:rsidRPr="0067604E">
        <w:rPr>
          <w:rFonts w:asciiTheme="majorHAnsi" w:hAnsiTheme="majorHAnsi" w:cstheme="majorHAnsi"/>
          <w:b/>
        </w:rPr>
        <w:t>Interim Report (2021)</w:t>
      </w:r>
      <w:r w:rsidR="00645244">
        <w:rPr>
          <w:rFonts w:asciiTheme="majorHAnsi" w:hAnsiTheme="majorHAnsi" w:cstheme="majorHAnsi"/>
          <w:b/>
        </w:rPr>
        <w:t xml:space="preserve"> [SUBMITTED]</w:t>
      </w:r>
      <w:r w:rsidRPr="0067604E">
        <w:rPr>
          <w:rFonts w:asciiTheme="majorHAnsi" w:hAnsiTheme="majorHAnsi" w:cstheme="majorHAnsi"/>
          <w:b/>
        </w:rPr>
        <w:t>:</w:t>
      </w:r>
      <w:r w:rsidRPr="00FC3D72">
        <w:t xml:space="preserve"> Th</w:t>
      </w:r>
      <w:r>
        <w:t>e 2021</w:t>
      </w:r>
      <w:r w:rsidRPr="00FC3D72">
        <w:t xml:space="preserve"> Interim Report focused on reviewing the implementation of all Phase One </w:t>
      </w:r>
      <w:r w:rsidR="00D568A3">
        <w:t>SDCU</w:t>
      </w:r>
      <w:r w:rsidR="000836A4">
        <w:t>s</w:t>
      </w:r>
      <w:r w:rsidRPr="00FC3D72">
        <w:t xml:space="preserve">, providing a summary of Program awareness, adoption, appropriateness of the </w:t>
      </w:r>
      <w:r w:rsidR="000836A4">
        <w:t>model of care</w:t>
      </w:r>
      <w:r w:rsidRPr="00FC3D72">
        <w:t xml:space="preserve"> and clinical governance, fidelity to Program design and intent, and the key lessons learned.</w:t>
      </w:r>
    </w:p>
    <w:p w14:paraId="5636AF05" w14:textId="645EE2C2" w:rsidR="0051135A" w:rsidRPr="00FC3D72" w:rsidRDefault="0051135A" w:rsidP="0051135A">
      <w:pPr>
        <w:pStyle w:val="ListBullet"/>
      </w:pPr>
      <w:r w:rsidRPr="0067604E">
        <w:rPr>
          <w:rFonts w:asciiTheme="majorHAnsi" w:hAnsiTheme="majorHAnsi" w:cstheme="majorHAnsi"/>
          <w:b/>
        </w:rPr>
        <w:t>Final Summative Report (2023)</w:t>
      </w:r>
      <w:r w:rsidR="00645244">
        <w:rPr>
          <w:rFonts w:asciiTheme="majorHAnsi" w:hAnsiTheme="majorHAnsi" w:cstheme="majorHAnsi"/>
          <w:b/>
        </w:rPr>
        <w:t xml:space="preserve"> [THIS REPORT]</w:t>
      </w:r>
      <w:r w:rsidRPr="0067604E">
        <w:rPr>
          <w:rFonts w:asciiTheme="majorHAnsi" w:hAnsiTheme="majorHAnsi" w:cstheme="majorHAnsi"/>
          <w:b/>
        </w:rPr>
        <w:t>:</w:t>
      </w:r>
      <w:r w:rsidRPr="00FC3D72">
        <w:t xml:space="preserve"> </w:t>
      </w:r>
      <w:r>
        <w:t>This report</w:t>
      </w:r>
      <w:r w:rsidRPr="00FC3D72">
        <w:t xml:space="preserve"> updates the findings from the Interim Report, however mainly focuses on </w:t>
      </w:r>
      <w:r>
        <w:t xml:space="preserve">evaluating the Program </w:t>
      </w:r>
      <w:r w:rsidRPr="00FC3D72">
        <w:t>outcomes achieved for residents and their carers and families</w:t>
      </w:r>
      <w:r>
        <w:t>, Program</w:t>
      </w:r>
      <w:r w:rsidRPr="00FC3D72">
        <w:t xml:space="preserve"> providers, and the broader </w:t>
      </w:r>
      <w:r>
        <w:t>health and aged care</w:t>
      </w:r>
      <w:r w:rsidRPr="00FC3D72">
        <w:t xml:space="preserve"> system.</w:t>
      </w:r>
    </w:p>
    <w:p w14:paraId="717C0B86" w14:textId="57FDDFB7" w:rsidR="0060219E" w:rsidRPr="005E46D4" w:rsidRDefault="0060219E" w:rsidP="0060219E">
      <w:pPr>
        <w:pStyle w:val="Heading2un-numbered"/>
        <w:rPr>
          <w:rFonts w:asciiTheme="majorHAnsi" w:hAnsiTheme="majorHAnsi" w:cstheme="majorHAnsi"/>
          <w:sz w:val="28"/>
          <w:szCs w:val="28"/>
        </w:rPr>
      </w:pPr>
      <w:bookmarkStart w:id="2" w:name="_Toc124433379"/>
      <w:r w:rsidRPr="005E46D4">
        <w:rPr>
          <w:rFonts w:asciiTheme="majorHAnsi" w:hAnsiTheme="majorHAnsi" w:cstheme="majorHAnsi"/>
          <w:sz w:val="28"/>
          <w:szCs w:val="28"/>
        </w:rPr>
        <w:t>Methodology</w:t>
      </w:r>
      <w:bookmarkEnd w:id="2"/>
    </w:p>
    <w:p w14:paraId="07C831B3" w14:textId="47ACA27D" w:rsidR="00F93C67" w:rsidRDefault="00F93C67" w:rsidP="00F93C67">
      <w:r>
        <w:t>Deloitte Access Economics undertook a four-stage approach to inform this Report</w:t>
      </w:r>
      <w:r w:rsidR="006140F5">
        <w:t>, as shown</w:t>
      </w:r>
      <w:r>
        <w:t xml:space="preserve"> in </w:t>
      </w:r>
      <w:r w:rsidR="008875A8">
        <w:fldChar w:fldCharType="begin"/>
      </w:r>
      <w:r w:rsidR="008875A8">
        <w:instrText xml:space="preserve"> REF _Ref128416336 \h </w:instrText>
      </w:r>
      <w:r w:rsidR="008875A8">
        <w:fldChar w:fldCharType="separate"/>
      </w:r>
      <w:r w:rsidR="00D32536">
        <w:t xml:space="preserve">Figure </w:t>
      </w:r>
      <w:r w:rsidR="00D32536">
        <w:rPr>
          <w:noProof/>
        </w:rPr>
        <w:t>1</w:t>
      </w:r>
      <w:r w:rsidR="00D32536">
        <w:t>.</w:t>
      </w:r>
      <w:r w:rsidR="00D32536">
        <w:rPr>
          <w:noProof/>
        </w:rPr>
        <w:t>1</w:t>
      </w:r>
      <w:r w:rsidR="008875A8">
        <w:fldChar w:fldCharType="end"/>
      </w:r>
      <w:r w:rsidR="008875A8">
        <w:t xml:space="preserve"> </w:t>
      </w:r>
      <w:r w:rsidR="006140F5">
        <w:t>below</w:t>
      </w:r>
      <w:r>
        <w:t xml:space="preserve">. </w:t>
      </w:r>
    </w:p>
    <w:p w14:paraId="67AC142A" w14:textId="3F4BB0A9" w:rsidR="008875A8" w:rsidRDefault="008875A8" w:rsidP="008875A8">
      <w:pPr>
        <w:pStyle w:val="Caption"/>
      </w:pPr>
      <w:bookmarkStart w:id="3" w:name="_Ref128416336"/>
      <w:r>
        <w:t xml:space="preserve">Figure </w:t>
      </w:r>
      <w:r>
        <w:fldChar w:fldCharType="begin"/>
      </w:r>
      <w:r>
        <w:instrText xml:space="preserve"> STYLEREF 1 \s </w:instrText>
      </w:r>
      <w:r>
        <w:fldChar w:fldCharType="separate"/>
      </w:r>
      <w:r w:rsidR="00D32536">
        <w:rPr>
          <w:noProof/>
        </w:rPr>
        <w:t>1</w:t>
      </w:r>
      <w:r>
        <w:fldChar w:fldCharType="end"/>
      </w:r>
      <w:r>
        <w:t>.</w:t>
      </w:r>
      <w:r>
        <w:fldChar w:fldCharType="begin"/>
      </w:r>
      <w:r>
        <w:instrText xml:space="preserve"> SEQ Figure \* ARABIC \s 1 </w:instrText>
      </w:r>
      <w:r>
        <w:fldChar w:fldCharType="separate"/>
      </w:r>
      <w:r w:rsidR="00D32536">
        <w:rPr>
          <w:noProof/>
        </w:rPr>
        <w:t>1</w:t>
      </w:r>
      <w:r>
        <w:fldChar w:fldCharType="end"/>
      </w:r>
      <w:bookmarkEnd w:id="3"/>
      <w:r>
        <w:t xml:space="preserve"> Evaluation approach</w:t>
      </w:r>
    </w:p>
    <w:p w14:paraId="2DB51066" w14:textId="77777777" w:rsidR="00F93C67" w:rsidRDefault="00F93C67" w:rsidP="00F93C67">
      <w:pPr>
        <w:jc w:val="center"/>
      </w:pPr>
      <w:r w:rsidRPr="0083554D">
        <w:rPr>
          <w:noProof/>
        </w:rPr>
        <w:drawing>
          <wp:inline distT="0" distB="0" distL="0" distR="0" wp14:anchorId="1642D42D" wp14:editId="30C4422F">
            <wp:extent cx="4642485" cy="1155700"/>
            <wp:effectExtent l="0" t="0" r="5715" b="0"/>
            <wp:docPr id="11" name="Picture 11" descr="This diagram shows the four stages of the approach. It includes 1) evaluation planning, 2) data collection and gathering, 3) qualitative and quantitative data analysis and 4) dissemination of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iagram shows the four stages of the approach. It includes 1) evaluation planning, 2) data collection and gathering, 3) qualitative and quantitative data analysis and 4) dissemination of key findin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2485" cy="1155700"/>
                    </a:xfrm>
                    <a:prstGeom prst="rect">
                      <a:avLst/>
                    </a:prstGeom>
                    <a:noFill/>
                    <a:ln>
                      <a:noFill/>
                    </a:ln>
                  </pic:spPr>
                </pic:pic>
              </a:graphicData>
            </a:graphic>
          </wp:inline>
        </w:drawing>
      </w:r>
    </w:p>
    <w:p w14:paraId="72CD7440" w14:textId="56ACEABC" w:rsidR="00282E25" w:rsidRDefault="00282E25" w:rsidP="0060219E">
      <w:r>
        <w:t xml:space="preserve">A mixed-methods approach was adopted, drawing upon a range of primary and secondary data sources. </w:t>
      </w:r>
      <w:r w:rsidR="005C4C5E">
        <w:t>For this Report</w:t>
      </w:r>
      <w:r w:rsidR="00F8284B">
        <w:t xml:space="preserve">, </w:t>
      </w:r>
      <w:r w:rsidR="0051463B">
        <w:t>primary data collection included stakeholder interviews and a survey administered to Program staff. Overall</w:t>
      </w:r>
      <w:r w:rsidR="00F8284B">
        <w:t>, t</w:t>
      </w:r>
      <w:r>
        <w:t xml:space="preserve">he following stakeholders were consulted: </w:t>
      </w:r>
    </w:p>
    <w:p w14:paraId="5E1488A8" w14:textId="539480C3" w:rsidR="00282E25" w:rsidRDefault="006D1FEC" w:rsidP="00C063DC">
      <w:pPr>
        <w:pStyle w:val="ListParagraph"/>
        <w:numPr>
          <w:ilvl w:val="0"/>
          <w:numId w:val="29"/>
        </w:numPr>
        <w:ind w:left="284" w:hanging="284"/>
      </w:pPr>
      <w:r>
        <w:t>SDCU</w:t>
      </w:r>
      <w:r w:rsidR="00282E25">
        <w:t xml:space="preserve"> staff, program managers and multidisciplinary in-reach clinicians </w:t>
      </w:r>
    </w:p>
    <w:p w14:paraId="4AC82585" w14:textId="5F84F44E" w:rsidR="00282E25" w:rsidRDefault="000936A7" w:rsidP="00C063DC">
      <w:pPr>
        <w:pStyle w:val="ListParagraph"/>
        <w:numPr>
          <w:ilvl w:val="0"/>
          <w:numId w:val="29"/>
        </w:numPr>
        <w:ind w:left="284" w:hanging="284"/>
      </w:pPr>
      <w:r>
        <w:t>needs</w:t>
      </w:r>
      <w:r w:rsidR="00282E25">
        <w:t xml:space="preserve"> based assessment (NBA) service program managers and assessors based across the country </w:t>
      </w:r>
    </w:p>
    <w:p w14:paraId="73B556DF" w14:textId="0A9D2EDA" w:rsidR="00282E25" w:rsidRDefault="000936A7" w:rsidP="00C063DC">
      <w:pPr>
        <w:pStyle w:val="ListParagraph"/>
        <w:numPr>
          <w:ilvl w:val="0"/>
          <w:numId w:val="29"/>
        </w:numPr>
        <w:ind w:left="284" w:hanging="284"/>
      </w:pPr>
      <w:r>
        <w:t>family</w:t>
      </w:r>
      <w:r w:rsidR="00282E25">
        <w:t>/carers of current and former Program residents</w:t>
      </w:r>
    </w:p>
    <w:p w14:paraId="449CF9EA" w14:textId="4B1B24DB" w:rsidR="00282E25" w:rsidRDefault="000936A7" w:rsidP="00C063DC">
      <w:pPr>
        <w:pStyle w:val="ListParagraph"/>
        <w:numPr>
          <w:ilvl w:val="0"/>
          <w:numId w:val="29"/>
        </w:numPr>
        <w:ind w:left="284" w:hanging="284"/>
      </w:pPr>
      <w:r>
        <w:t xml:space="preserve">the </w:t>
      </w:r>
      <w:r w:rsidR="00282E25">
        <w:t>Department’s SDCP Project Team.</w:t>
      </w:r>
    </w:p>
    <w:p w14:paraId="5DECC997" w14:textId="0C6B5CF2" w:rsidR="001F4965" w:rsidRPr="002D694D" w:rsidRDefault="00DE0EEE" w:rsidP="001F4965">
      <w:pPr>
        <w:rPr>
          <w:bCs/>
        </w:rPr>
      </w:pPr>
      <w:r>
        <w:t>Insights gleaned t</w:t>
      </w:r>
      <w:r w:rsidR="0019551B">
        <w:t>h</w:t>
      </w:r>
      <w:r>
        <w:t xml:space="preserve">rough these </w:t>
      </w:r>
      <w:r w:rsidR="00333C8E">
        <w:t>primary data sources</w:t>
      </w:r>
      <w:r>
        <w:t xml:space="preserve"> were triangulated with analysis of the following </w:t>
      </w:r>
      <w:r w:rsidR="001F4965">
        <w:t>secondary data sources</w:t>
      </w:r>
      <w:r w:rsidR="0019551B">
        <w:t>.</w:t>
      </w:r>
    </w:p>
    <w:p w14:paraId="301F3DCD" w14:textId="71DB61B4" w:rsidR="0051135A" w:rsidRDefault="0051135A" w:rsidP="0051135A">
      <w:pPr>
        <w:pStyle w:val="ListBullet"/>
      </w:pPr>
      <w:r w:rsidRPr="00D915BF">
        <w:rPr>
          <w:rFonts w:asciiTheme="majorHAnsi" w:hAnsiTheme="majorHAnsi" w:cstheme="majorHAnsi"/>
          <w:b/>
        </w:rPr>
        <w:lastRenderedPageBreak/>
        <w:t xml:space="preserve">Six-monthly performance reports from </w:t>
      </w:r>
      <w:r w:rsidR="00513D42">
        <w:rPr>
          <w:rFonts w:asciiTheme="majorHAnsi" w:hAnsiTheme="majorHAnsi" w:cstheme="majorHAnsi"/>
          <w:b/>
        </w:rPr>
        <w:t>SDCUs</w:t>
      </w:r>
      <w:r w:rsidRPr="00D915BF">
        <w:rPr>
          <w:rFonts w:asciiTheme="majorHAnsi" w:hAnsiTheme="majorHAnsi" w:cstheme="majorHAnsi"/>
          <w:b/>
        </w:rPr>
        <w:t xml:space="preserve"> and the NBA service</w:t>
      </w:r>
      <w:r w:rsidRPr="007E579F">
        <w:rPr>
          <w:b/>
          <w:bCs/>
        </w:rPr>
        <w:t>.</w:t>
      </w:r>
      <w:r>
        <w:t xml:space="preserve"> Report contents included de-identified information on client admissions, staff recruitment, the operations of the Clinical Advisory Committee (CAC), lessons learned, and emerging challenges.</w:t>
      </w:r>
    </w:p>
    <w:p w14:paraId="39929F10" w14:textId="77777777" w:rsidR="0051135A" w:rsidRDefault="0051135A" w:rsidP="0051135A">
      <w:pPr>
        <w:pStyle w:val="ListBullet"/>
      </w:pPr>
      <w:r w:rsidRPr="00D915BF">
        <w:rPr>
          <w:rFonts w:asciiTheme="majorHAnsi" w:hAnsiTheme="majorHAnsi" w:cstheme="majorHAnsi"/>
          <w:b/>
        </w:rPr>
        <w:t>NBA referral data.</w:t>
      </w:r>
      <w:r w:rsidRPr="007E579F">
        <w:rPr>
          <w:b/>
          <w:bCs/>
        </w:rPr>
        <w:t xml:space="preserve"> </w:t>
      </w:r>
      <w:r>
        <w:t>Data included information on the number of referrals by organisation and region, the timeliness of the referral process, and eligibility decisions.</w:t>
      </w:r>
    </w:p>
    <w:p w14:paraId="48ED0E7D" w14:textId="23BD0A32" w:rsidR="0051135A" w:rsidRDefault="0051135A" w:rsidP="0051135A">
      <w:pPr>
        <w:pStyle w:val="ListBullet"/>
      </w:pPr>
      <w:r w:rsidRPr="00D915BF">
        <w:rPr>
          <w:rFonts w:asciiTheme="majorHAnsi" w:hAnsiTheme="majorHAnsi" w:cstheme="majorHAnsi"/>
          <w:b/>
        </w:rPr>
        <w:t xml:space="preserve">Clinical data from </w:t>
      </w:r>
      <w:r w:rsidR="00513D42">
        <w:rPr>
          <w:rFonts w:asciiTheme="majorHAnsi" w:hAnsiTheme="majorHAnsi" w:cstheme="majorHAnsi"/>
          <w:b/>
        </w:rPr>
        <w:t>SDCUs</w:t>
      </w:r>
      <w:r w:rsidRPr="00D915BF">
        <w:rPr>
          <w:rFonts w:asciiTheme="majorHAnsi" w:hAnsiTheme="majorHAnsi" w:cstheme="majorHAnsi"/>
          <w:b/>
        </w:rPr>
        <w:t>.</w:t>
      </w:r>
      <w:r>
        <w:t xml:space="preserve"> </w:t>
      </w:r>
      <w:r w:rsidR="00973D14">
        <w:t>D</w:t>
      </w:r>
      <w:r>
        <w:t>ata included operational documentation (e.g.</w:t>
      </w:r>
      <w:r w:rsidR="00786ED4">
        <w:t>,</w:t>
      </w:r>
      <w:r>
        <w:t xml:space="preserve"> documented care processes, protocols and decision-making frameworks) and de-identified data related to outcomes of interest including clinical incidents. </w:t>
      </w:r>
    </w:p>
    <w:p w14:paraId="3A002CA4" w14:textId="77777777" w:rsidR="00761C85" w:rsidRDefault="00761C85" w:rsidP="00761C85">
      <w:pPr>
        <w:pStyle w:val="ListBullet"/>
        <w:numPr>
          <w:ilvl w:val="0"/>
          <w:numId w:val="0"/>
        </w:numPr>
        <w:ind w:left="360" w:hanging="360"/>
      </w:pPr>
    </w:p>
    <w:p w14:paraId="2577181A" w14:textId="2923F292" w:rsidR="00761C85" w:rsidRPr="0079620C" w:rsidRDefault="00761C85" w:rsidP="0079620C">
      <w:pPr>
        <w:rPr>
          <w:lang w:val="en-AU"/>
        </w:rPr>
      </w:pPr>
      <w:r>
        <w:t xml:space="preserve">Across the length of all evaluation activities over </w:t>
      </w:r>
      <w:r w:rsidR="00EF77DD">
        <w:t xml:space="preserve">3 </w:t>
      </w:r>
      <w:r>
        <w:t xml:space="preserve">years, 160 stakeholder </w:t>
      </w:r>
      <w:r w:rsidR="00723E88">
        <w:t>interviews</w:t>
      </w:r>
      <w:r>
        <w:t xml:space="preserve"> were </w:t>
      </w:r>
      <w:r w:rsidR="00B414C0">
        <w:t>conducted,</w:t>
      </w:r>
      <w:r>
        <w:t xml:space="preserve"> </w:t>
      </w:r>
      <w:r w:rsidR="00EE0E15">
        <w:t>and</w:t>
      </w:r>
      <w:r>
        <w:t xml:space="preserve"> </w:t>
      </w:r>
      <w:r w:rsidR="00EF77DD">
        <w:t xml:space="preserve">2 </w:t>
      </w:r>
      <w:r>
        <w:t xml:space="preserve">staff surveys were </w:t>
      </w:r>
      <w:r w:rsidR="00EE0E15">
        <w:t>administered</w:t>
      </w:r>
      <w:r>
        <w:t xml:space="preserve"> to SDCU Program managers, clinical nursing staff, care staff, allied health staff, and in-reach specialist clinicians. These surveys achieved </w:t>
      </w:r>
      <w:r>
        <w:rPr>
          <w:lang w:val="en-AU"/>
        </w:rPr>
        <w:t>over 80 responses in total.</w:t>
      </w:r>
    </w:p>
    <w:p w14:paraId="5D86EAEE" w14:textId="543014AE" w:rsidR="0060219E" w:rsidRPr="005E46D4" w:rsidRDefault="0060219E" w:rsidP="0060219E">
      <w:pPr>
        <w:pStyle w:val="Heading2un-numbered"/>
        <w:rPr>
          <w:rFonts w:asciiTheme="majorHAnsi" w:hAnsiTheme="majorHAnsi" w:cstheme="majorHAnsi"/>
          <w:sz w:val="28"/>
          <w:szCs w:val="28"/>
        </w:rPr>
      </w:pPr>
      <w:bookmarkStart w:id="4" w:name="_Toc124433380"/>
      <w:r w:rsidRPr="005E46D4">
        <w:rPr>
          <w:rFonts w:asciiTheme="majorHAnsi" w:hAnsiTheme="majorHAnsi" w:cstheme="majorHAnsi"/>
          <w:sz w:val="28"/>
          <w:szCs w:val="28"/>
        </w:rPr>
        <w:t>Evaluation findings</w:t>
      </w:r>
      <w:bookmarkEnd w:id="4"/>
    </w:p>
    <w:p w14:paraId="694B60EA" w14:textId="53BBB49A" w:rsidR="00122372" w:rsidRPr="00CB18B1" w:rsidRDefault="007F45D5" w:rsidP="0060219E">
      <w:pPr>
        <w:pStyle w:val="Heading3un-numbered"/>
        <w:rPr>
          <w:lang w:val="en-AU"/>
        </w:rPr>
      </w:pPr>
      <w:r w:rsidRPr="007F45D5">
        <w:rPr>
          <w:noProof/>
        </w:rPr>
        <w:drawing>
          <wp:inline distT="0" distB="0" distL="0" distR="0" wp14:anchorId="5BADD159" wp14:editId="48A10F90">
            <wp:extent cx="6319520" cy="459740"/>
            <wp:effectExtent l="0" t="0" r="5080" b="0"/>
            <wp:docPr id="34" name="Picture 34" descr="The following evaluation findings are from the referrals and transitions in section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following evaluation findings are from the referrals and transitions in section of the repor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9520" cy="459740"/>
                    </a:xfrm>
                    <a:prstGeom prst="rect">
                      <a:avLst/>
                    </a:prstGeom>
                    <a:noFill/>
                    <a:ln>
                      <a:noFill/>
                    </a:ln>
                  </pic:spPr>
                </pic:pic>
              </a:graphicData>
            </a:graphic>
          </wp:inline>
        </w:drawing>
      </w:r>
    </w:p>
    <w:p w14:paraId="24D8EE7E" w14:textId="06892AC9" w:rsidR="0060219E" w:rsidRDefault="0060219E" w:rsidP="0060219E">
      <w:pPr>
        <w:pStyle w:val="Heading4thematicstatement"/>
        <w:rPr>
          <w:rFonts w:asciiTheme="majorHAnsi" w:hAnsiTheme="majorHAnsi" w:cstheme="majorHAnsi"/>
        </w:rPr>
      </w:pPr>
      <w:r w:rsidRPr="005E46D4">
        <w:rPr>
          <w:rFonts w:asciiTheme="majorHAnsi" w:hAnsiTheme="majorHAnsi" w:cstheme="majorHAnsi"/>
        </w:rPr>
        <w:t>Program awareness and adoption</w:t>
      </w:r>
    </w:p>
    <w:p w14:paraId="6B283209" w14:textId="49531AAB" w:rsidR="00AC02B2" w:rsidRPr="0068064B" w:rsidRDefault="00254F48" w:rsidP="009C6EF0">
      <w:pPr>
        <w:pStyle w:val="ListBullet"/>
        <w:spacing w:after="240"/>
        <w:ind w:left="357" w:hanging="357"/>
        <w:contextualSpacing w:val="0"/>
      </w:pPr>
      <w:bookmarkStart w:id="5" w:name="_Hlk125003515"/>
      <w:r w:rsidRPr="0068064B">
        <w:t xml:space="preserve">Over the period </w:t>
      </w:r>
      <w:r w:rsidR="00EE43B3" w:rsidRPr="0068064B">
        <w:t>September 2019</w:t>
      </w:r>
      <w:r w:rsidR="00074E2B">
        <w:t xml:space="preserve"> </w:t>
      </w:r>
      <w:r w:rsidR="00EE43B3" w:rsidRPr="0068064B">
        <w:t xml:space="preserve">to </w:t>
      </w:r>
      <w:r w:rsidR="001C1181">
        <w:t>June 20</w:t>
      </w:r>
      <w:r w:rsidR="00EE43B3" w:rsidRPr="0068064B">
        <w:t>2</w:t>
      </w:r>
      <w:r w:rsidR="00ED53CC" w:rsidRPr="0068064B">
        <w:t>2</w:t>
      </w:r>
      <w:r w:rsidR="00EE43B3" w:rsidRPr="0068064B">
        <w:t>, the Program received almost 1,000 referrals</w:t>
      </w:r>
      <w:r w:rsidR="009D7017" w:rsidRPr="0068064B">
        <w:t xml:space="preserve"> from</w:t>
      </w:r>
      <w:r w:rsidR="0023399F" w:rsidRPr="0068064B">
        <w:t xml:space="preserve"> either</w:t>
      </w:r>
      <w:r w:rsidR="009D7017" w:rsidRPr="0068064B">
        <w:t xml:space="preserve"> inpatient </w:t>
      </w:r>
      <w:r w:rsidR="003A5610">
        <w:t>settings</w:t>
      </w:r>
      <w:r w:rsidR="00453E3B" w:rsidRPr="0068064B">
        <w:t xml:space="preserve"> or mainstream RACFs. </w:t>
      </w:r>
      <w:r w:rsidR="00A4757D" w:rsidRPr="0068064B">
        <w:t xml:space="preserve">Growth in </w:t>
      </w:r>
      <w:r w:rsidR="00737051">
        <w:t>the volume of referral</w:t>
      </w:r>
      <w:r w:rsidR="00DD20E1">
        <w:t>s</w:t>
      </w:r>
      <w:r w:rsidR="00737051">
        <w:t xml:space="preserve"> coincided with the opening of new SDCUs</w:t>
      </w:r>
      <w:r w:rsidR="002A2362" w:rsidRPr="0068064B">
        <w:t xml:space="preserve"> before reaching a relatively steady </w:t>
      </w:r>
      <w:r w:rsidR="00D5745B" w:rsidRPr="0068064B">
        <w:t>volume</w:t>
      </w:r>
      <w:r w:rsidR="001352E6" w:rsidRPr="0068064B">
        <w:t xml:space="preserve"> </w:t>
      </w:r>
      <w:r w:rsidR="00D5745B" w:rsidRPr="0068064B">
        <w:t xml:space="preserve">per quarter </w:t>
      </w:r>
      <w:r w:rsidR="00423575">
        <w:t>in</w:t>
      </w:r>
      <w:r w:rsidR="003D44A0">
        <w:t xml:space="preserve"> </w:t>
      </w:r>
      <w:r w:rsidR="003E4D6B">
        <w:t>early</w:t>
      </w:r>
      <w:r w:rsidR="003D44A0">
        <w:t xml:space="preserve"> </w:t>
      </w:r>
      <w:r w:rsidR="00ED53CC" w:rsidRPr="0068064B">
        <w:t>2021</w:t>
      </w:r>
      <w:r w:rsidR="0079668F">
        <w:t>.</w:t>
      </w:r>
    </w:p>
    <w:bookmarkEnd w:id="5"/>
    <w:p w14:paraId="0DD9C720" w14:textId="0DD57F38" w:rsidR="00561452" w:rsidRPr="0068064B" w:rsidRDefault="00EB1016" w:rsidP="009C6EF0">
      <w:pPr>
        <w:pStyle w:val="ListBullet"/>
        <w:spacing w:after="240"/>
        <w:ind w:left="357" w:hanging="357"/>
        <w:contextualSpacing w:val="0"/>
      </w:pPr>
      <w:r w:rsidRPr="0068064B">
        <w:t>R</w:t>
      </w:r>
      <w:r w:rsidR="00561452" w:rsidRPr="0068064B">
        <w:t xml:space="preserve">eferral patterns by referrer type have </w:t>
      </w:r>
      <w:r w:rsidR="008B0C7D">
        <w:t>become more balanced</w:t>
      </w:r>
      <w:r w:rsidR="006B7F61" w:rsidRPr="0068064B">
        <w:t xml:space="preserve"> over time</w:t>
      </w:r>
      <w:r w:rsidR="00561452" w:rsidRPr="0068064B">
        <w:t xml:space="preserve">, shifting from around 70% of referrals originating </w:t>
      </w:r>
      <w:r w:rsidR="00B51B5A">
        <w:t>from</w:t>
      </w:r>
      <w:r w:rsidR="00B51B5A" w:rsidRPr="0068064B">
        <w:t xml:space="preserve"> </w:t>
      </w:r>
      <w:r w:rsidR="00561452" w:rsidRPr="0068064B">
        <w:t xml:space="preserve">inpatient settings </w:t>
      </w:r>
      <w:r w:rsidR="00561452">
        <w:t>in 2019 to around 50% over the past 12 months</w:t>
      </w:r>
      <w:r w:rsidR="00561452" w:rsidRPr="0068064B">
        <w:t xml:space="preserve">. This supports insights gleaned through consultation that awareness of the Program has grown </w:t>
      </w:r>
      <w:r w:rsidR="00EC4A2A">
        <w:t xml:space="preserve">steadily </w:t>
      </w:r>
      <w:r w:rsidR="00561452" w:rsidRPr="0068064B">
        <w:t xml:space="preserve">across </w:t>
      </w:r>
      <w:r w:rsidR="00445BD5">
        <w:t>mainstream RACFs</w:t>
      </w:r>
      <w:r w:rsidR="00561452" w:rsidRPr="0068064B">
        <w:t>.</w:t>
      </w:r>
    </w:p>
    <w:p w14:paraId="70A8752E" w14:textId="254422BE" w:rsidR="00DE2B53" w:rsidRDefault="0041543F" w:rsidP="00DE2B53">
      <w:pPr>
        <w:pStyle w:val="ListBullet"/>
        <w:spacing w:after="240"/>
        <w:ind w:left="357" w:hanging="357"/>
        <w:contextualSpacing w:val="0"/>
      </w:pPr>
      <w:r>
        <w:t>When examining o</w:t>
      </w:r>
      <w:r w:rsidR="00C66BC3">
        <w:t>bserved d</w:t>
      </w:r>
      <w:r w:rsidR="00C66BC3" w:rsidRPr="0068064B">
        <w:t xml:space="preserve">emand </w:t>
      </w:r>
      <w:r w:rsidR="006B49CD" w:rsidRPr="0068064B">
        <w:t>for the Program</w:t>
      </w:r>
      <w:r w:rsidR="00B97190">
        <w:t xml:space="preserve"> (</w:t>
      </w:r>
      <w:r w:rsidR="006B49CD" w:rsidRPr="0068064B">
        <w:t>proxied by referral</w:t>
      </w:r>
      <w:r w:rsidR="00D162EB">
        <w:t>s</w:t>
      </w:r>
      <w:r w:rsidR="00B97190">
        <w:t>)</w:t>
      </w:r>
      <w:r w:rsidR="00C8055C">
        <w:t xml:space="preserve"> compared to the </w:t>
      </w:r>
      <w:r w:rsidR="002E36A8">
        <w:t xml:space="preserve">supply of </w:t>
      </w:r>
      <w:r w:rsidR="00B91353">
        <w:t>Program bed-days</w:t>
      </w:r>
      <w:r w:rsidR="00CC4468">
        <w:t>,</w:t>
      </w:r>
      <w:r w:rsidR="00B91353">
        <w:t xml:space="preserve"> </w:t>
      </w:r>
      <w:r w:rsidR="00CC4468">
        <w:t xml:space="preserve">it is </w:t>
      </w:r>
      <w:r w:rsidR="003310DC">
        <w:t>theorised</w:t>
      </w:r>
      <w:r w:rsidR="00CC4468">
        <w:t xml:space="preserve"> that </w:t>
      </w:r>
      <w:r w:rsidR="00910218" w:rsidRPr="0068064B">
        <w:t xml:space="preserve">referrals </w:t>
      </w:r>
      <w:r w:rsidR="0052342E">
        <w:t>may be</w:t>
      </w:r>
      <w:r w:rsidR="00910218" w:rsidRPr="0068064B">
        <w:t xml:space="preserve"> a reaction to perceived supply (i.e., referrers are encouraged/discouraged based on the perception of SDCU availability).</w:t>
      </w:r>
      <w:r w:rsidR="00784108">
        <w:t xml:space="preserve"> </w:t>
      </w:r>
      <w:r w:rsidR="00FB7215">
        <w:t xml:space="preserve">ACT had both the highest number of referrals and the largest Program capacity relative to its estimated population with </w:t>
      </w:r>
      <w:r w:rsidR="000D1C15">
        <w:t xml:space="preserve">dementia. </w:t>
      </w:r>
      <w:r w:rsidR="0002237A">
        <w:t xml:space="preserve">Of jurisdictions with SDCUs, NSW has both the smallest Program capacity and the </w:t>
      </w:r>
      <w:r w:rsidR="009E10FA">
        <w:t xml:space="preserve">lowest number of referrals relative to its estimated </w:t>
      </w:r>
      <w:r w:rsidR="00C9540E">
        <w:t xml:space="preserve">dementia population. </w:t>
      </w:r>
      <w:r w:rsidR="004B14AC">
        <w:t xml:space="preserve">It is </w:t>
      </w:r>
      <w:r w:rsidR="009D3539">
        <w:t xml:space="preserve">acknowledged </w:t>
      </w:r>
      <w:r w:rsidR="004B14AC">
        <w:t xml:space="preserve">that </w:t>
      </w:r>
      <w:r w:rsidR="009D3539">
        <w:t xml:space="preserve">separate to the Program, overall jurisdictional capacity to support people with very severe BPSD </w:t>
      </w:r>
      <w:r w:rsidR="006E3CBE">
        <w:t>includes other services (e.g.</w:t>
      </w:r>
      <w:r w:rsidR="00786ED4">
        <w:t>,</w:t>
      </w:r>
      <w:r w:rsidR="006E3CBE">
        <w:t xml:space="preserve"> Older Persons Mental Health services in NSW), which may influence observed Program demand. </w:t>
      </w:r>
      <w:r w:rsidR="00173FC2" w:rsidRPr="0068064B">
        <w:t xml:space="preserve">Phase </w:t>
      </w:r>
      <w:r w:rsidR="00786177">
        <w:t>Two</w:t>
      </w:r>
      <w:r w:rsidR="00173FC2" w:rsidRPr="0068064B">
        <w:t xml:space="preserve"> intends to </w:t>
      </w:r>
      <w:r w:rsidR="00442CE9">
        <w:t xml:space="preserve">establish three additional </w:t>
      </w:r>
      <w:r w:rsidR="009B0BA2">
        <w:t>SDCUs</w:t>
      </w:r>
      <w:r w:rsidR="00442CE9">
        <w:t xml:space="preserve"> in NSW, one additional SDCU in WA, VIC, SA, ACT and the first SDCU in TAS</w:t>
      </w:r>
      <w:r w:rsidR="005738FD">
        <w:t xml:space="preserve">. These sites are expected to become operational </w:t>
      </w:r>
      <w:r w:rsidR="0024654B">
        <w:t>across 2023</w:t>
      </w:r>
      <w:r w:rsidR="00DB3EA3">
        <w:t xml:space="preserve">, with Program referral rates rising </w:t>
      </w:r>
      <w:r w:rsidR="002E3889">
        <w:t>in response to increased Program capacity</w:t>
      </w:r>
      <w:r w:rsidR="0024654B">
        <w:t xml:space="preserve">. </w:t>
      </w:r>
    </w:p>
    <w:p w14:paraId="2BBD2E3B" w14:textId="2CFFA701" w:rsidR="00D45F4B" w:rsidRDefault="00C4680B" w:rsidP="00DE2B53">
      <w:pPr>
        <w:pStyle w:val="ListBullet"/>
        <w:spacing w:after="240"/>
        <w:ind w:left="357"/>
        <w:contextualSpacing w:val="0"/>
      </w:pPr>
      <w:r>
        <w:rPr>
          <w:lang w:val="en-AU"/>
        </w:rPr>
        <w:t>O</w:t>
      </w:r>
      <w:r w:rsidR="00A64A9D">
        <w:rPr>
          <w:lang w:val="en-AU"/>
        </w:rPr>
        <w:t xml:space="preserve">f </w:t>
      </w:r>
      <w:r w:rsidR="00247C2D">
        <w:rPr>
          <w:lang w:val="en-AU"/>
        </w:rPr>
        <w:t xml:space="preserve">the </w:t>
      </w:r>
      <w:r w:rsidR="001E34C1">
        <w:rPr>
          <w:lang w:val="en-AU"/>
        </w:rPr>
        <w:t>~</w:t>
      </w:r>
      <w:r w:rsidR="00247C2D">
        <w:rPr>
          <w:lang w:val="en-AU"/>
        </w:rPr>
        <w:t>1,000</w:t>
      </w:r>
      <w:r w:rsidR="00A64A9D">
        <w:rPr>
          <w:lang w:val="en-AU"/>
        </w:rPr>
        <w:t xml:space="preserve"> Program referrals</w:t>
      </w:r>
      <w:r>
        <w:rPr>
          <w:lang w:val="en-AU"/>
        </w:rPr>
        <w:t xml:space="preserve"> received over </w:t>
      </w:r>
      <w:r w:rsidR="00A64A9D">
        <w:rPr>
          <w:lang w:val="en-AU"/>
        </w:rPr>
        <w:t xml:space="preserve">the period September 2019 to June 2022, approximately </w:t>
      </w:r>
      <w:r w:rsidR="004E6F06">
        <w:rPr>
          <w:lang w:val="en-AU"/>
        </w:rPr>
        <w:t>1</w:t>
      </w:r>
      <w:r w:rsidR="00A64A9D">
        <w:rPr>
          <w:lang w:val="en-AU"/>
        </w:rPr>
        <w:t xml:space="preserve"> in</w:t>
      </w:r>
      <w:r w:rsidR="004E6F06">
        <w:rPr>
          <w:lang w:val="en-AU"/>
        </w:rPr>
        <w:t xml:space="preserve"> 3</w:t>
      </w:r>
      <w:r w:rsidR="00A64A9D">
        <w:rPr>
          <w:lang w:val="en-AU"/>
        </w:rPr>
        <w:t xml:space="preserve"> were assessed for suitability </w:t>
      </w:r>
      <w:r w:rsidR="005F1E77">
        <w:rPr>
          <w:lang w:val="en-AU"/>
        </w:rPr>
        <w:t>by an SDCU</w:t>
      </w:r>
      <w:r w:rsidR="00A64A9D">
        <w:rPr>
          <w:lang w:val="en-AU"/>
        </w:rPr>
        <w:t xml:space="preserve">. Of those assessed for suitability, just over </w:t>
      </w:r>
      <w:r w:rsidR="004E6F06">
        <w:rPr>
          <w:lang w:val="en-AU"/>
        </w:rPr>
        <w:t>1</w:t>
      </w:r>
      <w:r w:rsidR="00A64A9D">
        <w:rPr>
          <w:lang w:val="en-AU"/>
        </w:rPr>
        <w:t xml:space="preserve"> in </w:t>
      </w:r>
      <w:r w:rsidR="004E6F06">
        <w:rPr>
          <w:lang w:val="en-AU"/>
        </w:rPr>
        <w:t>2</w:t>
      </w:r>
      <w:r w:rsidR="00A64A9D">
        <w:rPr>
          <w:lang w:val="en-AU"/>
        </w:rPr>
        <w:t xml:space="preserve"> were placed in a SDCU. This results in an overall placement rate of </w:t>
      </w:r>
      <w:r w:rsidR="00652FA2">
        <w:rPr>
          <w:lang w:val="en-AU"/>
        </w:rPr>
        <w:t xml:space="preserve">1 </w:t>
      </w:r>
      <w:r w:rsidR="00A64A9D">
        <w:rPr>
          <w:lang w:val="en-AU"/>
        </w:rPr>
        <w:t xml:space="preserve">in </w:t>
      </w:r>
      <w:r w:rsidR="00652FA2">
        <w:rPr>
          <w:lang w:val="en-AU"/>
        </w:rPr>
        <w:t>5</w:t>
      </w:r>
      <w:r w:rsidR="00A64A9D">
        <w:rPr>
          <w:lang w:val="en-AU"/>
        </w:rPr>
        <w:t xml:space="preserve"> referred to the Program. </w:t>
      </w:r>
    </w:p>
    <w:p w14:paraId="3827AFA6" w14:textId="58657796" w:rsidR="00D45F4B" w:rsidRDefault="006469BB" w:rsidP="00CF08D2">
      <w:pPr>
        <w:pStyle w:val="ListBullet"/>
        <w:numPr>
          <w:ilvl w:val="0"/>
          <w:numId w:val="40"/>
        </w:numPr>
      </w:pPr>
      <w:r>
        <w:t xml:space="preserve">The </w:t>
      </w:r>
      <w:r w:rsidR="00CF3CA0">
        <w:t xml:space="preserve">main reason a referral </w:t>
      </w:r>
      <w:r w:rsidR="006B4822">
        <w:t>did</w:t>
      </w:r>
      <w:r w:rsidR="00CF3CA0">
        <w:t xml:space="preserve"> not progress to a</w:t>
      </w:r>
      <w:r w:rsidR="00950194">
        <w:t>n SDCU</w:t>
      </w:r>
      <w:r w:rsidR="00CF3CA0">
        <w:t xml:space="preserve"> suitability assessment</w:t>
      </w:r>
      <w:r w:rsidR="009A233A">
        <w:t xml:space="preserve"> relate</w:t>
      </w:r>
      <w:r w:rsidR="00F814F9">
        <w:t>d</w:t>
      </w:r>
      <w:r w:rsidR="009A233A">
        <w:t xml:space="preserve"> </w:t>
      </w:r>
      <w:r w:rsidR="00331CA5">
        <w:t xml:space="preserve">to </w:t>
      </w:r>
      <w:r w:rsidR="00155F2A">
        <w:t>behaviors being ‘too mild’</w:t>
      </w:r>
      <w:r w:rsidR="000F51C0">
        <w:t xml:space="preserve"> (as assessed </w:t>
      </w:r>
      <w:r w:rsidR="00AB6CF2">
        <w:t xml:space="preserve">through the </w:t>
      </w:r>
      <w:r w:rsidR="004F5393">
        <w:t>NBA service)</w:t>
      </w:r>
      <w:r w:rsidR="009642A9">
        <w:t xml:space="preserve"> and </w:t>
      </w:r>
      <w:r w:rsidR="00E0505B">
        <w:t>thus</w:t>
      </w:r>
      <w:r w:rsidR="009642A9">
        <w:t xml:space="preserve"> not meeting the </w:t>
      </w:r>
      <w:r w:rsidR="00E0505B">
        <w:t xml:space="preserve">Program </w:t>
      </w:r>
      <w:r w:rsidR="009642A9">
        <w:t>eligibility criteria.</w:t>
      </w:r>
    </w:p>
    <w:p w14:paraId="18AD6ECF" w14:textId="5AF3F599" w:rsidR="008512F4" w:rsidRDefault="008512F4" w:rsidP="00CF08D2">
      <w:pPr>
        <w:pStyle w:val="ListBullet"/>
        <w:numPr>
          <w:ilvl w:val="0"/>
          <w:numId w:val="40"/>
        </w:numPr>
        <w:rPr>
          <w:lang w:val="en-AU"/>
        </w:rPr>
      </w:pPr>
      <w:r>
        <w:rPr>
          <w:lang w:val="en-AU"/>
        </w:rPr>
        <w:t xml:space="preserve">The </w:t>
      </w:r>
      <w:r w:rsidR="00A163B4">
        <w:rPr>
          <w:lang w:val="en-AU"/>
        </w:rPr>
        <w:t xml:space="preserve">main reason a SDCU </w:t>
      </w:r>
      <w:r>
        <w:rPr>
          <w:lang w:val="en-AU"/>
        </w:rPr>
        <w:t xml:space="preserve">suitability assessment </w:t>
      </w:r>
      <w:r w:rsidR="006B4822">
        <w:rPr>
          <w:lang w:val="en-AU"/>
        </w:rPr>
        <w:t>did</w:t>
      </w:r>
      <w:r w:rsidR="00A163B4">
        <w:rPr>
          <w:lang w:val="en-AU"/>
        </w:rPr>
        <w:t xml:space="preserve"> not progress to </w:t>
      </w:r>
      <w:r w:rsidR="00DC0C0A">
        <w:rPr>
          <w:lang w:val="en-AU"/>
        </w:rPr>
        <w:t xml:space="preserve">an </w:t>
      </w:r>
      <w:r w:rsidR="00216A61">
        <w:rPr>
          <w:lang w:val="en-AU"/>
        </w:rPr>
        <w:t>o</w:t>
      </w:r>
      <w:r w:rsidR="00845C6B">
        <w:rPr>
          <w:lang w:val="en-AU"/>
        </w:rPr>
        <w:t xml:space="preserve">ffer </w:t>
      </w:r>
      <w:r w:rsidR="00E07515">
        <w:rPr>
          <w:lang w:val="en-AU"/>
        </w:rPr>
        <w:t>o</w:t>
      </w:r>
      <w:r w:rsidR="00216A61">
        <w:rPr>
          <w:lang w:val="en-AU"/>
        </w:rPr>
        <w:t xml:space="preserve">f </w:t>
      </w:r>
      <w:r>
        <w:rPr>
          <w:lang w:val="en-AU"/>
        </w:rPr>
        <w:t xml:space="preserve">placement </w:t>
      </w:r>
      <w:r w:rsidR="00A163B4">
        <w:rPr>
          <w:lang w:val="en-AU"/>
        </w:rPr>
        <w:t xml:space="preserve">related to </w:t>
      </w:r>
      <w:r w:rsidR="00F814F9">
        <w:rPr>
          <w:lang w:val="en-AU"/>
        </w:rPr>
        <w:t>concerns the resident was a poor</w:t>
      </w:r>
      <w:r w:rsidRPr="009742AE">
        <w:rPr>
          <w:lang w:val="en-AU"/>
        </w:rPr>
        <w:t xml:space="preserve"> ‘fit’ within the current SDCU dynamics of existing residents and staff</w:t>
      </w:r>
      <w:r w:rsidR="00AF6A03">
        <w:rPr>
          <w:lang w:val="en-AU"/>
        </w:rPr>
        <w:t>.</w:t>
      </w:r>
    </w:p>
    <w:p w14:paraId="36B725A2" w14:textId="345DA7BC" w:rsidR="00DE2B53" w:rsidRPr="00DE2B53" w:rsidRDefault="003C4120" w:rsidP="00CF08D2">
      <w:pPr>
        <w:pStyle w:val="ListBullet"/>
        <w:numPr>
          <w:ilvl w:val="0"/>
          <w:numId w:val="40"/>
        </w:numPr>
        <w:spacing w:after="240"/>
        <w:contextualSpacing w:val="0"/>
        <w:rPr>
          <w:lang w:val="en-AU"/>
        </w:rPr>
      </w:pPr>
      <w:r>
        <w:rPr>
          <w:lang w:val="en-AU"/>
        </w:rPr>
        <w:t>Families/carers were highly receptive to the concept of the Program and offers of placement were typically only declined due to distance reasons.</w:t>
      </w:r>
    </w:p>
    <w:p w14:paraId="543A1673" w14:textId="0AE827B6" w:rsidR="00DF7BE8" w:rsidRDefault="00DF7BE8" w:rsidP="00DF7BE8">
      <w:pPr>
        <w:pStyle w:val="ListBullet"/>
        <w:spacing w:after="240"/>
        <w:ind w:left="357" w:hanging="357"/>
        <w:contextualSpacing w:val="0"/>
      </w:pPr>
      <w:r w:rsidRPr="0028040A">
        <w:t>Concurrent with increasing numbers of NBA referrals, the proportion of NBA referrals deemed eligible for assessment has declined across the length of the Program. This may be attributed to a high proportion of new referrers who are less familiar with the Program scope and eligibility criteria.</w:t>
      </w:r>
      <w:r>
        <w:t xml:space="preserve"> </w:t>
      </w:r>
    </w:p>
    <w:p w14:paraId="2830F95A" w14:textId="6B872AF1" w:rsidR="001C3030" w:rsidRDefault="001C3030" w:rsidP="00D533EF">
      <w:pPr>
        <w:pStyle w:val="ListBullet"/>
        <w:spacing w:after="240"/>
        <w:ind w:left="357" w:hanging="357"/>
        <w:contextualSpacing w:val="0"/>
        <w:rPr>
          <w:lang w:val="en-AU"/>
        </w:rPr>
      </w:pPr>
      <w:r>
        <w:t>Several</w:t>
      </w:r>
      <w:r>
        <w:rPr>
          <w:spacing w:val="-5"/>
        </w:rPr>
        <w:t xml:space="preserve"> </w:t>
      </w:r>
      <w:r>
        <w:t>strategies</w:t>
      </w:r>
      <w:r>
        <w:rPr>
          <w:spacing w:val="-4"/>
        </w:rPr>
        <w:t xml:space="preserve"> </w:t>
      </w:r>
      <w:r>
        <w:t>were identified as</w:t>
      </w:r>
      <w:r>
        <w:rPr>
          <w:spacing w:val="-4"/>
        </w:rPr>
        <w:t xml:space="preserve"> </w:t>
      </w:r>
      <w:r>
        <w:t>key</w:t>
      </w:r>
      <w:r>
        <w:rPr>
          <w:spacing w:val="-3"/>
        </w:rPr>
        <w:t xml:space="preserve"> </w:t>
      </w:r>
      <w:r>
        <w:t>enablers</w:t>
      </w:r>
      <w:r>
        <w:rPr>
          <w:spacing w:val="-2"/>
        </w:rPr>
        <w:t xml:space="preserve"> </w:t>
      </w:r>
      <w:r>
        <w:t>in</w:t>
      </w:r>
      <w:r>
        <w:rPr>
          <w:spacing w:val="-3"/>
        </w:rPr>
        <w:t xml:space="preserve"> </w:t>
      </w:r>
      <w:r>
        <w:t>driving</w:t>
      </w:r>
      <w:r>
        <w:rPr>
          <w:spacing w:val="-1"/>
        </w:rPr>
        <w:t xml:space="preserve"> </w:t>
      </w:r>
      <w:r>
        <w:t>Program</w:t>
      </w:r>
      <w:r>
        <w:rPr>
          <w:spacing w:val="-2"/>
        </w:rPr>
        <w:t xml:space="preserve"> </w:t>
      </w:r>
      <w:r>
        <w:t>awareness</w:t>
      </w:r>
      <w:r>
        <w:rPr>
          <w:spacing w:val="-4"/>
        </w:rPr>
        <w:t xml:space="preserve"> </w:t>
      </w:r>
      <w:r>
        <w:t xml:space="preserve">and referrals over the duration of the Program. These included leveraging networks of in-reach clinicians, building relationships with social workers in in-patient settings, leveraging networks in PHNs, integration with DSA and provider-specific promotional activities. </w:t>
      </w:r>
    </w:p>
    <w:p w14:paraId="4F15D706" w14:textId="53089237" w:rsidR="00CF682E" w:rsidRDefault="00CF682E" w:rsidP="00D533EF">
      <w:pPr>
        <w:pStyle w:val="ListBullet"/>
        <w:spacing w:after="240"/>
        <w:ind w:left="357" w:hanging="357"/>
        <w:contextualSpacing w:val="0"/>
        <w:rPr>
          <w:lang w:val="en-AU"/>
        </w:rPr>
      </w:pPr>
      <w:r>
        <w:rPr>
          <w:lang w:val="en-AU"/>
        </w:rPr>
        <w:lastRenderedPageBreak/>
        <w:t>At this stage of the Program, nine out of ten SDCUs ha</w:t>
      </w:r>
      <w:r w:rsidR="003835A5">
        <w:rPr>
          <w:lang w:val="en-AU"/>
        </w:rPr>
        <w:t xml:space="preserve">d reached capacity </w:t>
      </w:r>
      <w:r w:rsidR="00C14D39">
        <w:rPr>
          <w:lang w:val="en-AU"/>
        </w:rPr>
        <w:t>(i.e., fill</w:t>
      </w:r>
      <w:r w:rsidR="003835A5">
        <w:rPr>
          <w:lang w:val="en-AU"/>
        </w:rPr>
        <w:t>ed</w:t>
      </w:r>
      <w:r w:rsidR="00C14D39">
        <w:rPr>
          <w:lang w:val="en-AU"/>
        </w:rPr>
        <w:t xml:space="preserve"> all beds at one time)</w:t>
      </w:r>
      <w:r>
        <w:rPr>
          <w:lang w:val="en-AU"/>
        </w:rPr>
        <w:t>. However, there was wide underlying variation in the time taken to achieve this metric, with one SDCU at approximately half-capacity after more than two years.</w:t>
      </w:r>
      <w:r w:rsidR="009268DE">
        <w:rPr>
          <w:lang w:val="en-AU"/>
        </w:rPr>
        <w:t xml:space="preserve"> </w:t>
      </w:r>
      <w:r w:rsidR="006605FB">
        <w:rPr>
          <w:lang w:val="en-AU"/>
        </w:rPr>
        <w:t>The following</w:t>
      </w:r>
      <w:r w:rsidR="009268DE">
        <w:rPr>
          <w:lang w:val="en-AU"/>
        </w:rPr>
        <w:t xml:space="preserve"> themes </w:t>
      </w:r>
      <w:r w:rsidR="00D820B4">
        <w:rPr>
          <w:lang w:val="en-AU"/>
        </w:rPr>
        <w:t>contribute to</w:t>
      </w:r>
      <w:r w:rsidR="009268DE">
        <w:rPr>
          <w:lang w:val="en-AU"/>
        </w:rPr>
        <w:t xml:space="preserve"> this variation:</w:t>
      </w:r>
    </w:p>
    <w:p w14:paraId="6339F83E" w14:textId="6F6002F3" w:rsidR="00CF682E" w:rsidRPr="0082014D" w:rsidRDefault="00CF682E" w:rsidP="00CF08D2">
      <w:pPr>
        <w:pStyle w:val="ListParagraph"/>
        <w:numPr>
          <w:ilvl w:val="0"/>
          <w:numId w:val="42"/>
        </w:numPr>
        <w:spacing w:after="170"/>
        <w:contextualSpacing w:val="0"/>
      </w:pPr>
      <w:r w:rsidRPr="00C51754">
        <w:rPr>
          <w:rFonts w:asciiTheme="majorHAnsi" w:hAnsiTheme="majorHAnsi" w:cstheme="majorHAnsi"/>
          <w:b/>
          <w:bCs/>
        </w:rPr>
        <w:t>Provider risk appetite.</w:t>
      </w:r>
      <w:r>
        <w:t xml:space="preserve"> Many SDCUs slow to reach capacity ha</w:t>
      </w:r>
      <w:r w:rsidR="00DC145F">
        <w:t>d</w:t>
      </w:r>
      <w:r>
        <w:t xml:space="preserve"> declined placement for residents assessed as eligible by the NBA </w:t>
      </w:r>
      <w:r w:rsidR="000E379D">
        <w:t>service on the basis of</w:t>
      </w:r>
      <w:r>
        <w:t xml:space="preserve"> poor ‘fit’ with the current resident and staff mix, as well as a view that some residents’ needs were too complex and would create unnecessary risk</w:t>
      </w:r>
      <w:r w:rsidR="00075704">
        <w:t xml:space="preserve"> for the provider</w:t>
      </w:r>
      <w:r>
        <w:t xml:space="preserve">. </w:t>
      </w:r>
      <w:r w:rsidR="00EF1FD3">
        <w:t>This supported insights</w:t>
      </w:r>
      <w:r>
        <w:t xml:space="preserve"> from </w:t>
      </w:r>
      <w:r w:rsidR="00EF1FD3">
        <w:t>consultation</w:t>
      </w:r>
      <w:r>
        <w:t xml:space="preserve"> </w:t>
      </w:r>
      <w:r w:rsidR="00EF1FD3">
        <w:t>that</w:t>
      </w:r>
      <w:r>
        <w:t xml:space="preserve"> significant variation in risk appetite </w:t>
      </w:r>
      <w:r w:rsidR="00EF1FD3">
        <w:t xml:space="preserve">existed </w:t>
      </w:r>
      <w:r>
        <w:t>across SDCUs.</w:t>
      </w:r>
    </w:p>
    <w:p w14:paraId="5F2C6269" w14:textId="3D5C2E41" w:rsidR="00DE2B53" w:rsidRPr="0079620C" w:rsidRDefault="00CF682E" w:rsidP="0079620C">
      <w:pPr>
        <w:pStyle w:val="ListParagraph"/>
        <w:numPr>
          <w:ilvl w:val="1"/>
          <w:numId w:val="54"/>
        </w:numPr>
        <w:spacing w:after="170"/>
        <w:contextualSpacing w:val="0"/>
        <w:rPr>
          <w:lang w:val="en-AU"/>
        </w:rPr>
      </w:pPr>
      <w:r w:rsidRPr="00C51754">
        <w:rPr>
          <w:rFonts w:asciiTheme="majorHAnsi" w:hAnsiTheme="majorHAnsi" w:cstheme="majorHAnsi"/>
          <w:b/>
          <w:bCs/>
        </w:rPr>
        <w:t>Unique barriers that exist in regional areas.</w:t>
      </w:r>
      <w:r w:rsidRPr="00C51754">
        <w:t xml:space="preserve"> </w:t>
      </w:r>
      <w:r w:rsidR="005400C1" w:rsidRPr="000F5074">
        <w:t>P</w:t>
      </w:r>
      <w:r w:rsidR="005400C1">
        <w:t>eople</w:t>
      </w:r>
      <w:r w:rsidR="005400C1" w:rsidRPr="000F5074">
        <w:t xml:space="preserve"> in regional and rural </w:t>
      </w:r>
      <w:r w:rsidR="005400C1">
        <w:t xml:space="preserve">areas </w:t>
      </w:r>
      <w:r w:rsidR="005400C1">
        <w:rPr>
          <w:lang w:val="en-AU"/>
        </w:rPr>
        <w:t xml:space="preserve">can face additional challenges in meeting the NBA eligibility criteria where there is limited presence of a </w:t>
      </w:r>
      <w:r w:rsidR="005400C1">
        <w:t>psychogeriatrician (or other relevant specialist) in their location</w:t>
      </w:r>
      <w:r w:rsidR="00EF2A90">
        <w:t>, which is required as part of the Program eligibility criteria</w:t>
      </w:r>
      <w:r w:rsidR="005400C1">
        <w:t xml:space="preserve">. </w:t>
      </w:r>
      <w:r w:rsidR="005400C1">
        <w:rPr>
          <w:lang w:val="en-AU"/>
        </w:rPr>
        <w:t xml:space="preserve">Stakeholders noted that consultants administering the NBA process had worked collaboratively with patients, family members and health care workers in order to address </w:t>
      </w:r>
      <w:r w:rsidR="00D820B4">
        <w:rPr>
          <w:lang w:val="en-AU"/>
        </w:rPr>
        <w:t>this challenge</w:t>
      </w:r>
      <w:r w:rsidR="005400C1">
        <w:rPr>
          <w:lang w:val="en-AU"/>
        </w:rPr>
        <w:t xml:space="preserve">. </w:t>
      </w:r>
      <w:r w:rsidR="005400C1" w:rsidRPr="005A0A46">
        <w:rPr>
          <w:lang w:val="en-AU"/>
        </w:rPr>
        <w:t xml:space="preserve"> </w:t>
      </w:r>
    </w:p>
    <w:p w14:paraId="79751C72" w14:textId="5897BDE2" w:rsidR="00DE2B53" w:rsidRDefault="00DE2B53" w:rsidP="00DE2B53">
      <w:pPr>
        <w:pStyle w:val="ListBullet"/>
        <w:spacing w:after="240"/>
        <w:ind w:left="357"/>
        <w:contextualSpacing w:val="0"/>
      </w:pPr>
      <w:r w:rsidRPr="00DE2B53">
        <w:t>A separate measure of Program uptake is SDCU occupied bed-days</w:t>
      </w:r>
      <w:r w:rsidR="00FC7001">
        <w:t xml:space="preserve"> (</w:t>
      </w:r>
      <w:r w:rsidR="006A0226">
        <w:t>i.e.</w:t>
      </w:r>
      <w:r w:rsidR="00FC7001">
        <w:t>,</w:t>
      </w:r>
      <w:r w:rsidRPr="00DE2B53">
        <w:t xml:space="preserve"> the </w:t>
      </w:r>
      <w:r w:rsidR="00EB7DE2">
        <w:t>annual occupancy rate)</w:t>
      </w:r>
      <w:r w:rsidRPr="00DE2B53">
        <w:t xml:space="preserve">. </w:t>
      </w:r>
      <w:r w:rsidR="00BC1122">
        <w:t>T</w:t>
      </w:r>
      <w:r w:rsidRPr="00DE2B53">
        <w:t xml:space="preserve">he Program’s overall </w:t>
      </w:r>
      <w:r w:rsidRPr="00E46623">
        <w:t>occupancy rate</w:t>
      </w:r>
      <w:r w:rsidR="001E11EA">
        <w:t xml:space="preserve"> has improved markedly</w:t>
      </w:r>
      <w:r w:rsidR="00BC1122">
        <w:t xml:space="preserve"> since Program inception</w:t>
      </w:r>
      <w:r w:rsidRPr="00E46623">
        <w:t>, from 41% in FY20 and 54% in FY21 to 85% in FY2</w:t>
      </w:r>
      <w:r w:rsidR="003369B1">
        <w:t>2</w:t>
      </w:r>
      <w:r w:rsidRPr="00E46623">
        <w:t>.</w:t>
      </w:r>
    </w:p>
    <w:p w14:paraId="32EE9709" w14:textId="33160BE5" w:rsidR="00D457CA" w:rsidRDefault="00D457CA" w:rsidP="00DE2B53">
      <w:pPr>
        <w:pStyle w:val="ListBullet"/>
        <w:spacing w:after="240"/>
        <w:ind w:left="357"/>
        <w:contextualSpacing w:val="0"/>
      </w:pPr>
      <w:r w:rsidRPr="00D457CA">
        <w:t>The concept of the Program was well-received by families/carers, with offers for assessment typically only declined for distance reasons</w:t>
      </w:r>
      <w:r>
        <w:t>.</w:t>
      </w:r>
    </w:p>
    <w:p w14:paraId="5D9D14FC" w14:textId="7F3647FA" w:rsidR="0060219E" w:rsidRDefault="0060219E" w:rsidP="002A5BF0">
      <w:pPr>
        <w:pStyle w:val="Heading4thematicstatement"/>
        <w:rPr>
          <w:rFonts w:asciiTheme="majorHAnsi" w:hAnsiTheme="majorHAnsi" w:cstheme="majorHAnsi"/>
        </w:rPr>
      </w:pPr>
      <w:r w:rsidRPr="005E46D4">
        <w:rPr>
          <w:rFonts w:asciiTheme="majorHAnsi" w:hAnsiTheme="majorHAnsi" w:cstheme="majorHAnsi"/>
        </w:rPr>
        <w:t>Timeliness and coordination of referral and transition-in process</w:t>
      </w:r>
    </w:p>
    <w:p w14:paraId="494A3DC7" w14:textId="7BED5211" w:rsidR="00CE75AB" w:rsidRDefault="00FF0F2B" w:rsidP="007E694C">
      <w:pPr>
        <w:pStyle w:val="ListParagraph"/>
        <w:numPr>
          <w:ilvl w:val="0"/>
          <w:numId w:val="41"/>
        </w:numPr>
        <w:ind w:left="426" w:hanging="426"/>
        <w:contextualSpacing w:val="0"/>
      </w:pPr>
      <w:r w:rsidRPr="00FF0F2B">
        <w:t xml:space="preserve">Stakeholders </w:t>
      </w:r>
      <w:r w:rsidR="00140F52">
        <w:t>broadly</w:t>
      </w:r>
      <w:r w:rsidRPr="00FF0F2B">
        <w:t xml:space="preserve"> agreed th</w:t>
      </w:r>
      <w:r w:rsidR="00140F52">
        <w:t>at</w:t>
      </w:r>
      <w:r w:rsidRPr="00FF0F2B">
        <w:t xml:space="preserve"> the NBA process is working efficiently and effectively, although limited data availability and information-sharing across care settings remain the primary barriers to timely and comprehensive </w:t>
      </w:r>
      <w:r w:rsidR="00C21085">
        <w:t xml:space="preserve">NBA </w:t>
      </w:r>
      <w:r w:rsidRPr="00FF0F2B">
        <w:t xml:space="preserve">assessments. </w:t>
      </w:r>
    </w:p>
    <w:p w14:paraId="2A166037" w14:textId="1BF284BC" w:rsidR="0009555F" w:rsidRPr="006F4806" w:rsidRDefault="00CE75AB" w:rsidP="007E694C">
      <w:pPr>
        <w:pStyle w:val="ListParagraph"/>
        <w:numPr>
          <w:ilvl w:val="0"/>
          <w:numId w:val="41"/>
        </w:numPr>
        <w:ind w:left="426" w:hanging="426"/>
        <w:contextualSpacing w:val="0"/>
      </w:pPr>
      <w:r>
        <w:t>S</w:t>
      </w:r>
      <w:r w:rsidR="0009555F">
        <w:t>takeholders broadly agreed that following client acceptance, the process for transition</w:t>
      </w:r>
      <w:r w:rsidR="00711E13">
        <w:t xml:space="preserve"> </w:t>
      </w:r>
      <w:r w:rsidR="0009555F">
        <w:t xml:space="preserve">in is working well. For most </w:t>
      </w:r>
      <w:r w:rsidR="0057063D">
        <w:t>SDCUs</w:t>
      </w:r>
      <w:r w:rsidR="0009555F">
        <w:t>, the success of the transition</w:t>
      </w:r>
      <w:r w:rsidR="0057063D">
        <w:t xml:space="preserve"> </w:t>
      </w:r>
      <w:r w:rsidR="0009555F">
        <w:t>in process has evolved and matured over time. Key enablers to the success of these transitions include:</w:t>
      </w:r>
    </w:p>
    <w:p w14:paraId="3775DD98" w14:textId="35EF25A4" w:rsidR="0009555F" w:rsidRPr="00434FAA" w:rsidRDefault="0009555F" w:rsidP="00CF08D2">
      <w:pPr>
        <w:pStyle w:val="ListParagraph"/>
        <w:numPr>
          <w:ilvl w:val="1"/>
          <w:numId w:val="41"/>
        </w:numPr>
        <w:spacing w:after="170"/>
        <w:contextualSpacing w:val="0"/>
      </w:pPr>
      <w:r w:rsidRPr="00015A60">
        <w:rPr>
          <w:rFonts w:asciiTheme="majorHAnsi" w:hAnsiTheme="majorHAnsi" w:cstheme="majorHAnsi"/>
          <w:b/>
        </w:rPr>
        <w:t>In-person provider assessments.</w:t>
      </w:r>
      <w:r w:rsidRPr="00434FAA">
        <w:t xml:space="preserve"> In-person assessments conducted by clinical representatives from the SDCU (following </w:t>
      </w:r>
      <w:r w:rsidR="00570676">
        <w:t>the initial</w:t>
      </w:r>
      <w:r w:rsidR="00DA3F00">
        <w:t xml:space="preserve"> needs-based assessment</w:t>
      </w:r>
      <w:r w:rsidRPr="00434FAA">
        <w:t xml:space="preserve">) are helpful in informing ‘fit’ discussions at CAC meetings. </w:t>
      </w:r>
    </w:p>
    <w:p w14:paraId="3FC2F23A" w14:textId="6C7E3AAA" w:rsidR="0009555F" w:rsidRPr="00434FAA" w:rsidRDefault="0009555F" w:rsidP="00CF08D2">
      <w:pPr>
        <w:pStyle w:val="ListParagraph"/>
        <w:numPr>
          <w:ilvl w:val="1"/>
          <w:numId w:val="41"/>
        </w:numPr>
        <w:spacing w:after="170"/>
        <w:contextualSpacing w:val="0"/>
      </w:pPr>
      <w:r w:rsidRPr="00015A60">
        <w:rPr>
          <w:rFonts w:asciiTheme="majorHAnsi" w:hAnsiTheme="majorHAnsi" w:cstheme="majorHAnsi"/>
          <w:b/>
        </w:rPr>
        <w:t>Early communication and expectation-setting with families/carers.</w:t>
      </w:r>
      <w:r w:rsidRPr="00434FAA">
        <w:t xml:space="preserve"> Stakeholders observed that family/carer buy-in at the outset is critical, with in-person site visits prior to placement a key enabling factor. Stakeholders also commented on the importance of setting pre-admission expectations with families/carers relating to the 12-month nature of the service model</w:t>
      </w:r>
      <w:r w:rsidR="003A4A6C">
        <w:t xml:space="preserve"> and </w:t>
      </w:r>
      <w:r w:rsidRPr="00434FAA">
        <w:t xml:space="preserve">what can </w:t>
      </w:r>
      <w:r w:rsidR="008F078F">
        <w:t xml:space="preserve">be </w:t>
      </w:r>
      <w:r w:rsidRPr="00434FAA">
        <w:t xml:space="preserve">realistically achieved for residents. </w:t>
      </w:r>
    </w:p>
    <w:p w14:paraId="34D36507" w14:textId="4A97495D" w:rsidR="0009555F" w:rsidRPr="00434FAA" w:rsidRDefault="0009555F" w:rsidP="00CF08D2">
      <w:pPr>
        <w:pStyle w:val="ListParagraph"/>
        <w:numPr>
          <w:ilvl w:val="1"/>
          <w:numId w:val="41"/>
        </w:numPr>
        <w:spacing w:after="170"/>
        <w:contextualSpacing w:val="0"/>
      </w:pPr>
      <w:r w:rsidRPr="00015A60">
        <w:rPr>
          <w:rFonts w:asciiTheme="majorHAnsi" w:hAnsiTheme="majorHAnsi" w:cstheme="majorHAnsi"/>
          <w:b/>
        </w:rPr>
        <w:t>Socialising client information with staff pre-admission.</w:t>
      </w:r>
      <w:r w:rsidRPr="00434FAA">
        <w:t xml:space="preserve"> Routine discussion among care staff of a resident’s unique needs and preferences prior to their placement (informed by </w:t>
      </w:r>
      <w:r w:rsidR="00E13FE2">
        <w:t>NBA</w:t>
      </w:r>
      <w:r w:rsidR="00E13FE2" w:rsidRPr="00434FAA">
        <w:t xml:space="preserve"> </w:t>
      </w:r>
      <w:r w:rsidRPr="00434FAA">
        <w:t xml:space="preserve">reports, observations from the provider’s in-person assessment, and handover documentation from the referring facility) </w:t>
      </w:r>
      <w:r w:rsidR="00921A3B">
        <w:t>can help to increase</w:t>
      </w:r>
      <w:r w:rsidRPr="00434FAA">
        <w:t xml:space="preserve"> staff confidence in their ability to manage residen</w:t>
      </w:r>
      <w:r w:rsidR="0021697F">
        <w:t>t</w:t>
      </w:r>
      <w:r w:rsidRPr="00434FAA">
        <w:t xml:space="preserve"> behaviours.</w:t>
      </w:r>
    </w:p>
    <w:p w14:paraId="2D517204" w14:textId="7EA877D2" w:rsidR="00FF0F2B" w:rsidRPr="0079620C" w:rsidRDefault="0009555F" w:rsidP="004C00A1">
      <w:pPr>
        <w:pStyle w:val="ListParagraph"/>
        <w:numPr>
          <w:ilvl w:val="1"/>
          <w:numId w:val="41"/>
        </w:numPr>
        <w:ind w:left="1083" w:hanging="357"/>
        <w:contextualSpacing w:val="0"/>
      </w:pPr>
      <w:r w:rsidRPr="00015A60">
        <w:rPr>
          <w:rFonts w:asciiTheme="majorHAnsi" w:hAnsiTheme="majorHAnsi" w:cstheme="majorHAnsi"/>
          <w:b/>
        </w:rPr>
        <w:t>Flexible resourcing to support admissions</w:t>
      </w:r>
      <w:r w:rsidRPr="00015A60">
        <w:rPr>
          <w:rFonts w:asciiTheme="majorHAnsi" w:hAnsiTheme="majorHAnsi" w:cstheme="majorHAnsi"/>
        </w:rPr>
        <w:t xml:space="preserve">. </w:t>
      </w:r>
      <w:r w:rsidRPr="00434FAA">
        <w:t xml:space="preserve">Many SDCUs identified a need for extra resources on admission days, as newly admitted residents typically require </w:t>
      </w:r>
      <w:r w:rsidR="004C00A1">
        <w:t>more</w:t>
      </w:r>
      <w:r w:rsidRPr="00434FAA">
        <w:t xml:space="preserve"> supervision as they adapt to the new environment.</w:t>
      </w:r>
      <w:r w:rsidRPr="00434FAA">
        <w:rPr>
          <w:lang w:val="en-AU"/>
        </w:rPr>
        <w:t xml:space="preserve"> </w:t>
      </w:r>
    </w:p>
    <w:p w14:paraId="462AD15E" w14:textId="09D1400D" w:rsidR="00E01D72" w:rsidRDefault="000A2FFD" w:rsidP="0079620C">
      <w:pPr>
        <w:pStyle w:val="ListParagraph"/>
        <w:widowControl w:val="0"/>
        <w:numPr>
          <w:ilvl w:val="0"/>
          <w:numId w:val="46"/>
        </w:numPr>
        <w:tabs>
          <w:tab w:val="left" w:pos="403"/>
        </w:tabs>
        <w:autoSpaceDE w:val="0"/>
        <w:autoSpaceDN w:val="0"/>
        <w:spacing w:before="172" w:after="170" w:line="240" w:lineRule="auto"/>
        <w:ind w:left="403" w:right="675"/>
        <w:contextualSpacing w:val="0"/>
      </w:pPr>
      <w:r>
        <w:t>P</w:t>
      </w:r>
      <w:r w:rsidR="000111B6" w:rsidRPr="0079620C">
        <w:t>atients from r</w:t>
      </w:r>
      <w:r w:rsidR="002E39E2" w:rsidRPr="0079620C">
        <w:t xml:space="preserve">egional and rural areas </w:t>
      </w:r>
      <w:r>
        <w:t xml:space="preserve">can face additional barriers to timely access to the Program. The referral and transition in process was </w:t>
      </w:r>
      <w:r w:rsidR="000A55E3" w:rsidRPr="0079620C">
        <w:t xml:space="preserve">noted to be </w:t>
      </w:r>
      <w:r w:rsidR="00564C69" w:rsidRPr="00791DE1">
        <w:t>resource</w:t>
      </w:r>
      <w:r w:rsidR="00564C69">
        <w:t xml:space="preserve">-intensive, </w:t>
      </w:r>
      <w:r w:rsidR="000A55E3">
        <w:t xml:space="preserve">from both a financial standpoint as well as </w:t>
      </w:r>
      <w:r w:rsidR="00EB44B7">
        <w:t xml:space="preserve">due to </w:t>
      </w:r>
      <w:r w:rsidR="000A55E3">
        <w:t>dif</w:t>
      </w:r>
      <w:r w:rsidR="00791DE1">
        <w:t>ficult</w:t>
      </w:r>
      <w:r w:rsidR="006B34B7">
        <w:t xml:space="preserve">ies </w:t>
      </w:r>
      <w:r w:rsidR="00255418">
        <w:t>coordinating</w:t>
      </w:r>
      <w:r w:rsidR="00E169A2">
        <w:t xml:space="preserve"> this process. </w:t>
      </w:r>
      <w:r w:rsidR="00EB44B7">
        <w:t xml:space="preserve">In addition to challenges sourcing specialist input (as described above), further </w:t>
      </w:r>
      <w:r w:rsidR="008B67F7">
        <w:t>issues noted included</w:t>
      </w:r>
      <w:r w:rsidR="00E01D72">
        <w:t>:</w:t>
      </w:r>
    </w:p>
    <w:p w14:paraId="0F7E2BEB" w14:textId="11D07D36" w:rsidR="00E01D72" w:rsidRPr="00B665CE" w:rsidRDefault="00E70A6D" w:rsidP="0079620C">
      <w:pPr>
        <w:pStyle w:val="ListParagraph"/>
        <w:numPr>
          <w:ilvl w:val="1"/>
          <w:numId w:val="54"/>
        </w:numPr>
        <w:spacing w:after="170"/>
        <w:contextualSpacing w:val="0"/>
        <w:rPr>
          <w:lang w:val="en-AU"/>
        </w:rPr>
      </w:pPr>
      <w:r>
        <w:rPr>
          <w:rFonts w:asciiTheme="majorHAnsi" w:hAnsiTheme="majorHAnsi" w:cstheme="majorHAnsi"/>
          <w:b/>
        </w:rPr>
        <w:t>Staff shortages</w:t>
      </w:r>
      <w:r w:rsidR="00E01D72">
        <w:rPr>
          <w:rFonts w:asciiTheme="majorHAnsi" w:hAnsiTheme="majorHAnsi" w:cstheme="majorHAnsi"/>
          <w:b/>
        </w:rPr>
        <w:t>.</w:t>
      </w:r>
      <w:r w:rsidR="00E01D72" w:rsidRPr="0079620C">
        <w:rPr>
          <w:rFonts w:asciiTheme="majorHAnsi" w:hAnsiTheme="majorHAnsi" w:cstheme="majorHAnsi"/>
          <w:bCs/>
        </w:rPr>
        <w:t xml:space="preserve"> S</w:t>
      </w:r>
      <w:r w:rsidR="00E01D72">
        <w:t xml:space="preserve">takeholders observed </w:t>
      </w:r>
      <w:r w:rsidR="004E76DF">
        <w:t xml:space="preserve">staff shortages had contributed to the sole regional SDCU </w:t>
      </w:r>
      <w:r w:rsidR="00BF14BD">
        <w:t xml:space="preserve">having to manage their Program occupancy </w:t>
      </w:r>
      <w:r w:rsidR="00B275EC">
        <w:t xml:space="preserve">in </w:t>
      </w:r>
      <w:r w:rsidR="00D536C3">
        <w:t xml:space="preserve">line with </w:t>
      </w:r>
      <w:r w:rsidR="008C2357">
        <w:t xml:space="preserve">staff-patient ratios. </w:t>
      </w:r>
      <w:r w:rsidR="006F11E8" w:rsidRPr="00107593">
        <w:rPr>
          <w:lang w:val="en-AU"/>
        </w:rPr>
        <w:t>It is noted however that labour shortages are not</w:t>
      </w:r>
      <w:r w:rsidR="006F11E8">
        <w:rPr>
          <w:rFonts w:asciiTheme="majorHAnsi" w:hAnsiTheme="majorHAnsi" w:cstheme="majorHAnsi"/>
          <w:b/>
        </w:rPr>
        <w:t xml:space="preserve"> </w:t>
      </w:r>
      <w:r w:rsidR="006F11E8" w:rsidRPr="00107593">
        <w:rPr>
          <w:lang w:val="en-AU"/>
        </w:rPr>
        <w:t>unique to the sole</w:t>
      </w:r>
      <w:r w:rsidR="006F11E8">
        <w:rPr>
          <w:lang w:val="en-AU"/>
        </w:rPr>
        <w:t xml:space="preserve"> regional</w:t>
      </w:r>
      <w:r w:rsidR="006F11E8" w:rsidRPr="00107593">
        <w:rPr>
          <w:lang w:val="en-AU"/>
        </w:rPr>
        <w:t xml:space="preserve"> SDCU, and have been experienced more broadly across the aged care sector, particularly over the last several years.</w:t>
      </w:r>
      <w:r w:rsidR="00E01D72">
        <w:rPr>
          <w:rFonts w:asciiTheme="majorHAnsi" w:hAnsiTheme="majorHAnsi" w:cstheme="majorHAnsi"/>
          <w:b/>
        </w:rPr>
        <w:t xml:space="preserve"> </w:t>
      </w:r>
    </w:p>
    <w:p w14:paraId="7BC7B9BB" w14:textId="60D191AE" w:rsidR="00E01D72" w:rsidRPr="0079620C" w:rsidRDefault="00E01D72" w:rsidP="0079620C">
      <w:pPr>
        <w:pStyle w:val="ListParagraph"/>
        <w:numPr>
          <w:ilvl w:val="1"/>
          <w:numId w:val="54"/>
        </w:numPr>
        <w:spacing w:after="170"/>
        <w:contextualSpacing w:val="0"/>
        <w:rPr>
          <w:lang w:val="en-AU"/>
        </w:rPr>
      </w:pPr>
      <w:r w:rsidRPr="0001114C">
        <w:rPr>
          <w:rFonts w:asciiTheme="majorHAnsi" w:hAnsiTheme="majorHAnsi" w:cstheme="majorHAnsi"/>
          <w:b/>
          <w:lang w:val="en-AU"/>
        </w:rPr>
        <w:t>Additional resources required for long-distance transport.</w:t>
      </w:r>
      <w:r>
        <w:rPr>
          <w:lang w:val="en-AU"/>
        </w:rPr>
        <w:t xml:space="preserve"> The l</w:t>
      </w:r>
      <w:r w:rsidRPr="005A0A46">
        <w:rPr>
          <w:lang w:val="en-AU"/>
        </w:rPr>
        <w:t>ong</w:t>
      </w:r>
      <w:r>
        <w:rPr>
          <w:lang w:val="en-AU"/>
        </w:rPr>
        <w:t>er</w:t>
      </w:r>
      <w:r w:rsidRPr="005A0A46">
        <w:rPr>
          <w:lang w:val="en-AU"/>
        </w:rPr>
        <w:t xml:space="preserve"> journeys </w:t>
      </w:r>
      <w:r>
        <w:rPr>
          <w:lang w:val="en-AU"/>
        </w:rPr>
        <w:t>to the SDCU from regional and rural areas can be more expensive and</w:t>
      </w:r>
      <w:r w:rsidRPr="00D3556D">
        <w:rPr>
          <w:lang w:val="en-AU"/>
        </w:rPr>
        <w:t xml:space="preserve"> difficult to coordinate</w:t>
      </w:r>
      <w:r w:rsidR="00E604BC">
        <w:rPr>
          <w:lang w:val="en-AU"/>
        </w:rPr>
        <w:t xml:space="preserve">. </w:t>
      </w:r>
      <w:r w:rsidR="00E604BC">
        <w:t>Due to</w:t>
      </w:r>
      <w:r w:rsidR="00E604BC">
        <w:rPr>
          <w:spacing w:val="-2"/>
        </w:rPr>
        <w:t xml:space="preserve"> </w:t>
      </w:r>
      <w:r w:rsidR="00E604BC">
        <w:t>severity</w:t>
      </w:r>
      <w:r w:rsidR="00E604BC">
        <w:rPr>
          <w:spacing w:val="-1"/>
        </w:rPr>
        <w:t xml:space="preserve"> </w:t>
      </w:r>
      <w:r w:rsidR="00E604BC">
        <w:t>of BPSD, residents can</w:t>
      </w:r>
      <w:r w:rsidR="00E604BC">
        <w:rPr>
          <w:spacing w:val="-2"/>
        </w:rPr>
        <w:t xml:space="preserve"> </w:t>
      </w:r>
      <w:r w:rsidR="00E604BC">
        <w:t>also</w:t>
      </w:r>
      <w:r w:rsidR="00E604BC">
        <w:rPr>
          <w:spacing w:val="-3"/>
        </w:rPr>
        <w:t xml:space="preserve"> </w:t>
      </w:r>
      <w:r w:rsidR="00E604BC">
        <w:t>find</w:t>
      </w:r>
      <w:r w:rsidR="00E604BC">
        <w:rPr>
          <w:spacing w:val="-3"/>
        </w:rPr>
        <w:t xml:space="preserve"> </w:t>
      </w:r>
      <w:r w:rsidR="00E604BC">
        <w:t>long</w:t>
      </w:r>
      <w:r w:rsidR="00E604BC">
        <w:rPr>
          <w:spacing w:val="-2"/>
        </w:rPr>
        <w:t xml:space="preserve"> </w:t>
      </w:r>
      <w:r w:rsidR="00E604BC">
        <w:t>journeys</w:t>
      </w:r>
      <w:r w:rsidR="00E604BC">
        <w:rPr>
          <w:spacing w:val="-3"/>
        </w:rPr>
        <w:t xml:space="preserve"> </w:t>
      </w:r>
      <w:r w:rsidR="00E604BC">
        <w:t>distressing</w:t>
      </w:r>
      <w:r w:rsidR="00E604BC">
        <w:rPr>
          <w:spacing w:val="-2"/>
        </w:rPr>
        <w:t xml:space="preserve"> </w:t>
      </w:r>
      <w:r w:rsidR="00E604BC">
        <w:t>and may</w:t>
      </w:r>
      <w:r w:rsidR="00E604BC">
        <w:rPr>
          <w:spacing w:val="-2"/>
        </w:rPr>
        <w:t xml:space="preserve"> </w:t>
      </w:r>
      <w:r w:rsidR="00E604BC">
        <w:t>require</w:t>
      </w:r>
      <w:r w:rsidR="00E604BC">
        <w:rPr>
          <w:spacing w:val="-1"/>
        </w:rPr>
        <w:t xml:space="preserve"> </w:t>
      </w:r>
      <w:r w:rsidR="00E604BC">
        <w:t>sedation</w:t>
      </w:r>
      <w:r w:rsidR="00E604BC">
        <w:rPr>
          <w:spacing w:val="-2"/>
        </w:rPr>
        <w:t xml:space="preserve"> </w:t>
      </w:r>
      <w:r w:rsidR="00E604BC">
        <w:t>to</w:t>
      </w:r>
      <w:r w:rsidR="00E604BC">
        <w:rPr>
          <w:spacing w:val="-3"/>
        </w:rPr>
        <w:t xml:space="preserve"> </w:t>
      </w:r>
      <w:r w:rsidR="00E604BC">
        <w:t>ensure</w:t>
      </w:r>
      <w:r w:rsidR="00E604BC">
        <w:rPr>
          <w:spacing w:val="-2"/>
        </w:rPr>
        <w:t xml:space="preserve"> </w:t>
      </w:r>
      <w:r w:rsidR="00E604BC">
        <w:t>staff</w:t>
      </w:r>
      <w:r w:rsidR="00E604BC">
        <w:rPr>
          <w:spacing w:val="-2"/>
        </w:rPr>
        <w:t xml:space="preserve"> </w:t>
      </w:r>
      <w:r w:rsidR="00E604BC">
        <w:t>and</w:t>
      </w:r>
      <w:r w:rsidR="00E604BC">
        <w:rPr>
          <w:spacing w:val="-3"/>
        </w:rPr>
        <w:t xml:space="preserve"> </w:t>
      </w:r>
      <w:r w:rsidR="00E604BC">
        <w:t>resident</w:t>
      </w:r>
      <w:r w:rsidR="00E604BC">
        <w:rPr>
          <w:spacing w:val="-4"/>
        </w:rPr>
        <w:t xml:space="preserve"> </w:t>
      </w:r>
      <w:r w:rsidR="00E604BC">
        <w:t>safety,</w:t>
      </w:r>
      <w:r w:rsidR="00E604BC">
        <w:rPr>
          <w:spacing w:val="-3"/>
        </w:rPr>
        <w:t xml:space="preserve"> </w:t>
      </w:r>
      <w:r w:rsidR="00E604BC">
        <w:t>creating</w:t>
      </w:r>
      <w:r w:rsidR="00E604BC">
        <w:rPr>
          <w:spacing w:val="-2"/>
        </w:rPr>
        <w:t xml:space="preserve"> </w:t>
      </w:r>
      <w:r w:rsidR="00E604BC">
        <w:t>additional clinical considerations.</w:t>
      </w:r>
    </w:p>
    <w:p w14:paraId="7CCA82F8" w14:textId="77777777" w:rsidR="00AC35F3" w:rsidRPr="00FF0F2B" w:rsidRDefault="00AC35F3" w:rsidP="0079620C">
      <w:pPr>
        <w:widowControl w:val="0"/>
        <w:tabs>
          <w:tab w:val="left" w:pos="403"/>
        </w:tabs>
        <w:autoSpaceDE w:val="0"/>
        <w:autoSpaceDN w:val="0"/>
        <w:spacing w:before="172" w:after="0" w:line="240" w:lineRule="auto"/>
        <w:ind w:right="674"/>
      </w:pPr>
    </w:p>
    <w:p w14:paraId="14A0E822" w14:textId="387A6E51" w:rsidR="00A75513" w:rsidRDefault="00A75513" w:rsidP="00217A03">
      <w:pPr>
        <w:pStyle w:val="Heading4thematicstatement"/>
        <w:spacing w:after="120"/>
      </w:pPr>
      <w:r w:rsidRPr="00A75513">
        <w:rPr>
          <w:noProof/>
        </w:rPr>
        <w:drawing>
          <wp:inline distT="0" distB="0" distL="0" distR="0" wp14:anchorId="4116205E" wp14:editId="3D56A8DA">
            <wp:extent cx="6319520" cy="457200"/>
            <wp:effectExtent l="0" t="0" r="5080" b="0"/>
            <wp:docPr id="38" name="Picture 38" descr="The following evaluation findings are from the delivery of care section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following evaluation findings are from the delivery of care section of the repo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9520" cy="457200"/>
                    </a:xfrm>
                    <a:prstGeom prst="rect">
                      <a:avLst/>
                    </a:prstGeom>
                    <a:noFill/>
                    <a:ln>
                      <a:noFill/>
                    </a:ln>
                  </pic:spPr>
                </pic:pic>
              </a:graphicData>
            </a:graphic>
          </wp:inline>
        </w:drawing>
      </w:r>
    </w:p>
    <w:p w14:paraId="09C7CE18" w14:textId="4CA0ECA7" w:rsidR="0060219E" w:rsidRDefault="0060219E" w:rsidP="0052545F">
      <w:pPr>
        <w:pStyle w:val="Heading4thematicstatement"/>
        <w:rPr>
          <w:rFonts w:asciiTheme="majorHAnsi" w:hAnsiTheme="majorHAnsi" w:cstheme="majorHAnsi"/>
        </w:rPr>
      </w:pPr>
      <w:r w:rsidRPr="005E46D4">
        <w:rPr>
          <w:rFonts w:asciiTheme="majorHAnsi" w:hAnsiTheme="majorHAnsi" w:cstheme="majorHAnsi"/>
        </w:rPr>
        <w:t>Program resourcing</w:t>
      </w:r>
    </w:p>
    <w:p w14:paraId="0958F3AD" w14:textId="0CD59FE9" w:rsidR="00745500" w:rsidRDefault="00A8213E" w:rsidP="00194028">
      <w:pPr>
        <w:pStyle w:val="ListParagraph"/>
        <w:numPr>
          <w:ilvl w:val="0"/>
          <w:numId w:val="44"/>
        </w:numPr>
        <w:ind w:left="426" w:hanging="426"/>
        <w:contextualSpacing w:val="0"/>
      </w:pPr>
      <w:r w:rsidRPr="00A8213E">
        <w:t xml:space="preserve">High staff/resident ratios </w:t>
      </w:r>
      <w:r w:rsidR="004C00A1">
        <w:t>were</w:t>
      </w:r>
      <w:r w:rsidRPr="00A8213E">
        <w:t xml:space="preserve"> considered a key enabler to Program success. </w:t>
      </w:r>
      <w:r w:rsidR="00EA5882">
        <w:t xml:space="preserve">Stakeholders </w:t>
      </w:r>
      <w:r w:rsidR="0052545F">
        <w:t>observed that compared to mainstream RACFs, the Program ratios allowed for: greater levels of supervision; more time for staff to engage in person-centered care; more time to develop a better understanding of residents’ needs and triggers</w:t>
      </w:r>
      <w:r w:rsidR="00474E15">
        <w:t xml:space="preserve">; </w:t>
      </w:r>
      <w:r w:rsidR="00DE088A">
        <w:t>and improved</w:t>
      </w:r>
      <w:r w:rsidR="0052545F">
        <w:t xml:space="preserve"> continuity </w:t>
      </w:r>
      <w:r w:rsidR="00DE088A">
        <w:t>in care</w:t>
      </w:r>
      <w:r w:rsidR="00C94D16">
        <w:t xml:space="preserve"> – which supports</w:t>
      </w:r>
      <w:r w:rsidR="0052545F">
        <w:t xml:space="preserve"> resident progress as they feel more familiar and comfortable with the staff delivering care.</w:t>
      </w:r>
    </w:p>
    <w:p w14:paraId="5428BC3A" w14:textId="1E633328" w:rsidR="009717ED" w:rsidRDefault="00A8213E" w:rsidP="00F4220F">
      <w:pPr>
        <w:pStyle w:val="ListParagraph"/>
        <w:numPr>
          <w:ilvl w:val="0"/>
          <w:numId w:val="43"/>
        </w:numPr>
        <w:ind w:left="426" w:hanging="426"/>
      </w:pPr>
      <w:r w:rsidRPr="00A8213E">
        <w:t>Strong R</w:t>
      </w:r>
      <w:r w:rsidR="00D660CB">
        <w:t xml:space="preserve">egistered </w:t>
      </w:r>
      <w:r w:rsidRPr="00A8213E">
        <w:t>N</w:t>
      </w:r>
      <w:r w:rsidR="00D660CB">
        <w:t>urse (</w:t>
      </w:r>
      <w:r w:rsidRPr="00A8213E">
        <w:t>RN</w:t>
      </w:r>
      <w:r w:rsidR="00D660CB">
        <w:t>)</w:t>
      </w:r>
      <w:r w:rsidRPr="00A8213E">
        <w:t xml:space="preserve"> presence was also cited as critical to Program success, however the presence of a dedicated RN at each SDCU varied.</w:t>
      </w:r>
      <w:r w:rsidR="009717ED">
        <w:t xml:space="preserve"> Some sites ha</w:t>
      </w:r>
      <w:r w:rsidR="00D660CB">
        <w:t>d</w:t>
      </w:r>
      <w:r w:rsidR="009717ED">
        <w:t xml:space="preserve"> a SDCU-dedicated RN available during morning and afternoon shifts working in a unit leadership or clinical coordinator role. However, other </w:t>
      </w:r>
      <w:r w:rsidR="00D660CB">
        <w:t>SDCUs</w:t>
      </w:r>
      <w:r w:rsidR="009717ED">
        <w:t xml:space="preserve"> ha</w:t>
      </w:r>
      <w:r w:rsidR="00D660CB">
        <w:t>d</w:t>
      </w:r>
      <w:r w:rsidR="009717ED">
        <w:t xml:space="preserve"> reduced RN presence, with one SDCU led by an Enrolled Nurse (EN) with support from an on-call RN working across the broader facility. </w:t>
      </w:r>
    </w:p>
    <w:p w14:paraId="1065BBC8" w14:textId="77777777" w:rsidR="00D91B53" w:rsidRDefault="009717ED" w:rsidP="00CF08D2">
      <w:pPr>
        <w:pStyle w:val="ListBullet"/>
        <w:numPr>
          <w:ilvl w:val="0"/>
          <w:numId w:val="40"/>
        </w:numPr>
      </w:pPr>
      <w:r>
        <w:t>Stakeholders across all sites felt that a dedicated SDCU RN was important for the success of the Program, with the RN playing an important role in care quality and safety, the security of residents and staff, maintenance of detailed clinical documentation, and in upskilling ENs and care staff.</w:t>
      </w:r>
    </w:p>
    <w:p w14:paraId="346A0FD9" w14:textId="461D3E69" w:rsidR="00D91B53" w:rsidRDefault="00FB4968" w:rsidP="00085CCB">
      <w:pPr>
        <w:pStyle w:val="ListBullet"/>
        <w:numPr>
          <w:ilvl w:val="0"/>
          <w:numId w:val="40"/>
        </w:numPr>
        <w:spacing w:after="240"/>
        <w:contextualSpacing w:val="0"/>
      </w:pPr>
      <w:r>
        <w:t xml:space="preserve">The SDCP Framework requires “availability of a RN on-site 24 hours a day”. Ambiguity in whether this means SDCU-dedicated or co-located with the provider’s mainstream RACF is a likely reason for variation. Almost all in-reach clinicians emphasised that the specialist nature of the Program imposes an obligation on SDCUs to ensure an appropriate </w:t>
      </w:r>
      <w:r w:rsidR="00A7717E">
        <w:t>clinical</w:t>
      </w:r>
      <w:r>
        <w:t xml:space="preserve"> staffing mix. </w:t>
      </w:r>
    </w:p>
    <w:p w14:paraId="2560F283" w14:textId="49598A69" w:rsidR="002622D3" w:rsidRDefault="00D91B53" w:rsidP="00C4680B">
      <w:pPr>
        <w:pStyle w:val="ListParagraph"/>
        <w:numPr>
          <w:ilvl w:val="0"/>
          <w:numId w:val="43"/>
        </w:numPr>
        <w:ind w:left="426" w:hanging="426"/>
        <w:contextualSpacing w:val="0"/>
      </w:pPr>
      <w:r>
        <w:t xml:space="preserve">Attrition of care staff was cited as a challenge faced by many sites. This appeared to be driven by an unfavourable risk-pay trade-off, when compared to working at mainstream RACFs. </w:t>
      </w:r>
      <w:r w:rsidR="00374533">
        <w:t xml:space="preserve">Remuneration for care staff is </w:t>
      </w:r>
      <w:r w:rsidR="000A03FD">
        <w:t xml:space="preserve">determined </w:t>
      </w:r>
      <w:r w:rsidR="00374533">
        <w:t xml:space="preserve">by providers rather than </w:t>
      </w:r>
      <w:r w:rsidR="00657846">
        <w:t xml:space="preserve">set by the </w:t>
      </w:r>
      <w:r w:rsidR="00374533">
        <w:t>Program. As a result, for providers to avoid administrative costs associated with high staff turnover, additional monetary incentives for care staff may be required.</w:t>
      </w:r>
    </w:p>
    <w:p w14:paraId="6B24962A" w14:textId="134AEC06" w:rsidR="00570221" w:rsidRDefault="00570221" w:rsidP="00C4680B">
      <w:pPr>
        <w:pStyle w:val="ListParagraph"/>
        <w:numPr>
          <w:ilvl w:val="0"/>
          <w:numId w:val="43"/>
        </w:numPr>
        <w:ind w:left="426" w:hanging="426"/>
        <w:contextualSpacing w:val="0"/>
      </w:pPr>
      <w:r>
        <w:t>The staffing profile and input of in-reach clinicians is</w:t>
      </w:r>
      <w:r w:rsidR="00203417" w:rsidRPr="00203417">
        <w:t xml:space="preserve"> relatively standardised across SDCUs in metropolitan areas</w:t>
      </w:r>
      <w:r w:rsidR="008915F5">
        <w:t>. Across</w:t>
      </w:r>
      <w:r w:rsidR="008915F5">
        <w:rPr>
          <w:spacing w:val="-4"/>
        </w:rPr>
        <w:t xml:space="preserve"> </w:t>
      </w:r>
      <w:r w:rsidR="008915F5">
        <w:t>most</w:t>
      </w:r>
      <w:r w:rsidR="008915F5">
        <w:rPr>
          <w:spacing w:val="-5"/>
        </w:rPr>
        <w:t xml:space="preserve"> </w:t>
      </w:r>
      <w:r w:rsidR="008915F5">
        <w:t>SDCUs,</w:t>
      </w:r>
      <w:r w:rsidR="008915F5">
        <w:rPr>
          <w:spacing w:val="-2"/>
        </w:rPr>
        <w:t xml:space="preserve"> </w:t>
      </w:r>
      <w:r w:rsidR="008915F5">
        <w:t>stakeholders</w:t>
      </w:r>
      <w:r w:rsidR="008915F5">
        <w:rPr>
          <w:spacing w:val="-4"/>
        </w:rPr>
        <w:t xml:space="preserve"> </w:t>
      </w:r>
      <w:r w:rsidR="008915F5">
        <w:t>reported</w:t>
      </w:r>
      <w:r w:rsidR="008915F5">
        <w:rPr>
          <w:spacing w:val="-4"/>
        </w:rPr>
        <w:t xml:space="preserve"> </w:t>
      </w:r>
      <w:r w:rsidR="008915F5">
        <w:t>employing</w:t>
      </w:r>
      <w:r w:rsidR="008915F5">
        <w:rPr>
          <w:spacing w:val="-3"/>
        </w:rPr>
        <w:t xml:space="preserve"> </w:t>
      </w:r>
      <w:r w:rsidR="008915F5">
        <w:t>a</w:t>
      </w:r>
      <w:r w:rsidR="008915F5">
        <w:rPr>
          <w:spacing w:val="-1"/>
        </w:rPr>
        <w:t xml:space="preserve"> </w:t>
      </w:r>
      <w:r w:rsidR="008915F5">
        <w:t>psychogeriatrician,</w:t>
      </w:r>
      <w:r w:rsidR="008915F5">
        <w:rPr>
          <w:spacing w:val="-4"/>
        </w:rPr>
        <w:t xml:space="preserve"> </w:t>
      </w:r>
      <w:r w:rsidR="008915F5">
        <w:t>geriatrician</w:t>
      </w:r>
      <w:r w:rsidR="008915F5">
        <w:rPr>
          <w:spacing w:val="-4"/>
        </w:rPr>
        <w:t xml:space="preserve"> </w:t>
      </w:r>
      <w:r w:rsidR="008915F5">
        <w:t>or</w:t>
      </w:r>
      <w:r w:rsidR="008915F5">
        <w:rPr>
          <w:spacing w:val="-1"/>
        </w:rPr>
        <w:t xml:space="preserve"> </w:t>
      </w:r>
      <w:r w:rsidR="008915F5">
        <w:t>psychiatrist</w:t>
      </w:r>
      <w:r w:rsidR="008915F5">
        <w:rPr>
          <w:spacing w:val="-4"/>
        </w:rPr>
        <w:t xml:space="preserve"> </w:t>
      </w:r>
      <w:r w:rsidR="008915F5">
        <w:t>who</w:t>
      </w:r>
      <w:r w:rsidR="008915F5">
        <w:rPr>
          <w:spacing w:val="-4"/>
        </w:rPr>
        <w:t xml:space="preserve"> </w:t>
      </w:r>
      <w:r w:rsidR="008915F5">
        <w:t>attends</w:t>
      </w:r>
      <w:r w:rsidR="008915F5">
        <w:rPr>
          <w:spacing w:val="-2"/>
        </w:rPr>
        <w:t xml:space="preserve"> </w:t>
      </w:r>
      <w:r w:rsidR="008915F5">
        <w:t>the SDCU one</w:t>
      </w:r>
      <w:r w:rsidR="008915F5">
        <w:rPr>
          <w:spacing w:val="-1"/>
        </w:rPr>
        <w:t xml:space="preserve"> </w:t>
      </w:r>
      <w:r w:rsidR="008915F5">
        <w:t>day per week to</w:t>
      </w:r>
      <w:r w:rsidR="008915F5">
        <w:rPr>
          <w:spacing w:val="-1"/>
        </w:rPr>
        <w:t xml:space="preserve"> </w:t>
      </w:r>
      <w:r w:rsidR="008915F5">
        <w:t>review</w:t>
      </w:r>
      <w:r w:rsidR="008915F5">
        <w:rPr>
          <w:spacing w:val="-1"/>
        </w:rPr>
        <w:t xml:space="preserve"> </w:t>
      </w:r>
      <w:r w:rsidR="008915F5">
        <w:t>each resident’s</w:t>
      </w:r>
      <w:r w:rsidR="008915F5">
        <w:rPr>
          <w:spacing w:val="-1"/>
        </w:rPr>
        <w:t xml:space="preserve"> </w:t>
      </w:r>
      <w:r w:rsidR="008915F5">
        <w:t>care plan, participate</w:t>
      </w:r>
      <w:r w:rsidR="008915F5">
        <w:rPr>
          <w:spacing w:val="-1"/>
        </w:rPr>
        <w:t xml:space="preserve"> </w:t>
      </w:r>
      <w:r w:rsidR="008915F5">
        <w:t>in CRT</w:t>
      </w:r>
      <w:r w:rsidR="008915F5">
        <w:rPr>
          <w:spacing w:val="-1"/>
        </w:rPr>
        <w:t xml:space="preserve"> </w:t>
      </w:r>
      <w:r w:rsidR="008915F5">
        <w:t>meetings and provide consultation</w:t>
      </w:r>
      <w:r w:rsidR="008915F5">
        <w:rPr>
          <w:spacing w:val="-2"/>
        </w:rPr>
        <w:t xml:space="preserve"> </w:t>
      </w:r>
      <w:r w:rsidR="008915F5">
        <w:t xml:space="preserve">and education to care staff. </w:t>
      </w:r>
      <w:r w:rsidR="000342B2">
        <w:t xml:space="preserve">For the sole regional SDCU, a clinical psychologist </w:t>
      </w:r>
      <w:r w:rsidR="002F73FE">
        <w:t>provides in-reach services</w:t>
      </w:r>
      <w:r w:rsidR="00A94770">
        <w:t xml:space="preserve">. </w:t>
      </w:r>
    </w:p>
    <w:p w14:paraId="2A8EC8AA" w14:textId="3EB7F28F" w:rsidR="0060219E" w:rsidRDefault="0060219E" w:rsidP="002A5BF0">
      <w:pPr>
        <w:pStyle w:val="Heading4thematicstatement"/>
        <w:rPr>
          <w:rFonts w:asciiTheme="majorHAnsi" w:hAnsiTheme="majorHAnsi" w:cstheme="majorHAnsi"/>
        </w:rPr>
      </w:pPr>
      <w:r w:rsidRPr="005E46D4">
        <w:rPr>
          <w:rFonts w:asciiTheme="majorHAnsi" w:hAnsiTheme="majorHAnsi" w:cstheme="majorHAnsi"/>
        </w:rPr>
        <w:t>Care service mode</w:t>
      </w:r>
      <w:r w:rsidR="00211B02" w:rsidRPr="005E46D4">
        <w:rPr>
          <w:rFonts w:asciiTheme="majorHAnsi" w:hAnsiTheme="majorHAnsi" w:cstheme="majorHAnsi"/>
        </w:rPr>
        <w:t>l</w:t>
      </w:r>
    </w:p>
    <w:p w14:paraId="6683D6F5" w14:textId="506748CE" w:rsidR="00745500" w:rsidRPr="002622D3" w:rsidRDefault="00745500" w:rsidP="00C4680B">
      <w:pPr>
        <w:pStyle w:val="ListParagraph"/>
        <w:numPr>
          <w:ilvl w:val="0"/>
          <w:numId w:val="43"/>
        </w:numPr>
        <w:ind w:left="426" w:hanging="426"/>
      </w:pPr>
      <w:r w:rsidRPr="002622D3">
        <w:t>Stakeholders across all SDCUs commented on the in-reach clinician model as a major strength of the Program. The support provided by the in-reach model was cited as a strength for the following reasons:</w:t>
      </w:r>
    </w:p>
    <w:p w14:paraId="6ADA51B0" w14:textId="44BCB86B" w:rsidR="00745500" w:rsidRPr="0005023D" w:rsidRDefault="00745500" w:rsidP="00C4680B">
      <w:pPr>
        <w:pStyle w:val="ListBullet"/>
        <w:numPr>
          <w:ilvl w:val="0"/>
          <w:numId w:val="40"/>
        </w:numPr>
        <w:spacing w:after="240"/>
        <w:contextualSpacing w:val="0"/>
        <w:rPr>
          <w:color w:val="000000" w:themeColor="text1"/>
        </w:rPr>
      </w:pPr>
      <w:r w:rsidRPr="0005023D">
        <w:rPr>
          <w:rFonts w:asciiTheme="majorHAnsi" w:hAnsiTheme="majorHAnsi" w:cstheme="majorHAnsi"/>
          <w:b/>
          <w:color w:val="000000" w:themeColor="text1"/>
        </w:rPr>
        <w:t>T</w:t>
      </w:r>
      <w:r w:rsidRPr="00D61C37">
        <w:rPr>
          <w:rFonts w:asciiTheme="majorHAnsi" w:hAnsiTheme="majorHAnsi" w:cstheme="majorHAnsi"/>
          <w:b/>
          <w:color w:val="000000" w:themeColor="text1"/>
        </w:rPr>
        <w:t>ransitions in</w:t>
      </w:r>
      <w:r w:rsidR="00EF118B" w:rsidRPr="00D61C37">
        <w:rPr>
          <w:rFonts w:asciiTheme="majorHAnsi" w:hAnsiTheme="majorHAnsi" w:cstheme="majorHAnsi"/>
          <w:b/>
          <w:color w:val="000000" w:themeColor="text1"/>
        </w:rPr>
        <w:t xml:space="preserve"> and out</w:t>
      </w:r>
      <w:r w:rsidRPr="0005023D">
        <w:rPr>
          <w:rFonts w:asciiTheme="majorHAnsi" w:hAnsiTheme="majorHAnsi" w:cstheme="majorHAnsi"/>
          <w:b/>
          <w:color w:val="000000" w:themeColor="text1"/>
        </w:rPr>
        <w:t>.</w:t>
      </w:r>
      <w:r>
        <w:rPr>
          <w:color w:val="000000" w:themeColor="text1"/>
        </w:rPr>
        <w:t xml:space="preserve"> </w:t>
      </w:r>
      <w:r w:rsidR="006E1D09" w:rsidRPr="0005023D">
        <w:rPr>
          <w:color w:val="000000" w:themeColor="text1"/>
        </w:rPr>
        <w:t>In-reach clinicians help</w:t>
      </w:r>
      <w:r w:rsidRPr="002A7403">
        <w:rPr>
          <w:color w:val="000000" w:themeColor="text1"/>
        </w:rPr>
        <w:t xml:space="preserve"> to </w:t>
      </w:r>
      <w:r w:rsidR="006E1D09" w:rsidRPr="0005023D">
        <w:rPr>
          <w:color w:val="000000" w:themeColor="text1"/>
        </w:rPr>
        <w:t>facilitate</w:t>
      </w:r>
      <w:r w:rsidRPr="002A7403">
        <w:rPr>
          <w:color w:val="000000" w:themeColor="text1"/>
        </w:rPr>
        <w:t xml:space="preserve"> a seamless transition</w:t>
      </w:r>
      <w:r w:rsidR="006E1D09" w:rsidRPr="0005023D">
        <w:rPr>
          <w:color w:val="000000" w:themeColor="text1"/>
        </w:rPr>
        <w:t xml:space="preserve"> </w:t>
      </w:r>
      <w:r w:rsidRPr="002A7403">
        <w:rPr>
          <w:color w:val="000000" w:themeColor="text1"/>
        </w:rPr>
        <w:t>in</w:t>
      </w:r>
      <w:r w:rsidR="006E1D09" w:rsidRPr="0005023D">
        <w:rPr>
          <w:color w:val="000000" w:themeColor="text1"/>
        </w:rPr>
        <w:t xml:space="preserve"> </w:t>
      </w:r>
      <w:r w:rsidR="0059486D" w:rsidRPr="0005023D">
        <w:rPr>
          <w:color w:val="000000" w:themeColor="text1"/>
        </w:rPr>
        <w:t>process</w:t>
      </w:r>
      <w:r w:rsidRPr="002A7403">
        <w:rPr>
          <w:color w:val="000000" w:themeColor="text1"/>
        </w:rPr>
        <w:t>, particularly when the transition is from an inpatient facility</w:t>
      </w:r>
      <w:r>
        <w:rPr>
          <w:color w:val="000000" w:themeColor="text1"/>
        </w:rPr>
        <w:t>.</w:t>
      </w:r>
      <w:r w:rsidR="00EF118B" w:rsidRPr="0005023D">
        <w:rPr>
          <w:color w:val="000000" w:themeColor="text1"/>
        </w:rPr>
        <w:t xml:space="preserve"> In addition, they have knowledge of appropriate external discharge options and </w:t>
      </w:r>
      <w:r w:rsidR="007937D1" w:rsidRPr="0005023D">
        <w:rPr>
          <w:color w:val="000000" w:themeColor="text1"/>
        </w:rPr>
        <w:t>help to ensure</w:t>
      </w:r>
      <w:r w:rsidR="00EF118B" w:rsidRPr="0005023D">
        <w:rPr>
          <w:color w:val="000000" w:themeColor="text1"/>
        </w:rPr>
        <w:t xml:space="preserve"> discharge planning</w:t>
      </w:r>
      <w:r w:rsidR="007937D1" w:rsidRPr="0005023D">
        <w:rPr>
          <w:color w:val="000000" w:themeColor="text1"/>
        </w:rPr>
        <w:t xml:space="preserve"> is commenced</w:t>
      </w:r>
      <w:r w:rsidR="00EF118B" w:rsidRPr="0005023D">
        <w:rPr>
          <w:color w:val="000000" w:themeColor="text1"/>
        </w:rPr>
        <w:t xml:space="preserve"> early.</w:t>
      </w:r>
    </w:p>
    <w:p w14:paraId="547CC13A" w14:textId="6D25EAA6" w:rsidR="00745500" w:rsidRPr="0005023D" w:rsidRDefault="00745500" w:rsidP="00C4680B">
      <w:pPr>
        <w:pStyle w:val="ListBullet"/>
        <w:numPr>
          <w:ilvl w:val="0"/>
          <w:numId w:val="40"/>
        </w:numPr>
        <w:spacing w:after="240"/>
        <w:contextualSpacing w:val="0"/>
        <w:rPr>
          <w:color w:val="000000" w:themeColor="text1"/>
        </w:rPr>
      </w:pPr>
      <w:r w:rsidRPr="0005023D">
        <w:rPr>
          <w:rFonts w:asciiTheme="majorHAnsi" w:hAnsiTheme="majorHAnsi" w:cstheme="majorHAnsi"/>
          <w:b/>
          <w:color w:val="000000" w:themeColor="text1"/>
        </w:rPr>
        <w:t xml:space="preserve">Upskilling staff in </w:t>
      </w:r>
      <w:r w:rsidR="004E5CBF">
        <w:rPr>
          <w:rFonts w:asciiTheme="majorHAnsi" w:hAnsiTheme="majorHAnsi" w:cstheme="majorHAnsi"/>
          <w:b/>
          <w:color w:val="000000" w:themeColor="text1"/>
        </w:rPr>
        <w:t>the</w:t>
      </w:r>
      <w:r w:rsidR="004E5CBF" w:rsidRPr="0005023D">
        <w:rPr>
          <w:rFonts w:asciiTheme="majorHAnsi" w:hAnsiTheme="majorHAnsi" w:cstheme="majorHAnsi"/>
          <w:b/>
          <w:color w:val="000000" w:themeColor="text1"/>
        </w:rPr>
        <w:t xml:space="preserve"> </w:t>
      </w:r>
      <w:r w:rsidRPr="0005023D">
        <w:rPr>
          <w:rFonts w:asciiTheme="majorHAnsi" w:hAnsiTheme="majorHAnsi" w:cstheme="majorHAnsi"/>
          <w:b/>
          <w:color w:val="000000" w:themeColor="text1"/>
        </w:rPr>
        <w:t>management</w:t>
      </w:r>
      <w:r w:rsidR="004E5CBF">
        <w:rPr>
          <w:rFonts w:asciiTheme="majorHAnsi" w:hAnsiTheme="majorHAnsi" w:cstheme="majorHAnsi"/>
          <w:b/>
          <w:color w:val="000000" w:themeColor="text1"/>
        </w:rPr>
        <w:t xml:space="preserve"> of very severe BPSD</w:t>
      </w:r>
      <w:r w:rsidRPr="0005023D">
        <w:rPr>
          <w:rFonts w:asciiTheme="majorHAnsi" w:hAnsiTheme="majorHAnsi" w:cstheme="majorHAnsi"/>
          <w:b/>
          <w:color w:val="000000" w:themeColor="text1"/>
        </w:rPr>
        <w:t>.</w:t>
      </w:r>
      <w:r>
        <w:rPr>
          <w:color w:val="000000" w:themeColor="text1"/>
        </w:rPr>
        <w:t xml:space="preserve"> </w:t>
      </w:r>
      <w:r w:rsidR="007C1436" w:rsidRPr="0005023D">
        <w:rPr>
          <w:color w:val="000000" w:themeColor="text1"/>
        </w:rPr>
        <w:t xml:space="preserve">In-reach clinicians play an important role in </w:t>
      </w:r>
      <w:r w:rsidRPr="0005023D">
        <w:rPr>
          <w:color w:val="000000" w:themeColor="text1"/>
        </w:rPr>
        <w:t>upskill</w:t>
      </w:r>
      <w:r w:rsidR="007C1436" w:rsidRPr="0005023D">
        <w:rPr>
          <w:color w:val="000000" w:themeColor="text1"/>
        </w:rPr>
        <w:t>ing</w:t>
      </w:r>
      <w:r w:rsidRPr="002A7403">
        <w:rPr>
          <w:color w:val="000000" w:themeColor="text1"/>
        </w:rPr>
        <w:t xml:space="preserve"> care staff in behavioural management approaches</w:t>
      </w:r>
      <w:r w:rsidR="004E5CBF">
        <w:rPr>
          <w:color w:val="000000" w:themeColor="text1"/>
        </w:rPr>
        <w:t xml:space="preserve"> for very severe BPSD</w:t>
      </w:r>
      <w:r w:rsidRPr="002A7403">
        <w:rPr>
          <w:color w:val="000000" w:themeColor="text1"/>
        </w:rPr>
        <w:t>, both formally and informally</w:t>
      </w:r>
      <w:r w:rsidRPr="0005023D">
        <w:rPr>
          <w:color w:val="000000" w:themeColor="text1"/>
        </w:rPr>
        <w:t>.</w:t>
      </w:r>
    </w:p>
    <w:p w14:paraId="7865DE57" w14:textId="3F6C7A24" w:rsidR="00AB7B86" w:rsidRPr="00AB7B86" w:rsidRDefault="00745500" w:rsidP="00C4680B">
      <w:pPr>
        <w:pStyle w:val="ListBullet"/>
        <w:numPr>
          <w:ilvl w:val="0"/>
          <w:numId w:val="40"/>
        </w:numPr>
        <w:spacing w:after="240"/>
        <w:ind w:left="1077" w:hanging="357"/>
        <w:contextualSpacing w:val="0"/>
        <w:rPr>
          <w:b/>
          <w:color w:val="000000" w:themeColor="text1"/>
        </w:rPr>
      </w:pPr>
      <w:r w:rsidRPr="0005023D">
        <w:rPr>
          <w:rFonts w:asciiTheme="majorHAnsi" w:hAnsiTheme="majorHAnsi" w:cstheme="majorHAnsi"/>
          <w:b/>
          <w:color w:val="000000" w:themeColor="text1"/>
        </w:rPr>
        <w:t>Instilling confidence in families/carers.</w:t>
      </w:r>
      <w:r w:rsidRPr="0005023D">
        <w:rPr>
          <w:color w:val="000000" w:themeColor="text1"/>
        </w:rPr>
        <w:t xml:space="preserve"> </w:t>
      </w:r>
      <w:r w:rsidRPr="002A7403">
        <w:rPr>
          <w:color w:val="000000" w:themeColor="text1"/>
        </w:rPr>
        <w:t xml:space="preserve">The in-reach </w:t>
      </w:r>
      <w:r w:rsidR="009D5880" w:rsidRPr="0005023D">
        <w:rPr>
          <w:color w:val="000000" w:themeColor="text1"/>
        </w:rPr>
        <w:t xml:space="preserve">clinicians help to </w:t>
      </w:r>
      <w:r w:rsidRPr="0005023D">
        <w:rPr>
          <w:color w:val="000000" w:themeColor="text1"/>
        </w:rPr>
        <w:t>instil</w:t>
      </w:r>
      <w:r w:rsidR="009D5880" w:rsidRPr="0005023D">
        <w:rPr>
          <w:color w:val="000000" w:themeColor="text1"/>
        </w:rPr>
        <w:t>l</w:t>
      </w:r>
      <w:r w:rsidRPr="002A7403">
        <w:rPr>
          <w:color w:val="000000" w:themeColor="text1"/>
        </w:rPr>
        <w:t xml:space="preserve"> confidence in</w:t>
      </w:r>
      <w:r>
        <w:rPr>
          <w:color w:val="000000" w:themeColor="text1"/>
        </w:rPr>
        <w:t xml:space="preserve"> </w:t>
      </w:r>
      <w:r w:rsidRPr="002A7403">
        <w:rPr>
          <w:color w:val="000000" w:themeColor="text1"/>
        </w:rPr>
        <w:t>families/carers</w:t>
      </w:r>
      <w:r>
        <w:rPr>
          <w:color w:val="000000" w:themeColor="text1"/>
        </w:rPr>
        <w:t xml:space="preserve"> </w:t>
      </w:r>
      <w:r w:rsidRPr="002A7403">
        <w:rPr>
          <w:color w:val="000000" w:themeColor="text1"/>
        </w:rPr>
        <w:t>on the specialised tertiary-level</w:t>
      </w:r>
      <w:r>
        <w:rPr>
          <w:color w:val="000000" w:themeColor="text1"/>
        </w:rPr>
        <w:t xml:space="preserve"> </w:t>
      </w:r>
      <w:r w:rsidRPr="002A7403">
        <w:rPr>
          <w:color w:val="000000" w:themeColor="text1"/>
        </w:rPr>
        <w:t>support provided</w:t>
      </w:r>
      <w:r>
        <w:rPr>
          <w:color w:val="000000" w:themeColor="text1"/>
        </w:rPr>
        <w:t xml:space="preserve"> </w:t>
      </w:r>
      <w:r w:rsidRPr="002A7403">
        <w:rPr>
          <w:color w:val="000000" w:themeColor="text1"/>
        </w:rPr>
        <w:t xml:space="preserve">in the SDCU, despite being in a </w:t>
      </w:r>
      <w:r w:rsidR="00445BD5">
        <w:rPr>
          <w:color w:val="000000" w:themeColor="text1"/>
        </w:rPr>
        <w:t>mainstream RACF</w:t>
      </w:r>
      <w:r w:rsidRPr="002A7403">
        <w:rPr>
          <w:color w:val="000000" w:themeColor="text1"/>
        </w:rPr>
        <w:t>.</w:t>
      </w:r>
    </w:p>
    <w:p w14:paraId="7997FFC8" w14:textId="7951B794" w:rsidR="00407E46" w:rsidRPr="005B086E" w:rsidRDefault="00AB7B86" w:rsidP="00C4680B">
      <w:pPr>
        <w:pStyle w:val="ListParagraph"/>
        <w:numPr>
          <w:ilvl w:val="0"/>
          <w:numId w:val="43"/>
        </w:numPr>
        <w:ind w:left="426" w:hanging="426"/>
        <w:contextualSpacing w:val="0"/>
        <w:rPr>
          <w:lang w:val="en-AU"/>
        </w:rPr>
      </w:pPr>
      <w:r w:rsidRPr="00AB7B86">
        <w:rPr>
          <w:lang w:val="en-AU"/>
        </w:rPr>
        <w:t xml:space="preserve">Competence and confidence of care staff appears to have improved over </w:t>
      </w:r>
      <w:r w:rsidR="00D61989">
        <w:rPr>
          <w:lang w:val="en-AU"/>
        </w:rPr>
        <w:t>time</w:t>
      </w:r>
      <w:r w:rsidRPr="00AB7B86">
        <w:rPr>
          <w:lang w:val="en-AU"/>
        </w:rPr>
        <w:t xml:space="preserve">, however many stakeholders highlighted training of care staff in </w:t>
      </w:r>
      <w:r w:rsidR="004E5CBF">
        <w:rPr>
          <w:lang w:val="en-AU"/>
        </w:rPr>
        <w:t>the</w:t>
      </w:r>
      <w:r w:rsidR="004E5CBF" w:rsidRPr="00AB7B86">
        <w:rPr>
          <w:lang w:val="en-AU"/>
        </w:rPr>
        <w:t xml:space="preserve"> </w:t>
      </w:r>
      <w:r w:rsidRPr="00AB7B86">
        <w:rPr>
          <w:lang w:val="en-AU"/>
        </w:rPr>
        <w:t xml:space="preserve">management </w:t>
      </w:r>
      <w:r w:rsidR="004E5CBF">
        <w:rPr>
          <w:lang w:val="en-AU"/>
        </w:rPr>
        <w:t xml:space="preserve">of very severe BPSD </w:t>
      </w:r>
      <w:r w:rsidRPr="00AB7B86">
        <w:rPr>
          <w:lang w:val="en-AU"/>
        </w:rPr>
        <w:t>as an opportunity for improvement.</w:t>
      </w:r>
      <w:r w:rsidR="005B086E">
        <w:rPr>
          <w:lang w:val="en-AU"/>
        </w:rPr>
        <w:t xml:space="preserve"> </w:t>
      </w:r>
      <w:r w:rsidR="00407E46">
        <w:t>A handful of SDCUs reported high levels of care staff confidence and competence in behavioural management</w:t>
      </w:r>
      <w:r w:rsidR="007C3EE9">
        <w:t xml:space="preserve"> for </w:t>
      </w:r>
      <w:r w:rsidR="00090F72">
        <w:t>very</w:t>
      </w:r>
      <w:r w:rsidR="007C3EE9">
        <w:t xml:space="preserve"> severe BPSD</w:t>
      </w:r>
      <w:r w:rsidR="00407E46">
        <w:t>. Effective methods for upskilling staff at these SDCUs mostly related to informal capacity building and on-the-ground mentoring. Approaches found to be effective included:</w:t>
      </w:r>
    </w:p>
    <w:p w14:paraId="573CA24D" w14:textId="3E31B5E8" w:rsidR="00407E46" w:rsidRPr="00CF08D6" w:rsidRDefault="00407E46" w:rsidP="00C4680B">
      <w:pPr>
        <w:pStyle w:val="ListBullet"/>
        <w:numPr>
          <w:ilvl w:val="0"/>
          <w:numId w:val="40"/>
        </w:numPr>
        <w:spacing w:after="240"/>
        <w:contextualSpacing w:val="0"/>
        <w:rPr>
          <w:lang w:val="en-AU"/>
        </w:rPr>
      </w:pPr>
      <w:r w:rsidRPr="00CF08D6">
        <w:rPr>
          <w:rFonts w:asciiTheme="majorHAnsi" w:hAnsiTheme="majorHAnsi" w:cstheme="majorHAnsi"/>
          <w:b/>
          <w:lang w:val="en-AU"/>
        </w:rPr>
        <w:t>Routine processes for debriefing with care staff.</w:t>
      </w:r>
      <w:r w:rsidRPr="00CF08D6">
        <w:rPr>
          <w:lang w:val="en-AU"/>
        </w:rPr>
        <w:t xml:space="preserve"> </w:t>
      </w:r>
      <w:r w:rsidR="008F2425" w:rsidRPr="00CF08D6">
        <w:rPr>
          <w:lang w:val="en-AU"/>
        </w:rPr>
        <w:t>S</w:t>
      </w:r>
      <w:r w:rsidRPr="00CF08D6">
        <w:rPr>
          <w:lang w:val="en-AU"/>
        </w:rPr>
        <w:t xml:space="preserve">takeholders at some SDCUs reported embedding debrief opportunities into regular team processes (e.g., post incident or as part of CRTs) to enable care staff to learn through reflective practice and real-life case-based discussions. </w:t>
      </w:r>
    </w:p>
    <w:p w14:paraId="4C2B4D8C" w14:textId="77777777" w:rsidR="00407E46" w:rsidRPr="00CF08D6" w:rsidRDefault="00407E46" w:rsidP="00C4680B">
      <w:pPr>
        <w:pStyle w:val="ListBullet"/>
        <w:numPr>
          <w:ilvl w:val="0"/>
          <w:numId w:val="40"/>
        </w:numPr>
        <w:spacing w:after="240"/>
        <w:contextualSpacing w:val="0"/>
        <w:rPr>
          <w:lang w:val="en-AU"/>
        </w:rPr>
      </w:pPr>
      <w:r w:rsidRPr="00CF08D6">
        <w:rPr>
          <w:rFonts w:asciiTheme="majorHAnsi" w:hAnsiTheme="majorHAnsi" w:cstheme="majorHAnsi"/>
          <w:b/>
          <w:lang w:val="en-AU"/>
        </w:rPr>
        <w:t>Employing a dedicated nurse educator role.</w:t>
      </w:r>
      <w:r w:rsidRPr="00CF08D6">
        <w:rPr>
          <w:lang w:val="en-AU"/>
        </w:rPr>
        <w:t xml:space="preserve"> Clinical in-reach stakeholders at these SDCUs observed the role has helped facilitate more proactive, timely and coordinated care. </w:t>
      </w:r>
    </w:p>
    <w:p w14:paraId="4777FF6B" w14:textId="579904DD" w:rsidR="00AB7B86" w:rsidRPr="00CF08D6" w:rsidRDefault="00407E46" w:rsidP="00C4680B">
      <w:pPr>
        <w:pStyle w:val="ListBullet"/>
        <w:numPr>
          <w:ilvl w:val="0"/>
          <w:numId w:val="40"/>
        </w:numPr>
        <w:spacing w:after="240"/>
        <w:contextualSpacing w:val="0"/>
        <w:rPr>
          <w:lang w:val="en-AU"/>
        </w:rPr>
      </w:pPr>
      <w:r w:rsidRPr="00CF08D6">
        <w:rPr>
          <w:rFonts w:asciiTheme="majorHAnsi" w:hAnsiTheme="majorHAnsi" w:cstheme="majorHAnsi"/>
          <w:b/>
          <w:lang w:val="en-AU"/>
        </w:rPr>
        <w:t>Using the CNC in an educator capacity.</w:t>
      </w:r>
      <w:r w:rsidRPr="00CF08D6">
        <w:rPr>
          <w:lang w:val="en-AU"/>
        </w:rPr>
        <w:t xml:space="preserve"> Several sites highlighted the important role of the in-reach CNC in the provision of ad-hoc advice to nursing staff on best-practice behavioural management techniques. However, there appeared to be variation in the extent to which this occurred across SDCUs, with some CNCs perceiving their role to be more clinical than educational. Clarity in MoUs on the educator function of the CNC may help mitigate this challenge.</w:t>
      </w:r>
    </w:p>
    <w:p w14:paraId="122ADF9B" w14:textId="4EB5ED8D" w:rsidR="00327FE8" w:rsidRDefault="001F63C6" w:rsidP="0079620C">
      <w:pPr>
        <w:pStyle w:val="ListParagraph"/>
        <w:numPr>
          <w:ilvl w:val="0"/>
          <w:numId w:val="45"/>
        </w:numPr>
        <w:ind w:left="425" w:hanging="425"/>
        <w:contextualSpacing w:val="0"/>
        <w:rPr>
          <w:lang w:val="en-AU"/>
        </w:rPr>
      </w:pPr>
      <w:r>
        <w:t>There</w:t>
      </w:r>
      <w:r>
        <w:rPr>
          <w:spacing w:val="-2"/>
        </w:rPr>
        <w:t xml:space="preserve"> </w:t>
      </w:r>
      <w:r>
        <w:t>was</w:t>
      </w:r>
      <w:r>
        <w:rPr>
          <w:spacing w:val="-1"/>
        </w:rPr>
        <w:t xml:space="preserve"> </w:t>
      </w:r>
      <w:r>
        <w:t>broad</w:t>
      </w:r>
      <w:r>
        <w:rPr>
          <w:spacing w:val="-3"/>
        </w:rPr>
        <w:t xml:space="preserve"> </w:t>
      </w:r>
      <w:r>
        <w:t>agreement</w:t>
      </w:r>
      <w:r>
        <w:rPr>
          <w:spacing w:val="-4"/>
        </w:rPr>
        <w:t xml:space="preserve"> </w:t>
      </w:r>
      <w:r>
        <w:t>across</w:t>
      </w:r>
      <w:r>
        <w:rPr>
          <w:spacing w:val="-3"/>
        </w:rPr>
        <w:t xml:space="preserve"> </w:t>
      </w:r>
      <w:r>
        <w:t>stakeholders</w:t>
      </w:r>
      <w:r>
        <w:rPr>
          <w:spacing w:val="-1"/>
        </w:rPr>
        <w:t xml:space="preserve"> </w:t>
      </w:r>
      <w:r>
        <w:t>consulted that</w:t>
      </w:r>
      <w:r>
        <w:rPr>
          <w:spacing w:val="-3"/>
        </w:rPr>
        <w:t xml:space="preserve"> </w:t>
      </w:r>
      <w:r>
        <w:t>SDCUs</w:t>
      </w:r>
      <w:r>
        <w:rPr>
          <w:spacing w:val="-3"/>
        </w:rPr>
        <w:t xml:space="preserve"> </w:t>
      </w:r>
      <w:r>
        <w:t>deliver</w:t>
      </w:r>
      <w:r>
        <w:rPr>
          <w:spacing w:val="-2"/>
        </w:rPr>
        <w:t xml:space="preserve"> </w:t>
      </w:r>
      <w:r>
        <w:t>a</w:t>
      </w:r>
      <w:r>
        <w:rPr>
          <w:spacing w:val="-2"/>
        </w:rPr>
        <w:t xml:space="preserve"> </w:t>
      </w:r>
      <w:r>
        <w:t>more</w:t>
      </w:r>
      <w:r>
        <w:rPr>
          <w:spacing w:val="-2"/>
        </w:rPr>
        <w:t xml:space="preserve"> </w:t>
      </w:r>
      <w:r>
        <w:t>person-centered</w:t>
      </w:r>
      <w:r>
        <w:rPr>
          <w:spacing w:val="-1"/>
        </w:rPr>
        <w:t xml:space="preserve"> </w:t>
      </w:r>
      <w:r>
        <w:t>approach</w:t>
      </w:r>
      <w:r>
        <w:rPr>
          <w:spacing w:val="-2"/>
        </w:rPr>
        <w:t xml:space="preserve"> </w:t>
      </w:r>
      <w:r>
        <w:t>to</w:t>
      </w:r>
      <w:r>
        <w:rPr>
          <w:spacing w:val="-3"/>
        </w:rPr>
        <w:t xml:space="preserve"> </w:t>
      </w:r>
      <w:r>
        <w:t>care</w:t>
      </w:r>
      <w:r>
        <w:rPr>
          <w:spacing w:val="-3"/>
        </w:rPr>
        <w:t xml:space="preserve"> </w:t>
      </w:r>
      <w:r>
        <w:t>relative</w:t>
      </w:r>
      <w:r>
        <w:rPr>
          <w:spacing w:val="-3"/>
        </w:rPr>
        <w:t xml:space="preserve"> </w:t>
      </w:r>
      <w:r>
        <w:t>to</w:t>
      </w:r>
      <w:r>
        <w:rPr>
          <w:spacing w:val="-3"/>
        </w:rPr>
        <w:t xml:space="preserve"> </w:t>
      </w:r>
      <w:r>
        <w:t>mainstream</w:t>
      </w:r>
      <w:r>
        <w:rPr>
          <w:spacing w:val="-2"/>
        </w:rPr>
        <w:t xml:space="preserve"> </w:t>
      </w:r>
      <w:r>
        <w:t>RACFs.</w:t>
      </w:r>
      <w:r>
        <w:rPr>
          <w:spacing w:val="-3"/>
        </w:rPr>
        <w:t xml:space="preserve"> </w:t>
      </w:r>
      <w:r>
        <w:t>This</w:t>
      </w:r>
      <w:r>
        <w:rPr>
          <w:spacing w:val="-3"/>
        </w:rPr>
        <w:t xml:space="preserve"> </w:t>
      </w:r>
      <w:r>
        <w:t>was</w:t>
      </w:r>
      <w:r>
        <w:rPr>
          <w:spacing w:val="-3"/>
        </w:rPr>
        <w:t xml:space="preserve"> </w:t>
      </w:r>
      <w:r>
        <w:t>largely</w:t>
      </w:r>
      <w:r>
        <w:rPr>
          <w:spacing w:val="-2"/>
        </w:rPr>
        <w:t xml:space="preserve"> </w:t>
      </w:r>
      <w:r>
        <w:t>attributed</w:t>
      </w:r>
      <w:r>
        <w:rPr>
          <w:spacing w:val="-2"/>
        </w:rPr>
        <w:t xml:space="preserve"> </w:t>
      </w:r>
      <w:r>
        <w:t>to the staffing ratios which allow care staff to spend more one-on-one time with each resident.</w:t>
      </w:r>
      <w:r w:rsidR="00C953A5">
        <w:t xml:space="preserve"> </w:t>
      </w:r>
      <w:r w:rsidR="00327FE8" w:rsidRPr="00327FE8">
        <w:t>However, there are opportunities for improvement at some SDCUs</w:t>
      </w:r>
      <w:r w:rsidR="00327FE8">
        <w:t>.</w:t>
      </w:r>
    </w:p>
    <w:p w14:paraId="3B9A604D" w14:textId="34787568" w:rsidR="00745500" w:rsidRPr="0016086B" w:rsidRDefault="00A969C3" w:rsidP="0079620C">
      <w:pPr>
        <w:pStyle w:val="ListParagraph"/>
        <w:numPr>
          <w:ilvl w:val="0"/>
          <w:numId w:val="45"/>
        </w:numPr>
        <w:ind w:left="425" w:hanging="425"/>
        <w:contextualSpacing w:val="0"/>
        <w:rPr>
          <w:lang w:val="en-AU"/>
        </w:rPr>
      </w:pPr>
      <w:r w:rsidRPr="001B7939">
        <w:rPr>
          <w:lang w:val="en-AU"/>
        </w:rPr>
        <w:t xml:space="preserve">Stakeholders generally felt SDCUs needed additional enrichment activities. This was highlighted in the context of its important role in diverting behaviours of concern for people with very severe BPSD. </w:t>
      </w:r>
      <w:r w:rsidR="001B7939" w:rsidRPr="001B7939">
        <w:rPr>
          <w:lang w:val="en-AU"/>
        </w:rPr>
        <w:t>In-reach clinicians</w:t>
      </w:r>
      <w:r w:rsidRPr="001B7939">
        <w:rPr>
          <w:lang w:val="en-AU"/>
        </w:rPr>
        <w:t xml:space="preserve"> noted that while most SDCU staff have experience working in aged care roles with a focus on personal and clinical care, the SDCU requires a more holistic approach that should include a recreational focus. </w:t>
      </w:r>
    </w:p>
    <w:p w14:paraId="24236A78" w14:textId="300D2A65" w:rsidR="007B05F9" w:rsidRPr="0016086B" w:rsidRDefault="007B05F9" w:rsidP="00194028">
      <w:pPr>
        <w:pStyle w:val="ListParagraph"/>
        <w:numPr>
          <w:ilvl w:val="0"/>
          <w:numId w:val="45"/>
        </w:numPr>
        <w:ind w:left="426" w:hanging="426"/>
        <w:rPr>
          <w:lang w:val="en-AU"/>
        </w:rPr>
      </w:pPr>
      <w:r w:rsidRPr="007B05F9">
        <w:rPr>
          <w:lang w:val="en-AU"/>
        </w:rPr>
        <w:t>Families/carers were broadly satisfied with their involvement in care decisions</w:t>
      </w:r>
      <w:r w:rsidR="00510489">
        <w:rPr>
          <w:lang w:val="en-AU"/>
        </w:rPr>
        <w:t xml:space="preserve">. </w:t>
      </w:r>
      <w:r w:rsidR="00025FF5">
        <w:rPr>
          <w:lang w:val="en-AU"/>
        </w:rPr>
        <w:t>Th</w:t>
      </w:r>
      <w:r w:rsidR="00025FF5" w:rsidRPr="00025FF5">
        <w:rPr>
          <w:lang w:val="en-AU"/>
        </w:rPr>
        <w:t>e majority of families/carers were highly satisfied with the level of communication from SDCUs</w:t>
      </w:r>
      <w:r w:rsidRPr="007B05F9">
        <w:rPr>
          <w:lang w:val="en-AU"/>
        </w:rPr>
        <w:t xml:space="preserve"> </w:t>
      </w:r>
      <w:r w:rsidR="00025FF5">
        <w:rPr>
          <w:lang w:val="en-AU"/>
        </w:rPr>
        <w:t>in relation to ongoing care planning. H</w:t>
      </w:r>
      <w:r w:rsidRPr="007B05F9">
        <w:rPr>
          <w:lang w:val="en-AU"/>
        </w:rPr>
        <w:t>oweve</w:t>
      </w:r>
      <w:r w:rsidR="00025FF5">
        <w:rPr>
          <w:lang w:val="en-AU"/>
        </w:rPr>
        <w:t>r,</w:t>
      </w:r>
      <w:r w:rsidRPr="007B05F9">
        <w:rPr>
          <w:lang w:val="en-AU"/>
        </w:rPr>
        <w:t xml:space="preserve"> there is an opportunity to improve the timeliness of family/carer input into the initial care pl</w:t>
      </w:r>
      <w:r w:rsidR="00502233">
        <w:rPr>
          <w:lang w:val="en-AU"/>
        </w:rPr>
        <w:t xml:space="preserve">an in some SDCUs, </w:t>
      </w:r>
      <w:r w:rsidR="00502233">
        <w:t>as some</w:t>
      </w:r>
      <w:r w:rsidR="00502233">
        <w:rPr>
          <w:spacing w:val="-2"/>
        </w:rPr>
        <w:t xml:space="preserve"> </w:t>
      </w:r>
      <w:r w:rsidR="00502233">
        <w:t>families/carers</w:t>
      </w:r>
      <w:r w:rsidR="00502233">
        <w:rPr>
          <w:spacing w:val="-3"/>
        </w:rPr>
        <w:t xml:space="preserve"> reported they </w:t>
      </w:r>
      <w:r w:rsidR="00502233">
        <w:t>were</w:t>
      </w:r>
      <w:r w:rsidR="00502233">
        <w:rPr>
          <w:spacing w:val="-3"/>
        </w:rPr>
        <w:t xml:space="preserve"> </w:t>
      </w:r>
      <w:r w:rsidR="00502233">
        <w:t>only</w:t>
      </w:r>
      <w:r w:rsidR="00502233">
        <w:rPr>
          <w:spacing w:val="-2"/>
        </w:rPr>
        <w:t xml:space="preserve"> </w:t>
      </w:r>
      <w:r w:rsidR="00502233">
        <w:t>invited to</w:t>
      </w:r>
      <w:r w:rsidR="00502233">
        <w:rPr>
          <w:spacing w:val="-3"/>
        </w:rPr>
        <w:t xml:space="preserve"> </w:t>
      </w:r>
      <w:r w:rsidR="00502233">
        <w:t>inform</w:t>
      </w:r>
      <w:r w:rsidR="00502233">
        <w:rPr>
          <w:spacing w:val="-2"/>
        </w:rPr>
        <w:t xml:space="preserve"> </w:t>
      </w:r>
      <w:r w:rsidR="00502233">
        <w:t>care planning several months post admission</w:t>
      </w:r>
      <w:r w:rsidRPr="007B05F9">
        <w:rPr>
          <w:lang w:val="en-AU"/>
        </w:rPr>
        <w:t>.</w:t>
      </w:r>
    </w:p>
    <w:p w14:paraId="37AA57F6" w14:textId="55DCFF4B" w:rsidR="0019599C" w:rsidRPr="0016086B" w:rsidRDefault="0060219E" w:rsidP="0016086B">
      <w:pPr>
        <w:pStyle w:val="Heading4thematicstatement"/>
        <w:rPr>
          <w:rFonts w:asciiTheme="majorHAnsi" w:hAnsiTheme="majorHAnsi" w:cstheme="majorHAnsi"/>
        </w:rPr>
      </w:pPr>
      <w:r w:rsidRPr="005E46D4">
        <w:rPr>
          <w:rFonts w:asciiTheme="majorHAnsi" w:hAnsiTheme="majorHAnsi" w:cstheme="majorHAnsi"/>
        </w:rPr>
        <w:t>Clinical govern</w:t>
      </w:r>
      <w:r w:rsidR="00637754" w:rsidRPr="005E46D4">
        <w:rPr>
          <w:rFonts w:asciiTheme="majorHAnsi" w:hAnsiTheme="majorHAnsi" w:cstheme="majorHAnsi"/>
        </w:rPr>
        <w:t>ance</w:t>
      </w:r>
    </w:p>
    <w:p w14:paraId="0E9F0DBB" w14:textId="26A375FE" w:rsidR="00FD095E" w:rsidRDefault="0016086B" w:rsidP="00194028">
      <w:pPr>
        <w:pStyle w:val="ListParagraph"/>
        <w:numPr>
          <w:ilvl w:val="0"/>
          <w:numId w:val="45"/>
        </w:numPr>
        <w:spacing w:after="170"/>
        <w:ind w:left="426" w:hanging="426"/>
        <w:contextualSpacing w:val="0"/>
        <w:rPr>
          <w:lang w:val="en-AU"/>
        </w:rPr>
      </w:pPr>
      <w:r w:rsidRPr="0016086B">
        <w:rPr>
          <w:lang w:val="en-AU"/>
        </w:rPr>
        <w:t xml:space="preserve">Across </w:t>
      </w:r>
      <w:r w:rsidR="00DB6368">
        <w:rPr>
          <w:lang w:val="en-AU"/>
        </w:rPr>
        <w:t>most</w:t>
      </w:r>
      <w:r w:rsidRPr="0016086B">
        <w:rPr>
          <w:lang w:val="en-AU"/>
        </w:rPr>
        <w:t xml:space="preserve"> </w:t>
      </w:r>
      <w:r>
        <w:rPr>
          <w:lang w:val="en-AU"/>
        </w:rPr>
        <w:t>SDCUs</w:t>
      </w:r>
      <w:r w:rsidRPr="0016086B">
        <w:rPr>
          <w:lang w:val="en-AU"/>
        </w:rPr>
        <w:t>, stakeholders generally agreed that clinical governance mechanisms are working well. Overall, it was agreed that C</w:t>
      </w:r>
      <w:r w:rsidR="007C68D1">
        <w:rPr>
          <w:lang w:val="en-AU"/>
        </w:rPr>
        <w:t xml:space="preserve">linical </w:t>
      </w:r>
      <w:r w:rsidRPr="0016086B">
        <w:rPr>
          <w:lang w:val="en-AU"/>
        </w:rPr>
        <w:t>R</w:t>
      </w:r>
      <w:r w:rsidR="007C68D1">
        <w:rPr>
          <w:lang w:val="en-AU"/>
        </w:rPr>
        <w:t xml:space="preserve">eview </w:t>
      </w:r>
      <w:r w:rsidRPr="0016086B">
        <w:rPr>
          <w:lang w:val="en-AU"/>
        </w:rPr>
        <w:t>T</w:t>
      </w:r>
      <w:r w:rsidR="007C68D1">
        <w:rPr>
          <w:lang w:val="en-AU"/>
        </w:rPr>
        <w:t>eam</w:t>
      </w:r>
      <w:r w:rsidRPr="0016086B">
        <w:rPr>
          <w:lang w:val="en-AU"/>
        </w:rPr>
        <w:t>s</w:t>
      </w:r>
      <w:r w:rsidR="007C68D1">
        <w:rPr>
          <w:lang w:val="en-AU"/>
        </w:rPr>
        <w:t xml:space="preserve"> (</w:t>
      </w:r>
      <w:r w:rsidRPr="0016086B">
        <w:rPr>
          <w:lang w:val="en-AU"/>
        </w:rPr>
        <w:t>CRTs</w:t>
      </w:r>
      <w:r w:rsidR="007C68D1">
        <w:rPr>
          <w:lang w:val="en-AU"/>
        </w:rPr>
        <w:t>)</w:t>
      </w:r>
      <w:r w:rsidRPr="0016086B">
        <w:rPr>
          <w:lang w:val="en-AU"/>
        </w:rPr>
        <w:t xml:space="preserve"> and CACs broadly occur as intended, with CRTs typically occurring weekly and CACs monthly. Stakeholders felt that clinical governance mechanisms are appropriate and responsive to the Program model of care, with CRTs providing an opportunity to discuss client progress and clinical decisions (e.g., deprescribing), while CACs provide a forum to discuss placement decisions.</w:t>
      </w:r>
    </w:p>
    <w:p w14:paraId="4BA7B7EF" w14:textId="61451AD4" w:rsidR="004E1F2E" w:rsidRPr="00FD095E" w:rsidRDefault="004E1F2E" w:rsidP="00194028">
      <w:pPr>
        <w:pStyle w:val="ListParagraph"/>
        <w:numPr>
          <w:ilvl w:val="0"/>
          <w:numId w:val="45"/>
        </w:numPr>
        <w:spacing w:after="170"/>
        <w:ind w:left="426" w:hanging="426"/>
        <w:contextualSpacing w:val="0"/>
        <w:rPr>
          <w:lang w:val="en-AU"/>
        </w:rPr>
      </w:pPr>
      <w:r w:rsidRPr="00FD095E">
        <w:rPr>
          <w:lang w:val="en-AU"/>
        </w:rPr>
        <w:t>Care staff input into client progress discussions is important for ensuring care is tailored to individualised needs and preferences</w:t>
      </w:r>
      <w:r w:rsidR="0088430B" w:rsidRPr="00FD095E">
        <w:rPr>
          <w:lang w:val="en-AU"/>
        </w:rPr>
        <w:t xml:space="preserve"> and Phase </w:t>
      </w:r>
      <w:r w:rsidR="0065786C">
        <w:rPr>
          <w:lang w:val="en-AU"/>
        </w:rPr>
        <w:t>Two</w:t>
      </w:r>
      <w:r w:rsidR="0088430B" w:rsidRPr="00FD095E">
        <w:rPr>
          <w:lang w:val="en-AU"/>
        </w:rPr>
        <w:t xml:space="preserve"> sites should be encouraged to find ways </w:t>
      </w:r>
      <w:r w:rsidR="007A0418" w:rsidRPr="00FD095E">
        <w:rPr>
          <w:lang w:val="en-AU"/>
        </w:rPr>
        <w:t xml:space="preserve">to support this model </w:t>
      </w:r>
      <w:r w:rsidR="00FD095E" w:rsidRPr="00FD095E">
        <w:rPr>
          <w:lang w:val="en-AU"/>
        </w:rPr>
        <w:t>(either by engaging them in CRTs or through routine debriefing sessions)</w:t>
      </w:r>
      <w:r w:rsidRPr="00FD095E">
        <w:rPr>
          <w:lang w:val="en-AU"/>
        </w:rPr>
        <w:t>.</w:t>
      </w:r>
      <w:r w:rsidR="00EB4C37" w:rsidRPr="00FD095E">
        <w:rPr>
          <w:lang w:val="en-AU"/>
        </w:rPr>
        <w:t xml:space="preserve"> </w:t>
      </w:r>
      <w:r w:rsidRPr="00FD095E">
        <w:rPr>
          <w:lang w:val="en-AU"/>
        </w:rPr>
        <w:t xml:space="preserve">It was noted that the benefits of this are two-fold: </w:t>
      </w:r>
    </w:p>
    <w:p w14:paraId="7C4828BB" w14:textId="6AC6F240" w:rsidR="004E1F2E" w:rsidRDefault="0065786C" w:rsidP="00194028">
      <w:pPr>
        <w:pStyle w:val="ListParagraph"/>
        <w:numPr>
          <w:ilvl w:val="1"/>
          <w:numId w:val="45"/>
        </w:numPr>
        <w:spacing w:after="170"/>
        <w:ind w:left="1134" w:hanging="425"/>
      </w:pPr>
      <w:r>
        <w:t>F</w:t>
      </w:r>
      <w:r w:rsidR="004E1F2E">
        <w:t>irst, care staff are involved in day-to-day care provision and have important and valuable insights to share regarding symptoms, and what behavioural management strategies are working</w:t>
      </w:r>
      <w:r w:rsidR="000437CC">
        <w:t>.</w:t>
      </w:r>
    </w:p>
    <w:p w14:paraId="1880F582" w14:textId="56BC0550" w:rsidR="004E1F2E" w:rsidRDefault="000437CC" w:rsidP="00194028">
      <w:pPr>
        <w:pStyle w:val="ListParagraph"/>
        <w:numPr>
          <w:ilvl w:val="1"/>
          <w:numId w:val="45"/>
        </w:numPr>
        <w:spacing w:after="170"/>
        <w:ind w:left="1134" w:hanging="425"/>
        <w:contextualSpacing w:val="0"/>
      </w:pPr>
      <w:r>
        <w:t>S</w:t>
      </w:r>
      <w:r w:rsidR="004E1F2E">
        <w:t>econd, involvement in these discussions provides an important capacity building opportunity for care staff that would better enable them to care for a client cohort (i.e.</w:t>
      </w:r>
      <w:r w:rsidR="00FB203C">
        <w:t>,</w:t>
      </w:r>
      <w:r w:rsidR="004E1F2E">
        <w:t xml:space="preserve"> people with </w:t>
      </w:r>
      <w:r w:rsidR="000F67D3">
        <w:t xml:space="preserve">very </w:t>
      </w:r>
      <w:r w:rsidR="004E1F2E">
        <w:t>severe BPSD) with whom they typically have limited experience.</w:t>
      </w:r>
    </w:p>
    <w:p w14:paraId="47938028" w14:textId="59914EF1" w:rsidR="00613A67" w:rsidRDefault="00613A67" w:rsidP="00194028">
      <w:pPr>
        <w:pStyle w:val="ListParagraph"/>
        <w:numPr>
          <w:ilvl w:val="0"/>
          <w:numId w:val="45"/>
        </w:numPr>
        <w:ind w:left="426" w:hanging="426"/>
      </w:pPr>
      <w:r w:rsidRPr="00164180">
        <w:t xml:space="preserve">Several </w:t>
      </w:r>
      <w:r>
        <w:t>in-reach clinicians</w:t>
      </w:r>
      <w:r w:rsidRPr="00164180">
        <w:t xml:space="preserve"> observed </w:t>
      </w:r>
      <w:r>
        <w:t>a</w:t>
      </w:r>
      <w:r w:rsidRPr="00164180">
        <w:t xml:space="preserve"> need for a regular </w:t>
      </w:r>
      <w:r>
        <w:t xml:space="preserve">Clinical-In-reach </w:t>
      </w:r>
      <w:r w:rsidRPr="00164180">
        <w:t>Community of Practice</w:t>
      </w:r>
      <w:r>
        <w:t>, given the target cohort</w:t>
      </w:r>
      <w:r w:rsidRPr="00164180">
        <w:t xml:space="preserve"> require</w:t>
      </w:r>
      <w:r>
        <w:t>s</w:t>
      </w:r>
      <w:r w:rsidRPr="00164180">
        <w:t xml:space="preserve"> specialist expertise</w:t>
      </w:r>
      <w:r>
        <w:t>,</w:t>
      </w:r>
      <w:r w:rsidRPr="00164180">
        <w:t xml:space="preserve"> and</w:t>
      </w:r>
      <w:r>
        <w:t xml:space="preserve"> in some cases,</w:t>
      </w:r>
      <w:r w:rsidRPr="00164180">
        <w:t xml:space="preserve"> peer review </w:t>
      </w:r>
      <w:r>
        <w:t>to support</w:t>
      </w:r>
      <w:r w:rsidRPr="00164180">
        <w:t xml:space="preserve"> clinical decision making. </w:t>
      </w:r>
      <w:r>
        <w:t>These stakeholders felt that</w:t>
      </w:r>
      <w:r w:rsidRPr="00164180">
        <w:t xml:space="preserve"> clinical care in the dementia field, and the aged care sector more broadly, </w:t>
      </w:r>
      <w:r>
        <w:t>is</w:t>
      </w:r>
      <w:r w:rsidRPr="00164180">
        <w:t xml:space="preserve"> siloed, </w:t>
      </w:r>
      <w:r>
        <w:t>with few</w:t>
      </w:r>
      <w:r w:rsidRPr="00164180">
        <w:t xml:space="preserve"> opportunit</w:t>
      </w:r>
      <w:r>
        <w:t>ies</w:t>
      </w:r>
      <w:r w:rsidRPr="00164180">
        <w:t xml:space="preserve"> </w:t>
      </w:r>
      <w:r>
        <w:t>for</w:t>
      </w:r>
      <w:r w:rsidRPr="00164180">
        <w:t xml:space="preserve"> knowledge-sharing and consultation with </w:t>
      </w:r>
      <w:r>
        <w:t xml:space="preserve">peer </w:t>
      </w:r>
      <w:r w:rsidRPr="00164180">
        <w:t xml:space="preserve">practitioners. </w:t>
      </w:r>
      <w:r w:rsidRPr="002F68A8">
        <w:t xml:space="preserve">It is noted that since stakeholders were interviewed for this Report, the Department has commenced facilitating a regular </w:t>
      </w:r>
      <w:r>
        <w:t xml:space="preserve">Clinical-In-reach </w:t>
      </w:r>
      <w:r w:rsidRPr="002F68A8">
        <w:t xml:space="preserve">Community of Practice. </w:t>
      </w:r>
    </w:p>
    <w:p w14:paraId="7DABC87E" w14:textId="1A406191" w:rsidR="000F4987" w:rsidRDefault="00FC2A44" w:rsidP="001963A4">
      <w:pPr>
        <w:spacing w:after="170"/>
      </w:pPr>
      <w:r w:rsidRPr="00FC2A44">
        <w:rPr>
          <w:noProof/>
        </w:rPr>
        <w:drawing>
          <wp:inline distT="0" distB="0" distL="0" distR="0" wp14:anchorId="6902C6CE" wp14:editId="2FE97A3C">
            <wp:extent cx="6319520" cy="457200"/>
            <wp:effectExtent l="0" t="0" r="5080" b="0"/>
            <wp:docPr id="40" name="Picture 40" descr="The following evaluation findings are from the transitions out and bounce backs section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following evaluation findings are from the transitions out and bounce backs section of the repo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9520" cy="457200"/>
                    </a:xfrm>
                    <a:prstGeom prst="rect">
                      <a:avLst/>
                    </a:prstGeom>
                    <a:noFill/>
                    <a:ln>
                      <a:noFill/>
                    </a:ln>
                  </pic:spPr>
                </pic:pic>
              </a:graphicData>
            </a:graphic>
          </wp:inline>
        </w:drawing>
      </w:r>
    </w:p>
    <w:p w14:paraId="17717EB1" w14:textId="2E3977D1" w:rsidR="00CB62AC" w:rsidRPr="00CB62AC" w:rsidRDefault="00CB62AC" w:rsidP="00CB62AC">
      <w:pPr>
        <w:pStyle w:val="Heading4thematicstatement"/>
        <w:rPr>
          <w:rFonts w:asciiTheme="majorHAnsi" w:hAnsiTheme="majorHAnsi" w:cstheme="majorHAnsi"/>
        </w:rPr>
      </w:pPr>
      <w:r w:rsidRPr="00CB62AC">
        <w:rPr>
          <w:rFonts w:asciiTheme="majorHAnsi" w:hAnsiTheme="majorHAnsi" w:cstheme="majorHAnsi"/>
        </w:rPr>
        <w:t xml:space="preserve">Timeliness and </w:t>
      </w:r>
      <w:r w:rsidR="008C748D" w:rsidRPr="00CB62AC">
        <w:rPr>
          <w:rFonts w:asciiTheme="majorHAnsi" w:hAnsiTheme="majorHAnsi" w:cstheme="majorHAnsi"/>
        </w:rPr>
        <w:t>coordinating</w:t>
      </w:r>
      <w:r w:rsidRPr="00CB62AC">
        <w:rPr>
          <w:rFonts w:asciiTheme="majorHAnsi" w:hAnsiTheme="majorHAnsi" w:cstheme="majorHAnsi"/>
        </w:rPr>
        <w:t xml:space="preserve"> of discharge</w:t>
      </w:r>
    </w:p>
    <w:p w14:paraId="0B0B655D" w14:textId="2517E359" w:rsidR="004B0B0B" w:rsidRDefault="00074E2B" w:rsidP="00194028">
      <w:pPr>
        <w:pStyle w:val="ListParagraph"/>
        <w:numPr>
          <w:ilvl w:val="0"/>
          <w:numId w:val="45"/>
        </w:numPr>
        <w:spacing w:after="170"/>
        <w:ind w:left="426" w:hanging="426"/>
        <w:contextualSpacing w:val="0"/>
        <w:rPr>
          <w:lang w:val="en-AU"/>
        </w:rPr>
      </w:pPr>
      <w:r w:rsidRPr="005E6CA2">
        <w:rPr>
          <w:lang w:val="en-AU"/>
        </w:rPr>
        <w:t xml:space="preserve">Over the period September 2019 to June 2022, </w:t>
      </w:r>
      <w:r w:rsidR="00D27B50" w:rsidRPr="005E6CA2">
        <w:rPr>
          <w:lang w:val="en-AU"/>
        </w:rPr>
        <w:t>99 discharges</w:t>
      </w:r>
      <w:r w:rsidR="004466C0">
        <w:rPr>
          <w:lang w:val="en-AU"/>
        </w:rPr>
        <w:t xml:space="preserve"> (or </w:t>
      </w:r>
      <w:r w:rsidR="006E72F7">
        <w:rPr>
          <w:lang w:val="en-AU"/>
        </w:rPr>
        <w:t>separations from the Program)</w:t>
      </w:r>
      <w:r w:rsidR="00D27B50" w:rsidRPr="005E6CA2">
        <w:rPr>
          <w:lang w:val="en-AU"/>
        </w:rPr>
        <w:t xml:space="preserve"> occurred</w:t>
      </w:r>
      <w:r w:rsidR="00626690">
        <w:rPr>
          <w:lang w:val="en-AU"/>
        </w:rPr>
        <w:t>. Almost</w:t>
      </w:r>
      <w:r w:rsidRPr="005E6CA2">
        <w:rPr>
          <w:lang w:val="en-AU"/>
        </w:rPr>
        <w:t xml:space="preserve"> two-thirds of these </w:t>
      </w:r>
      <w:r w:rsidR="00626690">
        <w:rPr>
          <w:lang w:val="en-AU"/>
        </w:rPr>
        <w:t>discharges</w:t>
      </w:r>
      <w:r w:rsidR="00FD5DC1">
        <w:rPr>
          <w:lang w:val="en-AU"/>
        </w:rPr>
        <w:t xml:space="preserve"> (62)</w:t>
      </w:r>
      <w:r w:rsidR="00626690">
        <w:rPr>
          <w:lang w:val="en-AU"/>
        </w:rPr>
        <w:t xml:space="preserve"> </w:t>
      </w:r>
      <w:r w:rsidRPr="005E6CA2">
        <w:rPr>
          <w:lang w:val="en-AU"/>
        </w:rPr>
        <w:t>were</w:t>
      </w:r>
      <w:r w:rsidR="00D27B50" w:rsidRPr="005E6CA2">
        <w:rPr>
          <w:lang w:val="en-AU"/>
        </w:rPr>
        <w:t xml:space="preserve"> due to </w:t>
      </w:r>
      <w:r w:rsidR="00626690">
        <w:rPr>
          <w:lang w:val="en-AU"/>
        </w:rPr>
        <w:t>settled</w:t>
      </w:r>
      <w:r w:rsidR="00D27B50" w:rsidRPr="005E6CA2">
        <w:rPr>
          <w:lang w:val="en-AU"/>
        </w:rPr>
        <w:t xml:space="preserve"> BPSD. </w:t>
      </w:r>
      <w:r w:rsidR="004E2F2C">
        <w:rPr>
          <w:lang w:val="en-AU"/>
        </w:rPr>
        <w:t>Although</w:t>
      </w:r>
      <w:r w:rsidR="00114B6B" w:rsidRPr="00114B6B">
        <w:rPr>
          <w:lang w:val="en-AU"/>
        </w:rPr>
        <w:t xml:space="preserve"> the </w:t>
      </w:r>
      <w:r w:rsidR="00114B6B">
        <w:rPr>
          <w:lang w:val="en-AU"/>
        </w:rPr>
        <w:t xml:space="preserve">remaining </w:t>
      </w:r>
      <w:r w:rsidR="00114B6B" w:rsidRPr="00114B6B">
        <w:rPr>
          <w:lang w:val="en-AU"/>
        </w:rPr>
        <w:t>38% of residents</w:t>
      </w:r>
      <w:r w:rsidR="004E2F2C">
        <w:rPr>
          <w:lang w:val="en-AU"/>
        </w:rPr>
        <w:t xml:space="preserve"> </w:t>
      </w:r>
      <w:r w:rsidR="00353C25">
        <w:rPr>
          <w:lang w:val="en-AU"/>
        </w:rPr>
        <w:t>separated from the Program</w:t>
      </w:r>
      <w:r w:rsidR="004E2F2C">
        <w:rPr>
          <w:lang w:val="en-AU"/>
        </w:rPr>
        <w:t xml:space="preserve"> due to a reason other than settled BPSD, many </w:t>
      </w:r>
      <w:r w:rsidR="00353C25">
        <w:t>typically separated</w:t>
      </w:r>
      <w:r w:rsidR="004E2F2C">
        <w:t xml:space="preserve"> due to death, the need for palliative care or a change in care needs (due to exacerbation of a comorbidity), as opposed to an exacerbation of BPSD.</w:t>
      </w:r>
      <w:r w:rsidR="00D460CB">
        <w:t xml:space="preserve"> However, it should be noted that </w:t>
      </w:r>
      <w:r w:rsidR="00D460CB" w:rsidRPr="00114B6B">
        <w:rPr>
          <w:lang w:val="en-AU"/>
        </w:rPr>
        <w:t xml:space="preserve">it was not possible to accurately quantify the proportion </w:t>
      </w:r>
      <w:r w:rsidR="00DB214C">
        <w:rPr>
          <w:lang w:val="en-AU"/>
        </w:rPr>
        <w:t>separated</w:t>
      </w:r>
      <w:r w:rsidR="00D460CB" w:rsidRPr="00114B6B">
        <w:rPr>
          <w:lang w:val="en-AU"/>
        </w:rPr>
        <w:t xml:space="preserve"> for each individual reason</w:t>
      </w:r>
      <w:r w:rsidR="006D2661">
        <w:rPr>
          <w:lang w:val="en-AU"/>
        </w:rPr>
        <w:t>,</w:t>
      </w:r>
      <w:r w:rsidR="00D460CB" w:rsidRPr="00114B6B">
        <w:rPr>
          <w:lang w:val="en-AU"/>
        </w:rPr>
        <w:t xml:space="preserve"> due to variances in how SDCUs reported the ‘other’ reasons for discharges.</w:t>
      </w:r>
      <w:r w:rsidR="00D460CB">
        <w:rPr>
          <w:lang w:val="en-AU"/>
        </w:rPr>
        <w:t xml:space="preserve"> </w:t>
      </w:r>
    </w:p>
    <w:p w14:paraId="4257C357" w14:textId="6C84E5AE" w:rsidR="004B0B0B" w:rsidRDefault="00B1045B" w:rsidP="00194028">
      <w:pPr>
        <w:pStyle w:val="ListParagraph"/>
        <w:numPr>
          <w:ilvl w:val="0"/>
          <w:numId w:val="45"/>
        </w:numPr>
        <w:spacing w:after="170"/>
        <w:ind w:left="426" w:hanging="426"/>
        <w:contextualSpacing w:val="0"/>
        <w:rPr>
          <w:lang w:val="en-AU"/>
        </w:rPr>
      </w:pPr>
      <w:r w:rsidRPr="004B0B0B">
        <w:rPr>
          <w:lang w:val="en-AU"/>
        </w:rPr>
        <w:t>Of the</w:t>
      </w:r>
      <w:r w:rsidR="002332C6">
        <w:rPr>
          <w:lang w:val="en-AU"/>
        </w:rPr>
        <w:t xml:space="preserve"> </w:t>
      </w:r>
      <w:r w:rsidRPr="004B0B0B">
        <w:rPr>
          <w:lang w:val="en-AU"/>
        </w:rPr>
        <w:t>62 residents</w:t>
      </w:r>
      <w:r w:rsidR="00FD5DC1">
        <w:rPr>
          <w:lang w:val="en-AU"/>
        </w:rPr>
        <w:t xml:space="preserve"> discharged due to settled B</w:t>
      </w:r>
      <w:r w:rsidR="0015566A">
        <w:rPr>
          <w:lang w:val="en-AU"/>
        </w:rPr>
        <w:t>P</w:t>
      </w:r>
      <w:r w:rsidR="00FD5DC1">
        <w:rPr>
          <w:lang w:val="en-AU"/>
        </w:rPr>
        <w:t>SD</w:t>
      </w:r>
      <w:r w:rsidRPr="004B0B0B">
        <w:rPr>
          <w:lang w:val="en-AU"/>
        </w:rPr>
        <w:t xml:space="preserve">, </w:t>
      </w:r>
      <w:r w:rsidR="00664816" w:rsidRPr="004B0B0B">
        <w:rPr>
          <w:lang w:val="en-AU"/>
        </w:rPr>
        <w:t>almost 80%</w:t>
      </w:r>
      <w:r w:rsidRPr="004B0B0B">
        <w:rPr>
          <w:lang w:val="en-AU"/>
        </w:rPr>
        <w:t xml:space="preserve"> were discharged to a mainstream RACF operated by the same provider</w:t>
      </w:r>
      <w:r w:rsidR="00DC6836" w:rsidRPr="004B0B0B">
        <w:rPr>
          <w:lang w:val="en-AU"/>
        </w:rPr>
        <w:t xml:space="preserve">. </w:t>
      </w:r>
      <w:r w:rsidR="00BB5096" w:rsidRPr="004B0B0B">
        <w:rPr>
          <w:lang w:val="en-AU"/>
        </w:rPr>
        <w:t>Stakeholder consultations indicated th</w:t>
      </w:r>
      <w:r w:rsidR="003B1D5A" w:rsidRPr="004B0B0B">
        <w:rPr>
          <w:lang w:val="en-AU"/>
        </w:rPr>
        <w:t>at the</w:t>
      </w:r>
      <w:r w:rsidR="00BB5096" w:rsidRPr="004B0B0B">
        <w:rPr>
          <w:lang w:val="en-AU"/>
        </w:rPr>
        <w:t xml:space="preserve"> majority of </w:t>
      </w:r>
      <w:r w:rsidR="003142DA" w:rsidRPr="004B0B0B">
        <w:rPr>
          <w:lang w:val="en-AU"/>
        </w:rPr>
        <w:t>these discharges were transitioned to the</w:t>
      </w:r>
      <w:r w:rsidR="00171AD9" w:rsidRPr="004B0B0B">
        <w:rPr>
          <w:lang w:val="en-AU"/>
        </w:rPr>
        <w:t xml:space="preserve"> provider’s</w:t>
      </w:r>
      <w:r w:rsidR="00BB5096" w:rsidRPr="004B0B0B">
        <w:rPr>
          <w:lang w:val="en-AU"/>
        </w:rPr>
        <w:t xml:space="preserve"> co-located mainstream RACF.</w:t>
      </w:r>
      <w:r w:rsidR="008319EC" w:rsidRPr="004B0B0B">
        <w:rPr>
          <w:lang w:val="en-AU"/>
        </w:rPr>
        <w:t xml:space="preserve"> </w:t>
      </w:r>
    </w:p>
    <w:p w14:paraId="07B0D3DF" w14:textId="1044CA7F" w:rsidR="008319EC" w:rsidRPr="004B0B0B" w:rsidRDefault="00166582" w:rsidP="00194028">
      <w:pPr>
        <w:pStyle w:val="ListParagraph"/>
        <w:numPr>
          <w:ilvl w:val="0"/>
          <w:numId w:val="45"/>
        </w:numPr>
        <w:spacing w:after="170"/>
        <w:ind w:left="426" w:hanging="426"/>
        <w:contextualSpacing w:val="0"/>
        <w:rPr>
          <w:lang w:val="en-AU"/>
        </w:rPr>
      </w:pPr>
      <w:r w:rsidRPr="00DF3643">
        <w:rPr>
          <w:lang w:val="en-AU"/>
        </w:rPr>
        <w:t>The Program design feature allowing residents to transition to a co-located mainstream RACF operated by the same provider was recognised as a key Program</w:t>
      </w:r>
      <w:r w:rsidR="006D14AE">
        <w:rPr>
          <w:lang w:val="en-AU"/>
        </w:rPr>
        <w:t xml:space="preserve"> </w:t>
      </w:r>
      <w:r w:rsidRPr="00DF3643">
        <w:rPr>
          <w:lang w:val="en-AU"/>
        </w:rPr>
        <w:t>success factor</w:t>
      </w:r>
      <w:r w:rsidR="004E407E">
        <w:rPr>
          <w:lang w:val="en-AU"/>
        </w:rPr>
        <w:t xml:space="preserve">. </w:t>
      </w:r>
      <w:r w:rsidR="00287D28">
        <w:rPr>
          <w:lang w:val="en-AU"/>
        </w:rPr>
        <w:t>S</w:t>
      </w:r>
      <w:r w:rsidR="008319EC" w:rsidRPr="004B0B0B">
        <w:rPr>
          <w:lang w:val="en-AU"/>
        </w:rPr>
        <w:t xml:space="preserve">takeholders noted a reluctance among mainstream RACFs to accept people with </w:t>
      </w:r>
      <w:r w:rsidR="00A94948">
        <w:rPr>
          <w:lang w:val="en-AU"/>
        </w:rPr>
        <w:t>very severe</w:t>
      </w:r>
      <w:r w:rsidR="008319EC" w:rsidRPr="004B0B0B">
        <w:rPr>
          <w:lang w:val="en-AU"/>
        </w:rPr>
        <w:t xml:space="preserve"> BPSD, even </w:t>
      </w:r>
      <w:r w:rsidR="00654DE2">
        <w:rPr>
          <w:lang w:val="en-AU"/>
        </w:rPr>
        <w:t>where</w:t>
      </w:r>
      <w:r w:rsidR="00654DE2" w:rsidRPr="004B0B0B">
        <w:rPr>
          <w:lang w:val="en-AU"/>
        </w:rPr>
        <w:t xml:space="preserve"> </w:t>
      </w:r>
      <w:r w:rsidR="008319EC" w:rsidRPr="004B0B0B">
        <w:rPr>
          <w:lang w:val="en-AU"/>
        </w:rPr>
        <w:t>their symptoms had settled</w:t>
      </w:r>
      <w:r w:rsidR="00E94B28">
        <w:rPr>
          <w:lang w:val="en-AU"/>
        </w:rPr>
        <w:t>.</w:t>
      </w:r>
      <w:r w:rsidR="008319EC" w:rsidRPr="004B0B0B">
        <w:rPr>
          <w:lang w:val="en-AU"/>
        </w:rPr>
        <w:t xml:space="preserve"> </w:t>
      </w:r>
      <w:r w:rsidR="00E94B28">
        <w:rPr>
          <w:lang w:val="en-AU"/>
        </w:rPr>
        <w:t>H</w:t>
      </w:r>
      <w:r w:rsidR="007F6BE2">
        <w:rPr>
          <w:lang w:val="en-AU"/>
        </w:rPr>
        <w:t>istorically</w:t>
      </w:r>
      <w:r w:rsidR="00E94B28">
        <w:rPr>
          <w:lang w:val="en-AU"/>
        </w:rPr>
        <w:t>, this</w:t>
      </w:r>
      <w:r w:rsidR="008319EC" w:rsidRPr="004B0B0B">
        <w:rPr>
          <w:lang w:val="en-AU"/>
        </w:rPr>
        <w:t xml:space="preserve"> result</w:t>
      </w:r>
      <w:r w:rsidR="007F6BE2">
        <w:rPr>
          <w:lang w:val="en-AU"/>
        </w:rPr>
        <w:t>ed</w:t>
      </w:r>
      <w:r w:rsidR="008319EC" w:rsidRPr="004B0B0B">
        <w:rPr>
          <w:lang w:val="en-AU"/>
        </w:rPr>
        <w:t xml:space="preserve"> in prolonged multi-year stay</w:t>
      </w:r>
      <w:r w:rsidR="007F6BE2">
        <w:rPr>
          <w:lang w:val="en-AU"/>
        </w:rPr>
        <w:t>s</w:t>
      </w:r>
      <w:r w:rsidR="008319EC" w:rsidRPr="004B0B0B">
        <w:rPr>
          <w:lang w:val="en-AU"/>
        </w:rPr>
        <w:t xml:space="preserve"> in acute care settings. The Program is able to overcome this challenge by co-locating the SDCU with a mainstream RACF (operated by the same provider) and offering placement at this facility post-Program.</w:t>
      </w:r>
      <w:r w:rsidR="008319EC" w:rsidRPr="004B0B0B">
        <w:rPr>
          <w:color w:val="000000" w:themeColor="text1"/>
          <w:lang w:val="en-AU"/>
        </w:rPr>
        <w:t xml:space="preserve"> </w:t>
      </w:r>
      <w:r w:rsidR="005F5116">
        <w:rPr>
          <w:color w:val="000000" w:themeColor="text1"/>
          <w:lang w:val="en-AU"/>
        </w:rPr>
        <w:t>In addition, t</w:t>
      </w:r>
      <w:r w:rsidR="00A2267F">
        <w:rPr>
          <w:color w:val="000000" w:themeColor="text1"/>
          <w:lang w:val="en-AU"/>
        </w:rPr>
        <w:t xml:space="preserve">he internal transfer offers a more seamless </w:t>
      </w:r>
      <w:r w:rsidR="00414D64">
        <w:rPr>
          <w:color w:val="000000" w:themeColor="text1"/>
          <w:lang w:val="en-AU"/>
        </w:rPr>
        <w:t xml:space="preserve">continuity of care </w:t>
      </w:r>
      <w:r w:rsidR="00DF3643">
        <w:rPr>
          <w:color w:val="000000" w:themeColor="text1"/>
          <w:lang w:val="en-AU"/>
        </w:rPr>
        <w:t xml:space="preserve">experience for the resident and </w:t>
      </w:r>
      <w:r w:rsidR="00DF3643" w:rsidRPr="0005684D">
        <w:rPr>
          <w:lang w:val="en-AU"/>
        </w:rPr>
        <w:t xml:space="preserve">their family/carer, </w:t>
      </w:r>
      <w:r w:rsidR="0098574F">
        <w:rPr>
          <w:lang w:val="en-AU"/>
        </w:rPr>
        <w:t>while</w:t>
      </w:r>
      <w:r w:rsidR="008319EC">
        <w:rPr>
          <w:lang w:val="en-AU"/>
        </w:rPr>
        <w:t xml:space="preserve"> also </w:t>
      </w:r>
      <w:r w:rsidR="008319EC" w:rsidRPr="0005684D">
        <w:rPr>
          <w:lang w:val="en-AU"/>
        </w:rPr>
        <w:t>aid</w:t>
      </w:r>
      <w:r w:rsidR="0098574F">
        <w:rPr>
          <w:lang w:val="en-AU"/>
        </w:rPr>
        <w:t>ing</w:t>
      </w:r>
      <w:r w:rsidR="008319EC" w:rsidRPr="0005684D">
        <w:rPr>
          <w:lang w:val="en-AU"/>
        </w:rPr>
        <w:t xml:space="preserve"> </w:t>
      </w:r>
      <w:r w:rsidR="008319EC" w:rsidRPr="004B0B0B">
        <w:rPr>
          <w:lang w:val="en-AU"/>
        </w:rPr>
        <w:t>long-term symptom management as Program staff can more easily support care staff in the receiving facility.</w:t>
      </w:r>
    </w:p>
    <w:p w14:paraId="15906EC4" w14:textId="4991B925" w:rsidR="00B1045B" w:rsidRPr="005E6CA2" w:rsidRDefault="00E95E4E" w:rsidP="00194028">
      <w:pPr>
        <w:pStyle w:val="ListParagraph"/>
        <w:numPr>
          <w:ilvl w:val="0"/>
          <w:numId w:val="45"/>
        </w:numPr>
        <w:spacing w:after="170"/>
        <w:ind w:left="426" w:hanging="426"/>
        <w:contextualSpacing w:val="0"/>
        <w:rPr>
          <w:lang w:val="en-AU"/>
        </w:rPr>
      </w:pPr>
      <w:r>
        <w:rPr>
          <w:lang w:val="en-AU"/>
        </w:rPr>
        <w:t>Stakeholders</w:t>
      </w:r>
      <w:r w:rsidR="00C12F17">
        <w:rPr>
          <w:lang w:val="en-AU"/>
        </w:rPr>
        <w:t xml:space="preserve"> felt the</w:t>
      </w:r>
      <w:r w:rsidR="0005684D" w:rsidRPr="0005684D">
        <w:rPr>
          <w:lang w:val="en-AU"/>
        </w:rPr>
        <w:t xml:space="preserve"> majority of transitions out were successful and largely well-coordinated. Success factors include</w:t>
      </w:r>
      <w:r w:rsidR="00C12F17">
        <w:rPr>
          <w:lang w:val="en-AU"/>
        </w:rPr>
        <w:t>d</w:t>
      </w:r>
      <w:r w:rsidR="00DD2F55">
        <w:rPr>
          <w:lang w:val="en-AU"/>
        </w:rPr>
        <w:t>:</w:t>
      </w:r>
      <w:r w:rsidR="0005684D" w:rsidRPr="0005684D">
        <w:rPr>
          <w:lang w:val="en-AU"/>
        </w:rPr>
        <w:t xml:space="preserve"> early discharge planning</w:t>
      </w:r>
      <w:r w:rsidR="00DD2F55">
        <w:rPr>
          <w:lang w:val="en-AU"/>
        </w:rPr>
        <w:t>;</w:t>
      </w:r>
      <w:r w:rsidR="0005684D" w:rsidRPr="0005684D">
        <w:rPr>
          <w:lang w:val="en-AU"/>
        </w:rPr>
        <w:t xml:space="preserve"> </w:t>
      </w:r>
      <w:r>
        <w:rPr>
          <w:lang w:val="en-AU"/>
        </w:rPr>
        <w:t xml:space="preserve">use of </w:t>
      </w:r>
      <w:r w:rsidR="0005684D" w:rsidRPr="0005684D">
        <w:rPr>
          <w:lang w:val="en-AU"/>
        </w:rPr>
        <w:t>structured shared-care templates</w:t>
      </w:r>
      <w:r w:rsidR="00725997">
        <w:rPr>
          <w:lang w:val="en-AU"/>
        </w:rPr>
        <w:t xml:space="preserve"> </w:t>
      </w:r>
      <w:r w:rsidR="00DD2F55">
        <w:rPr>
          <w:lang w:val="en-AU"/>
        </w:rPr>
        <w:t>detailing resident needs, preferences and effective behavioural management strategies;</w:t>
      </w:r>
      <w:r w:rsidR="0005684D" w:rsidRPr="0005684D">
        <w:rPr>
          <w:lang w:val="en-AU"/>
        </w:rPr>
        <w:t xml:space="preserve"> and commitment to outreach </w:t>
      </w:r>
      <w:r>
        <w:rPr>
          <w:lang w:val="en-AU"/>
        </w:rPr>
        <w:t>and capacity building</w:t>
      </w:r>
      <w:r w:rsidR="0005684D" w:rsidRPr="0005684D">
        <w:rPr>
          <w:lang w:val="en-AU"/>
        </w:rPr>
        <w:t xml:space="preserve"> with staff at the receiving facility.</w:t>
      </w:r>
      <w:r w:rsidR="009C6CB7">
        <w:rPr>
          <w:lang w:val="en-AU"/>
        </w:rPr>
        <w:t xml:space="preserve"> </w:t>
      </w:r>
    </w:p>
    <w:p w14:paraId="69EE658D" w14:textId="74F0EF74" w:rsidR="00AA5DCA" w:rsidRDefault="00BA56B9" w:rsidP="00194028">
      <w:pPr>
        <w:pStyle w:val="ListParagraph"/>
        <w:numPr>
          <w:ilvl w:val="0"/>
          <w:numId w:val="45"/>
        </w:numPr>
        <w:spacing w:after="170"/>
        <w:ind w:left="426" w:hanging="426"/>
        <w:contextualSpacing w:val="0"/>
        <w:rPr>
          <w:lang w:val="en-AU"/>
        </w:rPr>
      </w:pPr>
      <w:r w:rsidRPr="00B169B0">
        <w:rPr>
          <w:lang w:val="en-AU"/>
        </w:rPr>
        <w:t xml:space="preserve">Stakeholders </w:t>
      </w:r>
      <w:r w:rsidR="00DD39C7">
        <w:rPr>
          <w:lang w:val="en-AU"/>
        </w:rPr>
        <w:t>early in t</w:t>
      </w:r>
      <w:r w:rsidR="00710133">
        <w:rPr>
          <w:lang w:val="en-AU"/>
        </w:rPr>
        <w:t>he Program’s implementation</w:t>
      </w:r>
      <w:r w:rsidRPr="00B169B0">
        <w:rPr>
          <w:lang w:val="en-AU"/>
        </w:rPr>
        <w:t xml:space="preserve"> observed that where an external transition is required, it can take time to identify a suitable </w:t>
      </w:r>
      <w:r w:rsidR="00733CED" w:rsidRPr="00B169B0">
        <w:rPr>
          <w:lang w:val="en-AU"/>
        </w:rPr>
        <w:t>RACF discharge</w:t>
      </w:r>
      <w:r w:rsidR="00B169B0" w:rsidRPr="00B169B0">
        <w:rPr>
          <w:lang w:val="en-AU"/>
        </w:rPr>
        <w:t>, causing prolonged stays in the SDCU</w:t>
      </w:r>
      <w:r w:rsidRPr="00B169B0">
        <w:rPr>
          <w:lang w:val="en-AU"/>
        </w:rPr>
        <w:t>. It was suggested that, as the Program grows, there may be an opportunity to consider use of a social worker</w:t>
      </w:r>
      <w:r w:rsidR="007A0B65">
        <w:rPr>
          <w:lang w:val="en-AU"/>
        </w:rPr>
        <w:t xml:space="preserve"> </w:t>
      </w:r>
      <w:r w:rsidR="007A0B65" w:rsidRPr="00B169B0">
        <w:rPr>
          <w:lang w:val="en-AU"/>
        </w:rPr>
        <w:t xml:space="preserve">(at a jurisdictional level) </w:t>
      </w:r>
      <w:r w:rsidR="007A0B65">
        <w:rPr>
          <w:lang w:val="en-AU"/>
        </w:rPr>
        <w:t xml:space="preserve">familiar with </w:t>
      </w:r>
      <w:r w:rsidR="00DC18F3">
        <w:rPr>
          <w:lang w:val="en-AU"/>
        </w:rPr>
        <w:t xml:space="preserve">the local </w:t>
      </w:r>
      <w:r w:rsidR="007A0B65">
        <w:rPr>
          <w:lang w:val="en-AU"/>
        </w:rPr>
        <w:t>RACF</w:t>
      </w:r>
      <w:r w:rsidR="00DC18F3">
        <w:rPr>
          <w:lang w:val="en-AU"/>
        </w:rPr>
        <w:t xml:space="preserve"> landscape</w:t>
      </w:r>
      <w:r w:rsidRPr="00B169B0">
        <w:rPr>
          <w:lang w:val="en-AU"/>
        </w:rPr>
        <w:t xml:space="preserve"> to support SDCUs with external transitions.</w:t>
      </w:r>
      <w:r w:rsidR="00BC51C7" w:rsidRPr="00B169B0">
        <w:rPr>
          <w:lang w:val="en-AU"/>
        </w:rPr>
        <w:t xml:space="preserve"> </w:t>
      </w:r>
    </w:p>
    <w:p w14:paraId="0CC24A70" w14:textId="50901FFB" w:rsidR="00797438" w:rsidRDefault="005A47A4" w:rsidP="00194028">
      <w:pPr>
        <w:pStyle w:val="ListParagraph"/>
        <w:numPr>
          <w:ilvl w:val="0"/>
          <w:numId w:val="45"/>
        </w:numPr>
        <w:spacing w:after="170"/>
        <w:ind w:left="426" w:hanging="426"/>
        <w:contextualSpacing w:val="0"/>
        <w:rPr>
          <w:rFonts w:cstheme="minorHAnsi"/>
        </w:rPr>
      </w:pPr>
      <w:r>
        <w:t>Anecdotally, s</w:t>
      </w:r>
      <w:r w:rsidR="00444A35">
        <w:t xml:space="preserve">takeholders </w:t>
      </w:r>
      <w:r w:rsidR="002B0F3B">
        <w:t>observed</w:t>
      </w:r>
      <w:r w:rsidR="00136AA5">
        <w:t xml:space="preserve"> that the</w:t>
      </w:r>
      <w:r w:rsidR="0084718A">
        <w:t xml:space="preserve"> majority of residents discharged </w:t>
      </w:r>
      <w:r w:rsidR="00D8583E">
        <w:t xml:space="preserve">to less intensive care settings </w:t>
      </w:r>
      <w:r w:rsidR="0084718A">
        <w:t>due to settled BPSD remain</w:t>
      </w:r>
      <w:r w:rsidR="006D3FD4">
        <w:t>ed</w:t>
      </w:r>
      <w:r w:rsidR="0084718A">
        <w:t xml:space="preserve"> stabilised in </w:t>
      </w:r>
      <w:r w:rsidR="00D8583E">
        <w:t>their discharge location</w:t>
      </w:r>
      <w:r w:rsidR="0084718A">
        <w:t xml:space="preserve">. </w:t>
      </w:r>
      <w:r w:rsidR="0084718A" w:rsidRPr="00E104ED">
        <w:rPr>
          <w:rFonts w:cstheme="minorHAnsi"/>
          <w:bCs/>
        </w:rPr>
        <w:t>However, stakeholders</w:t>
      </w:r>
      <w:r w:rsidR="008A0BF7">
        <w:rPr>
          <w:rFonts w:cstheme="minorHAnsi"/>
          <w:bCs/>
        </w:rPr>
        <w:t xml:space="preserve"> also</w:t>
      </w:r>
      <w:r w:rsidR="0084718A" w:rsidRPr="00E104ED">
        <w:rPr>
          <w:rFonts w:cstheme="minorHAnsi"/>
          <w:bCs/>
        </w:rPr>
        <w:t xml:space="preserve"> highlighted </w:t>
      </w:r>
      <w:r w:rsidR="0047673E">
        <w:rPr>
          <w:rFonts w:cstheme="minorHAnsi"/>
          <w:bCs/>
        </w:rPr>
        <w:t xml:space="preserve">that </w:t>
      </w:r>
      <w:r w:rsidR="0084718A" w:rsidRPr="00E104ED">
        <w:rPr>
          <w:rFonts w:cstheme="minorHAnsi"/>
          <w:bCs/>
        </w:rPr>
        <w:t xml:space="preserve">mainstream RACF dynamics </w:t>
      </w:r>
      <w:r w:rsidR="0047673E">
        <w:rPr>
          <w:rFonts w:cstheme="minorHAnsi"/>
          <w:bCs/>
        </w:rPr>
        <w:t>are</w:t>
      </w:r>
      <w:r w:rsidR="0084718A" w:rsidRPr="00E104ED">
        <w:rPr>
          <w:rFonts w:cstheme="minorHAnsi"/>
          <w:bCs/>
        </w:rPr>
        <w:t xml:space="preserve"> an ongoing risk to sustaining settled BPSD </w:t>
      </w:r>
      <w:r w:rsidR="00DE385F" w:rsidRPr="00E104ED">
        <w:rPr>
          <w:rFonts w:cstheme="minorHAnsi"/>
          <w:bCs/>
        </w:rPr>
        <w:t>post-Program</w:t>
      </w:r>
      <w:r w:rsidR="0084718A" w:rsidRPr="00E104ED">
        <w:rPr>
          <w:rFonts w:cstheme="minorHAnsi"/>
          <w:bCs/>
        </w:rPr>
        <w:t xml:space="preserve">. </w:t>
      </w:r>
      <w:r w:rsidR="00DE385F" w:rsidRPr="00E104ED">
        <w:rPr>
          <w:rFonts w:cstheme="minorHAnsi"/>
          <w:bCs/>
        </w:rPr>
        <w:t>I</w:t>
      </w:r>
      <w:r w:rsidR="0084718A" w:rsidRPr="00E104ED">
        <w:rPr>
          <w:rFonts w:cstheme="minorHAnsi"/>
          <w:bCs/>
        </w:rPr>
        <w:t>t is</w:t>
      </w:r>
      <w:r w:rsidR="006D3F2D" w:rsidRPr="00E104ED">
        <w:rPr>
          <w:rFonts w:cstheme="minorHAnsi"/>
          <w:bCs/>
        </w:rPr>
        <w:t xml:space="preserve"> thus</w:t>
      </w:r>
      <w:r w:rsidR="0084718A" w:rsidRPr="00E104ED">
        <w:rPr>
          <w:rFonts w:cstheme="minorHAnsi"/>
          <w:bCs/>
        </w:rPr>
        <w:t xml:space="preserve"> suggested</w:t>
      </w:r>
      <w:r w:rsidR="00841E0A">
        <w:rPr>
          <w:rFonts w:cstheme="minorHAnsi"/>
          <w:bCs/>
        </w:rPr>
        <w:t xml:space="preserve"> that ways to monitor</w:t>
      </w:r>
      <w:r w:rsidR="0084718A" w:rsidRPr="00E104ED">
        <w:rPr>
          <w:rFonts w:cstheme="minorHAnsi"/>
          <w:bCs/>
        </w:rPr>
        <w:t xml:space="preserve"> </w:t>
      </w:r>
      <w:r w:rsidR="00DF4CEE">
        <w:rPr>
          <w:rFonts w:cstheme="minorHAnsi"/>
          <w:bCs/>
        </w:rPr>
        <w:t>resident</w:t>
      </w:r>
      <w:r w:rsidR="0084718A" w:rsidRPr="00E104ED">
        <w:rPr>
          <w:rFonts w:cstheme="minorHAnsi"/>
          <w:bCs/>
        </w:rPr>
        <w:t xml:space="preserve"> progress </w:t>
      </w:r>
      <w:r w:rsidR="00DF4CEE">
        <w:rPr>
          <w:rFonts w:cstheme="minorHAnsi"/>
          <w:bCs/>
        </w:rPr>
        <w:t>post-Program</w:t>
      </w:r>
      <w:r w:rsidR="0084718A" w:rsidRPr="00E104ED">
        <w:rPr>
          <w:rFonts w:cstheme="minorHAnsi"/>
          <w:bCs/>
        </w:rPr>
        <w:t xml:space="preserve"> </w:t>
      </w:r>
      <w:r w:rsidR="00841E0A">
        <w:rPr>
          <w:rFonts w:cstheme="minorHAnsi"/>
          <w:bCs/>
        </w:rPr>
        <w:t>be investigated and considered</w:t>
      </w:r>
      <w:r w:rsidR="00533002">
        <w:rPr>
          <w:rFonts w:cstheme="minorHAnsi"/>
          <w:bCs/>
        </w:rPr>
        <w:t>.</w:t>
      </w:r>
      <w:r w:rsidR="005F469F">
        <w:rPr>
          <w:rFonts w:cstheme="minorHAnsi"/>
          <w:bCs/>
        </w:rPr>
        <w:t xml:space="preserve"> </w:t>
      </w:r>
      <w:r w:rsidR="00BD5368">
        <w:rPr>
          <w:rFonts w:cstheme="minorHAnsi"/>
          <w:bCs/>
        </w:rPr>
        <w:t>If such</w:t>
      </w:r>
      <w:r w:rsidR="00BD5368" w:rsidRPr="00E104ED">
        <w:rPr>
          <w:rFonts w:cstheme="minorHAnsi"/>
          <w:bCs/>
        </w:rPr>
        <w:t xml:space="preserve"> </w:t>
      </w:r>
      <w:r w:rsidR="0084718A" w:rsidRPr="00E104ED">
        <w:rPr>
          <w:rFonts w:cstheme="minorHAnsi"/>
          <w:bCs/>
        </w:rPr>
        <w:t>information</w:t>
      </w:r>
      <w:r w:rsidR="00BD5368">
        <w:rPr>
          <w:rFonts w:cstheme="minorHAnsi"/>
          <w:bCs/>
        </w:rPr>
        <w:t xml:space="preserve"> was able to be collected</w:t>
      </w:r>
      <w:r w:rsidR="00841E0A">
        <w:rPr>
          <w:rFonts w:cstheme="minorHAnsi"/>
          <w:bCs/>
        </w:rPr>
        <w:t xml:space="preserve"> </w:t>
      </w:r>
      <w:r w:rsidR="00841E0A" w:rsidRPr="00E104ED">
        <w:rPr>
          <w:rFonts w:cstheme="minorHAnsi"/>
          <w:bCs/>
        </w:rPr>
        <w:t>on a more routine basis long-term</w:t>
      </w:r>
      <w:r w:rsidR="00BD5368">
        <w:rPr>
          <w:rFonts w:cstheme="minorHAnsi"/>
          <w:bCs/>
        </w:rPr>
        <w:t>, it</w:t>
      </w:r>
      <w:r w:rsidR="0084718A" w:rsidRPr="00E104ED">
        <w:rPr>
          <w:rFonts w:cstheme="minorHAnsi"/>
          <w:bCs/>
        </w:rPr>
        <w:t xml:space="preserve"> could</w:t>
      </w:r>
      <w:r w:rsidR="002C570F">
        <w:rPr>
          <w:rFonts w:cstheme="minorHAnsi"/>
          <w:bCs/>
        </w:rPr>
        <w:t xml:space="preserve"> then</w:t>
      </w:r>
      <w:r w:rsidR="0084718A" w:rsidRPr="00E104ED">
        <w:rPr>
          <w:rFonts w:cstheme="minorHAnsi"/>
          <w:bCs/>
        </w:rPr>
        <w:t xml:space="preserve"> be used to inform an assessment of whether a risk-stratified step-down discharge approach should be considered for certain high-risk clients.</w:t>
      </w:r>
      <w:r w:rsidR="00417A9C" w:rsidRPr="00E104ED">
        <w:rPr>
          <w:rFonts w:cstheme="minorHAnsi"/>
          <w:bCs/>
        </w:rPr>
        <w:t xml:space="preserve"> This information is also critical for informing </w:t>
      </w:r>
      <w:r w:rsidR="00163EEE" w:rsidRPr="00E104ED">
        <w:rPr>
          <w:rFonts w:cstheme="minorHAnsi"/>
          <w:bCs/>
        </w:rPr>
        <w:t>a</w:t>
      </w:r>
      <w:r w:rsidR="00A46772">
        <w:rPr>
          <w:rFonts w:cstheme="minorHAnsi"/>
          <w:bCs/>
        </w:rPr>
        <w:t xml:space="preserve"> true</w:t>
      </w:r>
      <w:r w:rsidR="008C24D0">
        <w:rPr>
          <w:rFonts w:cstheme="minorHAnsi"/>
          <w:bCs/>
        </w:rPr>
        <w:t xml:space="preserve"> </w:t>
      </w:r>
      <w:r w:rsidR="00163EEE" w:rsidRPr="00E104ED">
        <w:rPr>
          <w:rFonts w:cstheme="minorHAnsi"/>
          <w:bCs/>
        </w:rPr>
        <w:t>understanding of the Program’s</w:t>
      </w:r>
      <w:r w:rsidR="000F2437" w:rsidRPr="00E104ED">
        <w:rPr>
          <w:rFonts w:cstheme="minorHAnsi"/>
          <w:bCs/>
        </w:rPr>
        <w:t xml:space="preserve"> </w:t>
      </w:r>
      <w:r w:rsidR="008C24D0">
        <w:rPr>
          <w:rFonts w:cstheme="minorHAnsi"/>
          <w:bCs/>
        </w:rPr>
        <w:t xml:space="preserve">clinical and </w:t>
      </w:r>
      <w:r w:rsidR="00163EEE" w:rsidRPr="00E104ED">
        <w:rPr>
          <w:rFonts w:cstheme="minorHAnsi"/>
          <w:bCs/>
        </w:rPr>
        <w:t xml:space="preserve">economic value. </w:t>
      </w:r>
      <w:r w:rsidR="00533002">
        <w:rPr>
          <w:rFonts w:cstheme="minorHAnsi"/>
          <w:bCs/>
        </w:rPr>
        <w:t>See Recommendation 12</w:t>
      </w:r>
      <w:r w:rsidR="00533002" w:rsidRPr="00E104ED">
        <w:rPr>
          <w:rFonts w:cstheme="minorHAnsi"/>
          <w:bCs/>
        </w:rPr>
        <w:t>.</w:t>
      </w:r>
    </w:p>
    <w:p w14:paraId="2E9273DE" w14:textId="77777777" w:rsidR="00E71D9C" w:rsidRDefault="00E71D9C">
      <w:pPr>
        <w:spacing w:after="200" w:line="276" w:lineRule="auto"/>
        <w:rPr>
          <w:rFonts w:cstheme="minorHAnsi"/>
          <w:bCs/>
        </w:rPr>
      </w:pPr>
      <w:r>
        <w:rPr>
          <w:rFonts w:cstheme="minorHAnsi"/>
          <w:bCs/>
        </w:rPr>
        <w:br w:type="page"/>
      </w:r>
    </w:p>
    <w:p w14:paraId="42E4F38B" w14:textId="77777777" w:rsidR="00CB0B03" w:rsidRDefault="00CB0B03" w:rsidP="00CB0B03">
      <w:pPr>
        <w:pStyle w:val="Heading3un-numbered"/>
        <w:rPr>
          <w:lang w:val="en-AU"/>
        </w:rPr>
      </w:pPr>
      <w:r w:rsidRPr="00247BE9">
        <w:rPr>
          <w:noProof/>
        </w:rPr>
        <w:drawing>
          <wp:inline distT="0" distB="0" distL="0" distR="0" wp14:anchorId="1ADC0849" wp14:editId="3902425C">
            <wp:extent cx="6319520" cy="457200"/>
            <wp:effectExtent l="0" t="0" r="5080" b="0"/>
            <wp:docPr id="43" name="Picture 43" descr="The following evaluation findings are from the program administration section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following evaluation findings are from the program administration section of the repor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9520" cy="457200"/>
                    </a:xfrm>
                    <a:prstGeom prst="rect">
                      <a:avLst/>
                    </a:prstGeom>
                    <a:noFill/>
                    <a:ln>
                      <a:noFill/>
                    </a:ln>
                  </pic:spPr>
                </pic:pic>
              </a:graphicData>
            </a:graphic>
          </wp:inline>
        </w:drawing>
      </w:r>
    </w:p>
    <w:p w14:paraId="6460054B" w14:textId="28C70DBF" w:rsidR="002A5BF0" w:rsidRDefault="00372A38" w:rsidP="006B525E">
      <w:pPr>
        <w:pStyle w:val="Heading4thematicstatement"/>
        <w:rPr>
          <w:rFonts w:asciiTheme="majorHAnsi" w:hAnsiTheme="majorHAnsi" w:cstheme="majorHAnsi"/>
        </w:rPr>
      </w:pPr>
      <w:r>
        <w:rPr>
          <w:rFonts w:asciiTheme="majorHAnsi" w:hAnsiTheme="majorHAnsi" w:cstheme="majorHAnsi"/>
        </w:rPr>
        <w:t>Program administration</w:t>
      </w:r>
    </w:p>
    <w:p w14:paraId="09607EC2" w14:textId="37A8EB9C" w:rsidR="00F40039" w:rsidRDefault="00F40039" w:rsidP="00194028">
      <w:pPr>
        <w:pStyle w:val="ListParagraph"/>
        <w:numPr>
          <w:ilvl w:val="0"/>
          <w:numId w:val="45"/>
        </w:numPr>
        <w:spacing w:after="170"/>
        <w:ind w:left="426" w:hanging="426"/>
        <w:contextualSpacing w:val="0"/>
        <w:rPr>
          <w:lang w:val="en-AU"/>
        </w:rPr>
      </w:pPr>
      <w:r w:rsidRPr="00F40039">
        <w:rPr>
          <w:lang w:val="en-AU"/>
        </w:rPr>
        <w:t xml:space="preserve">Stakeholders were largely satisfied with the overall management of the Program. Key enablers included early and regular engagement between the Department and providers, and ongoing commitment to knowledge sharing across </w:t>
      </w:r>
      <w:r w:rsidR="002C570F">
        <w:rPr>
          <w:lang w:val="en-AU"/>
        </w:rPr>
        <w:t>SDCUs</w:t>
      </w:r>
      <w:r w:rsidRPr="00F40039">
        <w:rPr>
          <w:lang w:val="en-AU"/>
        </w:rPr>
        <w:t xml:space="preserve">. </w:t>
      </w:r>
    </w:p>
    <w:p w14:paraId="641AC840" w14:textId="2A17951A" w:rsidR="00677B0B" w:rsidRDefault="00677B0B" w:rsidP="00194028">
      <w:pPr>
        <w:pStyle w:val="ListParagraph"/>
        <w:numPr>
          <w:ilvl w:val="0"/>
          <w:numId w:val="45"/>
        </w:numPr>
        <w:spacing w:after="170"/>
        <w:ind w:left="426" w:hanging="426"/>
        <w:contextualSpacing w:val="0"/>
        <w:rPr>
          <w:lang w:val="en-AU"/>
        </w:rPr>
      </w:pPr>
      <w:r w:rsidRPr="00677B0B">
        <w:rPr>
          <w:lang w:val="en-AU"/>
        </w:rPr>
        <w:t>Several barriers limited the collection of unit record data over the length of the Program</w:t>
      </w:r>
      <w:r w:rsidR="008B596E">
        <w:rPr>
          <w:lang w:val="en-AU"/>
        </w:rPr>
        <w:t xml:space="preserve"> including capacity limitations within SDCUs, unique data collection systems and data archiving processes. </w:t>
      </w:r>
      <w:r w:rsidRPr="00677B0B">
        <w:rPr>
          <w:lang w:val="en-AU"/>
        </w:rPr>
        <w:t xml:space="preserve">There </w:t>
      </w:r>
      <w:r w:rsidR="008B596E">
        <w:rPr>
          <w:lang w:val="en-AU"/>
        </w:rPr>
        <w:t>may be</w:t>
      </w:r>
      <w:r w:rsidRPr="00677B0B">
        <w:rPr>
          <w:lang w:val="en-AU"/>
        </w:rPr>
        <w:t xml:space="preserve"> an opportunity to strengthen data management and reporting systems within the Program to increase the type and consistency of data collected and support future evaluation activities</w:t>
      </w:r>
      <w:r>
        <w:rPr>
          <w:lang w:val="en-AU"/>
        </w:rPr>
        <w:t>.</w:t>
      </w:r>
    </w:p>
    <w:p w14:paraId="4018F178" w14:textId="77777777" w:rsidR="006B525E" w:rsidRDefault="006B525E" w:rsidP="006B525E">
      <w:pPr>
        <w:pStyle w:val="Heading4thematicstatement"/>
        <w:rPr>
          <w:rFonts w:asciiTheme="majorHAnsi" w:hAnsiTheme="majorHAnsi" w:cstheme="majorHAnsi"/>
        </w:rPr>
      </w:pPr>
      <w:r w:rsidRPr="005E46D4">
        <w:rPr>
          <w:rFonts w:asciiTheme="majorHAnsi" w:hAnsiTheme="majorHAnsi" w:cstheme="majorHAnsi"/>
        </w:rPr>
        <w:t>Program costs</w:t>
      </w:r>
    </w:p>
    <w:p w14:paraId="462D7919" w14:textId="08E771EB" w:rsidR="00F40039" w:rsidRPr="00F40039" w:rsidRDefault="00F40039" w:rsidP="00194028">
      <w:pPr>
        <w:pStyle w:val="ListParagraph"/>
        <w:numPr>
          <w:ilvl w:val="0"/>
          <w:numId w:val="45"/>
        </w:numPr>
        <w:spacing w:after="170"/>
        <w:ind w:left="426" w:hanging="426"/>
        <w:contextualSpacing w:val="0"/>
        <w:rPr>
          <w:lang w:val="en-AU"/>
        </w:rPr>
      </w:pPr>
      <w:r w:rsidRPr="00F40039">
        <w:rPr>
          <w:lang w:val="en-AU"/>
        </w:rPr>
        <w:t xml:space="preserve">Program costs </w:t>
      </w:r>
      <w:r>
        <w:rPr>
          <w:lang w:val="en-AU"/>
        </w:rPr>
        <w:t xml:space="preserve">and the </w:t>
      </w:r>
      <w:r w:rsidR="00985A11">
        <w:rPr>
          <w:lang w:val="en-AU"/>
        </w:rPr>
        <w:t>design</w:t>
      </w:r>
      <w:r>
        <w:rPr>
          <w:lang w:val="en-AU"/>
        </w:rPr>
        <w:t xml:space="preserve"> of the </w:t>
      </w:r>
      <w:r w:rsidR="00985A11">
        <w:rPr>
          <w:lang w:val="en-AU"/>
        </w:rPr>
        <w:t>funding</w:t>
      </w:r>
      <w:r>
        <w:rPr>
          <w:lang w:val="en-AU"/>
        </w:rPr>
        <w:t xml:space="preserve"> model </w:t>
      </w:r>
      <w:r w:rsidRPr="00F40039">
        <w:rPr>
          <w:lang w:val="en-AU"/>
        </w:rPr>
        <w:t xml:space="preserve">were broadly perceived to be appropriate. However, it was noted that the financial viability for certain </w:t>
      </w:r>
      <w:r w:rsidR="002C570F">
        <w:rPr>
          <w:lang w:val="en-AU"/>
        </w:rPr>
        <w:t>SDCUs</w:t>
      </w:r>
      <w:r w:rsidRPr="00F40039">
        <w:rPr>
          <w:lang w:val="en-AU"/>
        </w:rPr>
        <w:t xml:space="preserve"> was impacted by slow uptake</w:t>
      </w:r>
      <w:r w:rsidR="002C570F">
        <w:rPr>
          <w:lang w:val="en-AU"/>
        </w:rPr>
        <w:t>.</w:t>
      </w:r>
      <w:r w:rsidRPr="00F40039">
        <w:rPr>
          <w:lang w:val="en-AU"/>
        </w:rPr>
        <w:t xml:space="preserve"> </w:t>
      </w:r>
      <w:r w:rsidR="00D57CCC">
        <w:rPr>
          <w:lang w:val="en-AU"/>
        </w:rPr>
        <w:t>In addition,</w:t>
      </w:r>
      <w:r w:rsidRPr="00F40039">
        <w:rPr>
          <w:lang w:val="en-AU"/>
        </w:rPr>
        <w:t xml:space="preserve"> </w:t>
      </w:r>
      <w:r w:rsidR="00015C7C">
        <w:rPr>
          <w:lang w:val="en-AU"/>
        </w:rPr>
        <w:t>there is an opportunity for the Department</w:t>
      </w:r>
      <w:r w:rsidRPr="00F40039">
        <w:rPr>
          <w:lang w:val="en-AU"/>
        </w:rPr>
        <w:t xml:space="preserve"> to</w:t>
      </w:r>
      <w:r w:rsidR="00015C7C">
        <w:rPr>
          <w:lang w:val="en-AU"/>
        </w:rPr>
        <w:t xml:space="preserve"> consider whether they should provide</w:t>
      </w:r>
      <w:r w:rsidRPr="00F40039">
        <w:rPr>
          <w:lang w:val="en-AU"/>
        </w:rPr>
        <w:t xml:space="preserve"> further guidance </w:t>
      </w:r>
      <w:r w:rsidR="00A15648">
        <w:rPr>
          <w:lang w:val="en-AU"/>
        </w:rPr>
        <w:t xml:space="preserve">to SDCUs </w:t>
      </w:r>
      <w:r w:rsidRPr="00F40039">
        <w:rPr>
          <w:lang w:val="en-AU"/>
        </w:rPr>
        <w:t>on optimally fund</w:t>
      </w:r>
      <w:r w:rsidR="00C87D07">
        <w:rPr>
          <w:lang w:val="en-AU"/>
        </w:rPr>
        <w:t>ed</w:t>
      </w:r>
      <w:r w:rsidRPr="00F40039">
        <w:rPr>
          <w:lang w:val="en-AU"/>
        </w:rPr>
        <w:t xml:space="preserve"> staffing levels</w:t>
      </w:r>
      <w:r w:rsidR="006741E1">
        <w:rPr>
          <w:lang w:val="en-AU"/>
        </w:rPr>
        <w:t>, and</w:t>
      </w:r>
      <w:r w:rsidR="00B414C0">
        <w:rPr>
          <w:lang w:val="en-AU"/>
        </w:rPr>
        <w:t xml:space="preserve"> </w:t>
      </w:r>
      <w:r w:rsidR="00954ECB">
        <w:rPr>
          <w:lang w:val="en-AU"/>
        </w:rPr>
        <w:t>whether</w:t>
      </w:r>
      <w:r w:rsidR="00C87D07">
        <w:rPr>
          <w:lang w:val="en-AU"/>
        </w:rPr>
        <w:t xml:space="preserve"> </w:t>
      </w:r>
      <w:r w:rsidR="001460AF">
        <w:rPr>
          <w:lang w:val="en-AU"/>
        </w:rPr>
        <w:t>it</w:t>
      </w:r>
      <w:r w:rsidR="00C87D07">
        <w:rPr>
          <w:lang w:val="en-AU"/>
        </w:rPr>
        <w:t xml:space="preserve"> may be </w:t>
      </w:r>
      <w:r w:rsidR="001460AF">
        <w:rPr>
          <w:lang w:val="en-AU"/>
        </w:rPr>
        <w:t>appropriate</w:t>
      </w:r>
      <w:r w:rsidR="00C87D07">
        <w:rPr>
          <w:lang w:val="en-AU"/>
        </w:rPr>
        <w:t xml:space="preserve"> to </w:t>
      </w:r>
      <w:r w:rsidR="009914ED">
        <w:rPr>
          <w:lang w:val="en-AU"/>
        </w:rPr>
        <w:t>move</w:t>
      </w:r>
      <w:r w:rsidR="001460AF">
        <w:rPr>
          <w:lang w:val="en-AU"/>
        </w:rPr>
        <w:t xml:space="preserve"> to</w:t>
      </w:r>
      <w:r w:rsidR="00F60352">
        <w:rPr>
          <w:lang w:val="en-AU"/>
        </w:rPr>
        <w:t xml:space="preserve"> tiered transition-out payment</w:t>
      </w:r>
      <w:r w:rsidR="00954ECB">
        <w:rPr>
          <w:lang w:val="en-AU"/>
        </w:rPr>
        <w:t>s</w:t>
      </w:r>
      <w:r w:rsidR="00F60352">
        <w:rPr>
          <w:lang w:val="en-AU"/>
        </w:rPr>
        <w:t xml:space="preserve"> depending on the complexity of the discharge.</w:t>
      </w:r>
    </w:p>
    <w:p w14:paraId="3E443D35" w14:textId="6F702D01" w:rsidR="00A44A2E" w:rsidRPr="00F40039" w:rsidRDefault="00A44A2E" w:rsidP="00194028">
      <w:pPr>
        <w:pStyle w:val="ListParagraph"/>
        <w:numPr>
          <w:ilvl w:val="0"/>
          <w:numId w:val="45"/>
        </w:numPr>
        <w:spacing w:after="170"/>
        <w:ind w:left="426" w:hanging="426"/>
        <w:contextualSpacing w:val="0"/>
        <w:rPr>
          <w:lang w:val="en-AU"/>
        </w:rPr>
      </w:pPr>
      <w:r w:rsidRPr="00A44A2E">
        <w:rPr>
          <w:lang w:val="en-AU"/>
        </w:rPr>
        <w:t>The retention of care staff may require incentives to offset the perceived risks of working at the SDCU</w:t>
      </w:r>
      <w:r>
        <w:rPr>
          <w:lang w:val="en-AU"/>
        </w:rPr>
        <w:t xml:space="preserve">. </w:t>
      </w:r>
      <w:r w:rsidR="00D600E0">
        <w:t>Although</w:t>
      </w:r>
      <w:r w:rsidR="00D600E0">
        <w:rPr>
          <w:spacing w:val="-3"/>
        </w:rPr>
        <w:t xml:space="preserve"> </w:t>
      </w:r>
      <w:r w:rsidR="00D600E0">
        <w:t>some</w:t>
      </w:r>
      <w:r w:rsidR="00D600E0">
        <w:rPr>
          <w:spacing w:val="-1"/>
        </w:rPr>
        <w:t xml:space="preserve"> </w:t>
      </w:r>
      <w:r w:rsidR="00D600E0">
        <w:t>SDCUs</w:t>
      </w:r>
      <w:r w:rsidR="00D600E0">
        <w:rPr>
          <w:spacing w:val="-3"/>
        </w:rPr>
        <w:t xml:space="preserve"> </w:t>
      </w:r>
      <w:r w:rsidR="00D600E0">
        <w:t>reported</w:t>
      </w:r>
      <w:r w:rsidR="00D600E0">
        <w:rPr>
          <w:spacing w:val="-3"/>
        </w:rPr>
        <w:t xml:space="preserve"> </w:t>
      </w:r>
      <w:r w:rsidR="00D600E0">
        <w:t>higher</w:t>
      </w:r>
      <w:r w:rsidR="00D600E0">
        <w:rPr>
          <w:spacing w:val="-3"/>
        </w:rPr>
        <w:t xml:space="preserve"> </w:t>
      </w:r>
      <w:r w:rsidR="00D600E0">
        <w:t>levels</w:t>
      </w:r>
      <w:r w:rsidR="00D600E0">
        <w:rPr>
          <w:spacing w:val="-1"/>
        </w:rPr>
        <w:t xml:space="preserve"> </w:t>
      </w:r>
      <w:r w:rsidR="00D600E0">
        <w:t>of</w:t>
      </w:r>
      <w:r w:rsidR="00D600E0">
        <w:rPr>
          <w:spacing w:val="-3"/>
        </w:rPr>
        <w:t xml:space="preserve"> </w:t>
      </w:r>
      <w:r w:rsidR="00D600E0">
        <w:t>staff</w:t>
      </w:r>
      <w:r w:rsidR="00D600E0">
        <w:rPr>
          <w:spacing w:val="-3"/>
        </w:rPr>
        <w:t xml:space="preserve"> </w:t>
      </w:r>
      <w:r w:rsidR="00D600E0">
        <w:t>confidence</w:t>
      </w:r>
      <w:r w:rsidR="00D600E0">
        <w:rPr>
          <w:spacing w:val="-3"/>
        </w:rPr>
        <w:t xml:space="preserve"> </w:t>
      </w:r>
      <w:r w:rsidR="00D600E0">
        <w:t>and</w:t>
      </w:r>
      <w:r w:rsidR="00D600E0">
        <w:rPr>
          <w:spacing w:val="-4"/>
        </w:rPr>
        <w:t xml:space="preserve"> </w:t>
      </w:r>
      <w:r w:rsidR="00D600E0">
        <w:t>skill</w:t>
      </w:r>
      <w:r w:rsidR="00D600E0">
        <w:rPr>
          <w:spacing w:val="-3"/>
        </w:rPr>
        <w:t xml:space="preserve"> </w:t>
      </w:r>
      <w:r w:rsidR="00D600E0">
        <w:t xml:space="preserve">level and lower levels of care staff attrition over the course of the Program, there continues to be perceived safety risks in </w:t>
      </w:r>
      <w:r w:rsidR="006A160E">
        <w:t>working</w:t>
      </w:r>
      <w:r w:rsidR="006A160E">
        <w:rPr>
          <w:spacing w:val="-2"/>
        </w:rPr>
        <w:t xml:space="preserve"> </w:t>
      </w:r>
      <w:r w:rsidR="006A160E">
        <w:t>with</w:t>
      </w:r>
      <w:r w:rsidR="006A160E">
        <w:rPr>
          <w:spacing w:val="-2"/>
        </w:rPr>
        <w:t xml:space="preserve"> </w:t>
      </w:r>
      <w:r w:rsidR="006A160E">
        <w:t>the</w:t>
      </w:r>
      <w:r w:rsidR="006A160E">
        <w:rPr>
          <w:spacing w:val="-2"/>
        </w:rPr>
        <w:t xml:space="preserve"> </w:t>
      </w:r>
      <w:r w:rsidR="006A160E">
        <w:t>resident</w:t>
      </w:r>
      <w:r w:rsidR="006A160E">
        <w:rPr>
          <w:spacing w:val="-1"/>
        </w:rPr>
        <w:t xml:space="preserve"> </w:t>
      </w:r>
      <w:r w:rsidR="006A160E">
        <w:t>cohort</w:t>
      </w:r>
      <w:r w:rsidR="006A160E">
        <w:rPr>
          <w:spacing w:val="-2"/>
        </w:rPr>
        <w:t xml:space="preserve"> </w:t>
      </w:r>
      <w:r w:rsidR="006A160E">
        <w:t>when</w:t>
      </w:r>
      <w:r w:rsidR="006A160E">
        <w:rPr>
          <w:spacing w:val="-1"/>
        </w:rPr>
        <w:t xml:space="preserve"> </w:t>
      </w:r>
      <w:r w:rsidR="006A160E">
        <w:t>compared</w:t>
      </w:r>
      <w:r w:rsidR="006A160E">
        <w:rPr>
          <w:spacing w:val="-3"/>
        </w:rPr>
        <w:t xml:space="preserve"> </w:t>
      </w:r>
      <w:r w:rsidR="006A160E">
        <w:t>to</w:t>
      </w:r>
      <w:r w:rsidR="006A160E">
        <w:rPr>
          <w:spacing w:val="-3"/>
        </w:rPr>
        <w:t xml:space="preserve"> </w:t>
      </w:r>
      <w:r w:rsidR="006A160E">
        <w:t>roles</w:t>
      </w:r>
      <w:r w:rsidR="006A160E">
        <w:rPr>
          <w:spacing w:val="-3"/>
        </w:rPr>
        <w:t xml:space="preserve"> </w:t>
      </w:r>
      <w:r w:rsidR="006A160E">
        <w:t>within</w:t>
      </w:r>
      <w:r w:rsidR="006A160E">
        <w:rPr>
          <w:spacing w:val="-2"/>
        </w:rPr>
        <w:t xml:space="preserve"> </w:t>
      </w:r>
      <w:r w:rsidR="006A160E">
        <w:t>mainstream</w:t>
      </w:r>
      <w:r w:rsidR="006A160E">
        <w:rPr>
          <w:spacing w:val="-2"/>
        </w:rPr>
        <w:t xml:space="preserve"> </w:t>
      </w:r>
      <w:r w:rsidR="006A160E">
        <w:t>RACFs</w:t>
      </w:r>
      <w:r w:rsidR="006A160E">
        <w:rPr>
          <w:spacing w:val="-3"/>
        </w:rPr>
        <w:t xml:space="preserve"> </w:t>
      </w:r>
      <w:r w:rsidR="006A160E">
        <w:t>for</w:t>
      </w:r>
      <w:r w:rsidR="006A160E">
        <w:rPr>
          <w:spacing w:val="-2"/>
        </w:rPr>
        <w:t xml:space="preserve"> </w:t>
      </w:r>
      <w:r w:rsidR="006A160E">
        <w:t>comparable</w:t>
      </w:r>
      <w:r w:rsidR="006A160E">
        <w:rPr>
          <w:spacing w:val="-3"/>
        </w:rPr>
        <w:t xml:space="preserve"> </w:t>
      </w:r>
      <w:r w:rsidR="006A160E">
        <w:t>pay.</w:t>
      </w:r>
    </w:p>
    <w:p w14:paraId="62E74B7E" w14:textId="77777777" w:rsidR="0048445C" w:rsidRDefault="0048445C" w:rsidP="00E71D9C">
      <w:pPr>
        <w:spacing w:after="200" w:line="276" w:lineRule="auto"/>
      </w:pPr>
      <w:r w:rsidRPr="0048445C">
        <w:rPr>
          <w:noProof/>
        </w:rPr>
        <w:drawing>
          <wp:inline distT="0" distB="0" distL="0" distR="0" wp14:anchorId="4B5144A2" wp14:editId="58A34F29">
            <wp:extent cx="6319520" cy="457835"/>
            <wp:effectExtent l="0" t="0" r="5080" b="0"/>
            <wp:docPr id="19" name="Picture 19" descr="The following evaluation findings are from the program scope section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following evaluation findings are from the program scope section of the repor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9520" cy="457835"/>
                    </a:xfrm>
                    <a:prstGeom prst="rect">
                      <a:avLst/>
                    </a:prstGeom>
                    <a:noFill/>
                    <a:ln>
                      <a:noFill/>
                    </a:ln>
                  </pic:spPr>
                </pic:pic>
              </a:graphicData>
            </a:graphic>
          </wp:inline>
        </w:drawing>
      </w:r>
      <w:r w:rsidRPr="0048445C">
        <w:t xml:space="preserve"> </w:t>
      </w:r>
    </w:p>
    <w:p w14:paraId="7A4D1399" w14:textId="213AA2D5" w:rsidR="004F50DA" w:rsidRDefault="00E84BEC" w:rsidP="00E71D9C">
      <w:pPr>
        <w:spacing w:after="200" w:line="276" w:lineRule="auto"/>
        <w:rPr>
          <w:lang w:val="en-AU"/>
        </w:rPr>
      </w:pPr>
      <w:r>
        <w:rPr>
          <w:lang w:val="en-AU"/>
        </w:rPr>
        <w:t xml:space="preserve">Recommendation 16 (Section 1) of the Royal Commission into Aged Care Quality and Safety </w:t>
      </w:r>
      <w:r w:rsidR="00C84462">
        <w:rPr>
          <w:lang w:val="en-AU"/>
        </w:rPr>
        <w:t>states that</w:t>
      </w:r>
      <w:r w:rsidR="00E75FA0">
        <w:rPr>
          <w:rStyle w:val="FootnoteReference"/>
          <w:lang w:val="en-AU"/>
        </w:rPr>
        <w:footnoteReference w:id="2"/>
      </w:r>
      <w:r w:rsidR="006B6A0E">
        <w:rPr>
          <w:lang w:val="en-AU"/>
        </w:rPr>
        <w:t>:</w:t>
      </w:r>
    </w:p>
    <w:p w14:paraId="67272836" w14:textId="0072EE2F" w:rsidR="006B6A0E" w:rsidRDefault="00625BDA" w:rsidP="00E71D9C">
      <w:pPr>
        <w:spacing w:after="200" w:line="276" w:lineRule="auto"/>
        <w:rPr>
          <w:lang w:val="en-AU"/>
        </w:rPr>
      </w:pPr>
      <w:r>
        <w:rPr>
          <w:lang w:val="en-AU"/>
        </w:rPr>
        <w:t>“</w:t>
      </w:r>
      <w:r w:rsidRPr="0079620C">
        <w:rPr>
          <w:i/>
          <w:iCs/>
          <w:lang w:val="en-AU"/>
        </w:rPr>
        <w:t>By 1 July 2023, the Australian Government should review and publicly report on</w:t>
      </w:r>
      <w:r w:rsidR="00F17FE1" w:rsidRPr="0079620C">
        <w:rPr>
          <w:i/>
          <w:iCs/>
          <w:lang w:val="en-AU"/>
        </w:rPr>
        <w:t xml:space="preserve"> </w:t>
      </w:r>
      <w:r w:rsidR="00AF6861" w:rsidRPr="0079620C">
        <w:rPr>
          <w:i/>
          <w:iCs/>
          <w:lang w:val="en-AU"/>
        </w:rPr>
        <w:t xml:space="preserve">… the capacity of [SDCUs] to address the needs of people exhibiting extreme changed behaviour </w:t>
      </w:r>
      <w:r w:rsidR="008037E6" w:rsidRPr="0079620C">
        <w:rPr>
          <w:i/>
          <w:iCs/>
          <w:lang w:val="en-AU"/>
        </w:rPr>
        <w:t xml:space="preserve">and whether further resources are required, and the suitability of SDCUs to support shorter stay respite for people living </w:t>
      </w:r>
      <w:r w:rsidR="00E75FA0" w:rsidRPr="0079620C">
        <w:rPr>
          <w:i/>
          <w:iCs/>
          <w:lang w:val="en-AU"/>
        </w:rPr>
        <w:t>with moderate to extreme changed behaviour</w:t>
      </w:r>
      <w:r w:rsidR="00E75FA0">
        <w:rPr>
          <w:lang w:val="en-AU"/>
        </w:rPr>
        <w:t>.”</w:t>
      </w:r>
    </w:p>
    <w:p w14:paraId="30DB26D3" w14:textId="730A1FE5" w:rsidR="00E75FA0" w:rsidRDefault="00DD4B09" w:rsidP="00E71D9C">
      <w:pPr>
        <w:spacing w:after="200" w:line="276" w:lineRule="auto"/>
        <w:rPr>
          <w:lang w:val="en-AU"/>
        </w:rPr>
      </w:pPr>
      <w:r>
        <w:rPr>
          <w:lang w:val="en-AU"/>
        </w:rPr>
        <w:t xml:space="preserve">To support the Department’s overall activities regarding this Recommendation, additional questions were included in the stakeholder consultation process for this </w:t>
      </w:r>
      <w:r w:rsidR="00A841F7">
        <w:rPr>
          <w:lang w:val="en-AU"/>
        </w:rPr>
        <w:t xml:space="preserve">report. A summary of the findings </w:t>
      </w:r>
      <w:r w:rsidR="00B414C0">
        <w:rPr>
          <w:lang w:val="en-AU"/>
        </w:rPr>
        <w:t>is</w:t>
      </w:r>
      <w:r w:rsidR="00A841F7">
        <w:rPr>
          <w:lang w:val="en-AU"/>
        </w:rPr>
        <w:t xml:space="preserve"> provided below, with additional detail </w:t>
      </w:r>
      <w:r w:rsidR="008B0CEA">
        <w:rPr>
          <w:lang w:val="en-AU"/>
        </w:rPr>
        <w:t>contained</w:t>
      </w:r>
      <w:r w:rsidR="00A841F7">
        <w:rPr>
          <w:lang w:val="en-AU"/>
        </w:rPr>
        <w:t xml:space="preserve"> in Chapter 9.</w:t>
      </w:r>
    </w:p>
    <w:p w14:paraId="027D7809" w14:textId="699208C2" w:rsidR="00D47383" w:rsidRDefault="00D47383" w:rsidP="0079620C">
      <w:pPr>
        <w:pStyle w:val="Heading4thematicstatement"/>
        <w:spacing w:after="120"/>
      </w:pPr>
      <w:r>
        <w:t xml:space="preserve">Expanding the Program scope to include people exhibiting Tier 7 </w:t>
      </w:r>
      <w:r w:rsidR="0094217C">
        <w:t xml:space="preserve">(extreme) </w:t>
      </w:r>
      <w:r>
        <w:t>BPSD</w:t>
      </w:r>
      <w:r w:rsidR="002F207E">
        <w:t xml:space="preserve"> </w:t>
      </w:r>
    </w:p>
    <w:p w14:paraId="1023B617" w14:textId="732D87E0" w:rsidR="00D47383" w:rsidRDefault="00164C8D" w:rsidP="00E71D9C">
      <w:pPr>
        <w:spacing w:after="200" w:line="276" w:lineRule="auto"/>
        <w:rPr>
          <w:lang w:val="en-AU"/>
        </w:rPr>
      </w:pPr>
      <w:r>
        <w:rPr>
          <w:lang w:val="en-AU"/>
        </w:rPr>
        <w:t>There was broad consensus among stakeholders that the current Program would not be suitable for people with Tier 7 BPSD</w:t>
      </w:r>
      <w:r w:rsidR="00D0283A">
        <w:rPr>
          <w:lang w:val="en-AU"/>
        </w:rPr>
        <w:t xml:space="preserve">. </w:t>
      </w:r>
      <w:r w:rsidR="00EE207F">
        <w:rPr>
          <w:lang w:val="en-AU"/>
        </w:rPr>
        <w:t xml:space="preserve">Stakeholders </w:t>
      </w:r>
      <w:r w:rsidR="00D0283A">
        <w:rPr>
          <w:lang w:val="en-AU"/>
        </w:rPr>
        <w:t>felt that</w:t>
      </w:r>
      <w:r w:rsidR="00EE207F">
        <w:rPr>
          <w:lang w:val="en-AU"/>
        </w:rPr>
        <w:t>:</w:t>
      </w:r>
    </w:p>
    <w:p w14:paraId="739F72F7" w14:textId="268597FA" w:rsidR="008B0CEA" w:rsidRDefault="00D0283A" w:rsidP="00EE207F">
      <w:pPr>
        <w:pStyle w:val="ListParagraph"/>
        <w:numPr>
          <w:ilvl w:val="0"/>
          <w:numId w:val="53"/>
        </w:numPr>
        <w:spacing w:after="200" w:line="276" w:lineRule="auto"/>
        <w:ind w:left="426" w:hanging="426"/>
        <w:rPr>
          <w:lang w:val="en-AU"/>
        </w:rPr>
      </w:pPr>
      <w:r>
        <w:rPr>
          <w:lang w:val="en-AU"/>
        </w:rPr>
        <w:t>the current staffing profile of SDCUs</w:t>
      </w:r>
      <w:r w:rsidR="007F2735">
        <w:rPr>
          <w:lang w:val="en-AU"/>
        </w:rPr>
        <w:t>, in particular the lack of 24/7 medical support and security personnel,</w:t>
      </w:r>
      <w:r>
        <w:rPr>
          <w:lang w:val="en-AU"/>
        </w:rPr>
        <w:t xml:space="preserve"> is not equipped to provide quality and safe care to this cohort </w:t>
      </w:r>
    </w:p>
    <w:p w14:paraId="37CDAF4E" w14:textId="197A8521" w:rsidR="008B0CEA" w:rsidRPr="00246AEC" w:rsidRDefault="007F2735" w:rsidP="002F207E">
      <w:pPr>
        <w:pStyle w:val="ListParagraph"/>
        <w:numPr>
          <w:ilvl w:val="0"/>
          <w:numId w:val="53"/>
        </w:numPr>
        <w:spacing w:after="200" w:line="276" w:lineRule="auto"/>
        <w:ind w:left="426" w:hanging="426"/>
        <w:rPr>
          <w:lang w:val="en-AU"/>
        </w:rPr>
      </w:pPr>
      <w:r w:rsidRPr="00246AEC">
        <w:rPr>
          <w:lang w:val="en-AU"/>
        </w:rPr>
        <w:t xml:space="preserve">caring for Tier 7 residents would require higher staffing ratios above what the SDCUs </w:t>
      </w:r>
      <w:r w:rsidR="002F207E">
        <w:rPr>
          <w:lang w:val="en-AU"/>
        </w:rPr>
        <w:t>provides</w:t>
      </w:r>
    </w:p>
    <w:p w14:paraId="762B6907" w14:textId="6FF012D4" w:rsidR="00246AEC" w:rsidRPr="002F207E" w:rsidRDefault="00D0283A" w:rsidP="0079620C">
      <w:pPr>
        <w:pStyle w:val="ListParagraph"/>
        <w:numPr>
          <w:ilvl w:val="0"/>
          <w:numId w:val="53"/>
        </w:numPr>
        <w:spacing w:after="200" w:line="276" w:lineRule="auto"/>
        <w:ind w:left="426" w:hanging="426"/>
        <w:rPr>
          <w:lang w:val="en-AU"/>
        </w:rPr>
      </w:pPr>
      <w:r w:rsidRPr="002F207E">
        <w:rPr>
          <w:lang w:val="en-AU"/>
        </w:rPr>
        <w:t>current care staff were not equipped to manage Tier 7 BPSD residents, given the need for more specialised training</w:t>
      </w:r>
      <w:r w:rsidR="002F207E">
        <w:rPr>
          <w:lang w:val="en-AU"/>
        </w:rPr>
        <w:t>.</w:t>
      </w:r>
    </w:p>
    <w:p w14:paraId="46E31ED7" w14:textId="6AE00DAC" w:rsidR="00246AEC" w:rsidRDefault="00F83268" w:rsidP="00246AEC">
      <w:pPr>
        <w:pStyle w:val="Heading4thematicstatement"/>
        <w:spacing w:after="120"/>
      </w:pPr>
      <w:r>
        <w:t xml:space="preserve">Provision of short-stay respite </w:t>
      </w:r>
    </w:p>
    <w:p w14:paraId="1222E943" w14:textId="6934056C" w:rsidR="00246AEC" w:rsidRDefault="00246AEC" w:rsidP="00246AEC">
      <w:pPr>
        <w:spacing w:after="170"/>
        <w:rPr>
          <w:lang w:val="en-AU"/>
        </w:rPr>
      </w:pPr>
      <w:r>
        <w:rPr>
          <w:lang w:val="en-AU"/>
        </w:rPr>
        <w:t>S</w:t>
      </w:r>
      <w:r w:rsidRPr="004C45BF">
        <w:rPr>
          <w:lang w:val="en-AU"/>
        </w:rPr>
        <w:t xml:space="preserve">takeholders acknowledged there is a strong need for further support services targeted to carers of </w:t>
      </w:r>
      <w:r w:rsidR="00987AD9">
        <w:rPr>
          <w:lang w:val="en-AU"/>
        </w:rPr>
        <w:t>people</w:t>
      </w:r>
      <w:r>
        <w:rPr>
          <w:lang w:val="en-AU"/>
        </w:rPr>
        <w:t xml:space="preserve"> exhibiting </w:t>
      </w:r>
      <w:r w:rsidR="001C0EDF">
        <w:rPr>
          <w:lang w:val="en-AU"/>
        </w:rPr>
        <w:t>moderate to extreme</w:t>
      </w:r>
      <w:r>
        <w:rPr>
          <w:lang w:val="en-AU"/>
        </w:rPr>
        <w:t xml:space="preserve"> BPSD</w:t>
      </w:r>
      <w:r w:rsidR="00987AD9">
        <w:rPr>
          <w:lang w:val="en-AU"/>
        </w:rPr>
        <w:t xml:space="preserve">, including across </w:t>
      </w:r>
      <w:r>
        <w:rPr>
          <w:lang w:val="en-AU"/>
        </w:rPr>
        <w:t xml:space="preserve">mainstream </w:t>
      </w:r>
      <w:r w:rsidR="00987AD9">
        <w:rPr>
          <w:lang w:val="en-AU"/>
        </w:rPr>
        <w:t xml:space="preserve">RACFs </w:t>
      </w:r>
      <w:r>
        <w:rPr>
          <w:lang w:val="en-AU"/>
        </w:rPr>
        <w:t xml:space="preserve">and </w:t>
      </w:r>
      <w:r w:rsidR="00EB3BA0">
        <w:rPr>
          <w:lang w:val="en-AU"/>
        </w:rPr>
        <w:t>people being cared for in home settings.</w:t>
      </w:r>
      <w:r w:rsidRPr="004C45BF">
        <w:rPr>
          <w:lang w:val="en-AU"/>
        </w:rPr>
        <w:t xml:space="preserve"> However, </w:t>
      </w:r>
      <w:r>
        <w:rPr>
          <w:lang w:val="en-AU"/>
        </w:rPr>
        <w:t xml:space="preserve">there was </w:t>
      </w:r>
      <w:r w:rsidRPr="00C80219">
        <w:rPr>
          <w:lang w:val="en-AU"/>
        </w:rPr>
        <w:t xml:space="preserve">strong consensus </w:t>
      </w:r>
      <w:r>
        <w:rPr>
          <w:lang w:val="en-AU"/>
        </w:rPr>
        <w:t xml:space="preserve">among stakeholders </w:t>
      </w:r>
      <w:r w:rsidRPr="00C80219">
        <w:rPr>
          <w:lang w:val="en-AU"/>
        </w:rPr>
        <w:t>that</w:t>
      </w:r>
      <w:r>
        <w:rPr>
          <w:lang w:val="en-AU"/>
        </w:rPr>
        <w:t xml:space="preserve"> providing</w:t>
      </w:r>
      <w:r w:rsidRPr="00C80219">
        <w:rPr>
          <w:lang w:val="en-AU"/>
        </w:rPr>
        <w:t xml:space="preserve"> </w:t>
      </w:r>
      <w:r>
        <w:rPr>
          <w:lang w:val="en-AU"/>
        </w:rPr>
        <w:t xml:space="preserve">short-term respite through the Program would be too disruptive to the respite </w:t>
      </w:r>
      <w:r w:rsidR="00B116C4">
        <w:rPr>
          <w:lang w:val="en-AU"/>
        </w:rPr>
        <w:t>resident</w:t>
      </w:r>
      <w:r w:rsidR="00356262">
        <w:rPr>
          <w:lang w:val="en-AU"/>
        </w:rPr>
        <w:t xml:space="preserve">, </w:t>
      </w:r>
      <w:r>
        <w:rPr>
          <w:lang w:val="en-AU"/>
        </w:rPr>
        <w:t>the Program</w:t>
      </w:r>
      <w:r w:rsidR="00356262">
        <w:rPr>
          <w:lang w:val="en-AU"/>
        </w:rPr>
        <w:t xml:space="preserve"> residents, and </w:t>
      </w:r>
      <w:r w:rsidR="00B67A2C">
        <w:rPr>
          <w:lang w:val="en-AU"/>
        </w:rPr>
        <w:t xml:space="preserve">may impact Program uptake. </w:t>
      </w:r>
      <w:r w:rsidR="00126734">
        <w:rPr>
          <w:lang w:val="en-AU"/>
        </w:rPr>
        <w:t>Stakeholder</w:t>
      </w:r>
      <w:r w:rsidR="003B5B6A">
        <w:rPr>
          <w:lang w:val="en-AU"/>
        </w:rPr>
        <w:t xml:space="preserve"> views included</w:t>
      </w:r>
      <w:r>
        <w:rPr>
          <w:lang w:val="en-AU"/>
        </w:rPr>
        <w:t xml:space="preserve"> that short-term respite would:</w:t>
      </w:r>
    </w:p>
    <w:p w14:paraId="605B69EF" w14:textId="0A5FC9AB" w:rsidR="00246AEC" w:rsidRDefault="00246AEC" w:rsidP="00246AEC">
      <w:pPr>
        <w:pStyle w:val="ListParagraph"/>
        <w:numPr>
          <w:ilvl w:val="0"/>
          <w:numId w:val="45"/>
        </w:numPr>
        <w:spacing w:after="170"/>
        <w:ind w:left="426" w:hanging="426"/>
        <w:rPr>
          <w:lang w:val="en-AU"/>
        </w:rPr>
      </w:pPr>
      <w:r w:rsidRPr="000F6E36">
        <w:rPr>
          <w:lang w:val="en-AU"/>
        </w:rPr>
        <w:t xml:space="preserve">exacerbate </w:t>
      </w:r>
      <w:r>
        <w:rPr>
          <w:lang w:val="en-AU"/>
        </w:rPr>
        <w:t>respite residents’</w:t>
      </w:r>
      <w:r w:rsidRPr="000F6E36">
        <w:rPr>
          <w:lang w:val="en-AU"/>
        </w:rPr>
        <w:t xml:space="preserve"> BPSD </w:t>
      </w:r>
      <w:r>
        <w:rPr>
          <w:lang w:val="en-AU"/>
        </w:rPr>
        <w:t xml:space="preserve">due to transferring them in and out of the SDCU over a </w:t>
      </w:r>
      <w:r w:rsidR="00DF597D">
        <w:rPr>
          <w:lang w:val="en-AU"/>
        </w:rPr>
        <w:t>short</w:t>
      </w:r>
      <w:r>
        <w:rPr>
          <w:lang w:val="en-AU"/>
        </w:rPr>
        <w:t xml:space="preserve"> period of time </w:t>
      </w:r>
    </w:p>
    <w:p w14:paraId="2DFBD150" w14:textId="2DEDC40F" w:rsidR="00246AEC" w:rsidRDefault="00246AEC" w:rsidP="00246AEC">
      <w:pPr>
        <w:pStyle w:val="ListParagraph"/>
        <w:numPr>
          <w:ilvl w:val="0"/>
          <w:numId w:val="45"/>
        </w:numPr>
        <w:spacing w:after="170"/>
        <w:ind w:left="426" w:hanging="426"/>
        <w:rPr>
          <w:lang w:val="en-AU"/>
        </w:rPr>
      </w:pPr>
      <w:r w:rsidRPr="009249D6">
        <w:rPr>
          <w:lang w:val="en-AU"/>
        </w:rPr>
        <w:t xml:space="preserve">exacerbate </w:t>
      </w:r>
      <w:r w:rsidR="00DF597D">
        <w:rPr>
          <w:lang w:val="en-AU"/>
        </w:rPr>
        <w:t xml:space="preserve">Program residents’ </w:t>
      </w:r>
      <w:r w:rsidRPr="009249D6">
        <w:rPr>
          <w:lang w:val="en-AU"/>
        </w:rPr>
        <w:t xml:space="preserve">BPSD, given their </w:t>
      </w:r>
      <w:r w:rsidR="009D65B3">
        <w:rPr>
          <w:lang w:val="en-AU"/>
        </w:rPr>
        <w:t>behaviours</w:t>
      </w:r>
      <w:r w:rsidRPr="009249D6">
        <w:rPr>
          <w:lang w:val="en-AU"/>
        </w:rPr>
        <w:t xml:space="preserve"> are heavily impacted by changes to the resident dynamic</w:t>
      </w:r>
    </w:p>
    <w:p w14:paraId="79A81318" w14:textId="7AB69B97" w:rsidR="00246AEC" w:rsidRPr="00246AEC" w:rsidRDefault="00246AEC" w:rsidP="0079620C">
      <w:pPr>
        <w:pStyle w:val="ListParagraph"/>
        <w:numPr>
          <w:ilvl w:val="0"/>
          <w:numId w:val="45"/>
        </w:numPr>
        <w:spacing w:after="170"/>
        <w:ind w:left="426" w:hanging="426"/>
        <w:rPr>
          <w:lang w:val="en-AU"/>
        </w:rPr>
      </w:pPr>
      <w:r w:rsidRPr="0040171D">
        <w:rPr>
          <w:lang w:val="en-AU"/>
        </w:rPr>
        <w:t>have broader implications on Program uptake</w:t>
      </w:r>
      <w:r>
        <w:rPr>
          <w:lang w:val="en-AU"/>
        </w:rPr>
        <w:t>, including increased waitlist times and difficulties discharging respite residents from the SDCU.</w:t>
      </w:r>
    </w:p>
    <w:p w14:paraId="17E18D1D" w14:textId="67FD4501" w:rsidR="00F40039" w:rsidRPr="00E71D9C" w:rsidRDefault="00E71D9C" w:rsidP="0079620C">
      <w:pPr>
        <w:pStyle w:val="ListParagraph"/>
        <w:numPr>
          <w:ilvl w:val="0"/>
          <w:numId w:val="53"/>
        </w:numPr>
        <w:spacing w:after="200" w:line="276" w:lineRule="auto"/>
        <w:ind w:left="426" w:hanging="426"/>
        <w:rPr>
          <w:lang w:val="en-AU"/>
        </w:rPr>
      </w:pPr>
      <w:r>
        <w:rPr>
          <w:lang w:val="en-AU"/>
        </w:rPr>
        <w:br w:type="page"/>
      </w:r>
    </w:p>
    <w:p w14:paraId="295AB9C9" w14:textId="7869BA0B" w:rsidR="007147E3" w:rsidRPr="00FF30DE" w:rsidRDefault="005A41B9" w:rsidP="00212E06">
      <w:pPr>
        <w:spacing w:after="120"/>
        <w:rPr>
          <w:lang w:val="en-AU"/>
        </w:rPr>
      </w:pPr>
      <w:r w:rsidRPr="005A41B9">
        <w:rPr>
          <w:noProof/>
        </w:rPr>
        <w:drawing>
          <wp:inline distT="0" distB="0" distL="0" distR="0" wp14:anchorId="232FF7EA" wp14:editId="278D09FD">
            <wp:extent cx="6319520" cy="457200"/>
            <wp:effectExtent l="0" t="0" r="5080" b="0"/>
            <wp:docPr id="41" name="Picture 41" descr="The following evaluation findings are from the program outcomes section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following evaluation findings are from the program outcomes section of the repor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9520" cy="457200"/>
                    </a:xfrm>
                    <a:prstGeom prst="rect">
                      <a:avLst/>
                    </a:prstGeom>
                    <a:noFill/>
                    <a:ln>
                      <a:noFill/>
                    </a:ln>
                  </pic:spPr>
                </pic:pic>
              </a:graphicData>
            </a:graphic>
          </wp:inline>
        </w:drawing>
      </w:r>
    </w:p>
    <w:p w14:paraId="1179A712" w14:textId="0CFC3106" w:rsidR="00CE31F1" w:rsidRDefault="00B93B3B" w:rsidP="00D225D9">
      <w:pPr>
        <w:jc w:val="center"/>
      </w:pPr>
      <w:r w:rsidRPr="00B93B3B">
        <w:rPr>
          <w:noProof/>
        </w:rPr>
        <w:drawing>
          <wp:inline distT="0" distB="0" distL="0" distR="0" wp14:anchorId="4EC0B2CF" wp14:editId="55911DFA">
            <wp:extent cx="6178880" cy="8065698"/>
            <wp:effectExtent l="0" t="0" r="0" b="0"/>
            <wp:docPr id="37" name="Picture 37" descr="This is an infographic of program outcomes that are described in the body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is an infographic of program outcomes that are described in the body of the repor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3779" cy="8072093"/>
                    </a:xfrm>
                    <a:prstGeom prst="rect">
                      <a:avLst/>
                    </a:prstGeom>
                    <a:noFill/>
                    <a:ln>
                      <a:noFill/>
                    </a:ln>
                  </pic:spPr>
                </pic:pic>
              </a:graphicData>
            </a:graphic>
          </wp:inline>
        </w:drawing>
      </w:r>
    </w:p>
    <w:p w14:paraId="59240656" w14:textId="67D95C11" w:rsidR="00CE31F1" w:rsidRPr="00617961" w:rsidRDefault="00D225D9" w:rsidP="00CC1A0E">
      <w:pPr>
        <w:jc w:val="center"/>
        <w:rPr>
          <w:color w:val="FF0000"/>
          <w:lang w:val="en-AU"/>
        </w:rPr>
      </w:pPr>
      <w:r w:rsidRPr="00D225D9" w:rsidDel="00D225D9">
        <w:t xml:space="preserve"> </w:t>
      </w:r>
      <w:r w:rsidR="00CC1A0E" w:rsidRPr="00CC1A0E">
        <w:rPr>
          <w:noProof/>
        </w:rPr>
        <w:drawing>
          <wp:inline distT="0" distB="0" distL="0" distR="0" wp14:anchorId="31D788D8" wp14:editId="30E63180">
            <wp:extent cx="6538068" cy="3005593"/>
            <wp:effectExtent l="0" t="0" r="0" b="0"/>
            <wp:docPr id="47" name="Picture 47" descr="This is an infographic of program outcomes that are described in the body of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is an infographic of program outcomes that are described in the body of the repor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0883" cy="3006887"/>
                    </a:xfrm>
                    <a:prstGeom prst="rect">
                      <a:avLst/>
                    </a:prstGeom>
                    <a:noFill/>
                    <a:ln>
                      <a:noFill/>
                    </a:ln>
                  </pic:spPr>
                </pic:pic>
              </a:graphicData>
            </a:graphic>
          </wp:inline>
        </w:drawing>
      </w:r>
    </w:p>
    <w:p w14:paraId="3FB5626F" w14:textId="2D1D20F9" w:rsidR="002A5BF0" w:rsidRPr="005E46D4" w:rsidRDefault="002A5BF0" w:rsidP="002A5BF0">
      <w:pPr>
        <w:pStyle w:val="Heading2un-numbered"/>
        <w:rPr>
          <w:rFonts w:asciiTheme="majorHAnsi" w:hAnsiTheme="majorHAnsi" w:cstheme="majorHAnsi"/>
          <w:sz w:val="28"/>
          <w:szCs w:val="28"/>
        </w:rPr>
      </w:pPr>
      <w:bookmarkStart w:id="6" w:name="_Toc124433381"/>
      <w:r w:rsidRPr="005E46D4">
        <w:rPr>
          <w:rFonts w:asciiTheme="majorHAnsi" w:hAnsiTheme="majorHAnsi" w:cstheme="majorHAnsi"/>
          <w:sz w:val="28"/>
          <w:szCs w:val="28"/>
        </w:rPr>
        <w:t>Implications for ongoing implementation</w:t>
      </w:r>
      <w:bookmarkEnd w:id="6"/>
      <w:r w:rsidRPr="005E46D4">
        <w:rPr>
          <w:rFonts w:asciiTheme="majorHAnsi" w:hAnsiTheme="majorHAnsi" w:cstheme="majorHAnsi"/>
          <w:sz w:val="28"/>
          <w:szCs w:val="28"/>
        </w:rPr>
        <w:t xml:space="preserve"> </w:t>
      </w:r>
    </w:p>
    <w:p w14:paraId="09659DAB" w14:textId="77777777" w:rsidR="007909ED" w:rsidRDefault="007909ED" w:rsidP="007909ED">
      <w:r>
        <w:t xml:space="preserve">The evaluation identified the following opportunities to enhance the ongoing implementation and sustainability of the Program: </w:t>
      </w:r>
    </w:p>
    <w:p w14:paraId="1A5E5DE0" w14:textId="77777777" w:rsidR="007909ED" w:rsidRDefault="007909ED" w:rsidP="007909ED">
      <w:pPr>
        <w:spacing w:after="0"/>
        <w:rPr>
          <w:rFonts w:asciiTheme="majorHAnsi" w:hAnsiTheme="majorHAnsi" w:cstheme="majorHAnsi"/>
          <w:b/>
          <w:u w:val="single"/>
        </w:rPr>
      </w:pPr>
      <w:bookmarkStart w:id="7" w:name="_Hlk125308007"/>
      <w:r w:rsidRPr="00496622">
        <w:rPr>
          <w:rFonts w:asciiTheme="majorHAnsi" w:hAnsiTheme="majorHAnsi" w:cstheme="majorHAnsi"/>
          <w:b/>
          <w:u w:val="single"/>
        </w:rPr>
        <w:t>Department level</w:t>
      </w:r>
    </w:p>
    <w:p w14:paraId="3144090E" w14:textId="77777777" w:rsidR="007909ED" w:rsidRPr="00CE1C25" w:rsidRDefault="007909ED" w:rsidP="007909ED">
      <w:pPr>
        <w:spacing w:after="0"/>
        <w:rPr>
          <w:rFonts w:asciiTheme="majorHAnsi" w:hAnsiTheme="majorHAnsi" w:cstheme="majorHAnsi"/>
          <w:b/>
          <w:color w:val="041E42"/>
        </w:rPr>
      </w:pPr>
      <w:r w:rsidRPr="00CE1C25">
        <w:rPr>
          <w:rFonts w:asciiTheme="majorHAnsi" w:hAnsiTheme="majorHAnsi" w:cstheme="majorHAnsi"/>
          <w:b/>
          <w:color w:val="041E42"/>
        </w:rPr>
        <w:t>Referral and admission</w:t>
      </w:r>
    </w:p>
    <w:p w14:paraId="1A1C3E26" w14:textId="11BAE07F" w:rsidR="007909ED" w:rsidRDefault="007909ED" w:rsidP="007909ED">
      <w:pPr>
        <w:pStyle w:val="ListParagraph"/>
        <w:numPr>
          <w:ilvl w:val="0"/>
          <w:numId w:val="31"/>
        </w:numPr>
        <w:spacing w:after="170"/>
        <w:contextualSpacing w:val="0"/>
      </w:pPr>
      <w:r>
        <w:t>Continue to work with DSA and SDCUs t</w:t>
      </w:r>
      <w:r w:rsidRPr="00FD6EA9">
        <w:t xml:space="preserve">o </w:t>
      </w:r>
      <w:r>
        <w:t>create</w:t>
      </w:r>
      <w:r w:rsidRPr="00FD6EA9">
        <w:t xml:space="preserve"> standardise</w:t>
      </w:r>
      <w:r>
        <w:t>d</w:t>
      </w:r>
      <w:r w:rsidRPr="00FD6EA9">
        <w:t xml:space="preserve"> promotional materials </w:t>
      </w:r>
      <w:r>
        <w:t>and informational resources regarding the referral and transition in processes t</w:t>
      </w:r>
      <w:r w:rsidRPr="00FD6EA9">
        <w:t>o support future site openings</w:t>
      </w:r>
      <w:r w:rsidR="00A8059E">
        <w:t>. This should enable</w:t>
      </w:r>
      <w:r w:rsidRPr="00FD6EA9">
        <w:t xml:space="preserve"> consistent messagin</w:t>
      </w:r>
      <w:r>
        <w:t>g across sites</w:t>
      </w:r>
      <w:r w:rsidR="0080706C">
        <w:t xml:space="preserve"> (both within and across jurisdictions)</w:t>
      </w:r>
      <w:r>
        <w:t xml:space="preserve">, </w:t>
      </w:r>
      <w:r w:rsidR="00DD4841">
        <w:t xml:space="preserve">support </w:t>
      </w:r>
      <w:r>
        <w:t xml:space="preserve">further education </w:t>
      </w:r>
      <w:r w:rsidR="00660F65">
        <w:t xml:space="preserve">to prospective </w:t>
      </w:r>
      <w:r w:rsidR="00DD4841">
        <w:t>referrers</w:t>
      </w:r>
      <w:r w:rsidR="00660F65">
        <w:t xml:space="preserve"> </w:t>
      </w:r>
      <w:r>
        <w:t xml:space="preserve">around the eligibility criteria, </w:t>
      </w:r>
      <w:r w:rsidR="00F91BD9">
        <w:t xml:space="preserve">ensure that providers have a consistent understanding of the target Program cohort, </w:t>
      </w:r>
      <w:r w:rsidRPr="00FD6EA9">
        <w:t>a</w:t>
      </w:r>
      <w:r>
        <w:t>n</w:t>
      </w:r>
      <w:r w:rsidRPr="00FD6EA9">
        <w:t>d reduce duplication of effor</w:t>
      </w:r>
      <w:r>
        <w:t>t across SDCUs.</w:t>
      </w:r>
    </w:p>
    <w:p w14:paraId="4888E609" w14:textId="3EE9E2CF" w:rsidR="007909ED" w:rsidRDefault="007909ED" w:rsidP="007909ED">
      <w:pPr>
        <w:pStyle w:val="ListParagraph"/>
        <w:numPr>
          <w:ilvl w:val="0"/>
          <w:numId w:val="31"/>
        </w:numPr>
        <w:spacing w:after="170"/>
        <w:contextualSpacing w:val="0"/>
      </w:pPr>
      <w:r>
        <w:t xml:space="preserve">Continue to work with DSA and </w:t>
      </w:r>
      <w:r w:rsidR="00A22981">
        <w:t xml:space="preserve">the existing and future </w:t>
      </w:r>
      <w:r w:rsidR="00175134">
        <w:t xml:space="preserve">regional </w:t>
      </w:r>
      <w:r w:rsidR="00660F65">
        <w:t>SDCUs</w:t>
      </w:r>
      <w:r>
        <w:t xml:space="preserve"> to identify and find solutions to unique barriers impeding timely referral, assessment and admission. </w:t>
      </w:r>
    </w:p>
    <w:p w14:paraId="2155BD06" w14:textId="1A030A66" w:rsidR="006253A2" w:rsidRDefault="003F58DD" w:rsidP="007909ED">
      <w:pPr>
        <w:pStyle w:val="ListParagraph"/>
        <w:numPr>
          <w:ilvl w:val="0"/>
          <w:numId w:val="31"/>
        </w:numPr>
        <w:spacing w:after="170"/>
        <w:contextualSpacing w:val="0"/>
      </w:pPr>
      <w:r>
        <w:t xml:space="preserve">Consider providing increased </w:t>
      </w:r>
      <w:r w:rsidR="00B65AF9">
        <w:t>guidance</w:t>
      </w:r>
      <w:r>
        <w:t xml:space="preserve"> to SDCUs regarding the</w:t>
      </w:r>
      <w:r w:rsidR="006E67CF">
        <w:t xml:space="preserve"> recommended frequency of CAC meetings</w:t>
      </w:r>
      <w:r>
        <w:t>,</w:t>
      </w:r>
      <w:r w:rsidR="006E67CF" w:rsidRPr="001B2919">
        <w:t xml:space="preserve"> </w:t>
      </w:r>
      <w:r w:rsidR="006E67CF">
        <w:t>to create more standardisation across sites and improve the timeliness of suitability assessments</w:t>
      </w:r>
      <w:r w:rsidR="00F84526">
        <w:t>.</w:t>
      </w:r>
    </w:p>
    <w:p w14:paraId="46EDC3E1" w14:textId="77777777" w:rsidR="007909ED" w:rsidRPr="00CE1C25" w:rsidRDefault="007909ED" w:rsidP="007909ED">
      <w:pPr>
        <w:spacing w:after="0"/>
        <w:rPr>
          <w:rFonts w:asciiTheme="majorHAnsi" w:hAnsiTheme="majorHAnsi" w:cstheme="majorHAnsi"/>
          <w:b/>
          <w:color w:val="041E42"/>
        </w:rPr>
      </w:pPr>
      <w:r>
        <w:rPr>
          <w:rFonts w:asciiTheme="majorHAnsi" w:hAnsiTheme="majorHAnsi" w:cstheme="majorHAnsi"/>
          <w:b/>
          <w:color w:val="041E42"/>
        </w:rPr>
        <w:t>Care delivery</w:t>
      </w:r>
    </w:p>
    <w:p w14:paraId="2A807C0F" w14:textId="77777777" w:rsidR="007909ED" w:rsidRDefault="007909ED" w:rsidP="007909ED">
      <w:pPr>
        <w:pStyle w:val="ListParagraph"/>
        <w:numPr>
          <w:ilvl w:val="0"/>
          <w:numId w:val="31"/>
        </w:numPr>
        <w:spacing w:after="170"/>
        <w:contextualSpacing w:val="0"/>
      </w:pPr>
      <w:r>
        <w:t xml:space="preserve">For Phase Two sites, promote the importance of the in-reach clinicians’ role in capacity building of care staff related to behavioural management. This could include highlighting the expected educational aspects of the role in discussions with the jurisdictional mental health agencies and including it in the Memorandum of Understanding. </w:t>
      </w:r>
    </w:p>
    <w:p w14:paraId="1E2425D1" w14:textId="2456CC92" w:rsidR="007909ED" w:rsidRPr="0051671C" w:rsidRDefault="007909ED" w:rsidP="007909ED">
      <w:pPr>
        <w:pStyle w:val="ListParagraph"/>
        <w:numPr>
          <w:ilvl w:val="0"/>
          <w:numId w:val="31"/>
        </w:numPr>
        <w:spacing w:after="170"/>
        <w:contextualSpacing w:val="0"/>
      </w:pPr>
      <w:r>
        <w:t xml:space="preserve">Examine the feasibility of recommending the need for a SDCU dedicated FTE RN (as opposed to a co-located RN) once </w:t>
      </w:r>
      <w:r w:rsidRPr="0051671C">
        <w:t xml:space="preserve">a site reaches full occupancy. </w:t>
      </w:r>
      <w:r>
        <w:t>Also consider promoting high staffing ratios for afternoons and evenings</w:t>
      </w:r>
      <w:r w:rsidR="009247C0">
        <w:t xml:space="preserve"> (e.g</w:t>
      </w:r>
      <w:r w:rsidR="00F95C92">
        <w:t>.,</w:t>
      </w:r>
      <w:r w:rsidR="009247C0">
        <w:t xml:space="preserve"> a dedicated recreational staff member for afternoon shifts)</w:t>
      </w:r>
      <w:r>
        <w:t>.</w:t>
      </w:r>
    </w:p>
    <w:p w14:paraId="6BCB78A6" w14:textId="08EEC6C4" w:rsidR="007909ED" w:rsidRPr="0051671C" w:rsidRDefault="007909ED" w:rsidP="007909ED">
      <w:pPr>
        <w:pStyle w:val="ListParagraph"/>
        <w:numPr>
          <w:ilvl w:val="0"/>
          <w:numId w:val="31"/>
        </w:numPr>
        <w:spacing w:after="170"/>
        <w:contextualSpacing w:val="0"/>
      </w:pPr>
      <w:r w:rsidRPr="0051671C">
        <w:t xml:space="preserve">Consider the need to provide further clarity on </w:t>
      </w:r>
      <w:r>
        <w:t>expected</w:t>
      </w:r>
      <w:r w:rsidRPr="0051671C">
        <w:t xml:space="preserve"> formal training standards for </w:t>
      </w:r>
      <w:r>
        <w:t>care staff</w:t>
      </w:r>
      <w:r w:rsidRPr="0051671C">
        <w:t>. As part of this, the Department should consider centralising training in behavioural management and offering it a national level</w:t>
      </w:r>
      <w:r>
        <w:t xml:space="preserve">. </w:t>
      </w:r>
    </w:p>
    <w:p w14:paraId="3B53F6F5" w14:textId="4CBD33FC" w:rsidR="00471AAC" w:rsidRDefault="007909ED" w:rsidP="007F0CC4">
      <w:pPr>
        <w:pStyle w:val="ListParagraph"/>
        <w:numPr>
          <w:ilvl w:val="0"/>
          <w:numId w:val="31"/>
        </w:numPr>
        <w:spacing w:after="170"/>
        <w:contextualSpacing w:val="0"/>
      </w:pPr>
      <w:r>
        <w:t>As the Program grows (</w:t>
      </w:r>
      <w:r w:rsidR="00F95C92">
        <w:t>i.e.,</w:t>
      </w:r>
      <w:r>
        <w:t xml:space="preserve"> when Phase One sites reach full occupancy and Phase Two sites open), monitor the </w:t>
      </w:r>
      <w:r w:rsidR="005132D0">
        <w:t>feedback provided by SDC</w:t>
      </w:r>
      <w:r w:rsidR="00C66BB3">
        <w:t xml:space="preserve">Us </w:t>
      </w:r>
      <w:r w:rsidR="005433BF">
        <w:t xml:space="preserve">related </w:t>
      </w:r>
      <w:r w:rsidR="00CF17C8">
        <w:t xml:space="preserve">to </w:t>
      </w:r>
      <w:r w:rsidR="00B356B7">
        <w:t>their deployment of social w</w:t>
      </w:r>
      <w:r w:rsidR="00B922DA">
        <w:t>orkers within the</w:t>
      </w:r>
      <w:r w:rsidR="000F3E52">
        <w:t xml:space="preserve"> model of care</w:t>
      </w:r>
      <w:r w:rsidR="00B922DA">
        <w:t xml:space="preserve">. Given </w:t>
      </w:r>
      <w:r w:rsidR="00E045AE">
        <w:t>stakeholder observations</w:t>
      </w:r>
      <w:r w:rsidR="00B922DA">
        <w:t xml:space="preserve"> related to social workers supporting</w:t>
      </w:r>
      <w:r w:rsidR="000D3FDA">
        <w:t xml:space="preserve"> </w:t>
      </w:r>
      <w:r w:rsidR="0025391A">
        <w:t>resident engagement</w:t>
      </w:r>
      <w:r w:rsidR="00D91A6E">
        <w:t>,</w:t>
      </w:r>
      <w:r w:rsidR="00AC6D38">
        <w:t xml:space="preserve"> providing</w:t>
      </w:r>
      <w:r w:rsidR="000D3FDA">
        <w:t xml:space="preserve"> targeted psychosocial wellbeing support for Program staff and family/carers</w:t>
      </w:r>
      <w:r w:rsidR="00D91A6E">
        <w:t xml:space="preserve">, </w:t>
      </w:r>
      <w:r w:rsidR="00750C54">
        <w:t xml:space="preserve">and </w:t>
      </w:r>
      <w:r w:rsidR="00AC6CBC">
        <w:t>helping families and carers navigate the transitional nature of the Program</w:t>
      </w:r>
      <w:r w:rsidR="00B922DA">
        <w:t>, continued positive feedback may warrant</w:t>
      </w:r>
      <w:r w:rsidR="00471AAC">
        <w:t xml:space="preserve"> revised guidance around this role in the Framework.</w:t>
      </w:r>
    </w:p>
    <w:p w14:paraId="5F641997" w14:textId="07F77308" w:rsidR="000C6105" w:rsidRPr="008E1130" w:rsidRDefault="000C6105" w:rsidP="000C6105">
      <w:pPr>
        <w:pStyle w:val="ListParagraph"/>
        <w:numPr>
          <w:ilvl w:val="0"/>
          <w:numId w:val="31"/>
        </w:numPr>
        <w:spacing w:after="170"/>
        <w:contextualSpacing w:val="0"/>
      </w:pPr>
      <w:r w:rsidRPr="00FA0F47">
        <w:rPr>
          <w:rFonts w:cstheme="minorHAnsi"/>
          <w:szCs w:val="20"/>
          <w:lang w:val="en-AU"/>
        </w:rPr>
        <w:t>Given variation in staffing arrangements across SDCUs, consider utilis</w:t>
      </w:r>
      <w:r>
        <w:rPr>
          <w:rFonts w:cstheme="minorHAnsi"/>
          <w:szCs w:val="20"/>
          <w:lang w:val="en-AU"/>
        </w:rPr>
        <w:t>ing</w:t>
      </w:r>
      <w:r w:rsidRPr="00FA0F47">
        <w:rPr>
          <w:rFonts w:cstheme="minorHAnsi"/>
          <w:szCs w:val="20"/>
          <w:lang w:val="en-AU"/>
        </w:rPr>
        <w:t xml:space="preserve"> the </w:t>
      </w:r>
      <w:r>
        <w:t xml:space="preserve">Audited Financial Acquittal reports to </w:t>
      </w:r>
      <w:r w:rsidRPr="00FA0F47">
        <w:rPr>
          <w:rFonts w:cstheme="minorHAnsi"/>
          <w:szCs w:val="20"/>
          <w:lang w:val="en-AU"/>
        </w:rPr>
        <w:t xml:space="preserve">better understand how </w:t>
      </w:r>
      <w:r>
        <w:rPr>
          <w:rFonts w:cstheme="minorHAnsi"/>
          <w:szCs w:val="20"/>
          <w:lang w:val="en-AU"/>
        </w:rPr>
        <w:t xml:space="preserve">Program </w:t>
      </w:r>
      <w:r w:rsidRPr="00FA0F47">
        <w:rPr>
          <w:rFonts w:cstheme="minorHAnsi"/>
          <w:szCs w:val="20"/>
          <w:lang w:val="en-AU"/>
        </w:rPr>
        <w:t>funding is being utilised across sites</w:t>
      </w:r>
      <w:r>
        <w:t>. This may reveal</w:t>
      </w:r>
      <w:r w:rsidRPr="00FA0F47">
        <w:rPr>
          <w:rFonts w:cstheme="minorHAnsi"/>
          <w:szCs w:val="20"/>
          <w:lang w:val="en-AU"/>
        </w:rPr>
        <w:t xml:space="preserve"> opportunities to provide further guidance </w:t>
      </w:r>
      <w:r>
        <w:rPr>
          <w:rFonts w:cstheme="minorHAnsi"/>
          <w:szCs w:val="20"/>
          <w:lang w:val="en-AU"/>
        </w:rPr>
        <w:t>to</w:t>
      </w:r>
      <w:r w:rsidRPr="00FA0F47">
        <w:rPr>
          <w:rFonts w:cstheme="minorHAnsi"/>
          <w:szCs w:val="20"/>
          <w:lang w:val="en-AU"/>
        </w:rPr>
        <w:t xml:space="preserve"> </w:t>
      </w:r>
      <w:r>
        <w:rPr>
          <w:rFonts w:cstheme="minorHAnsi"/>
          <w:szCs w:val="20"/>
          <w:lang w:val="en-AU"/>
        </w:rPr>
        <w:t>SDCUs</w:t>
      </w:r>
      <w:r w:rsidRPr="00FA0F47">
        <w:rPr>
          <w:rFonts w:cstheme="minorHAnsi"/>
          <w:szCs w:val="20"/>
          <w:lang w:val="en-AU"/>
        </w:rPr>
        <w:t xml:space="preserve"> on how the funding should be used to support adequate staffing levels. </w:t>
      </w:r>
      <w:r>
        <w:rPr>
          <w:rFonts w:cstheme="minorHAnsi"/>
          <w:szCs w:val="20"/>
          <w:lang w:val="en-AU"/>
        </w:rPr>
        <w:t>In addition, seek to understand the types of discharges that require additional financial support to inform whether a tiered approach to transition out payments (based on discharge complexity) may be appropriate.</w:t>
      </w:r>
      <w:r w:rsidRPr="008A0BF7">
        <w:rPr>
          <w:rFonts w:cstheme="minorHAnsi"/>
          <w:szCs w:val="20"/>
          <w:lang w:val="en-AU"/>
        </w:rPr>
        <w:t xml:space="preserve"> </w:t>
      </w:r>
    </w:p>
    <w:p w14:paraId="6D4F86CD" w14:textId="77777777" w:rsidR="007909ED" w:rsidRPr="008E1130" w:rsidRDefault="007909ED" w:rsidP="007909ED">
      <w:pPr>
        <w:pStyle w:val="ListParagraph"/>
        <w:numPr>
          <w:ilvl w:val="0"/>
          <w:numId w:val="31"/>
        </w:numPr>
        <w:spacing w:after="170"/>
        <w:ind w:left="714" w:hanging="357"/>
        <w:contextualSpacing w:val="0"/>
        <w:rPr>
          <w:lang w:val="en-AU"/>
        </w:rPr>
      </w:pPr>
      <w:r>
        <w:t>Work with current SDCUs to explore the criteria each SDCU uses to monitor residents’ progress and determine readiness for discharge. Identify any opportunities to apply these learnings to inform care planning processes for Phase Two sites.</w:t>
      </w:r>
    </w:p>
    <w:p w14:paraId="1EF35751" w14:textId="77777777" w:rsidR="007909ED" w:rsidRPr="001576EA" w:rsidRDefault="007909ED" w:rsidP="007909ED">
      <w:pPr>
        <w:spacing w:after="0"/>
        <w:rPr>
          <w:rFonts w:asciiTheme="majorHAnsi" w:hAnsiTheme="majorHAnsi" w:cstheme="majorHAnsi"/>
          <w:b/>
          <w:color w:val="041E42"/>
        </w:rPr>
      </w:pPr>
      <w:r w:rsidRPr="001576EA">
        <w:rPr>
          <w:rFonts w:asciiTheme="majorHAnsi" w:hAnsiTheme="majorHAnsi" w:cstheme="majorHAnsi"/>
          <w:b/>
          <w:color w:val="041E42"/>
        </w:rPr>
        <w:t>Data collection</w:t>
      </w:r>
    </w:p>
    <w:p w14:paraId="7869872E" w14:textId="77777777" w:rsidR="007909ED" w:rsidRPr="00A73670" w:rsidRDefault="007909ED" w:rsidP="007909ED">
      <w:pPr>
        <w:pStyle w:val="ListParagraph"/>
        <w:numPr>
          <w:ilvl w:val="0"/>
          <w:numId w:val="31"/>
        </w:numPr>
        <w:spacing w:after="170"/>
        <w:ind w:left="714" w:hanging="357"/>
        <w:contextualSpacing w:val="0"/>
      </w:pPr>
      <w:r>
        <w:rPr>
          <w:lang w:val="en-AU"/>
        </w:rPr>
        <w:t>Consider p</w:t>
      </w:r>
      <w:r w:rsidRPr="00526FF7">
        <w:rPr>
          <w:lang w:val="en-AU"/>
        </w:rPr>
        <w:t>rovid</w:t>
      </w:r>
      <w:r>
        <w:rPr>
          <w:lang w:val="en-AU"/>
        </w:rPr>
        <w:t>ing</w:t>
      </w:r>
      <w:r w:rsidRPr="00526FF7">
        <w:rPr>
          <w:lang w:val="en-AU"/>
        </w:rPr>
        <w:t xml:space="preserve"> standardised training to SDCUs </w:t>
      </w:r>
      <w:r>
        <w:rPr>
          <w:lang w:val="en-AU"/>
        </w:rPr>
        <w:t>on administration of the</w:t>
      </w:r>
      <w:r w:rsidRPr="00526FF7">
        <w:rPr>
          <w:lang w:val="en-AU"/>
        </w:rPr>
        <w:t xml:space="preserve"> NPI-NH</w:t>
      </w:r>
      <w:r>
        <w:rPr>
          <w:lang w:val="en-AU"/>
        </w:rPr>
        <w:t xml:space="preserve"> assessment</w:t>
      </w:r>
      <w:r w:rsidRPr="00526FF7">
        <w:rPr>
          <w:lang w:val="en-AU"/>
        </w:rPr>
        <w:t xml:space="preserve"> </w:t>
      </w:r>
      <w:r>
        <w:rPr>
          <w:lang w:val="en-AU"/>
        </w:rPr>
        <w:t xml:space="preserve">tool and </w:t>
      </w:r>
      <w:r w:rsidRPr="00526FF7">
        <w:rPr>
          <w:lang w:val="en-AU"/>
        </w:rPr>
        <w:t xml:space="preserve">promote the consistent capture </w:t>
      </w:r>
      <w:r>
        <w:rPr>
          <w:lang w:val="en-AU"/>
        </w:rPr>
        <w:t xml:space="preserve">of NPI-NH </w:t>
      </w:r>
      <w:r w:rsidRPr="00526FF7">
        <w:rPr>
          <w:lang w:val="en-AU"/>
        </w:rPr>
        <w:t>scores at a domain level</w:t>
      </w:r>
      <w:r>
        <w:rPr>
          <w:lang w:val="en-AU"/>
        </w:rPr>
        <w:t xml:space="preserve"> (particularly the domains related to aggression and agitation)</w:t>
      </w:r>
      <w:r w:rsidRPr="00526FF7">
        <w:rPr>
          <w:lang w:val="en-AU"/>
        </w:rPr>
        <w:t xml:space="preserve"> in order to facilitate stronger resident monitoring and evaluation </w:t>
      </w:r>
      <w:r>
        <w:rPr>
          <w:lang w:val="en-AU"/>
        </w:rPr>
        <w:t>of Program efficacy</w:t>
      </w:r>
      <w:r w:rsidRPr="00526FF7">
        <w:rPr>
          <w:lang w:val="en-AU"/>
        </w:rPr>
        <w:t xml:space="preserve">. </w:t>
      </w:r>
    </w:p>
    <w:p w14:paraId="0373D7DE" w14:textId="46B6000E" w:rsidR="007909ED" w:rsidRPr="00375EC2" w:rsidRDefault="007909ED" w:rsidP="007909ED">
      <w:pPr>
        <w:pStyle w:val="ListParagraph"/>
        <w:numPr>
          <w:ilvl w:val="0"/>
          <w:numId w:val="31"/>
        </w:numPr>
        <w:spacing w:after="170"/>
        <w:ind w:left="714" w:hanging="357"/>
        <w:contextualSpacing w:val="0"/>
        <w:rPr>
          <w:lang w:val="en-AU"/>
        </w:rPr>
      </w:pPr>
      <w:r>
        <w:t>Work with providers to understand current approaches to capturing aggregate data as part of their existing reporting obligations (</w:t>
      </w:r>
      <w:r w:rsidR="00F95C92">
        <w:t>e.g.,</w:t>
      </w:r>
      <w:r>
        <w:t xml:space="preserve"> National Aged Care Mandatory Quality Indicator Program (NACMQIP) and identify mechanisms which may allow this data to be provided for SDCUs. For example, consider whether it is possible for providers to insert a flag for an SDCU within the data systems used to capture these indicators. While the NACMQIP indicators will not provide a view on the Program’s impact on residents over time, it will provide a view on the annual prevalence of incidents (e.g., falls, physical restraints, hospital presentations etc.), which could be used to profile how patterns of behaviour in an SDCU differ to those observed in mainstream RACFs. </w:t>
      </w:r>
    </w:p>
    <w:p w14:paraId="0E2CFF59" w14:textId="365EB772" w:rsidR="007909ED" w:rsidRDefault="007909ED" w:rsidP="007909ED">
      <w:pPr>
        <w:pStyle w:val="ListParagraph"/>
        <w:numPr>
          <w:ilvl w:val="0"/>
          <w:numId w:val="31"/>
        </w:numPr>
        <w:spacing w:after="170"/>
        <w:contextualSpacing w:val="0"/>
      </w:pPr>
      <w:r>
        <w:t xml:space="preserve">To supplement insights from the NPI-NH on resident progress, consider selecting </w:t>
      </w:r>
      <w:r w:rsidR="00E236B4">
        <w:t xml:space="preserve">a small set of </w:t>
      </w:r>
      <w:r>
        <w:t xml:space="preserve">outcomes measures and </w:t>
      </w:r>
      <w:r w:rsidR="00827AD8">
        <w:t xml:space="preserve">work with </w:t>
      </w:r>
      <w:r>
        <w:t>SDCU</w:t>
      </w:r>
      <w:r w:rsidR="00827AD8">
        <w:t>s</w:t>
      </w:r>
      <w:r>
        <w:t xml:space="preserve"> to </w:t>
      </w:r>
      <w:r w:rsidR="00827AD8">
        <w:t xml:space="preserve">consistently </w:t>
      </w:r>
      <w:r>
        <w:t xml:space="preserve">collect and report on these indicators at a resident level as part of six-monthly reporting. Suggested </w:t>
      </w:r>
      <w:r w:rsidR="00CB7BD6">
        <w:t xml:space="preserve">outcomes </w:t>
      </w:r>
      <w:r>
        <w:t xml:space="preserve">include: </w:t>
      </w:r>
    </w:p>
    <w:p w14:paraId="6F4CA670" w14:textId="7F83A3DB" w:rsidR="007909ED" w:rsidRDefault="006E6DD2" w:rsidP="0079620C">
      <w:pPr>
        <w:pStyle w:val="ListParagraph"/>
        <w:numPr>
          <w:ilvl w:val="1"/>
          <w:numId w:val="56"/>
        </w:numPr>
        <w:spacing w:after="170"/>
        <w:ind w:left="1434" w:hanging="357"/>
        <w:contextualSpacing w:val="0"/>
      </w:pPr>
      <w:r>
        <w:t xml:space="preserve">number </w:t>
      </w:r>
      <w:r w:rsidR="00CB7BD6">
        <w:t xml:space="preserve">of </w:t>
      </w:r>
      <w:r w:rsidR="00A154B3">
        <w:t xml:space="preserve">ED presentations and unplanned admissions (including </w:t>
      </w:r>
      <w:r w:rsidR="00CB7BD6">
        <w:t>length of stay</w:t>
      </w:r>
      <w:r w:rsidR="00A154B3">
        <w:t>)</w:t>
      </w:r>
      <w:r w:rsidR="00CB7BD6">
        <w:t xml:space="preserve"> during Program tenure</w:t>
      </w:r>
    </w:p>
    <w:p w14:paraId="6A99FDDD" w14:textId="2BA41930" w:rsidR="007909ED" w:rsidRDefault="006E6DD2" w:rsidP="0079620C">
      <w:pPr>
        <w:pStyle w:val="ListParagraph"/>
        <w:numPr>
          <w:ilvl w:val="1"/>
          <w:numId w:val="56"/>
        </w:numPr>
        <w:spacing w:after="170"/>
        <w:ind w:left="1434" w:hanging="357"/>
        <w:contextualSpacing w:val="0"/>
      </w:pPr>
      <w:r>
        <w:t xml:space="preserve">medication </w:t>
      </w:r>
      <w:r w:rsidR="007909ED">
        <w:t xml:space="preserve">variances by drug class </w:t>
      </w:r>
      <w:r w:rsidR="00B71C13">
        <w:t>for discharging residents</w:t>
      </w:r>
      <w:r w:rsidR="00B5450B">
        <w:t xml:space="preserve"> (</w:t>
      </w:r>
      <w:r w:rsidR="00F95C92">
        <w:t>e.g.,</w:t>
      </w:r>
      <w:r w:rsidR="00A06F31">
        <w:t xml:space="preserve"> ‘reduction in dose’ of antipsychotic)</w:t>
      </w:r>
      <w:r w:rsidR="007909ED">
        <w:t xml:space="preserve"> – to assess reduction in chemical restraints</w:t>
      </w:r>
    </w:p>
    <w:p w14:paraId="65562A37" w14:textId="4AE89221" w:rsidR="00553B9B" w:rsidRPr="002A0AC1" w:rsidRDefault="006F1840" w:rsidP="0079620C">
      <w:pPr>
        <w:pStyle w:val="ListParagraph"/>
        <w:numPr>
          <w:ilvl w:val="1"/>
          <w:numId w:val="56"/>
        </w:numPr>
        <w:spacing w:after="170"/>
        <w:ind w:left="1434" w:hanging="357"/>
        <w:contextualSpacing w:val="0"/>
        <w:rPr>
          <w:rFonts w:asciiTheme="majorHAnsi" w:hAnsiTheme="majorHAnsi" w:cstheme="majorHAnsi"/>
          <w:b/>
          <w:u w:val="single"/>
        </w:rPr>
      </w:pPr>
      <w:r>
        <w:t xml:space="preserve">discharge </w:t>
      </w:r>
      <w:r w:rsidR="001E5DDA">
        <w:t>reason</w:t>
      </w:r>
      <w:r w:rsidR="006E0FC4">
        <w:t xml:space="preserve">, where </w:t>
      </w:r>
      <w:r w:rsidR="001E5DDA">
        <w:t xml:space="preserve">the following reasons are </w:t>
      </w:r>
      <w:r w:rsidR="00F73C6B">
        <w:t xml:space="preserve">differentiated: </w:t>
      </w:r>
      <w:r>
        <w:t xml:space="preserve">escalation of BPSD, </w:t>
      </w:r>
      <w:r w:rsidR="00F73C6B">
        <w:t>palliative care, change in comorbidities</w:t>
      </w:r>
      <w:r w:rsidR="00007E53">
        <w:t xml:space="preserve"> (</w:t>
      </w:r>
      <w:r w:rsidR="00F95C92">
        <w:t>e.g.,</w:t>
      </w:r>
      <w:r w:rsidR="00007E53">
        <w:t xml:space="preserve"> acute medical event)</w:t>
      </w:r>
      <w:r w:rsidR="00F73C6B">
        <w:t xml:space="preserve">. </w:t>
      </w:r>
    </w:p>
    <w:p w14:paraId="56EE05BF" w14:textId="75C6AC70" w:rsidR="00FC2063" w:rsidRPr="0079620C" w:rsidRDefault="0014372E" w:rsidP="00FC2063">
      <w:pPr>
        <w:pStyle w:val="ListParagraph"/>
        <w:numPr>
          <w:ilvl w:val="0"/>
          <w:numId w:val="31"/>
        </w:numPr>
        <w:spacing w:after="120"/>
        <w:ind w:left="714" w:hanging="357"/>
        <w:rPr>
          <w:rFonts w:asciiTheme="majorHAnsi" w:hAnsiTheme="majorHAnsi" w:cstheme="majorHAnsi"/>
          <w:b/>
          <w:u w:val="single"/>
        </w:rPr>
      </w:pPr>
      <w:r>
        <w:t>To further supplement data collec</w:t>
      </w:r>
      <w:r w:rsidR="00740487">
        <w:t>ted during a resident’s stay,</w:t>
      </w:r>
      <w:r w:rsidR="00A837A6">
        <w:t xml:space="preserve"> </w:t>
      </w:r>
      <w:r w:rsidR="002D0D76">
        <w:t xml:space="preserve">the Department and SDCUs </w:t>
      </w:r>
      <w:r w:rsidR="0050174A">
        <w:t xml:space="preserve">could </w:t>
      </w:r>
      <w:r w:rsidR="002D0D76">
        <w:t xml:space="preserve">consider the feasibility of assessing longer-term outcomes associated </w:t>
      </w:r>
      <w:r w:rsidR="00096826">
        <w:t>with residents discharged due to ‘successful reduction in very severe BPSD</w:t>
      </w:r>
      <w:r w:rsidR="009D65B3">
        <w:t>’</w:t>
      </w:r>
      <w:r w:rsidR="00096826">
        <w:t xml:space="preserve">. </w:t>
      </w:r>
      <w:r w:rsidR="00D54371">
        <w:t xml:space="preserve">In particular, a key outcome for collection could be </w:t>
      </w:r>
      <w:r w:rsidR="005A0CB2">
        <w:t>a six-monthly check-in of discharged Program residents’</w:t>
      </w:r>
      <w:r w:rsidR="00321B98">
        <w:t xml:space="preserve"> current care setting to understand </w:t>
      </w:r>
      <w:r w:rsidR="0088744F">
        <w:t xml:space="preserve">the </w:t>
      </w:r>
      <w:r w:rsidR="00634C2A">
        <w:t xml:space="preserve">persistence of Program effects regarding </w:t>
      </w:r>
      <w:r w:rsidR="00745FE2">
        <w:t xml:space="preserve">symptom </w:t>
      </w:r>
      <w:r w:rsidR="00A8315F">
        <w:t>stabilisation</w:t>
      </w:r>
      <w:r w:rsidR="007631CF">
        <w:t>. While it is acknowledged that this would increase administrative burden</w:t>
      </w:r>
      <w:r w:rsidR="004A0D7D">
        <w:t xml:space="preserve"> (and require the Department </w:t>
      </w:r>
      <w:r w:rsidR="008E4F34">
        <w:t>to negotiate with providers regarding</w:t>
      </w:r>
      <w:r w:rsidR="00BB14DF">
        <w:t xml:space="preserve"> </w:t>
      </w:r>
      <w:r w:rsidR="00856CC7">
        <w:t xml:space="preserve">how this process would practically </w:t>
      </w:r>
      <w:r w:rsidR="00BE028A">
        <w:t>be undertaken):</w:t>
      </w:r>
    </w:p>
    <w:p w14:paraId="25C8FCB3" w14:textId="77777777" w:rsidR="00FC2063" w:rsidRPr="0079620C" w:rsidRDefault="00FC2063" w:rsidP="0079620C">
      <w:pPr>
        <w:pStyle w:val="ListParagraph"/>
        <w:spacing w:after="120"/>
        <w:ind w:left="714"/>
        <w:rPr>
          <w:rFonts w:asciiTheme="majorHAnsi" w:hAnsiTheme="majorHAnsi" w:cstheme="majorHAnsi"/>
          <w:b/>
          <w:u w:val="single"/>
        </w:rPr>
      </w:pPr>
    </w:p>
    <w:p w14:paraId="48BF1AE2" w14:textId="12D39207" w:rsidR="00795949" w:rsidRDefault="00CC6B49" w:rsidP="00795949">
      <w:pPr>
        <w:pStyle w:val="ListParagraph"/>
        <w:numPr>
          <w:ilvl w:val="1"/>
          <w:numId w:val="31"/>
        </w:numPr>
        <w:spacing w:after="170"/>
        <w:contextualSpacing w:val="0"/>
      </w:pPr>
      <w:r>
        <w:t>a</w:t>
      </w:r>
      <w:r w:rsidR="00795949">
        <w:t xml:space="preserve"> core driver of the Program’s economic value to the wider health and aged care system </w:t>
      </w:r>
      <w:r w:rsidR="00027336">
        <w:t xml:space="preserve">is </w:t>
      </w:r>
      <w:r w:rsidR="001A1D42">
        <w:t>the length of time post-Program for which benefits can be assigned</w:t>
      </w:r>
    </w:p>
    <w:p w14:paraId="4CA5102B" w14:textId="245E0C6D" w:rsidR="00FE1494" w:rsidRDefault="00FE1494" w:rsidP="00795949">
      <w:pPr>
        <w:pStyle w:val="ListParagraph"/>
        <w:numPr>
          <w:ilvl w:val="1"/>
          <w:numId w:val="31"/>
        </w:numPr>
        <w:spacing w:after="170"/>
        <w:contextualSpacing w:val="0"/>
      </w:pPr>
      <w:r>
        <w:t xml:space="preserve">having data collection occur at the individual provider-level </w:t>
      </w:r>
      <w:r w:rsidR="00751AEB">
        <w:t>caps the administrative burden at the rate of Prog</w:t>
      </w:r>
      <w:r w:rsidR="00EC41F1">
        <w:t xml:space="preserve">ram discharges balanced with the expected </w:t>
      </w:r>
      <w:r w:rsidR="009D30FF">
        <w:t xml:space="preserve">rate of </w:t>
      </w:r>
      <w:r w:rsidR="00023789">
        <w:t xml:space="preserve">mortality </w:t>
      </w:r>
      <w:r w:rsidR="009D30FF">
        <w:t xml:space="preserve">occurring within the target Program cohort </w:t>
      </w:r>
      <w:r w:rsidR="006D42E4">
        <w:t>(</w:t>
      </w:r>
      <w:r w:rsidR="009D30FF">
        <w:t>which is elderly and medically c</w:t>
      </w:r>
      <w:r w:rsidR="002C0BBE">
        <w:t>omplex</w:t>
      </w:r>
      <w:r w:rsidR="006D42E4">
        <w:t>)</w:t>
      </w:r>
      <w:r w:rsidR="00EC41F1">
        <w:t xml:space="preserve"> </w:t>
      </w:r>
    </w:p>
    <w:p w14:paraId="43C6B651" w14:textId="572BEF84" w:rsidR="001A1D42" w:rsidRDefault="00FE1494" w:rsidP="00795949">
      <w:pPr>
        <w:pStyle w:val="ListParagraph"/>
        <w:numPr>
          <w:ilvl w:val="1"/>
          <w:numId w:val="31"/>
        </w:numPr>
        <w:spacing w:after="170"/>
        <w:contextualSpacing w:val="0"/>
      </w:pPr>
      <w:r>
        <w:t>a</w:t>
      </w:r>
      <w:r w:rsidR="00FC2063">
        <w:t xml:space="preserve"> trend observed</w:t>
      </w:r>
      <w:r w:rsidR="00C73930">
        <w:t xml:space="preserve"> across </w:t>
      </w:r>
      <w:r w:rsidR="003C5E05">
        <w:t>the Program</w:t>
      </w:r>
      <w:r w:rsidR="00C73930">
        <w:t xml:space="preserve"> was</w:t>
      </w:r>
      <w:r w:rsidR="009C0186">
        <w:t xml:space="preserve"> </w:t>
      </w:r>
      <w:r w:rsidR="00356DB3">
        <w:t xml:space="preserve">internal </w:t>
      </w:r>
      <w:r w:rsidR="009C0186">
        <w:t>discharge</w:t>
      </w:r>
      <w:r w:rsidR="00356DB3">
        <w:t>s</w:t>
      </w:r>
      <w:r w:rsidR="009C0186">
        <w:t xml:space="preserve"> </w:t>
      </w:r>
      <w:r w:rsidR="00356DB3">
        <w:t>to</w:t>
      </w:r>
      <w:r w:rsidR="003C5E05">
        <w:t xml:space="preserve"> the </w:t>
      </w:r>
      <w:r w:rsidR="00D313D1">
        <w:t>provider’s</w:t>
      </w:r>
      <w:r w:rsidR="009C0186">
        <w:t xml:space="preserve"> co-located mainstream RACF</w:t>
      </w:r>
      <w:r>
        <w:t>,</w:t>
      </w:r>
      <w:r w:rsidR="009C0186">
        <w:t xml:space="preserve"> </w:t>
      </w:r>
      <w:r w:rsidR="004A0D7D">
        <w:t>simplifying this</w:t>
      </w:r>
      <w:r w:rsidR="00CC6B49">
        <w:t xml:space="preserve"> data-collection</w:t>
      </w:r>
      <w:r w:rsidR="002A0AC1">
        <w:t xml:space="preserve"> process. </w:t>
      </w:r>
    </w:p>
    <w:p w14:paraId="41A3BD23" w14:textId="77777777" w:rsidR="00ED3EE4" w:rsidRDefault="007909ED" w:rsidP="002A0AC1">
      <w:pPr>
        <w:pStyle w:val="ListParagraph"/>
        <w:spacing w:after="170"/>
      </w:pPr>
      <w:r>
        <w:t xml:space="preserve">In addition, by tracking resident progress post-Program participation, it allows the Program to understand </w:t>
      </w:r>
      <w:r w:rsidRPr="00C8788C">
        <w:t>which residents are more likely to become unsettled in mainstream RACF settings.</w:t>
      </w:r>
      <w:r>
        <w:t xml:space="preserve"> This information could then be used to</w:t>
      </w:r>
      <w:r w:rsidR="00CC506F">
        <w:t>:</w:t>
      </w:r>
      <w:r>
        <w:t xml:space="preserve"> </w:t>
      </w:r>
    </w:p>
    <w:p w14:paraId="664F4C15" w14:textId="77777777" w:rsidR="002A0AC1" w:rsidRDefault="002A0AC1" w:rsidP="0079620C">
      <w:pPr>
        <w:pStyle w:val="ListParagraph"/>
        <w:spacing w:after="170"/>
      </w:pPr>
    </w:p>
    <w:p w14:paraId="73F79247" w14:textId="13B0FB17" w:rsidR="007909ED" w:rsidRDefault="007909ED" w:rsidP="0079620C">
      <w:pPr>
        <w:pStyle w:val="ListParagraph"/>
        <w:numPr>
          <w:ilvl w:val="0"/>
          <w:numId w:val="55"/>
        </w:numPr>
        <w:spacing w:before="120" w:after="170"/>
        <w:ind w:left="1434" w:hanging="357"/>
        <w:contextualSpacing w:val="0"/>
      </w:pPr>
      <w:r>
        <w:t xml:space="preserve">inform a risk stratified discharge approach when discharging high-risk residents </w:t>
      </w:r>
      <w:r w:rsidR="00E26CD6">
        <w:t xml:space="preserve">to minimise bounce-backs or escalation to hospital </w:t>
      </w:r>
      <w:r>
        <w:t xml:space="preserve">(e.g., a </w:t>
      </w:r>
      <w:r w:rsidR="00E26CD6">
        <w:t>step-down</w:t>
      </w:r>
      <w:r>
        <w:t xml:space="preserve"> discharge approach)</w:t>
      </w:r>
    </w:p>
    <w:p w14:paraId="3B5A8786" w14:textId="78719F38" w:rsidR="00143405" w:rsidRDefault="00143405" w:rsidP="0079620C">
      <w:pPr>
        <w:pStyle w:val="ListParagraph"/>
        <w:numPr>
          <w:ilvl w:val="0"/>
          <w:numId w:val="55"/>
        </w:numPr>
        <w:spacing w:before="120" w:after="170"/>
        <w:ind w:left="1434" w:hanging="357"/>
        <w:contextualSpacing w:val="0"/>
      </w:pPr>
      <w:r>
        <w:t>understand whether the selection of 12 weeks as the bounce-back period is appropriate for the observed post-discharge trajectory of behaviour.</w:t>
      </w:r>
    </w:p>
    <w:p w14:paraId="7BB39437" w14:textId="77777777" w:rsidR="007909ED" w:rsidRDefault="007909ED" w:rsidP="007909ED">
      <w:pPr>
        <w:spacing w:after="0"/>
        <w:rPr>
          <w:rFonts w:asciiTheme="majorHAnsi" w:hAnsiTheme="majorHAnsi" w:cstheme="majorHAnsi"/>
          <w:b/>
          <w:color w:val="041E42"/>
        </w:rPr>
      </w:pPr>
      <w:r w:rsidRPr="00BB5389">
        <w:rPr>
          <w:rFonts w:asciiTheme="majorHAnsi" w:hAnsiTheme="majorHAnsi" w:cstheme="majorHAnsi"/>
          <w:b/>
          <w:color w:val="041E42"/>
        </w:rPr>
        <w:t>Administration</w:t>
      </w:r>
    </w:p>
    <w:p w14:paraId="334A0DDF" w14:textId="77777777" w:rsidR="007909ED" w:rsidRDefault="007909ED" w:rsidP="007909ED">
      <w:pPr>
        <w:pStyle w:val="ListParagraph"/>
        <w:numPr>
          <w:ilvl w:val="0"/>
          <w:numId w:val="31"/>
        </w:numPr>
        <w:spacing w:after="0"/>
      </w:pPr>
      <w:r>
        <w:t>Continue to commitment to knowledge sharing across Phase One and Phase Two SDCUs, by implementing a collaborative knowledge exchange platform to supplement the Community of Practice that allows providers to share tools and resources and informally share advice and reflect on learnings.</w:t>
      </w:r>
    </w:p>
    <w:p w14:paraId="3B0302A6" w14:textId="77777777" w:rsidR="007909ED" w:rsidRPr="00BB5389" w:rsidRDefault="007909ED" w:rsidP="007909ED">
      <w:pPr>
        <w:spacing w:after="0"/>
        <w:rPr>
          <w:rFonts w:asciiTheme="majorHAnsi" w:hAnsiTheme="majorHAnsi" w:cstheme="majorHAnsi"/>
          <w:b/>
          <w:color w:val="041E42"/>
        </w:rPr>
      </w:pPr>
    </w:p>
    <w:p w14:paraId="7D895D96" w14:textId="77777777" w:rsidR="007909ED" w:rsidRPr="002163EB" w:rsidRDefault="007909ED" w:rsidP="007909ED">
      <w:pPr>
        <w:spacing w:after="170"/>
        <w:rPr>
          <w:rFonts w:asciiTheme="majorHAnsi" w:hAnsiTheme="majorHAnsi" w:cstheme="majorHAnsi"/>
          <w:b/>
          <w:u w:val="single"/>
        </w:rPr>
      </w:pPr>
      <w:r w:rsidRPr="002163EB">
        <w:rPr>
          <w:rFonts w:asciiTheme="majorHAnsi" w:hAnsiTheme="majorHAnsi" w:cstheme="majorHAnsi"/>
          <w:b/>
          <w:u w:val="single"/>
        </w:rPr>
        <w:t>Provider level</w:t>
      </w:r>
    </w:p>
    <w:p w14:paraId="19D8480B" w14:textId="0212FCF4" w:rsidR="007909ED" w:rsidRPr="00FB52D7" w:rsidRDefault="007909ED" w:rsidP="007909ED">
      <w:pPr>
        <w:pStyle w:val="ListParagraph"/>
        <w:numPr>
          <w:ilvl w:val="0"/>
          <w:numId w:val="31"/>
        </w:numPr>
        <w:spacing w:after="170"/>
        <w:contextualSpacing w:val="0"/>
      </w:pPr>
      <w:r w:rsidRPr="00E949D8">
        <w:t xml:space="preserve">As outlined in the SDCP </w:t>
      </w:r>
      <w:r>
        <w:t>F</w:t>
      </w:r>
      <w:r w:rsidRPr="00E949D8">
        <w:t xml:space="preserve">ramework, ensure all care staff are trained in behavioural management for people with </w:t>
      </w:r>
      <w:r w:rsidR="000E4F62">
        <w:t xml:space="preserve">very severe </w:t>
      </w:r>
      <w:r w:rsidRPr="00E949D8">
        <w:t>BPSD prior to commencing their role. Work with other providers to identify appropriate training materials resources</w:t>
      </w:r>
      <w:r>
        <w:t xml:space="preserve"> which could be leveraged to minimise duplication of effort</w:t>
      </w:r>
      <w:r w:rsidRPr="00FB52D7">
        <w:t>.</w:t>
      </w:r>
    </w:p>
    <w:p w14:paraId="19508DEA" w14:textId="77777777" w:rsidR="007909ED" w:rsidRPr="00FB52D7" w:rsidRDefault="007909ED" w:rsidP="007909ED">
      <w:pPr>
        <w:pStyle w:val="ListParagraph"/>
        <w:numPr>
          <w:ilvl w:val="0"/>
          <w:numId w:val="31"/>
        </w:numPr>
        <w:spacing w:after="170"/>
        <w:contextualSpacing w:val="0"/>
      </w:pPr>
      <w:r w:rsidRPr="00FB52D7">
        <w:t>For Phase Two sites, establish a structured CAC process that incorporates the key enablers of timely and coordinated suitability assessment</w:t>
      </w:r>
      <w:r>
        <w:t>s</w:t>
      </w:r>
      <w:r w:rsidRPr="00FB52D7">
        <w:t xml:space="preserve">, including clear role </w:t>
      </w:r>
      <w:r>
        <w:t>and</w:t>
      </w:r>
      <w:r w:rsidRPr="00FB52D7">
        <w:t xml:space="preserve"> responsibilities among CAC members</w:t>
      </w:r>
      <w:r>
        <w:t>,</w:t>
      </w:r>
      <w:r w:rsidRPr="00FB52D7">
        <w:t xml:space="preserve"> and strong information-sharing and feedback systems</w:t>
      </w:r>
      <w:r>
        <w:t xml:space="preserve"> with referrers</w:t>
      </w:r>
      <w:r w:rsidRPr="00FB52D7">
        <w:t xml:space="preserve">. </w:t>
      </w:r>
    </w:p>
    <w:p w14:paraId="4260FB29" w14:textId="77777777" w:rsidR="007909ED" w:rsidRDefault="007909ED" w:rsidP="007909ED">
      <w:pPr>
        <w:pStyle w:val="ListParagraph"/>
        <w:numPr>
          <w:ilvl w:val="0"/>
          <w:numId w:val="31"/>
        </w:numPr>
        <w:spacing w:after="170"/>
        <w:contextualSpacing w:val="0"/>
      </w:pPr>
      <w:r>
        <w:t>C</w:t>
      </w:r>
      <w:r w:rsidRPr="0089307B">
        <w:t>onsider</w:t>
      </w:r>
      <w:r>
        <w:t xml:space="preserve"> opportunities to</w:t>
      </w:r>
      <w:r w:rsidRPr="0089307B">
        <w:t xml:space="preserve"> increas</w:t>
      </w:r>
      <w:r>
        <w:t>e the availability of</w:t>
      </w:r>
      <w:r w:rsidRPr="0089307B">
        <w:t xml:space="preserve"> enrichment support </w:t>
      </w:r>
      <w:r>
        <w:t>for Program residents</w:t>
      </w:r>
      <w:r w:rsidRPr="0089307B">
        <w:t xml:space="preserve">, such as </w:t>
      </w:r>
      <w:r>
        <w:t xml:space="preserve">the provision of more </w:t>
      </w:r>
      <w:r w:rsidRPr="0089307B">
        <w:t>enrichment activities</w:t>
      </w:r>
      <w:r>
        <w:t xml:space="preserve"> </w:t>
      </w:r>
      <w:r w:rsidRPr="0089307B">
        <w:t>or the engagement of a dedicated recreation support coordinator</w:t>
      </w:r>
      <w:r>
        <w:t xml:space="preserve">. </w:t>
      </w:r>
    </w:p>
    <w:p w14:paraId="47236526" w14:textId="24A4B95B" w:rsidR="00E75ACA" w:rsidRDefault="00E75ACA" w:rsidP="0079620C">
      <w:pPr>
        <w:pStyle w:val="ListParagraph"/>
        <w:numPr>
          <w:ilvl w:val="0"/>
          <w:numId w:val="31"/>
        </w:numPr>
        <w:spacing w:after="170"/>
        <w:contextualSpacing w:val="0"/>
      </w:pPr>
      <w:r>
        <w:t>As the Program grows, investigate the extent to which the perceived pay-risk trade-off is driving recruitment and retention issues among care staff. If this is the case, it may indicate that care staff are not employed at a level commensurate with the scope of the role, and this may need to be adjusted.</w:t>
      </w:r>
    </w:p>
    <w:p w14:paraId="1D9033BB" w14:textId="77777777" w:rsidR="007909ED" w:rsidRPr="00E949D8" w:rsidRDefault="007909ED" w:rsidP="007909ED">
      <w:pPr>
        <w:pStyle w:val="ListParagraph"/>
        <w:numPr>
          <w:ilvl w:val="0"/>
          <w:numId w:val="31"/>
        </w:numPr>
        <w:spacing w:after="170"/>
        <w:contextualSpacing w:val="0"/>
      </w:pPr>
      <w:r w:rsidRPr="00E949D8">
        <w:t xml:space="preserve">Ensure initial multidisciplinary team meetings consistently occur within one week of admission, and that discharge planning is discussed at this meeting, with a discharge plan developed shortly after. In the case of a likely external transition, identifying suitable locations should also commence as part of discharge planning. </w:t>
      </w:r>
    </w:p>
    <w:p w14:paraId="401D4C9F" w14:textId="77777777" w:rsidR="007909ED" w:rsidRPr="00E949D8" w:rsidRDefault="007909ED" w:rsidP="007909ED">
      <w:pPr>
        <w:pStyle w:val="ListParagraph"/>
        <w:numPr>
          <w:ilvl w:val="0"/>
          <w:numId w:val="31"/>
        </w:numPr>
        <w:spacing w:after="170"/>
        <w:contextualSpacing w:val="0"/>
      </w:pPr>
      <w:r w:rsidRPr="00E949D8">
        <w:t xml:space="preserve">Consider mechanisms for enhancing the role and input of </w:t>
      </w:r>
      <w:r>
        <w:t>care staff</w:t>
      </w:r>
      <w:r w:rsidRPr="00E949D8">
        <w:t xml:space="preserve"> as part of CRTs or other discussions on client progress. </w:t>
      </w:r>
      <w:r>
        <w:t>The benefits of this are two-fold: it provides an important informal capability building opportunity for care staff, particularly as it relates to behavioural management techniques; it also provides more senior clinical staff with insight into daily behaviors and triggers observed on the ground.</w:t>
      </w:r>
    </w:p>
    <w:p w14:paraId="3F1158BD" w14:textId="77777777" w:rsidR="007909ED" w:rsidRPr="00E949D8" w:rsidRDefault="007909ED" w:rsidP="007909ED">
      <w:pPr>
        <w:pStyle w:val="ListParagraph"/>
        <w:numPr>
          <w:ilvl w:val="0"/>
          <w:numId w:val="31"/>
        </w:numPr>
        <w:spacing w:after="170"/>
        <w:contextualSpacing w:val="0"/>
      </w:pPr>
      <w:r w:rsidRPr="00E949D8">
        <w:t xml:space="preserve">When discharging a client, ensure the routine use of structured templates and processes (including </w:t>
      </w:r>
      <w:r>
        <w:t>ongoing outreach and follow up</w:t>
      </w:r>
      <w:r w:rsidRPr="00E949D8">
        <w:t xml:space="preserve">), for handover of information that includes a strong focus on the person’s unique needs and preferences, triggers and effective behavioural management strategies. </w:t>
      </w:r>
      <w:r>
        <w:t xml:space="preserve">As part of discharge outreach with receiving facilities, ensure staff continue to monitor the progress of discharged residents to identify residents at risk of bounce back and to inform ongoing improvements in discharge planning processes. </w:t>
      </w:r>
    </w:p>
    <w:p w14:paraId="1786107F" w14:textId="77777777" w:rsidR="007909ED" w:rsidRPr="00E949D8" w:rsidRDefault="007909ED" w:rsidP="007909ED">
      <w:pPr>
        <w:pStyle w:val="ListParagraph"/>
        <w:numPr>
          <w:ilvl w:val="0"/>
          <w:numId w:val="31"/>
        </w:numPr>
        <w:spacing w:after="170"/>
        <w:contextualSpacing w:val="0"/>
      </w:pPr>
      <w:r w:rsidRPr="00E949D8">
        <w:t>Implement processes to routinely reflect on the nature of the partnership with in-reach clinicians, including a discussion of scope for improvement or any need to update the Memorandum of Understanding.</w:t>
      </w:r>
      <w:r>
        <w:t xml:space="preserve"> </w:t>
      </w:r>
    </w:p>
    <w:bookmarkEnd w:id="7"/>
    <w:p w14:paraId="685B355A" w14:textId="37660910" w:rsidR="004020D7" w:rsidRPr="00B40010" w:rsidRDefault="004020D7">
      <w:pPr>
        <w:spacing w:after="200" w:line="276" w:lineRule="auto"/>
        <w:rPr>
          <w:color w:val="FF0000"/>
        </w:rPr>
      </w:pPr>
    </w:p>
    <w:p w14:paraId="336BD3C4" w14:textId="172A71B0" w:rsidR="004020D7" w:rsidRPr="00FD4108" w:rsidRDefault="000F6FDB" w:rsidP="00C063DC">
      <w:pPr>
        <w:pStyle w:val="Heading1"/>
        <w:numPr>
          <w:ilvl w:val="0"/>
          <w:numId w:val="7"/>
        </w:numPr>
      </w:pPr>
      <w:r>
        <w:t xml:space="preserve"> </w:t>
      </w:r>
      <w:bookmarkStart w:id="8" w:name="_Ref124167748"/>
      <w:bookmarkStart w:id="9" w:name="_Toc141714789"/>
      <w:r w:rsidR="00A1718A" w:rsidRPr="00FD4108">
        <w:t>Introduction</w:t>
      </w:r>
      <w:bookmarkEnd w:id="8"/>
      <w:bookmarkEnd w:id="9"/>
    </w:p>
    <w:p w14:paraId="5B325D36" w14:textId="2CBA64FA" w:rsidR="0021329C" w:rsidRPr="0021329C" w:rsidRDefault="0021329C" w:rsidP="0021329C">
      <w:pPr>
        <w:pStyle w:val="Sectionintro"/>
        <w:rPr>
          <w:lang w:val="en-AU"/>
        </w:rPr>
      </w:pPr>
      <w:r w:rsidRPr="0021329C">
        <w:rPr>
          <w:lang w:val="en-AU"/>
        </w:rPr>
        <w:t xml:space="preserve">This chapter </w:t>
      </w:r>
      <w:r w:rsidR="009954A9">
        <w:rPr>
          <w:lang w:val="en-AU"/>
        </w:rPr>
        <w:t>provides background on the</w:t>
      </w:r>
      <w:r w:rsidRPr="0021329C">
        <w:rPr>
          <w:lang w:val="en-AU"/>
        </w:rPr>
        <w:t xml:space="preserve"> Specialist Dementia Care Program</w:t>
      </w:r>
      <w:r w:rsidR="009954A9">
        <w:rPr>
          <w:lang w:val="en-AU"/>
        </w:rPr>
        <w:t xml:space="preserve"> and details the scope and methodology of the evaluation.</w:t>
      </w:r>
    </w:p>
    <w:p w14:paraId="4EAD6ED8" w14:textId="3F05703A" w:rsidR="004020D7" w:rsidRPr="003624A7" w:rsidRDefault="00C436FA" w:rsidP="00B06A99">
      <w:pPr>
        <w:pStyle w:val="Heading2"/>
        <w:spacing w:after="0"/>
        <w:ind w:left="578" w:hanging="578"/>
      </w:pPr>
      <w:r>
        <w:t>Program b</w:t>
      </w:r>
      <w:r w:rsidR="001D2718" w:rsidRPr="003624A7">
        <w:t>ackground</w:t>
      </w:r>
    </w:p>
    <w:p w14:paraId="616518ED" w14:textId="4A0F43DF" w:rsidR="00824C55" w:rsidRDefault="00C575C1" w:rsidP="00C575C1">
      <w:pPr>
        <w:rPr>
          <w:lang w:val="en-AU"/>
        </w:rPr>
      </w:pPr>
      <w:r w:rsidRPr="00C575C1">
        <w:t xml:space="preserve">People exhibiting </w:t>
      </w:r>
      <w:r w:rsidR="00C06147">
        <w:t xml:space="preserve">very </w:t>
      </w:r>
      <w:r w:rsidRPr="00C575C1">
        <w:t xml:space="preserve">severe behavioural and psychological symptoms of dementia (BPSD) require specialised and intensive support, which is difficult to provide within the context of mainstream residential aged care facilities (RACFs). As a result, this cohort faces barriers to receiving optimal care for their needs, and may have higher risk of being overmedicated, or of frequent use of emergency department or inpatient psychogeriatric services. </w:t>
      </w:r>
      <w:r w:rsidR="00497DA7">
        <w:t>These individuals</w:t>
      </w:r>
      <w:r w:rsidRPr="00C575C1">
        <w:t xml:space="preserve"> may also be displaced from</w:t>
      </w:r>
      <w:r w:rsidR="00FC1D55">
        <w:t xml:space="preserve"> (or </w:t>
      </w:r>
      <w:r w:rsidRPr="00C575C1">
        <w:t>unable to be placed within</w:t>
      </w:r>
      <w:r w:rsidR="00FC1D55">
        <w:t>)</w:t>
      </w:r>
      <w:r w:rsidRPr="00C575C1">
        <w:t xml:space="preserve"> mainstream RACFs due to the impact of </w:t>
      </w:r>
      <w:r w:rsidR="00170F57">
        <w:t>BPSD on</w:t>
      </w:r>
      <w:r w:rsidRPr="00C575C1">
        <w:t xml:space="preserve"> </w:t>
      </w:r>
      <w:r w:rsidR="00170F57">
        <w:t>other residents,</w:t>
      </w:r>
      <w:r w:rsidRPr="00C575C1">
        <w:t xml:space="preserve"> staff retention, and the ability for the provider to comply with required standards.  </w:t>
      </w:r>
      <w:r w:rsidR="00976E1E">
        <w:rPr>
          <w:lang w:val="en-AU"/>
        </w:rPr>
        <w:t xml:space="preserve">The Program was announced in 2016 </w:t>
      </w:r>
      <w:r w:rsidR="003972A6">
        <w:rPr>
          <w:lang w:val="en-AU"/>
        </w:rPr>
        <w:t>to better meet the needs of this cohort</w:t>
      </w:r>
      <w:r w:rsidRPr="00C575C1">
        <w:rPr>
          <w:lang w:val="en-AU"/>
        </w:rPr>
        <w:t>.</w:t>
      </w:r>
      <w:r w:rsidR="003972A6">
        <w:rPr>
          <w:lang w:val="en-AU"/>
        </w:rPr>
        <w:t xml:space="preserve"> F</w:t>
      </w:r>
      <w:r w:rsidR="00A54A40">
        <w:rPr>
          <w:lang w:val="en-AU"/>
        </w:rPr>
        <w:t>unding commenced in FY2018-19 to establish up to 35 units</w:t>
      </w:r>
      <w:r w:rsidR="000E624F">
        <w:rPr>
          <w:lang w:val="en-AU"/>
        </w:rPr>
        <w:t>,</w:t>
      </w:r>
      <w:r w:rsidR="00A54A40">
        <w:rPr>
          <w:lang w:val="en-AU"/>
        </w:rPr>
        <w:t xml:space="preserve"> with at least one unit in each of the 31 </w:t>
      </w:r>
      <w:r w:rsidR="00824C55">
        <w:rPr>
          <w:lang w:val="en-AU"/>
        </w:rPr>
        <w:t>Primary Health Network regions.</w:t>
      </w:r>
    </w:p>
    <w:p w14:paraId="6D0C888C" w14:textId="09DC3EE2" w:rsidR="00C575C1" w:rsidRPr="00C575C1" w:rsidRDefault="00C575C1" w:rsidP="00C575C1">
      <w:pPr>
        <w:rPr>
          <w:lang w:val="en-AU"/>
        </w:rPr>
      </w:pPr>
      <w:r w:rsidRPr="00C575C1">
        <w:rPr>
          <w:lang w:val="en-AU"/>
        </w:rPr>
        <w:t xml:space="preserve"> Each </w:t>
      </w:r>
      <w:r w:rsidR="00513D42">
        <w:rPr>
          <w:lang w:val="en-AU"/>
        </w:rPr>
        <w:t>SDCU</w:t>
      </w:r>
      <w:r w:rsidRPr="00C575C1">
        <w:rPr>
          <w:lang w:val="en-AU"/>
        </w:rPr>
        <w:t xml:space="preserve"> offers individuals specialised residential support, focused on reducing or stabilising symptoms over a period of approximately </w:t>
      </w:r>
      <w:r w:rsidR="00F60F31">
        <w:rPr>
          <w:lang w:val="en-AU"/>
        </w:rPr>
        <w:t>12</w:t>
      </w:r>
      <w:r w:rsidR="00F60F31" w:rsidRPr="00C575C1">
        <w:rPr>
          <w:lang w:val="en-AU"/>
        </w:rPr>
        <w:t xml:space="preserve"> </w:t>
      </w:r>
      <w:r w:rsidRPr="00C575C1">
        <w:rPr>
          <w:lang w:val="en-AU"/>
        </w:rPr>
        <w:t xml:space="preserve">months, with the aim of supporting their transition to less intensive care settings. The design of the Program was informed by a rigorous evidence base, which included a comprehensive literature review of comparable models, extensive consultation with industry and governmental stakeholder groups, and the provision of expert advice from dementia researchers. </w:t>
      </w:r>
    </w:p>
    <w:p w14:paraId="14DF4638" w14:textId="0FD99966" w:rsidR="00C575C1" w:rsidRPr="00C575C1" w:rsidRDefault="00F42C64" w:rsidP="00C575C1">
      <w:pPr>
        <w:rPr>
          <w:lang w:val="en-AU"/>
        </w:rPr>
      </w:pPr>
      <w:r>
        <w:rPr>
          <w:lang w:val="en-AU"/>
        </w:rPr>
        <w:t>The</w:t>
      </w:r>
      <w:r w:rsidR="00034669">
        <w:rPr>
          <w:lang w:val="en-AU"/>
        </w:rPr>
        <w:t xml:space="preserve"> needs-based assessment (NBA)</w:t>
      </w:r>
      <w:r w:rsidR="00385AFB">
        <w:rPr>
          <w:lang w:val="en-AU"/>
        </w:rPr>
        <w:t xml:space="preserve"> service</w:t>
      </w:r>
      <w:r w:rsidR="0008629B">
        <w:rPr>
          <w:lang w:val="en-AU"/>
        </w:rPr>
        <w:t>, currently delivered by Dementia Support Australia (DSA), is a government funded service which supports the</w:t>
      </w:r>
      <w:r w:rsidR="00C575C1" w:rsidRPr="00C575C1">
        <w:rPr>
          <w:lang w:val="en-AU"/>
        </w:rPr>
        <w:t xml:space="preserve"> process for referral</w:t>
      </w:r>
      <w:r w:rsidR="0002299E">
        <w:rPr>
          <w:lang w:val="en-AU"/>
        </w:rPr>
        <w:t xml:space="preserve"> and</w:t>
      </w:r>
      <w:r w:rsidR="00C575C1" w:rsidRPr="00C575C1">
        <w:rPr>
          <w:lang w:val="en-AU"/>
        </w:rPr>
        <w:t xml:space="preserve"> </w:t>
      </w:r>
      <w:r w:rsidR="0008629B">
        <w:rPr>
          <w:lang w:val="en-AU"/>
        </w:rPr>
        <w:t>assessment of</w:t>
      </w:r>
      <w:r w:rsidR="0008629B" w:rsidRPr="00C575C1">
        <w:rPr>
          <w:lang w:val="en-AU"/>
        </w:rPr>
        <w:t xml:space="preserve"> </w:t>
      </w:r>
      <w:r w:rsidR="00C575C1" w:rsidRPr="00C575C1">
        <w:rPr>
          <w:lang w:val="en-AU"/>
        </w:rPr>
        <w:t xml:space="preserve">eligibility </w:t>
      </w:r>
      <w:r w:rsidR="00761E64">
        <w:rPr>
          <w:lang w:val="en-AU"/>
        </w:rPr>
        <w:t>for</w:t>
      </w:r>
      <w:r w:rsidR="00C575C1" w:rsidRPr="00C575C1">
        <w:rPr>
          <w:lang w:val="en-AU"/>
        </w:rPr>
        <w:t xml:space="preserve"> the Program. Once a person </w:t>
      </w:r>
      <w:r w:rsidR="008F7B5A">
        <w:rPr>
          <w:lang w:val="en-AU"/>
        </w:rPr>
        <w:t>is</w:t>
      </w:r>
      <w:r w:rsidR="00C575C1" w:rsidRPr="00C575C1">
        <w:rPr>
          <w:lang w:val="en-AU"/>
        </w:rPr>
        <w:t xml:space="preserve"> de</w:t>
      </w:r>
      <w:r w:rsidR="00691FB9">
        <w:rPr>
          <w:lang w:val="en-AU"/>
        </w:rPr>
        <w:t>emed</w:t>
      </w:r>
      <w:r w:rsidR="00C575C1" w:rsidRPr="00C575C1">
        <w:rPr>
          <w:lang w:val="en-AU"/>
        </w:rPr>
        <w:t xml:space="preserve"> eligible</w:t>
      </w:r>
      <w:r w:rsidR="00D900AD">
        <w:rPr>
          <w:lang w:val="en-AU"/>
        </w:rPr>
        <w:t xml:space="preserve"> for the </w:t>
      </w:r>
      <w:r w:rsidR="001D5166">
        <w:rPr>
          <w:lang w:val="en-AU"/>
        </w:rPr>
        <w:t>Program by the</w:t>
      </w:r>
      <w:r w:rsidR="00D900AD">
        <w:rPr>
          <w:lang w:val="en-AU"/>
        </w:rPr>
        <w:t xml:space="preserve"> NBA service</w:t>
      </w:r>
      <w:r w:rsidR="00C575C1" w:rsidRPr="00C575C1">
        <w:rPr>
          <w:lang w:val="en-AU"/>
        </w:rPr>
        <w:t xml:space="preserve">, </w:t>
      </w:r>
      <w:r w:rsidR="001D5166">
        <w:rPr>
          <w:lang w:val="en-AU"/>
        </w:rPr>
        <w:t xml:space="preserve">they are </w:t>
      </w:r>
      <w:r w:rsidR="00D80452">
        <w:rPr>
          <w:lang w:val="en-AU"/>
        </w:rPr>
        <w:t>referred to a</w:t>
      </w:r>
      <w:r w:rsidR="000971C1">
        <w:rPr>
          <w:lang w:val="en-AU"/>
        </w:rPr>
        <w:t xml:space="preserve"> provide site. Th</w:t>
      </w:r>
      <w:r w:rsidR="00430B3D">
        <w:rPr>
          <w:lang w:val="en-AU"/>
        </w:rPr>
        <w:t>e</w:t>
      </w:r>
      <w:r w:rsidR="000971C1">
        <w:rPr>
          <w:lang w:val="en-AU"/>
        </w:rPr>
        <w:t xml:space="preserve"> provider will</w:t>
      </w:r>
      <w:r w:rsidR="00C575C1" w:rsidRPr="00C575C1">
        <w:rPr>
          <w:lang w:val="en-AU"/>
        </w:rPr>
        <w:t xml:space="preserve"> then undergo a separate administrative process to assess suitability for the person to be </w:t>
      </w:r>
      <w:r w:rsidR="0092131A">
        <w:rPr>
          <w:lang w:val="en-AU"/>
        </w:rPr>
        <w:t>admitted</w:t>
      </w:r>
      <w:r w:rsidR="00C575C1" w:rsidRPr="00C575C1">
        <w:rPr>
          <w:lang w:val="en-AU"/>
        </w:rPr>
        <w:t xml:space="preserve"> </w:t>
      </w:r>
      <w:r w:rsidR="0092131A">
        <w:rPr>
          <w:lang w:val="en-AU"/>
        </w:rPr>
        <w:t>to</w:t>
      </w:r>
      <w:r w:rsidR="00C575C1" w:rsidRPr="00C575C1">
        <w:rPr>
          <w:lang w:val="en-AU"/>
        </w:rPr>
        <w:t xml:space="preserve"> their </w:t>
      </w:r>
      <w:r w:rsidR="00430B3D">
        <w:rPr>
          <w:lang w:val="en-AU"/>
        </w:rPr>
        <w:t>unit</w:t>
      </w:r>
      <w:r w:rsidR="00C575C1" w:rsidRPr="00C575C1">
        <w:rPr>
          <w:lang w:val="en-AU"/>
        </w:rPr>
        <w:t>.</w:t>
      </w:r>
    </w:p>
    <w:p w14:paraId="5495806C" w14:textId="22D8C275" w:rsidR="00C575C1" w:rsidRPr="00C575C1" w:rsidRDefault="00AE6C0F" w:rsidP="00C575C1">
      <w:pPr>
        <w:rPr>
          <w:lang w:val="en-AU"/>
        </w:rPr>
      </w:pPr>
      <w:r>
        <w:rPr>
          <w:lang w:val="en-AU"/>
        </w:rPr>
        <w:t>Each provider is</w:t>
      </w:r>
      <w:r w:rsidR="00C575C1" w:rsidRPr="00C575C1">
        <w:rPr>
          <w:lang w:val="en-AU"/>
        </w:rPr>
        <w:t xml:space="preserve"> required to negotiate clinical access arrangements with their relevant state/</w:t>
      </w:r>
      <w:r w:rsidR="004E080D">
        <w:rPr>
          <w:lang w:val="en-AU"/>
        </w:rPr>
        <w:t>territory</w:t>
      </w:r>
      <w:r w:rsidR="00C575C1" w:rsidRPr="00C575C1">
        <w:rPr>
          <w:lang w:val="en-AU"/>
        </w:rPr>
        <w:t xml:space="preserve"> health departments, </w:t>
      </w:r>
      <w:r w:rsidR="00331352">
        <w:rPr>
          <w:lang w:val="en-AU"/>
        </w:rPr>
        <w:t>with the goal of</w:t>
      </w:r>
      <w:r w:rsidR="00C575C1" w:rsidRPr="00C575C1">
        <w:rPr>
          <w:lang w:val="en-AU"/>
        </w:rPr>
        <w:t xml:space="preserve"> ensur</w:t>
      </w:r>
      <w:r w:rsidR="00331352">
        <w:rPr>
          <w:lang w:val="en-AU"/>
        </w:rPr>
        <w:t>ing</w:t>
      </w:r>
      <w:r w:rsidR="00C575C1" w:rsidRPr="00C575C1">
        <w:rPr>
          <w:lang w:val="en-AU"/>
        </w:rPr>
        <w:t xml:space="preserve"> specialist-level care is delivered to residents. Arrangements typically result in a psycho-geriatrician</w:t>
      </w:r>
      <w:r w:rsidR="00CC5AA8">
        <w:rPr>
          <w:lang w:val="en-AU"/>
        </w:rPr>
        <w:t xml:space="preserve"> (or similar</w:t>
      </w:r>
      <w:r w:rsidR="004E080D">
        <w:rPr>
          <w:lang w:val="en-AU"/>
        </w:rPr>
        <w:t xml:space="preserve"> specialist</w:t>
      </w:r>
      <w:r w:rsidR="00CC5AA8">
        <w:rPr>
          <w:lang w:val="en-AU"/>
        </w:rPr>
        <w:t>)</w:t>
      </w:r>
      <w:r w:rsidR="00C575C1" w:rsidRPr="00C575C1">
        <w:rPr>
          <w:lang w:val="en-AU"/>
        </w:rPr>
        <w:t xml:space="preserve"> and a Clinical Nurse Consultant (hereafter referred to as in-reach clinicians) providing on-site care at the </w:t>
      </w:r>
      <w:r w:rsidR="006D059C">
        <w:rPr>
          <w:lang w:val="en-AU"/>
        </w:rPr>
        <w:t>SDCU</w:t>
      </w:r>
      <w:r w:rsidR="00C575C1" w:rsidRPr="00C575C1">
        <w:rPr>
          <w:lang w:val="en-AU"/>
        </w:rPr>
        <w:t xml:space="preserve"> up to two days per week. </w:t>
      </w:r>
    </w:p>
    <w:p w14:paraId="76965093" w14:textId="5A26A789" w:rsidR="00414433" w:rsidRDefault="00C575C1" w:rsidP="00C575C1">
      <w:pPr>
        <w:rPr>
          <w:b/>
          <w:bCs/>
          <w:lang w:val="en-AU"/>
        </w:rPr>
      </w:pPr>
      <w:r w:rsidRPr="00C575C1">
        <w:rPr>
          <w:lang w:val="en-AU"/>
        </w:rPr>
        <w:t xml:space="preserve">An overview of the </w:t>
      </w:r>
      <w:r w:rsidR="003156FD">
        <w:rPr>
          <w:lang w:val="en-AU"/>
        </w:rPr>
        <w:t>Program’s</w:t>
      </w:r>
      <w:r w:rsidR="003156FD" w:rsidRPr="00C575C1">
        <w:rPr>
          <w:lang w:val="en-AU"/>
        </w:rPr>
        <w:t xml:space="preserve"> </w:t>
      </w:r>
      <w:r w:rsidRPr="00C575C1">
        <w:rPr>
          <w:lang w:val="en-AU"/>
        </w:rPr>
        <w:t>referral and care pathway is depicted in</w:t>
      </w:r>
      <w:r>
        <w:rPr>
          <w:b/>
          <w:bCs/>
          <w:lang w:val="en-AU"/>
        </w:rPr>
        <w:t xml:space="preserve"> </w:t>
      </w:r>
      <w:r w:rsidR="000217E8">
        <w:rPr>
          <w:b/>
          <w:bCs/>
          <w:lang w:val="en-AU"/>
        </w:rPr>
        <w:fldChar w:fldCharType="begin"/>
      </w:r>
      <w:r w:rsidR="000217E8">
        <w:rPr>
          <w:b/>
          <w:bCs/>
          <w:lang w:val="en-AU"/>
        </w:rPr>
        <w:instrText xml:space="preserve"> REF _Ref125368403 \h </w:instrText>
      </w:r>
      <w:r w:rsidR="000217E8">
        <w:rPr>
          <w:b/>
          <w:bCs/>
          <w:lang w:val="en-AU"/>
        </w:rPr>
      </w:r>
      <w:r w:rsidR="000217E8">
        <w:rPr>
          <w:b/>
          <w:bCs/>
          <w:lang w:val="en-AU"/>
        </w:rPr>
        <w:fldChar w:fldCharType="separate"/>
      </w:r>
      <w:r w:rsidR="00D32536">
        <w:t xml:space="preserve">Figure </w:t>
      </w:r>
      <w:r w:rsidR="00D32536">
        <w:rPr>
          <w:noProof/>
        </w:rPr>
        <w:t>1</w:t>
      </w:r>
      <w:r w:rsidR="00D32536">
        <w:t>.</w:t>
      </w:r>
      <w:r w:rsidR="00D32536">
        <w:rPr>
          <w:noProof/>
        </w:rPr>
        <w:t>1</w:t>
      </w:r>
      <w:r w:rsidR="000217E8">
        <w:rPr>
          <w:b/>
          <w:bCs/>
          <w:lang w:val="en-AU"/>
        </w:rPr>
        <w:fldChar w:fldCharType="end"/>
      </w:r>
      <w:r>
        <w:rPr>
          <w:b/>
          <w:bCs/>
          <w:lang w:val="en-AU"/>
        </w:rPr>
        <w:t>.</w:t>
      </w:r>
    </w:p>
    <w:p w14:paraId="57784BFA" w14:textId="3CABCAAB" w:rsidR="003151A5" w:rsidRDefault="003151A5" w:rsidP="003151A5">
      <w:pPr>
        <w:pStyle w:val="Caption"/>
      </w:pPr>
      <w:bookmarkStart w:id="10" w:name="_Ref125368403"/>
      <w:r>
        <w:t xml:space="preserve">Figure </w:t>
      </w:r>
      <w:r w:rsidR="00915F8B">
        <w:fldChar w:fldCharType="begin"/>
      </w:r>
      <w:r w:rsidR="00915F8B">
        <w:instrText xml:space="preserve"> STYLEREF 1 \s </w:instrText>
      </w:r>
      <w:r w:rsidR="00915F8B">
        <w:fldChar w:fldCharType="separate"/>
      </w:r>
      <w:r w:rsidR="00D32536">
        <w:rPr>
          <w:noProof/>
        </w:rPr>
        <w:t>1</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1</w:t>
      </w:r>
      <w:r w:rsidR="008875A8">
        <w:fldChar w:fldCharType="end"/>
      </w:r>
      <w:bookmarkEnd w:id="10"/>
      <w:r>
        <w:t xml:space="preserve"> </w:t>
      </w:r>
      <w:r w:rsidRPr="00DA792E">
        <w:t>Specialist Dementia Care Program care pathway</w:t>
      </w:r>
    </w:p>
    <w:p w14:paraId="16EC308D" w14:textId="70806F02" w:rsidR="00C575C1" w:rsidRDefault="00611567" w:rsidP="00EB700A">
      <w:pPr>
        <w:rPr>
          <w:lang w:val="en-AU"/>
        </w:rPr>
      </w:pPr>
      <w:r w:rsidRPr="00611567">
        <w:rPr>
          <w:noProof/>
        </w:rPr>
        <w:drawing>
          <wp:inline distT="0" distB="0" distL="0" distR="0" wp14:anchorId="47B9BA12" wp14:editId="368A5457">
            <wp:extent cx="6062858" cy="2608028"/>
            <wp:effectExtent l="0" t="0" r="0" b="1905"/>
            <wp:docPr id="23" name="Picture 23" descr="This diagram describes the care pathway of the Specialist Dementia Care Program. In the referral and transition in section, Dementia Support Australia receives a referral and assesses eligibility for an SDCP assessment. Next, DSA undertakes an SDCP assessment. If the person is eligible for placement, the case is presented at a specialist dementia care unit's Clinical Advisory Committee meeting for a placement decision. For those people accepted into the unit, the next section of the care pathway is the delivery of care. Here, the Clinical Advisory Committee monitors the stabilisation of symptoms over a period of months and then assesses suitability to transfer the resident to a less intensive care setting. For residents that are identified for discharge, their symptoms are monitored in their new care setting, where if symptoms re-present they are re-admitted to the unit in the bounce-back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diagram describes the care pathway of the Specialist Dementia Care Program. In the referral and transition in section, Dementia Support Australia receives a referral and assesses eligibility for an SDCP assessment. Next, DSA undertakes an SDCP assessment. If the person is eligible for placement, the case is presented at a specialist dementia care unit's Clinical Advisory Committee meeting for a placement decision. For those people accepted into the unit, the next section of the care pathway is the delivery of care. Here, the Clinical Advisory Committee monitors the stabilisation of symptoms over a period of months and then assesses suitability to transfer the resident to a less intensive care setting. For residents that are identified for discharge, their symptoms are monitored in their new care setting, where if symptoms re-present they are re-admitted to the unit in the bounce-back be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8482" cy="2614749"/>
                    </a:xfrm>
                    <a:prstGeom prst="rect">
                      <a:avLst/>
                    </a:prstGeom>
                    <a:noFill/>
                    <a:ln>
                      <a:noFill/>
                    </a:ln>
                  </pic:spPr>
                </pic:pic>
              </a:graphicData>
            </a:graphic>
          </wp:inline>
        </w:drawing>
      </w:r>
    </w:p>
    <w:p w14:paraId="1227967C" w14:textId="1D7FDAA4" w:rsidR="00D44D2E" w:rsidRDefault="00D44D2E" w:rsidP="00D44D2E">
      <w:pPr>
        <w:pStyle w:val="SourcetextTableorChart"/>
        <w:rPr>
          <w:lang w:val="en-AU"/>
        </w:rPr>
      </w:pPr>
      <w:r>
        <w:rPr>
          <w:lang w:val="en-AU"/>
        </w:rPr>
        <w:t>Source: Deloitte Access Economics based on Department of Health</w:t>
      </w:r>
      <w:r w:rsidR="009C0B49">
        <w:rPr>
          <w:lang w:val="en-AU"/>
        </w:rPr>
        <w:t xml:space="preserve"> and Aged Care</w:t>
      </w:r>
      <w:r>
        <w:rPr>
          <w:lang w:val="en-AU"/>
        </w:rPr>
        <w:t xml:space="preserve"> information.</w:t>
      </w:r>
    </w:p>
    <w:p w14:paraId="731BF8B2" w14:textId="6BE83287" w:rsidR="00327537" w:rsidRDefault="00127B0E" w:rsidP="003151A5">
      <w:pPr>
        <w:rPr>
          <w:lang w:val="en-AU"/>
        </w:rPr>
      </w:pPr>
      <w:r w:rsidRPr="00127B0E">
        <w:rPr>
          <w:lang w:val="en-AU"/>
        </w:rPr>
        <w:t xml:space="preserve">The </w:t>
      </w:r>
      <w:r w:rsidR="00644383">
        <w:rPr>
          <w:lang w:val="en-AU"/>
        </w:rPr>
        <w:t xml:space="preserve">approach to </w:t>
      </w:r>
      <w:r w:rsidRPr="00127B0E">
        <w:rPr>
          <w:lang w:val="en-AU"/>
        </w:rPr>
        <w:t xml:space="preserve">Program </w:t>
      </w:r>
      <w:r w:rsidR="00644383">
        <w:rPr>
          <w:lang w:val="en-AU"/>
        </w:rPr>
        <w:t>roll</w:t>
      </w:r>
      <w:r w:rsidR="00C436FA">
        <w:rPr>
          <w:lang w:val="en-AU"/>
        </w:rPr>
        <w:t>-</w:t>
      </w:r>
      <w:r w:rsidR="00644383">
        <w:rPr>
          <w:lang w:val="en-AU"/>
        </w:rPr>
        <w:t>ou</w:t>
      </w:r>
      <w:r w:rsidR="00C436FA">
        <w:rPr>
          <w:lang w:val="en-AU"/>
        </w:rPr>
        <w:t>t</w:t>
      </w:r>
      <w:r w:rsidR="00644383">
        <w:rPr>
          <w:lang w:val="en-AU"/>
        </w:rPr>
        <w:t xml:space="preserve"> involves several</w:t>
      </w:r>
      <w:r w:rsidRPr="00127B0E">
        <w:rPr>
          <w:lang w:val="en-AU"/>
        </w:rPr>
        <w:t xml:space="preserve"> phases, with Phase One consisting of 10 sites established between September 2019 and </w:t>
      </w:r>
      <w:r w:rsidR="00A32E40">
        <w:rPr>
          <w:lang w:val="en-AU"/>
        </w:rPr>
        <w:t>August</w:t>
      </w:r>
      <w:r w:rsidRPr="00127B0E">
        <w:rPr>
          <w:lang w:val="en-AU"/>
        </w:rPr>
        <w:t xml:space="preserve"> 2020. Overall, 35 sites are intended to be established nationally, with coverage across every Primary Health Network region. The timing for the establishment of each Phase One site is provided in</w:t>
      </w:r>
      <w:r w:rsidR="00327537">
        <w:rPr>
          <w:lang w:val="en-AU"/>
        </w:rPr>
        <w:t xml:space="preserve"> </w:t>
      </w:r>
      <w:r w:rsidR="000217E8">
        <w:rPr>
          <w:lang w:val="en-AU"/>
        </w:rPr>
        <w:fldChar w:fldCharType="begin"/>
      </w:r>
      <w:r w:rsidR="000217E8">
        <w:rPr>
          <w:lang w:val="en-AU"/>
        </w:rPr>
        <w:instrText xml:space="preserve"> REF _Ref125368431 \h </w:instrText>
      </w:r>
      <w:r w:rsidR="000217E8">
        <w:rPr>
          <w:lang w:val="en-AU"/>
        </w:rPr>
      </w:r>
      <w:r w:rsidR="000217E8">
        <w:rPr>
          <w:lang w:val="en-AU"/>
        </w:rPr>
        <w:fldChar w:fldCharType="separate"/>
      </w:r>
      <w:r w:rsidR="00D32536">
        <w:t xml:space="preserve">Table </w:t>
      </w:r>
      <w:r w:rsidR="00D32536">
        <w:rPr>
          <w:noProof/>
        </w:rPr>
        <w:t>1</w:t>
      </w:r>
      <w:r w:rsidR="00D32536">
        <w:t>.</w:t>
      </w:r>
      <w:r w:rsidR="00D32536">
        <w:rPr>
          <w:noProof/>
        </w:rPr>
        <w:t>1</w:t>
      </w:r>
      <w:r w:rsidR="000217E8">
        <w:rPr>
          <w:lang w:val="en-AU"/>
        </w:rPr>
        <w:fldChar w:fldCharType="end"/>
      </w:r>
      <w:r w:rsidR="00327537">
        <w:rPr>
          <w:lang w:val="en-AU"/>
        </w:rPr>
        <w:t>.</w:t>
      </w:r>
    </w:p>
    <w:p w14:paraId="0252020C" w14:textId="6D145489" w:rsidR="003151A5" w:rsidRDefault="003151A5" w:rsidP="003151A5">
      <w:pPr>
        <w:pStyle w:val="Caption"/>
      </w:pPr>
      <w:bookmarkStart w:id="11" w:name="_Ref125368431"/>
      <w:r>
        <w:t xml:space="preserve">Table </w:t>
      </w:r>
      <w:r w:rsidR="005B7353">
        <w:fldChar w:fldCharType="begin"/>
      </w:r>
      <w:r w:rsidR="005B7353">
        <w:instrText xml:space="preserve"> STYLEREF 1 \s </w:instrText>
      </w:r>
      <w:r w:rsidR="005B7353">
        <w:fldChar w:fldCharType="separate"/>
      </w:r>
      <w:r w:rsidR="00D32536">
        <w:rPr>
          <w:noProof/>
        </w:rPr>
        <w:t>1</w:t>
      </w:r>
      <w:r w:rsidR="005B7353">
        <w:fldChar w:fldCharType="end"/>
      </w:r>
      <w:r w:rsidR="005B7353">
        <w:t>.</w:t>
      </w:r>
      <w:r w:rsidR="005B7353">
        <w:fldChar w:fldCharType="begin"/>
      </w:r>
      <w:r w:rsidR="005B7353">
        <w:instrText xml:space="preserve"> SEQ Table \* ARABIC \s 1 </w:instrText>
      </w:r>
      <w:r w:rsidR="005B7353">
        <w:fldChar w:fldCharType="separate"/>
      </w:r>
      <w:r w:rsidR="00D32536">
        <w:rPr>
          <w:noProof/>
        </w:rPr>
        <w:t>1</w:t>
      </w:r>
      <w:r w:rsidR="005B7353">
        <w:fldChar w:fldCharType="end"/>
      </w:r>
      <w:bookmarkEnd w:id="11"/>
      <w:r>
        <w:t xml:space="preserve"> </w:t>
      </w:r>
      <w:r w:rsidRPr="000F67D5">
        <w:t>Phase One SDCU implementation</w:t>
      </w:r>
    </w:p>
    <w:tbl>
      <w:tblPr>
        <w:tblStyle w:val="Deloittetable"/>
        <w:tblW w:w="9072" w:type="dxa"/>
        <w:tblLook w:val="04A0" w:firstRow="1" w:lastRow="0" w:firstColumn="1" w:lastColumn="0" w:noHBand="0" w:noVBand="1"/>
      </w:tblPr>
      <w:tblGrid>
        <w:gridCol w:w="1276"/>
        <w:gridCol w:w="6237"/>
        <w:gridCol w:w="1559"/>
      </w:tblGrid>
      <w:tr w:rsidR="001D2C71" w14:paraId="1B025C4C" w14:textId="77777777" w:rsidTr="004A1B4D">
        <w:trPr>
          <w:cnfStyle w:val="100000000000" w:firstRow="1" w:lastRow="0" w:firstColumn="0" w:lastColumn="0" w:oddVBand="0" w:evenVBand="0" w:oddHBand="0" w:evenHBand="0" w:firstRowFirstColumn="0" w:firstRowLastColumn="0" w:lastRowFirstColumn="0" w:lastRowLastColumn="0"/>
          <w:trHeight w:val="332"/>
        </w:trPr>
        <w:tc>
          <w:tcPr>
            <w:tcW w:w="1276" w:type="dxa"/>
          </w:tcPr>
          <w:p w14:paraId="6B8FFE62" w14:textId="77777777" w:rsidR="001D2C71" w:rsidRPr="008B5FA4" w:rsidRDefault="001D2C71" w:rsidP="000636B9">
            <w:pPr>
              <w:pStyle w:val="TableHeadingLeft"/>
              <w:keepNext/>
              <w:spacing w:after="120"/>
            </w:pPr>
            <w:r w:rsidRPr="008B5FA4">
              <w:t>State</w:t>
            </w:r>
          </w:p>
        </w:tc>
        <w:tc>
          <w:tcPr>
            <w:tcW w:w="6237" w:type="dxa"/>
          </w:tcPr>
          <w:p w14:paraId="0E1EE8EB" w14:textId="77777777" w:rsidR="001D2C71" w:rsidRPr="008B5FA4" w:rsidRDefault="001D2C71" w:rsidP="000636B9">
            <w:pPr>
              <w:pStyle w:val="TableHeadingLeft"/>
              <w:keepNext/>
              <w:spacing w:after="120"/>
            </w:pPr>
            <w:r w:rsidRPr="008B5FA4">
              <w:t>Provider</w:t>
            </w:r>
          </w:p>
        </w:tc>
        <w:tc>
          <w:tcPr>
            <w:tcW w:w="1559" w:type="dxa"/>
          </w:tcPr>
          <w:p w14:paraId="52DA47D3" w14:textId="77777777" w:rsidR="001D2C71" w:rsidRPr="008B5FA4" w:rsidRDefault="001D2C71" w:rsidP="000636B9">
            <w:pPr>
              <w:pStyle w:val="TableHeadingLeft"/>
              <w:keepNext/>
              <w:spacing w:after="120"/>
            </w:pPr>
            <w:r w:rsidRPr="008B5FA4">
              <w:t>Start date</w:t>
            </w:r>
          </w:p>
        </w:tc>
      </w:tr>
      <w:tr w:rsidR="001D2C71" w14:paraId="270B91B4" w14:textId="77777777" w:rsidTr="004A1B4D">
        <w:trPr>
          <w:trHeight w:val="220"/>
        </w:trPr>
        <w:tc>
          <w:tcPr>
            <w:tcW w:w="1276" w:type="dxa"/>
          </w:tcPr>
          <w:p w14:paraId="449B7FA3" w14:textId="77777777" w:rsidR="001D2C71" w:rsidRDefault="001D2C71" w:rsidP="000636B9">
            <w:pPr>
              <w:keepNext/>
              <w:spacing w:after="120"/>
            </w:pPr>
            <w:r>
              <w:t>WA</w:t>
            </w:r>
          </w:p>
        </w:tc>
        <w:tc>
          <w:tcPr>
            <w:tcW w:w="6237" w:type="dxa"/>
          </w:tcPr>
          <w:p w14:paraId="1C7C7A9E" w14:textId="18D97CCC" w:rsidR="001D2C71" w:rsidRDefault="001D2C71" w:rsidP="000636B9">
            <w:pPr>
              <w:keepNext/>
              <w:spacing w:after="120"/>
            </w:pPr>
            <w:r>
              <w:t>Brightwater</w:t>
            </w:r>
            <w:r w:rsidR="00C24018">
              <w:t xml:space="preserve"> Care Group, </w:t>
            </w:r>
            <w:r w:rsidR="00EF2B58">
              <w:t>T</w:t>
            </w:r>
            <w:r w:rsidR="00C24018">
              <w:t>he Village (Brightwater)</w:t>
            </w:r>
          </w:p>
        </w:tc>
        <w:tc>
          <w:tcPr>
            <w:tcW w:w="1559" w:type="dxa"/>
          </w:tcPr>
          <w:p w14:paraId="6E78B02D" w14:textId="77777777" w:rsidR="001D2C71" w:rsidRDefault="001D2C71" w:rsidP="000636B9">
            <w:pPr>
              <w:keepNext/>
              <w:spacing w:after="120"/>
            </w:pPr>
            <w:r>
              <w:t>September 2019</w:t>
            </w:r>
          </w:p>
        </w:tc>
      </w:tr>
      <w:tr w:rsidR="001D2C71" w14:paraId="12ED5D29" w14:textId="77777777" w:rsidTr="004A1B4D">
        <w:trPr>
          <w:trHeight w:val="400"/>
        </w:trPr>
        <w:tc>
          <w:tcPr>
            <w:tcW w:w="1276" w:type="dxa"/>
          </w:tcPr>
          <w:p w14:paraId="01E17AD7" w14:textId="77777777" w:rsidR="001D2C71" w:rsidRDefault="001D2C71" w:rsidP="000636B9">
            <w:pPr>
              <w:keepNext/>
              <w:spacing w:after="120"/>
            </w:pPr>
            <w:r>
              <w:t>NSW</w:t>
            </w:r>
          </w:p>
        </w:tc>
        <w:tc>
          <w:tcPr>
            <w:tcW w:w="6237" w:type="dxa"/>
          </w:tcPr>
          <w:p w14:paraId="4232326B" w14:textId="0E0FF08E" w:rsidR="00C24018" w:rsidRDefault="001D2C71" w:rsidP="000636B9">
            <w:pPr>
              <w:keepNext/>
              <w:spacing w:after="120"/>
            </w:pPr>
            <w:r>
              <w:t>Hammond</w:t>
            </w:r>
            <w:r w:rsidR="0025277E">
              <w:t>C</w:t>
            </w:r>
            <w:r>
              <w:t>are Cardiff</w:t>
            </w:r>
            <w:r w:rsidR="0025277E">
              <w:t xml:space="preserve"> </w:t>
            </w:r>
            <w:r w:rsidR="00C24018">
              <w:t>(Cardiff)</w:t>
            </w:r>
          </w:p>
        </w:tc>
        <w:tc>
          <w:tcPr>
            <w:tcW w:w="1559" w:type="dxa"/>
          </w:tcPr>
          <w:p w14:paraId="1AC50213" w14:textId="77777777" w:rsidR="001D2C71" w:rsidRDefault="001D2C71" w:rsidP="000636B9">
            <w:pPr>
              <w:keepNext/>
              <w:spacing w:after="120"/>
            </w:pPr>
            <w:r>
              <w:t>January 2020</w:t>
            </w:r>
          </w:p>
        </w:tc>
      </w:tr>
      <w:tr w:rsidR="001D2C71" w14:paraId="7EFB8B0F" w14:textId="77777777" w:rsidTr="004A1B4D">
        <w:trPr>
          <w:trHeight w:val="340"/>
        </w:trPr>
        <w:tc>
          <w:tcPr>
            <w:tcW w:w="1276" w:type="dxa"/>
          </w:tcPr>
          <w:p w14:paraId="371BA199" w14:textId="77777777" w:rsidR="001D2C71" w:rsidRDefault="001D2C71" w:rsidP="000636B9">
            <w:pPr>
              <w:keepNext/>
              <w:spacing w:after="120"/>
            </w:pPr>
            <w:r>
              <w:t>VIC</w:t>
            </w:r>
          </w:p>
        </w:tc>
        <w:tc>
          <w:tcPr>
            <w:tcW w:w="6237" w:type="dxa"/>
          </w:tcPr>
          <w:p w14:paraId="3A132ACC" w14:textId="4325B03B" w:rsidR="001D2C71" w:rsidRDefault="001D2C71" w:rsidP="000636B9">
            <w:pPr>
              <w:keepNext/>
              <w:spacing w:after="120"/>
            </w:pPr>
            <w:r>
              <w:t>Hammond</w:t>
            </w:r>
            <w:r w:rsidR="0025277E">
              <w:t>C</w:t>
            </w:r>
            <w:r>
              <w:t>are Caulfield</w:t>
            </w:r>
            <w:r w:rsidR="0025277E">
              <w:t xml:space="preserve"> (Caulfield)</w:t>
            </w:r>
          </w:p>
        </w:tc>
        <w:tc>
          <w:tcPr>
            <w:tcW w:w="1559" w:type="dxa"/>
          </w:tcPr>
          <w:p w14:paraId="0C5DA124" w14:textId="77777777" w:rsidR="001D2C71" w:rsidRDefault="001D2C71" w:rsidP="000636B9">
            <w:pPr>
              <w:keepNext/>
              <w:spacing w:after="120"/>
            </w:pPr>
            <w:r>
              <w:t>January 2020</w:t>
            </w:r>
          </w:p>
        </w:tc>
      </w:tr>
      <w:tr w:rsidR="001D2C71" w14:paraId="0A3C95C1" w14:textId="77777777" w:rsidTr="004A1B4D">
        <w:trPr>
          <w:trHeight w:val="332"/>
        </w:trPr>
        <w:tc>
          <w:tcPr>
            <w:tcW w:w="1276" w:type="dxa"/>
          </w:tcPr>
          <w:p w14:paraId="1312CC5E" w14:textId="77777777" w:rsidR="001D2C71" w:rsidRDefault="001D2C71" w:rsidP="000636B9">
            <w:pPr>
              <w:keepNext/>
              <w:spacing w:after="120"/>
            </w:pPr>
            <w:r>
              <w:t>VIC</w:t>
            </w:r>
          </w:p>
        </w:tc>
        <w:tc>
          <w:tcPr>
            <w:tcW w:w="6237" w:type="dxa"/>
          </w:tcPr>
          <w:p w14:paraId="5336E6D2" w14:textId="5770A23D" w:rsidR="001D2C71" w:rsidRDefault="001D2C71" w:rsidP="000636B9">
            <w:pPr>
              <w:keepNext/>
              <w:spacing w:after="120"/>
            </w:pPr>
            <w:r>
              <w:t>Villa Maria</w:t>
            </w:r>
            <w:r w:rsidR="00EF2B58">
              <w:t xml:space="preserve"> Catholic Homes, St Bernadette’s Residential Aged Care Facility, Sunshine North (Villa Maria)</w:t>
            </w:r>
          </w:p>
        </w:tc>
        <w:tc>
          <w:tcPr>
            <w:tcW w:w="1559" w:type="dxa"/>
          </w:tcPr>
          <w:p w14:paraId="7C41FAB9" w14:textId="77777777" w:rsidR="001D2C71" w:rsidRDefault="001D2C71" w:rsidP="000636B9">
            <w:pPr>
              <w:keepNext/>
              <w:spacing w:after="120"/>
            </w:pPr>
            <w:r>
              <w:t>August 2020</w:t>
            </w:r>
          </w:p>
        </w:tc>
      </w:tr>
      <w:tr w:rsidR="001D2C71" w14:paraId="6779C78B" w14:textId="77777777" w:rsidTr="004A1B4D">
        <w:trPr>
          <w:trHeight w:val="332"/>
        </w:trPr>
        <w:tc>
          <w:tcPr>
            <w:tcW w:w="1276" w:type="dxa"/>
          </w:tcPr>
          <w:p w14:paraId="5149BB0B" w14:textId="77777777" w:rsidR="001D2C71" w:rsidRDefault="001D2C71" w:rsidP="000636B9">
            <w:pPr>
              <w:keepNext/>
              <w:spacing w:after="120"/>
            </w:pPr>
            <w:r>
              <w:t>VIC</w:t>
            </w:r>
          </w:p>
        </w:tc>
        <w:tc>
          <w:tcPr>
            <w:tcW w:w="6237" w:type="dxa"/>
          </w:tcPr>
          <w:p w14:paraId="14997C1A" w14:textId="15F0BC12" w:rsidR="001D2C71" w:rsidRDefault="001D2C71" w:rsidP="000636B9">
            <w:pPr>
              <w:keepNext/>
              <w:spacing w:after="120"/>
            </w:pPr>
            <w:r>
              <w:t>Wintringham</w:t>
            </w:r>
            <w:r w:rsidR="00114F1F">
              <w:t>, McLean Lodge Hostel, Flemington (Wintringham)</w:t>
            </w:r>
          </w:p>
        </w:tc>
        <w:tc>
          <w:tcPr>
            <w:tcW w:w="1559" w:type="dxa"/>
          </w:tcPr>
          <w:p w14:paraId="5F3AA286" w14:textId="77777777" w:rsidR="001D2C71" w:rsidRDefault="001D2C71" w:rsidP="000636B9">
            <w:pPr>
              <w:keepNext/>
              <w:spacing w:after="120"/>
            </w:pPr>
            <w:r>
              <w:t>August 2020</w:t>
            </w:r>
          </w:p>
        </w:tc>
      </w:tr>
      <w:tr w:rsidR="001D2C71" w14:paraId="0F63967C" w14:textId="77777777" w:rsidTr="004A1B4D">
        <w:trPr>
          <w:trHeight w:val="332"/>
        </w:trPr>
        <w:tc>
          <w:tcPr>
            <w:tcW w:w="1276" w:type="dxa"/>
          </w:tcPr>
          <w:p w14:paraId="45E909AB" w14:textId="77777777" w:rsidR="001D2C71" w:rsidRDefault="001D2C71" w:rsidP="000636B9">
            <w:pPr>
              <w:keepNext/>
              <w:spacing w:after="120"/>
            </w:pPr>
            <w:r>
              <w:t>SA</w:t>
            </w:r>
          </w:p>
        </w:tc>
        <w:tc>
          <w:tcPr>
            <w:tcW w:w="6237" w:type="dxa"/>
          </w:tcPr>
          <w:p w14:paraId="1824CDB9" w14:textId="359AEAF8" w:rsidR="001D2C71" w:rsidRDefault="00BA19D3" w:rsidP="000636B9">
            <w:pPr>
              <w:keepNext/>
              <w:spacing w:after="120"/>
            </w:pPr>
            <w:r>
              <w:t xml:space="preserve">Uniting Communities Inc, </w:t>
            </w:r>
            <w:r w:rsidR="007A7E5E">
              <w:t>Aldersgate, Felixstow (Aldersgate)</w:t>
            </w:r>
          </w:p>
        </w:tc>
        <w:tc>
          <w:tcPr>
            <w:tcW w:w="1559" w:type="dxa"/>
          </w:tcPr>
          <w:p w14:paraId="56F4FB90" w14:textId="77777777" w:rsidR="001D2C71" w:rsidRDefault="001D2C71" w:rsidP="000636B9">
            <w:pPr>
              <w:keepNext/>
              <w:spacing w:after="120"/>
            </w:pPr>
            <w:r>
              <w:t>April 2020</w:t>
            </w:r>
          </w:p>
        </w:tc>
      </w:tr>
      <w:tr w:rsidR="001D2C71" w14:paraId="57576CB2" w14:textId="77777777" w:rsidTr="004A1B4D">
        <w:trPr>
          <w:trHeight w:val="332"/>
        </w:trPr>
        <w:tc>
          <w:tcPr>
            <w:tcW w:w="1276" w:type="dxa"/>
          </w:tcPr>
          <w:p w14:paraId="7A90DE59" w14:textId="77777777" w:rsidR="001D2C71" w:rsidRDefault="001D2C71" w:rsidP="000636B9">
            <w:pPr>
              <w:keepNext/>
              <w:spacing w:after="120"/>
            </w:pPr>
            <w:r>
              <w:t>ACT</w:t>
            </w:r>
          </w:p>
        </w:tc>
        <w:tc>
          <w:tcPr>
            <w:tcW w:w="6237" w:type="dxa"/>
          </w:tcPr>
          <w:p w14:paraId="22AEEB3A" w14:textId="5276988C" w:rsidR="001D2C71" w:rsidRDefault="00171276" w:rsidP="000636B9">
            <w:pPr>
              <w:keepNext/>
              <w:spacing w:after="120"/>
            </w:pPr>
            <w:r>
              <w:t xml:space="preserve">Uniting Church in Australia, </w:t>
            </w:r>
            <w:r w:rsidR="001D2C71">
              <w:t>Uniting Eabrai</w:t>
            </w:r>
            <w:r>
              <w:t>, Weston (Uniting Eabrai)</w:t>
            </w:r>
          </w:p>
        </w:tc>
        <w:tc>
          <w:tcPr>
            <w:tcW w:w="1559" w:type="dxa"/>
          </w:tcPr>
          <w:p w14:paraId="2B82E351" w14:textId="77777777" w:rsidR="001D2C71" w:rsidRDefault="001D2C71" w:rsidP="000636B9">
            <w:pPr>
              <w:keepNext/>
              <w:spacing w:after="120"/>
            </w:pPr>
            <w:r>
              <w:t>July 2020</w:t>
            </w:r>
          </w:p>
        </w:tc>
      </w:tr>
      <w:tr w:rsidR="001D2C71" w14:paraId="0B8C9DF3" w14:textId="77777777" w:rsidTr="004A1B4D">
        <w:trPr>
          <w:trHeight w:val="340"/>
        </w:trPr>
        <w:tc>
          <w:tcPr>
            <w:tcW w:w="1276" w:type="dxa"/>
          </w:tcPr>
          <w:p w14:paraId="4FF1D370" w14:textId="77777777" w:rsidR="001D2C71" w:rsidRDefault="001D2C71" w:rsidP="000636B9">
            <w:pPr>
              <w:keepNext/>
              <w:spacing w:after="120"/>
            </w:pPr>
            <w:r>
              <w:t>QLD</w:t>
            </w:r>
          </w:p>
        </w:tc>
        <w:tc>
          <w:tcPr>
            <w:tcW w:w="6237" w:type="dxa"/>
          </w:tcPr>
          <w:p w14:paraId="0B494350" w14:textId="3BAC1075" w:rsidR="001D2C71" w:rsidRDefault="00B521C4" w:rsidP="000636B9">
            <w:pPr>
              <w:keepNext/>
              <w:spacing w:after="120"/>
            </w:pPr>
            <w:r>
              <w:t>Corp. of the Synod of Brisbane, St Martin’s Nursing Home (St Martin’s)</w:t>
            </w:r>
          </w:p>
        </w:tc>
        <w:tc>
          <w:tcPr>
            <w:tcW w:w="1559" w:type="dxa"/>
          </w:tcPr>
          <w:p w14:paraId="14A7FC74" w14:textId="77777777" w:rsidR="001D2C71" w:rsidRDefault="001D2C71" w:rsidP="000636B9">
            <w:pPr>
              <w:keepNext/>
              <w:spacing w:after="120"/>
            </w:pPr>
            <w:r>
              <w:t>July 2020</w:t>
            </w:r>
          </w:p>
        </w:tc>
      </w:tr>
      <w:tr w:rsidR="001D2C71" w14:paraId="3121999C" w14:textId="77777777" w:rsidTr="004A1B4D">
        <w:trPr>
          <w:trHeight w:val="332"/>
        </w:trPr>
        <w:tc>
          <w:tcPr>
            <w:tcW w:w="1276" w:type="dxa"/>
          </w:tcPr>
          <w:p w14:paraId="2C942269" w14:textId="77777777" w:rsidR="001D2C71" w:rsidRDefault="001D2C71" w:rsidP="000636B9">
            <w:pPr>
              <w:keepNext/>
              <w:spacing w:after="120"/>
            </w:pPr>
            <w:r>
              <w:t xml:space="preserve">QLD </w:t>
            </w:r>
          </w:p>
        </w:tc>
        <w:tc>
          <w:tcPr>
            <w:tcW w:w="6237" w:type="dxa"/>
          </w:tcPr>
          <w:p w14:paraId="49F8D349" w14:textId="03741B5A" w:rsidR="001D2C71" w:rsidRDefault="001D2C71" w:rsidP="000636B9">
            <w:pPr>
              <w:keepNext/>
              <w:spacing w:after="120"/>
            </w:pPr>
            <w:r>
              <w:t>Alzheimer</w:t>
            </w:r>
            <w:r w:rsidR="00B521C4">
              <w:t>’s Association of Queensland Inc, Garden City Aged Care Service, Upper Mt Gravatt</w:t>
            </w:r>
            <w:r w:rsidR="007F28BB">
              <w:t xml:space="preserve"> (AAQ)</w:t>
            </w:r>
            <w:r>
              <w:t xml:space="preserve"> </w:t>
            </w:r>
          </w:p>
        </w:tc>
        <w:tc>
          <w:tcPr>
            <w:tcW w:w="1559" w:type="dxa"/>
          </w:tcPr>
          <w:p w14:paraId="69CE79C0" w14:textId="77777777" w:rsidR="001D2C71" w:rsidRDefault="001D2C71" w:rsidP="000636B9">
            <w:pPr>
              <w:keepNext/>
              <w:spacing w:after="120"/>
            </w:pPr>
            <w:r>
              <w:t>March 2020</w:t>
            </w:r>
          </w:p>
        </w:tc>
      </w:tr>
      <w:tr w:rsidR="001D2C71" w14:paraId="01FFBCB4" w14:textId="77777777" w:rsidTr="004A1B4D">
        <w:trPr>
          <w:trHeight w:val="332"/>
        </w:trPr>
        <w:tc>
          <w:tcPr>
            <w:tcW w:w="1276" w:type="dxa"/>
          </w:tcPr>
          <w:p w14:paraId="710ECDDC" w14:textId="77777777" w:rsidR="001D2C71" w:rsidRDefault="001D2C71" w:rsidP="000636B9">
            <w:pPr>
              <w:keepNext/>
              <w:spacing w:after="120"/>
            </w:pPr>
            <w:r>
              <w:t>QLD</w:t>
            </w:r>
          </w:p>
        </w:tc>
        <w:tc>
          <w:tcPr>
            <w:tcW w:w="6237" w:type="dxa"/>
          </w:tcPr>
          <w:p w14:paraId="5FFC691B" w14:textId="2D3A6EBB" w:rsidR="001D2C71" w:rsidRDefault="001D2C71" w:rsidP="000636B9">
            <w:pPr>
              <w:keepNext/>
              <w:spacing w:after="120"/>
            </w:pPr>
            <w:r>
              <w:t>Good Shep</w:t>
            </w:r>
            <w:r w:rsidR="007F28BB">
              <w:t>her</w:t>
            </w:r>
            <w:r>
              <w:t>d</w:t>
            </w:r>
            <w:r w:rsidR="007F28BB">
              <w:t xml:space="preserve"> Lodge Ltd, Good Shepherd</w:t>
            </w:r>
            <w:r w:rsidR="004A1B4D">
              <w:t>, Mackay (Good Shepherd)</w:t>
            </w:r>
          </w:p>
        </w:tc>
        <w:tc>
          <w:tcPr>
            <w:tcW w:w="1559" w:type="dxa"/>
          </w:tcPr>
          <w:p w14:paraId="71591822" w14:textId="77777777" w:rsidR="001D2C71" w:rsidRDefault="001D2C71" w:rsidP="000636B9">
            <w:pPr>
              <w:keepNext/>
              <w:spacing w:after="120"/>
            </w:pPr>
            <w:r>
              <w:t>July 2020</w:t>
            </w:r>
          </w:p>
        </w:tc>
      </w:tr>
    </w:tbl>
    <w:p w14:paraId="023DDB4A" w14:textId="5C69AACE" w:rsidR="00327537" w:rsidRDefault="00E464AE" w:rsidP="00E464AE">
      <w:pPr>
        <w:pStyle w:val="SourcetextTableorChart"/>
        <w:rPr>
          <w:lang w:val="en-AU"/>
        </w:rPr>
      </w:pPr>
      <w:r>
        <w:rPr>
          <w:lang w:val="en-AU"/>
        </w:rPr>
        <w:t>Source: Department of Health and Aged Care.</w:t>
      </w:r>
    </w:p>
    <w:p w14:paraId="1E47B228" w14:textId="77777777" w:rsidR="00E464AE" w:rsidRDefault="00E464AE" w:rsidP="00127B0E">
      <w:pPr>
        <w:spacing w:after="200" w:line="276" w:lineRule="auto"/>
        <w:rPr>
          <w:rFonts w:ascii="Verdana" w:eastAsia="Verdana" w:hAnsi="Verdana" w:cs="Times New Roman"/>
          <w:sz w:val="18"/>
          <w:szCs w:val="18"/>
          <w:lang w:val="en-AU"/>
        </w:rPr>
      </w:pPr>
    </w:p>
    <w:p w14:paraId="4CF04555" w14:textId="23C294B9" w:rsidR="00127B0E" w:rsidRPr="00127B0E" w:rsidRDefault="00D62088" w:rsidP="00B06A99">
      <w:pPr>
        <w:pStyle w:val="Heading2"/>
        <w:spacing w:after="0"/>
        <w:ind w:left="578" w:hanging="578"/>
        <w:rPr>
          <w:lang w:val="en-AU"/>
        </w:rPr>
      </w:pPr>
      <w:r>
        <w:rPr>
          <w:lang w:val="en-AU"/>
        </w:rPr>
        <w:t xml:space="preserve">Evaluation of the </w:t>
      </w:r>
      <w:r w:rsidR="008D09C1">
        <w:rPr>
          <w:lang w:val="en-AU"/>
        </w:rPr>
        <w:t>Specialist Dementia Care Program</w:t>
      </w:r>
    </w:p>
    <w:p w14:paraId="19563945" w14:textId="71BA5C37" w:rsidR="00BB6D92" w:rsidRDefault="00BB6D92" w:rsidP="00BB6D92">
      <w:r>
        <w:t>In July 2019, the Department engaged Deloitte Access Economics to undertake an independent evaluation of Phase One of the S</w:t>
      </w:r>
      <w:r w:rsidR="008D09C1">
        <w:t>pecialist Dementia Care Program</w:t>
      </w:r>
      <w:r>
        <w:t xml:space="preserve">. The purpose of the evaluation </w:t>
      </w:r>
      <w:r w:rsidR="00C436FA">
        <w:t>is</w:t>
      </w:r>
      <w:r>
        <w:t xml:space="preserve"> to generate </w:t>
      </w:r>
      <w:r w:rsidR="00033200">
        <w:t xml:space="preserve">contemporary </w:t>
      </w:r>
      <w:r>
        <w:t xml:space="preserve">evidence on the implementation, outcomes and impact of providing specialised residential support for </w:t>
      </w:r>
      <w:r w:rsidR="00077801">
        <w:t xml:space="preserve">people </w:t>
      </w:r>
      <w:r>
        <w:t xml:space="preserve">with </w:t>
      </w:r>
      <w:r w:rsidR="00556D70">
        <w:t xml:space="preserve">very </w:t>
      </w:r>
      <w:r>
        <w:t xml:space="preserve">severe BPSD. By understanding the Program’s strengths and areas for improvement, the Department and other key stakeholders can make informed decisions regarding ongoing Program investment and scalability to maximise the benefits for all Australians with dementia. </w:t>
      </w:r>
    </w:p>
    <w:p w14:paraId="1BDFBAC0" w14:textId="48257D0D" w:rsidR="00BB6D92" w:rsidRDefault="00BB6D92" w:rsidP="00BB6D92">
      <w:r>
        <w:t xml:space="preserve">The evaluation activities and reporting schedule </w:t>
      </w:r>
      <w:r w:rsidR="00B91228">
        <w:t>was</w:t>
      </w:r>
      <w:r>
        <w:t xml:space="preserve"> staggered over a three-year period. Reporting (shown in</w:t>
      </w:r>
      <w:r w:rsidR="00D418A6">
        <w:t xml:space="preserve"> </w:t>
      </w:r>
      <w:r w:rsidR="007F22F6">
        <w:fldChar w:fldCharType="begin"/>
      </w:r>
      <w:r w:rsidR="007F22F6">
        <w:instrText xml:space="preserve"> REF _Ref125372614 \h </w:instrText>
      </w:r>
      <w:r w:rsidR="007F22F6">
        <w:fldChar w:fldCharType="separate"/>
      </w:r>
      <w:r w:rsidR="00D32536">
        <w:t xml:space="preserve">Figure </w:t>
      </w:r>
      <w:r w:rsidR="00D32536">
        <w:rPr>
          <w:noProof/>
        </w:rPr>
        <w:t>1</w:t>
      </w:r>
      <w:r w:rsidR="00D32536">
        <w:t>.</w:t>
      </w:r>
      <w:r w:rsidR="00D32536">
        <w:rPr>
          <w:noProof/>
        </w:rPr>
        <w:t>2</w:t>
      </w:r>
      <w:r w:rsidR="007F22F6">
        <w:fldChar w:fldCharType="end"/>
      </w:r>
      <w:r>
        <w:t>) comprised three annual reports, as described below.</w:t>
      </w:r>
    </w:p>
    <w:p w14:paraId="400006DA" w14:textId="7E7A94F0" w:rsidR="00DF57D0" w:rsidRDefault="00DF57D0" w:rsidP="00DF57D0">
      <w:pPr>
        <w:pStyle w:val="Caption"/>
      </w:pPr>
      <w:bookmarkStart w:id="12" w:name="_Ref125372614"/>
      <w:r>
        <w:t xml:space="preserve">Figure </w:t>
      </w:r>
      <w:r w:rsidR="00915F8B">
        <w:fldChar w:fldCharType="begin"/>
      </w:r>
      <w:r w:rsidR="00915F8B">
        <w:instrText xml:space="preserve"> STYLEREF 1 \s </w:instrText>
      </w:r>
      <w:r w:rsidR="00915F8B">
        <w:fldChar w:fldCharType="separate"/>
      </w:r>
      <w:r w:rsidR="00D32536">
        <w:rPr>
          <w:noProof/>
        </w:rPr>
        <w:t>1</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2</w:t>
      </w:r>
      <w:r w:rsidR="008875A8">
        <w:fldChar w:fldCharType="end"/>
      </w:r>
      <w:bookmarkEnd w:id="12"/>
      <w:r>
        <w:t xml:space="preserve"> </w:t>
      </w:r>
      <w:r w:rsidRPr="00670964">
        <w:t>Evaluation annual reports</w:t>
      </w:r>
    </w:p>
    <w:p w14:paraId="7650AF63" w14:textId="473DBAF0" w:rsidR="00FC3D72" w:rsidRDefault="00280182" w:rsidP="00280182">
      <w:pPr>
        <w:pStyle w:val="Caption"/>
        <w:jc w:val="center"/>
      </w:pPr>
      <w:r>
        <w:rPr>
          <w:noProof/>
        </w:rPr>
        <w:drawing>
          <wp:inline distT="0" distB="0" distL="0" distR="0" wp14:anchorId="0539B287" wp14:editId="033EAA5F">
            <wp:extent cx="4598126" cy="2309651"/>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5139" cy="2323220"/>
                    </a:xfrm>
                    <a:prstGeom prst="rect">
                      <a:avLst/>
                    </a:prstGeom>
                    <a:noFill/>
                  </pic:spPr>
                </pic:pic>
              </a:graphicData>
            </a:graphic>
          </wp:inline>
        </w:drawing>
      </w:r>
    </w:p>
    <w:p w14:paraId="4D2B3E2B" w14:textId="06A1F788" w:rsidR="00FC3D72" w:rsidRPr="00FC3D72" w:rsidRDefault="00FC3D72" w:rsidP="00FC3D72">
      <w:pPr>
        <w:pStyle w:val="ListBullet"/>
      </w:pPr>
      <w:r w:rsidRPr="0067604E">
        <w:rPr>
          <w:rFonts w:asciiTheme="majorHAnsi" w:hAnsiTheme="majorHAnsi" w:cstheme="majorHAnsi"/>
          <w:b/>
        </w:rPr>
        <w:t>Interim Report (2020)</w:t>
      </w:r>
      <w:r w:rsidR="002B740F">
        <w:rPr>
          <w:rFonts w:asciiTheme="majorHAnsi" w:hAnsiTheme="majorHAnsi" w:cstheme="majorHAnsi"/>
          <w:b/>
        </w:rPr>
        <w:t xml:space="preserve"> [SUBMITTED]</w:t>
      </w:r>
      <w:r w:rsidRPr="0067604E">
        <w:rPr>
          <w:rFonts w:asciiTheme="majorHAnsi" w:hAnsiTheme="majorHAnsi" w:cstheme="majorHAnsi"/>
          <w:b/>
        </w:rPr>
        <w:t xml:space="preserve">: </w:t>
      </w:r>
      <w:r w:rsidRPr="00FC3D72">
        <w:t>Th</w:t>
      </w:r>
      <w:r w:rsidR="00775987">
        <w:t>e 2020</w:t>
      </w:r>
      <w:r w:rsidRPr="00FC3D72">
        <w:t xml:space="preserve"> Interim Report focused on reviewing the implementation of the first </w:t>
      </w:r>
      <w:r w:rsidR="00D66297">
        <w:t>6</w:t>
      </w:r>
      <w:r w:rsidR="00D66297" w:rsidRPr="00FC3D72">
        <w:t xml:space="preserve"> </w:t>
      </w:r>
      <w:r w:rsidRPr="00FC3D72">
        <w:t>to</w:t>
      </w:r>
      <w:r w:rsidRPr="00FC3D72" w:rsidDel="00D66297">
        <w:t xml:space="preserve"> </w:t>
      </w:r>
      <w:r w:rsidR="00D66297">
        <w:t>12</w:t>
      </w:r>
      <w:r w:rsidR="00D66297" w:rsidRPr="00FC3D72">
        <w:t xml:space="preserve"> </w:t>
      </w:r>
      <w:r w:rsidRPr="00FC3D72">
        <w:t xml:space="preserve">months of the first </w:t>
      </w:r>
      <w:r w:rsidR="00513D42">
        <w:t>SDCU</w:t>
      </w:r>
      <w:r w:rsidRPr="00FC3D72">
        <w:t xml:space="preserve"> (Brightwater) a</w:t>
      </w:r>
      <w:r w:rsidR="0051135A">
        <w:t>nd</w:t>
      </w:r>
      <w:r w:rsidRPr="00FC3D72">
        <w:t xml:space="preserve"> the NBA service. </w:t>
      </w:r>
    </w:p>
    <w:p w14:paraId="1F80DAF6" w14:textId="176C8D68" w:rsidR="006B717C" w:rsidRPr="00FC3D72" w:rsidRDefault="00FC3D72" w:rsidP="00EB184E">
      <w:pPr>
        <w:pStyle w:val="ListBullet"/>
      </w:pPr>
      <w:r w:rsidRPr="0067604E">
        <w:rPr>
          <w:rFonts w:asciiTheme="majorHAnsi" w:hAnsiTheme="majorHAnsi" w:cstheme="majorHAnsi"/>
          <w:b/>
        </w:rPr>
        <w:t>Interim Report (2021)</w:t>
      </w:r>
      <w:r w:rsidR="002B740F">
        <w:rPr>
          <w:rFonts w:asciiTheme="majorHAnsi" w:hAnsiTheme="majorHAnsi" w:cstheme="majorHAnsi"/>
          <w:b/>
        </w:rPr>
        <w:t xml:space="preserve"> [SUBMITTED]</w:t>
      </w:r>
      <w:r w:rsidRPr="0067604E">
        <w:rPr>
          <w:rFonts w:asciiTheme="majorHAnsi" w:hAnsiTheme="majorHAnsi" w:cstheme="majorHAnsi"/>
          <w:b/>
        </w:rPr>
        <w:t>:</w:t>
      </w:r>
      <w:r w:rsidRPr="00FC3D72">
        <w:t xml:space="preserve"> Th</w:t>
      </w:r>
      <w:r w:rsidR="00775987">
        <w:t>e 2021</w:t>
      </w:r>
      <w:r w:rsidRPr="00FC3D72">
        <w:t xml:space="preserve"> Interim Report focused on reviewing the implementation of all Phase One </w:t>
      </w:r>
      <w:r w:rsidR="00513D42">
        <w:t>SDCU</w:t>
      </w:r>
      <w:r w:rsidRPr="00FC3D72">
        <w:t>, providing a summary of Program awareness, adoption, appropriateness of the service model and clinical governance, fidelity to Program design and intent, and the key lessons learned.</w:t>
      </w:r>
    </w:p>
    <w:p w14:paraId="275CFC70" w14:textId="12719AC2" w:rsidR="006B717C" w:rsidRPr="00FC3D72" w:rsidRDefault="00FC3D72" w:rsidP="00CF6B4B">
      <w:pPr>
        <w:pStyle w:val="ListBullet"/>
      </w:pPr>
      <w:r w:rsidRPr="0067604E">
        <w:rPr>
          <w:rFonts w:asciiTheme="majorHAnsi" w:hAnsiTheme="majorHAnsi" w:cstheme="majorHAnsi"/>
          <w:b/>
        </w:rPr>
        <w:t>Final Summative Report (2023)</w:t>
      </w:r>
      <w:r w:rsidR="002B740F">
        <w:rPr>
          <w:rFonts w:asciiTheme="majorHAnsi" w:hAnsiTheme="majorHAnsi" w:cstheme="majorHAnsi"/>
          <w:b/>
        </w:rPr>
        <w:t xml:space="preserve"> [THIS REPORT]</w:t>
      </w:r>
      <w:r w:rsidRPr="0067604E">
        <w:rPr>
          <w:rFonts w:asciiTheme="majorHAnsi" w:hAnsiTheme="majorHAnsi" w:cstheme="majorHAnsi"/>
          <w:b/>
        </w:rPr>
        <w:t>:</w:t>
      </w:r>
      <w:r w:rsidRPr="00FC3D72">
        <w:t xml:space="preserve"> </w:t>
      </w:r>
      <w:r w:rsidR="005E7B99">
        <w:t>This report</w:t>
      </w:r>
      <w:r w:rsidRPr="00FC3D72">
        <w:t xml:space="preserve"> updates the findings from the Interim Report, however mainly focuses on </w:t>
      </w:r>
      <w:r w:rsidR="00DD1867">
        <w:t xml:space="preserve">evaluating the Program </w:t>
      </w:r>
      <w:r w:rsidRPr="00FC3D72">
        <w:t>outcomes achieved for residents and their carers and families</w:t>
      </w:r>
      <w:r w:rsidR="00DD1867">
        <w:t xml:space="preserve">, </w:t>
      </w:r>
      <w:r w:rsidR="00D76F56">
        <w:t>Program</w:t>
      </w:r>
      <w:r w:rsidRPr="00FC3D72">
        <w:t xml:space="preserve"> providers, and the broader </w:t>
      </w:r>
      <w:r w:rsidR="00D76F56">
        <w:t>health and aged care</w:t>
      </w:r>
      <w:r w:rsidRPr="00FC3D72">
        <w:t xml:space="preserve"> system.</w:t>
      </w:r>
    </w:p>
    <w:p w14:paraId="3B7D6B34" w14:textId="77777777" w:rsidR="00CF6B4B" w:rsidRPr="00FC3D72" w:rsidRDefault="00CF6B4B" w:rsidP="00CF6B4B">
      <w:pPr>
        <w:pStyle w:val="ListBullet"/>
        <w:numPr>
          <w:ilvl w:val="0"/>
          <w:numId w:val="0"/>
        </w:numPr>
        <w:ind w:left="284"/>
      </w:pPr>
    </w:p>
    <w:p w14:paraId="7B6A5BB9" w14:textId="662871D7" w:rsidR="00FC3D72" w:rsidRDefault="005E7B99" w:rsidP="00B06A99">
      <w:pPr>
        <w:pStyle w:val="Heading2"/>
        <w:spacing w:after="0"/>
        <w:ind w:left="578" w:hanging="578"/>
      </w:pPr>
      <w:r>
        <w:t>M</w:t>
      </w:r>
      <w:r w:rsidR="00FC3D72">
        <w:t>ethodology</w:t>
      </w:r>
    </w:p>
    <w:p w14:paraId="153D6982" w14:textId="6EAABEB9" w:rsidR="007E6F0D" w:rsidRDefault="007E6F0D" w:rsidP="007E6F0D">
      <w:r>
        <w:t xml:space="preserve">Deloitte Access Economics </w:t>
      </w:r>
      <w:r w:rsidR="005502B6">
        <w:t>undertook</w:t>
      </w:r>
      <w:r>
        <w:t xml:space="preserve"> a </w:t>
      </w:r>
      <w:r w:rsidR="008C7615">
        <w:t>four</w:t>
      </w:r>
      <w:r w:rsidR="00BE72EA">
        <w:t>-</w:t>
      </w:r>
      <w:r>
        <w:t xml:space="preserve">stage approach to inform this Report. </w:t>
      </w:r>
      <w:r w:rsidR="000217E8">
        <w:fldChar w:fldCharType="begin"/>
      </w:r>
      <w:r w:rsidR="000217E8">
        <w:instrText xml:space="preserve"> REF _Ref125368478 \h </w:instrText>
      </w:r>
      <w:r w:rsidR="000217E8">
        <w:fldChar w:fldCharType="separate"/>
      </w:r>
      <w:r w:rsidR="00D32536">
        <w:t xml:space="preserve">Figure </w:t>
      </w:r>
      <w:r w:rsidR="00D32536">
        <w:rPr>
          <w:noProof/>
        </w:rPr>
        <w:t>1</w:t>
      </w:r>
      <w:r w:rsidR="00D32536">
        <w:t>.</w:t>
      </w:r>
      <w:r w:rsidR="00D32536">
        <w:rPr>
          <w:noProof/>
        </w:rPr>
        <w:t>3</w:t>
      </w:r>
      <w:r w:rsidR="000217E8">
        <w:fldChar w:fldCharType="end"/>
      </w:r>
      <w:r w:rsidR="0031430F">
        <w:t xml:space="preserve"> </w:t>
      </w:r>
      <w:r>
        <w:t xml:space="preserve">provides an overview of this approach, with additional detail provided in subsequent paragraphs. </w:t>
      </w:r>
    </w:p>
    <w:p w14:paraId="28AC7BBC" w14:textId="7BEE4520" w:rsidR="00681089" w:rsidRDefault="00681089" w:rsidP="00DB790A">
      <w:pPr>
        <w:pStyle w:val="Caption"/>
      </w:pPr>
      <w:bookmarkStart w:id="13" w:name="_Ref125368478"/>
      <w:r>
        <w:t xml:space="preserve">Figure </w:t>
      </w:r>
      <w:r w:rsidR="00915F8B">
        <w:fldChar w:fldCharType="begin"/>
      </w:r>
      <w:r w:rsidR="00915F8B">
        <w:instrText xml:space="preserve"> STYLEREF 1 \s </w:instrText>
      </w:r>
      <w:r w:rsidR="00915F8B">
        <w:fldChar w:fldCharType="separate"/>
      </w:r>
      <w:r w:rsidR="00D32536">
        <w:rPr>
          <w:noProof/>
        </w:rPr>
        <w:t>1</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3</w:t>
      </w:r>
      <w:r w:rsidR="008875A8">
        <w:fldChar w:fldCharType="end"/>
      </w:r>
      <w:bookmarkEnd w:id="13"/>
      <w:r>
        <w:t xml:space="preserve"> </w:t>
      </w:r>
      <w:r w:rsidRPr="00614F64">
        <w:t>Overview of approach to inform the Final Summative Report</w:t>
      </w:r>
    </w:p>
    <w:p w14:paraId="0F897D68" w14:textId="6CAE1B10" w:rsidR="00AD4C98" w:rsidRDefault="00AD4C98" w:rsidP="00340A9D">
      <w:pPr>
        <w:jc w:val="center"/>
      </w:pPr>
      <w:r w:rsidRPr="0083554D">
        <w:rPr>
          <w:noProof/>
        </w:rPr>
        <w:drawing>
          <wp:inline distT="0" distB="0" distL="0" distR="0" wp14:anchorId="258AF452" wp14:editId="39049E56">
            <wp:extent cx="4642485" cy="1155700"/>
            <wp:effectExtent l="0" t="0" r="5715" b="0"/>
            <wp:docPr id="22" name="Picture 22" descr="The four stages of the methodology approach were evaluation planning, data collection and gathering, qualitative and quantitative data analysis and dissemination of key fin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four stages of the methodology approach were evaluation planning, data collection and gathering, qualitative and quantitative data analysis and dissemination of key finding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2485" cy="1155700"/>
                    </a:xfrm>
                    <a:prstGeom prst="rect">
                      <a:avLst/>
                    </a:prstGeom>
                    <a:noFill/>
                    <a:ln>
                      <a:noFill/>
                    </a:ln>
                  </pic:spPr>
                </pic:pic>
              </a:graphicData>
            </a:graphic>
          </wp:inline>
        </w:drawing>
      </w:r>
    </w:p>
    <w:p w14:paraId="19031DFB" w14:textId="77777777" w:rsidR="00573560" w:rsidRDefault="00573560">
      <w:pPr>
        <w:spacing w:after="200" w:line="276" w:lineRule="auto"/>
        <w:rPr>
          <w:rFonts w:asciiTheme="majorHAnsi" w:hAnsiTheme="majorHAnsi"/>
          <w:b/>
          <w:color w:val="53565A" w:themeColor="background2"/>
          <w:sz w:val="24"/>
        </w:rPr>
      </w:pPr>
      <w:r>
        <w:br w:type="page"/>
      </w:r>
    </w:p>
    <w:p w14:paraId="78E7AF18" w14:textId="77777777" w:rsidR="005F1F1E" w:rsidRDefault="005F1F1E" w:rsidP="002C2089">
      <w:pPr>
        <w:pStyle w:val="Heading3"/>
        <w:spacing w:after="0"/>
      </w:pPr>
      <w:r>
        <w:t>Stage One: Evaluation planning</w:t>
      </w:r>
    </w:p>
    <w:p w14:paraId="0A52BD63" w14:textId="599FE7F1" w:rsidR="005A5057" w:rsidRPr="00A87BD8" w:rsidRDefault="005F1F1E" w:rsidP="00A87BD8">
      <w:pPr>
        <w:rPr>
          <w:lang w:val="en-AU"/>
        </w:rPr>
      </w:pPr>
      <w:r>
        <w:t xml:space="preserve">Based on an existing set of evaluation questions formulated by the Department, a finalised Evaluation Plan was co-designed with the Department during project inception. This plan set out the key lines of investigation to pursue as part of the evaluation and identified the data sources to inform each area of investigation. </w:t>
      </w:r>
      <w:r w:rsidR="00D82A63">
        <w:t xml:space="preserve">The Evaluation Plan canvassed both an Implementation Evaluation and an </w:t>
      </w:r>
      <w:r w:rsidR="00AF011A">
        <w:t>Outcome Evaluation</w:t>
      </w:r>
      <w:r w:rsidR="00D82A63">
        <w:t>. Both components</w:t>
      </w:r>
      <w:r w:rsidR="00AF011A">
        <w:t xml:space="preserve"> of the Evaluation Plan </w:t>
      </w:r>
      <w:r w:rsidR="00D82A63">
        <w:t>are</w:t>
      </w:r>
      <w:r w:rsidR="00AF011A" w:rsidRPr="00AF011A">
        <w:rPr>
          <w:lang w:val="en-AU"/>
        </w:rPr>
        <w:t xml:space="preserve"> provided in</w:t>
      </w:r>
      <w:r w:rsidR="00AF011A">
        <w:rPr>
          <w:lang w:val="en-AU"/>
        </w:rPr>
        <w:t xml:space="preserve"> </w:t>
      </w:r>
      <w:r w:rsidR="000217E8">
        <w:rPr>
          <w:lang w:val="en-AU"/>
        </w:rPr>
        <w:fldChar w:fldCharType="begin"/>
      </w:r>
      <w:r w:rsidR="000217E8">
        <w:rPr>
          <w:lang w:val="en-AU"/>
        </w:rPr>
        <w:instrText xml:space="preserve"> REF _Ref125368500 \h </w:instrText>
      </w:r>
      <w:r w:rsidR="000217E8">
        <w:rPr>
          <w:lang w:val="en-AU"/>
        </w:rPr>
      </w:r>
      <w:r w:rsidR="000217E8">
        <w:rPr>
          <w:lang w:val="en-AU"/>
        </w:rPr>
        <w:fldChar w:fldCharType="separate"/>
      </w:r>
      <w:r w:rsidR="00D32536">
        <w:t xml:space="preserve">Table </w:t>
      </w:r>
      <w:r w:rsidR="00D32536">
        <w:rPr>
          <w:noProof/>
        </w:rPr>
        <w:t>1</w:t>
      </w:r>
      <w:r w:rsidR="00D32536">
        <w:t>.</w:t>
      </w:r>
      <w:r w:rsidR="00D32536">
        <w:rPr>
          <w:noProof/>
        </w:rPr>
        <w:t>2</w:t>
      </w:r>
      <w:r w:rsidR="000217E8">
        <w:rPr>
          <w:lang w:val="en-AU"/>
        </w:rPr>
        <w:fldChar w:fldCharType="end"/>
      </w:r>
      <w:r w:rsidR="00A87BD8">
        <w:rPr>
          <w:lang w:val="en-AU"/>
        </w:rPr>
        <w:t>.</w:t>
      </w:r>
    </w:p>
    <w:p w14:paraId="2B8CECC0" w14:textId="3E4F3411" w:rsidR="00A87BD8" w:rsidRDefault="00A87BD8" w:rsidP="00A87BD8">
      <w:pPr>
        <w:pStyle w:val="Caption"/>
      </w:pPr>
      <w:bookmarkStart w:id="14" w:name="_Ref125368500"/>
      <w:r>
        <w:t xml:space="preserve">Table </w:t>
      </w:r>
      <w:r w:rsidR="005B7353">
        <w:fldChar w:fldCharType="begin"/>
      </w:r>
      <w:r w:rsidR="005B7353">
        <w:instrText xml:space="preserve"> STYLEREF 1 \s </w:instrText>
      </w:r>
      <w:r w:rsidR="005B7353">
        <w:fldChar w:fldCharType="separate"/>
      </w:r>
      <w:r w:rsidR="00D32536">
        <w:rPr>
          <w:noProof/>
        </w:rPr>
        <w:t>1</w:t>
      </w:r>
      <w:r w:rsidR="005B7353">
        <w:fldChar w:fldCharType="end"/>
      </w:r>
      <w:r w:rsidR="005B7353">
        <w:t>.</w:t>
      </w:r>
      <w:r w:rsidR="005B7353">
        <w:fldChar w:fldCharType="begin"/>
      </w:r>
      <w:r w:rsidR="005B7353">
        <w:instrText xml:space="preserve"> SEQ Table \* ARABIC \s 1 </w:instrText>
      </w:r>
      <w:r w:rsidR="005B7353">
        <w:fldChar w:fldCharType="separate"/>
      </w:r>
      <w:r w:rsidR="00D32536">
        <w:rPr>
          <w:noProof/>
        </w:rPr>
        <w:t>2</w:t>
      </w:r>
      <w:r w:rsidR="005B7353">
        <w:fldChar w:fldCharType="end"/>
      </w:r>
      <w:bookmarkEnd w:id="14"/>
      <w:r>
        <w:t xml:space="preserve"> </w:t>
      </w:r>
      <w:r w:rsidRPr="0085301A">
        <w:t>Implementation and Outcome Evaluation questions</w:t>
      </w:r>
    </w:p>
    <w:tbl>
      <w:tblPr>
        <w:tblStyle w:val="Deloittetable"/>
        <w:tblpPr w:leftFromText="180" w:rightFromText="180" w:vertAnchor="text" w:tblpY="1"/>
        <w:tblOverlap w:val="never"/>
        <w:tblW w:w="5000" w:type="pct"/>
        <w:tblLook w:val="04A0" w:firstRow="1" w:lastRow="0" w:firstColumn="1" w:lastColumn="0" w:noHBand="0" w:noVBand="1"/>
      </w:tblPr>
      <w:tblGrid>
        <w:gridCol w:w="1578"/>
        <w:gridCol w:w="8374"/>
      </w:tblGrid>
      <w:tr w:rsidR="008F0676" w14:paraId="615A3362" w14:textId="77777777" w:rsidTr="00EF6987">
        <w:trPr>
          <w:cnfStyle w:val="100000000000" w:firstRow="1" w:lastRow="0" w:firstColumn="0" w:lastColumn="0" w:oddVBand="0" w:evenVBand="0" w:oddHBand="0" w:evenHBand="0" w:firstRowFirstColumn="0" w:firstRowLastColumn="0" w:lastRowFirstColumn="0" w:lastRowLastColumn="0"/>
          <w:trHeight w:val="167"/>
        </w:trPr>
        <w:tc>
          <w:tcPr>
            <w:tcW w:w="793" w:type="pct"/>
          </w:tcPr>
          <w:p w14:paraId="40A56B94" w14:textId="77777777" w:rsidR="008F0676" w:rsidRDefault="008F0676" w:rsidP="00EF6987">
            <w:pPr>
              <w:pStyle w:val="TableHeadingLeft"/>
              <w:spacing w:after="60"/>
            </w:pPr>
            <w:r>
              <w:t>Domain</w:t>
            </w:r>
          </w:p>
        </w:tc>
        <w:tc>
          <w:tcPr>
            <w:tcW w:w="4207" w:type="pct"/>
          </w:tcPr>
          <w:p w14:paraId="251CEA6E" w14:textId="77777777" w:rsidR="008F0676" w:rsidRPr="00F1268B" w:rsidRDefault="008F0676" w:rsidP="00EF6987">
            <w:pPr>
              <w:pStyle w:val="TableHeadingLeft"/>
              <w:spacing w:after="60"/>
            </w:pPr>
            <w:r>
              <w:t>Evaluation question/s</w:t>
            </w:r>
          </w:p>
        </w:tc>
      </w:tr>
      <w:tr w:rsidR="00647F5E" w14:paraId="6C900C83" w14:textId="77777777" w:rsidTr="00647F5E">
        <w:trPr>
          <w:trHeight w:val="334"/>
        </w:trPr>
        <w:tc>
          <w:tcPr>
            <w:tcW w:w="793" w:type="pct"/>
            <w:shd w:val="clear" w:color="auto" w:fill="F2F2F2" w:themeFill="background1" w:themeFillShade="F2"/>
          </w:tcPr>
          <w:p w14:paraId="040F4255" w14:textId="18D4A778" w:rsidR="00647F5E" w:rsidRPr="00F7091A" w:rsidRDefault="00647F5E" w:rsidP="00EF6987">
            <w:pPr>
              <w:pStyle w:val="Tabletext"/>
              <w:rPr>
                <w:rFonts w:asciiTheme="majorHAnsi" w:hAnsiTheme="majorHAnsi" w:cstheme="majorHAnsi"/>
                <w:b/>
              </w:rPr>
            </w:pPr>
            <w:r>
              <w:rPr>
                <w:rFonts w:asciiTheme="majorHAnsi" w:hAnsiTheme="majorHAnsi" w:cstheme="majorHAnsi"/>
                <w:b/>
              </w:rPr>
              <w:t>Implementation Evaluation</w:t>
            </w:r>
          </w:p>
        </w:tc>
        <w:tc>
          <w:tcPr>
            <w:tcW w:w="4207" w:type="pct"/>
            <w:shd w:val="clear" w:color="auto" w:fill="F2F2F2" w:themeFill="background1" w:themeFillShade="F2"/>
          </w:tcPr>
          <w:p w14:paraId="58707046" w14:textId="77777777" w:rsidR="00647F5E" w:rsidRDefault="00647F5E" w:rsidP="00EF6987">
            <w:pPr>
              <w:pStyle w:val="Tabletext"/>
              <w:spacing w:after="60"/>
            </w:pPr>
          </w:p>
        </w:tc>
      </w:tr>
      <w:tr w:rsidR="008F0676" w14:paraId="1EACC543" w14:textId="77777777" w:rsidTr="00EF6987">
        <w:trPr>
          <w:trHeight w:val="334"/>
        </w:trPr>
        <w:tc>
          <w:tcPr>
            <w:tcW w:w="793" w:type="pct"/>
          </w:tcPr>
          <w:p w14:paraId="5C7223FF" w14:textId="2224F3D3" w:rsidR="008F0676" w:rsidRPr="00F7091A" w:rsidRDefault="00D82A63" w:rsidP="00EF6987">
            <w:pPr>
              <w:pStyle w:val="Tabletext"/>
              <w:rPr>
                <w:rFonts w:asciiTheme="majorHAnsi" w:hAnsiTheme="majorHAnsi" w:cstheme="majorHAnsi"/>
                <w:b/>
              </w:rPr>
            </w:pPr>
            <w:r w:rsidRPr="00F7091A">
              <w:rPr>
                <w:rFonts w:asciiTheme="majorHAnsi" w:hAnsiTheme="majorHAnsi" w:cstheme="majorHAnsi"/>
                <w:b/>
              </w:rPr>
              <w:t>Awareness</w:t>
            </w:r>
          </w:p>
        </w:tc>
        <w:tc>
          <w:tcPr>
            <w:tcW w:w="4207" w:type="pct"/>
          </w:tcPr>
          <w:p w14:paraId="77309ABA" w14:textId="5A2628EF" w:rsidR="005D6D00" w:rsidRDefault="00D82A63" w:rsidP="00EF6987">
            <w:pPr>
              <w:pStyle w:val="Tabletext"/>
              <w:spacing w:after="60"/>
            </w:pPr>
            <w:r>
              <w:t>To what extent are key referral sources and Program partners aware of, and understand, the SDCP, its purpose and the target resident cohort?</w:t>
            </w:r>
          </w:p>
        </w:tc>
      </w:tr>
      <w:tr w:rsidR="00D82A63" w14:paraId="7030DFF1" w14:textId="77777777" w:rsidTr="00EF6987">
        <w:trPr>
          <w:trHeight w:val="284"/>
        </w:trPr>
        <w:tc>
          <w:tcPr>
            <w:tcW w:w="793" w:type="pct"/>
          </w:tcPr>
          <w:p w14:paraId="67287DF2" w14:textId="057F0EAB" w:rsidR="00D82A63" w:rsidRPr="00F7091A" w:rsidRDefault="00D82A63" w:rsidP="00EF6987">
            <w:pPr>
              <w:pStyle w:val="Tabletext"/>
              <w:rPr>
                <w:rFonts w:asciiTheme="majorHAnsi" w:hAnsiTheme="majorHAnsi" w:cstheme="majorHAnsi"/>
                <w:b/>
              </w:rPr>
            </w:pPr>
            <w:r w:rsidRPr="00F7091A">
              <w:rPr>
                <w:rFonts w:asciiTheme="majorHAnsi" w:hAnsiTheme="majorHAnsi" w:cstheme="majorHAnsi"/>
                <w:b/>
              </w:rPr>
              <w:t>Adoption</w:t>
            </w:r>
          </w:p>
        </w:tc>
        <w:tc>
          <w:tcPr>
            <w:tcW w:w="4207" w:type="pct"/>
          </w:tcPr>
          <w:p w14:paraId="1774A028" w14:textId="77148E63" w:rsidR="00A045FD" w:rsidRDefault="00D82A63" w:rsidP="00EF6987">
            <w:pPr>
              <w:pStyle w:val="Tabletext"/>
              <w:spacing w:after="60"/>
            </w:pPr>
            <w:r>
              <w:t>What has been the reach and frequency of referrals to the SDCP?</w:t>
            </w:r>
          </w:p>
        </w:tc>
      </w:tr>
      <w:tr w:rsidR="00D82A63" w14:paraId="6AB62B46" w14:textId="77777777" w:rsidTr="00EF6987">
        <w:trPr>
          <w:trHeight w:val="334"/>
        </w:trPr>
        <w:tc>
          <w:tcPr>
            <w:tcW w:w="793" w:type="pct"/>
          </w:tcPr>
          <w:p w14:paraId="002251E9" w14:textId="3FBF2331" w:rsidR="00D82A63" w:rsidRPr="00F7091A" w:rsidRDefault="00D82A63" w:rsidP="00EF6987">
            <w:pPr>
              <w:pStyle w:val="Tabletext"/>
              <w:rPr>
                <w:rFonts w:asciiTheme="majorHAnsi" w:hAnsiTheme="majorHAnsi" w:cstheme="majorHAnsi"/>
                <w:b/>
              </w:rPr>
            </w:pPr>
            <w:r w:rsidRPr="00F7091A">
              <w:rPr>
                <w:rFonts w:asciiTheme="majorHAnsi" w:hAnsiTheme="majorHAnsi" w:cstheme="majorHAnsi"/>
                <w:b/>
              </w:rPr>
              <w:t>Appropriateness</w:t>
            </w:r>
          </w:p>
        </w:tc>
        <w:tc>
          <w:tcPr>
            <w:tcW w:w="4207" w:type="pct"/>
          </w:tcPr>
          <w:p w14:paraId="7199D9C2" w14:textId="6E53D368" w:rsidR="00F92AC1" w:rsidRPr="008720CB" w:rsidRDefault="00F92AC1" w:rsidP="00EF6987">
            <w:pPr>
              <w:pStyle w:val="Tabletext"/>
              <w:spacing w:after="60"/>
            </w:pPr>
            <w:r w:rsidRPr="008720CB">
              <w:t>Are staff members competent and confident in their ability to provide</w:t>
            </w:r>
            <w:r w:rsidR="008720CB">
              <w:t xml:space="preserve"> </w:t>
            </w:r>
            <w:r w:rsidRPr="008720CB">
              <w:t>specialist care for residents</w:t>
            </w:r>
            <w:r w:rsidR="008720CB">
              <w:t xml:space="preserve"> </w:t>
            </w:r>
            <w:r w:rsidRPr="008720CB">
              <w:t>with BPSD?</w:t>
            </w:r>
          </w:p>
          <w:p w14:paraId="63B7A669" w14:textId="5AC9BA04" w:rsidR="00F7091A" w:rsidRDefault="00F92AC1" w:rsidP="00EF6987">
            <w:pPr>
              <w:pStyle w:val="Tabletext"/>
              <w:spacing w:after="60"/>
            </w:pPr>
            <w:r w:rsidRPr="008720CB">
              <w:t xml:space="preserve">Is each </w:t>
            </w:r>
            <w:r w:rsidR="006D059C">
              <w:t>SDCU</w:t>
            </w:r>
            <w:r w:rsidRPr="008720CB">
              <w:t xml:space="preserve"> sufficiently resourced to provide optimal care for people with BPSD?</w:t>
            </w:r>
          </w:p>
          <w:p w14:paraId="0EED48DF" w14:textId="2B39CE9A" w:rsidR="00F92AC1" w:rsidRPr="008720CB" w:rsidRDefault="00F92AC1" w:rsidP="00EF6987">
            <w:pPr>
              <w:pStyle w:val="Tabletext"/>
              <w:spacing w:after="60"/>
            </w:pPr>
            <w:r w:rsidRPr="008720CB">
              <w:t>Have governance processes been implemented as intended and are they effective?</w:t>
            </w:r>
          </w:p>
          <w:p w14:paraId="3FACFEC2" w14:textId="0C721070" w:rsidR="006D4F09" w:rsidRDefault="00D82A63" w:rsidP="00EF6987">
            <w:pPr>
              <w:pStyle w:val="Tabletext"/>
              <w:spacing w:after="60"/>
            </w:pPr>
            <w:r w:rsidRPr="008720CB">
              <w:t>Have the right mix of multidisciplinary clinicians been involved to enable optimal care?</w:t>
            </w:r>
          </w:p>
        </w:tc>
      </w:tr>
      <w:tr w:rsidR="00D82A63" w14:paraId="5589CA3D" w14:textId="77777777" w:rsidTr="00EF6987">
        <w:trPr>
          <w:trHeight w:val="334"/>
        </w:trPr>
        <w:tc>
          <w:tcPr>
            <w:tcW w:w="793" w:type="pct"/>
          </w:tcPr>
          <w:p w14:paraId="17C9921A" w14:textId="3E9899F2" w:rsidR="00D82A63" w:rsidRPr="00F7091A" w:rsidRDefault="00D82A63" w:rsidP="00EF6987">
            <w:pPr>
              <w:pStyle w:val="Tabletext"/>
              <w:rPr>
                <w:rFonts w:asciiTheme="majorHAnsi" w:hAnsiTheme="majorHAnsi" w:cstheme="majorHAnsi"/>
                <w:b/>
              </w:rPr>
            </w:pPr>
            <w:r w:rsidRPr="00F7091A">
              <w:rPr>
                <w:rFonts w:asciiTheme="majorHAnsi" w:hAnsiTheme="majorHAnsi" w:cstheme="majorHAnsi"/>
                <w:b/>
              </w:rPr>
              <w:t>Fidelity</w:t>
            </w:r>
          </w:p>
        </w:tc>
        <w:tc>
          <w:tcPr>
            <w:tcW w:w="4207" w:type="pct"/>
          </w:tcPr>
          <w:p w14:paraId="54032D0F" w14:textId="03CB731F" w:rsidR="008720CB" w:rsidRPr="00F7091A" w:rsidRDefault="008720CB" w:rsidP="00EF6987">
            <w:pPr>
              <w:pStyle w:val="Tabletext"/>
              <w:spacing w:after="60"/>
            </w:pPr>
            <w:r w:rsidRPr="00F7091A">
              <w:t>Are resident</w:t>
            </w:r>
            <w:r w:rsidR="00F7091A" w:rsidRPr="00F7091A">
              <w:t xml:space="preserve"> </w:t>
            </w:r>
            <w:r w:rsidRPr="00F7091A">
              <w:t>transitions in and out of the SDCP</w:t>
            </w:r>
            <w:r w:rsidR="00F7091A" w:rsidRPr="00F7091A">
              <w:t xml:space="preserve"> </w:t>
            </w:r>
            <w:r w:rsidRPr="00F7091A">
              <w:t>operating as intended (</w:t>
            </w:r>
            <w:r w:rsidR="00F95C92" w:rsidRPr="00F7091A">
              <w:t>i.e.,</w:t>
            </w:r>
            <w:r w:rsidRPr="00F7091A">
              <w:t xml:space="preserve"> timely, coordinated etc.)?</w:t>
            </w:r>
          </w:p>
          <w:p w14:paraId="0DE99343" w14:textId="75AD677A" w:rsidR="008720CB" w:rsidRPr="00F7091A" w:rsidRDefault="008720CB" w:rsidP="00EF6987">
            <w:pPr>
              <w:pStyle w:val="Tabletext"/>
              <w:spacing w:after="60"/>
            </w:pPr>
            <w:r w:rsidRPr="00F7091A">
              <w:t>Are the right policies and processes in place to enable staff to incorporate resident</w:t>
            </w:r>
            <w:r w:rsidR="00F7091A" w:rsidRPr="00F7091A">
              <w:t xml:space="preserve"> </w:t>
            </w:r>
            <w:r w:rsidRPr="00F7091A">
              <w:t>perspectives in decision-making?</w:t>
            </w:r>
          </w:p>
          <w:p w14:paraId="2AF6B4FB" w14:textId="2F0C14E0" w:rsidR="00136C8A" w:rsidRDefault="00D82A63" w:rsidP="00EF6987">
            <w:pPr>
              <w:pStyle w:val="Tabletext"/>
              <w:spacing w:after="60"/>
            </w:pPr>
            <w:r w:rsidRPr="00F7091A">
              <w:t>To what extent have person-</w:t>
            </w:r>
            <w:r w:rsidR="00F7091A" w:rsidRPr="00F7091A">
              <w:t>centered</w:t>
            </w:r>
            <w:r w:rsidRPr="00F7091A">
              <w:t xml:space="preserve"> care practices (</w:t>
            </w:r>
            <w:r w:rsidR="00F95C92" w:rsidRPr="00F7091A">
              <w:t>i.e.,</w:t>
            </w:r>
            <w:r w:rsidRPr="00F7091A">
              <w:t xml:space="preserve"> respectful care, individuali</w:t>
            </w:r>
            <w:r w:rsidR="004A7F01" w:rsidRPr="00F7091A">
              <w:t>s</w:t>
            </w:r>
            <w:r w:rsidRPr="00F7091A">
              <w:t>ed care, strengths-based care etc.) been delivered?</w:t>
            </w:r>
          </w:p>
        </w:tc>
      </w:tr>
      <w:tr w:rsidR="00D82A63" w14:paraId="21229EBD" w14:textId="77777777" w:rsidTr="00EF6987">
        <w:trPr>
          <w:trHeight w:val="334"/>
        </w:trPr>
        <w:tc>
          <w:tcPr>
            <w:tcW w:w="793" w:type="pct"/>
          </w:tcPr>
          <w:p w14:paraId="60FB7A14" w14:textId="59AFE775" w:rsidR="00D82A63" w:rsidRPr="00F7091A" w:rsidRDefault="00D82A63" w:rsidP="00EF6987">
            <w:pPr>
              <w:pStyle w:val="Tabletext"/>
              <w:rPr>
                <w:rFonts w:asciiTheme="majorHAnsi" w:hAnsiTheme="majorHAnsi" w:cstheme="majorHAnsi"/>
                <w:b/>
              </w:rPr>
            </w:pPr>
            <w:bookmarkStart w:id="15" w:name="_Hlk123830673"/>
            <w:r w:rsidRPr="00F7091A">
              <w:rPr>
                <w:rFonts w:asciiTheme="majorHAnsi" w:hAnsiTheme="majorHAnsi" w:cstheme="majorHAnsi"/>
                <w:b/>
              </w:rPr>
              <w:t>Costs</w:t>
            </w:r>
          </w:p>
        </w:tc>
        <w:tc>
          <w:tcPr>
            <w:tcW w:w="4207" w:type="pct"/>
          </w:tcPr>
          <w:p w14:paraId="2A873C57" w14:textId="579E22B5" w:rsidR="00D82A63" w:rsidRDefault="00D82A63" w:rsidP="00EF6987">
            <w:pPr>
              <w:pStyle w:val="Tabletext"/>
              <w:spacing w:after="60"/>
            </w:pPr>
            <w:r>
              <w:t xml:space="preserve">To what extent does the SDCP make the best use of available resources and how </w:t>
            </w:r>
            <w:r w:rsidR="00295C63">
              <w:t>does</w:t>
            </w:r>
            <w:r>
              <w:t xml:space="preserve"> this differ across sites?</w:t>
            </w:r>
          </w:p>
        </w:tc>
      </w:tr>
      <w:bookmarkEnd w:id="15"/>
      <w:tr w:rsidR="00D82A63" w14:paraId="4B6CEB06" w14:textId="77777777" w:rsidTr="00EF6987">
        <w:trPr>
          <w:trHeight w:val="334"/>
        </w:trPr>
        <w:tc>
          <w:tcPr>
            <w:tcW w:w="793" w:type="pct"/>
          </w:tcPr>
          <w:p w14:paraId="1F4815E0" w14:textId="56E043AB" w:rsidR="00D82A63" w:rsidRPr="00F7091A" w:rsidRDefault="00D82A63" w:rsidP="00EF6987">
            <w:pPr>
              <w:pStyle w:val="Tabletext"/>
              <w:rPr>
                <w:rFonts w:asciiTheme="majorHAnsi" w:hAnsiTheme="majorHAnsi" w:cstheme="majorHAnsi"/>
                <w:b/>
              </w:rPr>
            </w:pPr>
            <w:r w:rsidRPr="00F7091A">
              <w:rPr>
                <w:rFonts w:asciiTheme="majorHAnsi" w:hAnsiTheme="majorHAnsi" w:cstheme="majorHAnsi"/>
                <w:b/>
              </w:rPr>
              <w:t>Sustainability</w:t>
            </w:r>
          </w:p>
        </w:tc>
        <w:tc>
          <w:tcPr>
            <w:tcW w:w="4207" w:type="pct"/>
          </w:tcPr>
          <w:p w14:paraId="2B7BE780" w14:textId="1AAC215E" w:rsidR="00504105" w:rsidRDefault="00D82A63" w:rsidP="00EF6987">
            <w:pPr>
              <w:pStyle w:val="Tabletext"/>
              <w:spacing w:after="60"/>
            </w:pPr>
            <w:r>
              <w:t>What were the key lessons learned and considerations for ongoing roll-out and scalability of the Program?</w:t>
            </w:r>
          </w:p>
        </w:tc>
      </w:tr>
      <w:tr w:rsidR="00647F5E" w14:paraId="61C10DA8" w14:textId="77777777" w:rsidTr="00647F5E">
        <w:trPr>
          <w:trHeight w:val="344"/>
        </w:trPr>
        <w:tc>
          <w:tcPr>
            <w:tcW w:w="793" w:type="pct"/>
            <w:shd w:val="clear" w:color="auto" w:fill="F2F2F2" w:themeFill="background1" w:themeFillShade="F2"/>
          </w:tcPr>
          <w:p w14:paraId="7D416066" w14:textId="3AC67AAE" w:rsidR="00647F5E" w:rsidRPr="00F7091A" w:rsidRDefault="00647F5E" w:rsidP="00EF6987">
            <w:pPr>
              <w:pStyle w:val="Tabletext"/>
              <w:spacing w:after="60"/>
              <w:rPr>
                <w:rFonts w:asciiTheme="majorHAnsi" w:hAnsiTheme="majorHAnsi" w:cstheme="majorHAnsi"/>
                <w:b/>
              </w:rPr>
            </w:pPr>
            <w:r>
              <w:rPr>
                <w:rFonts w:asciiTheme="majorHAnsi" w:hAnsiTheme="majorHAnsi" w:cstheme="majorHAnsi"/>
                <w:b/>
              </w:rPr>
              <w:t>Outcome Evaluation</w:t>
            </w:r>
          </w:p>
        </w:tc>
        <w:tc>
          <w:tcPr>
            <w:tcW w:w="4207" w:type="pct"/>
            <w:shd w:val="clear" w:color="auto" w:fill="F2F2F2" w:themeFill="background1" w:themeFillShade="F2"/>
          </w:tcPr>
          <w:p w14:paraId="501C1E3E" w14:textId="77777777" w:rsidR="00647F5E" w:rsidRDefault="00647F5E" w:rsidP="00EF6987">
            <w:pPr>
              <w:pStyle w:val="Tabletext"/>
              <w:spacing w:after="60"/>
            </w:pPr>
          </w:p>
        </w:tc>
      </w:tr>
      <w:tr w:rsidR="008F0676" w14:paraId="7AD9B29A" w14:textId="77777777" w:rsidTr="00EF6987">
        <w:trPr>
          <w:trHeight w:val="344"/>
        </w:trPr>
        <w:tc>
          <w:tcPr>
            <w:tcW w:w="793" w:type="pct"/>
          </w:tcPr>
          <w:p w14:paraId="65186032" w14:textId="22723480" w:rsidR="008F0676" w:rsidRPr="00F7091A" w:rsidRDefault="00D82A63" w:rsidP="00EF6987">
            <w:pPr>
              <w:pStyle w:val="Tabletext"/>
              <w:spacing w:after="60"/>
              <w:rPr>
                <w:rFonts w:asciiTheme="majorHAnsi" w:hAnsiTheme="majorHAnsi" w:cstheme="majorHAnsi"/>
                <w:b/>
              </w:rPr>
            </w:pPr>
            <w:r w:rsidRPr="00F7091A">
              <w:rPr>
                <w:rFonts w:asciiTheme="majorHAnsi" w:hAnsiTheme="majorHAnsi" w:cstheme="majorHAnsi"/>
                <w:b/>
              </w:rPr>
              <w:t>Effectiveness</w:t>
            </w:r>
          </w:p>
        </w:tc>
        <w:tc>
          <w:tcPr>
            <w:tcW w:w="4207" w:type="pct"/>
          </w:tcPr>
          <w:p w14:paraId="5D830838" w14:textId="0DB1F350" w:rsidR="00D82A63" w:rsidRDefault="00B25EF1" w:rsidP="00EF6987">
            <w:pPr>
              <w:pStyle w:val="Tabletext"/>
              <w:spacing w:after="60"/>
            </w:pPr>
            <w:r>
              <w:t>T</w:t>
            </w:r>
            <w:r w:rsidR="00D82A63">
              <w:t>o what extent have person-</w:t>
            </w:r>
            <w:r w:rsidR="00F7091A">
              <w:t>centered</w:t>
            </w:r>
            <w:r w:rsidR="00D82A63">
              <w:t xml:space="preserve"> care practices been delivered?</w:t>
            </w:r>
          </w:p>
          <w:p w14:paraId="06DF2882" w14:textId="27B0301F" w:rsidR="00D82A63" w:rsidRDefault="00D82A63" w:rsidP="00EF6987">
            <w:pPr>
              <w:pStyle w:val="Tabletext"/>
              <w:spacing w:after="60"/>
            </w:pPr>
            <w:r>
              <w:t>To what extent has the SDCP improved clients’ function, behaviour, quality of life and wellbeing?</w:t>
            </w:r>
          </w:p>
          <w:p w14:paraId="732F5B97" w14:textId="547B0A53" w:rsidR="008F0676" w:rsidRDefault="00D82A63" w:rsidP="00EF6987">
            <w:pPr>
              <w:pStyle w:val="Tabletext"/>
              <w:spacing w:after="60"/>
            </w:pPr>
            <w:r>
              <w:t>Are clients and their families/carers satisfied with their involvement in, and the continuity of, care transition processes across the system?</w:t>
            </w:r>
          </w:p>
        </w:tc>
      </w:tr>
      <w:tr w:rsidR="008F0676" w14:paraId="7CC2548C" w14:textId="77777777" w:rsidTr="00EF6987">
        <w:trPr>
          <w:trHeight w:val="334"/>
        </w:trPr>
        <w:tc>
          <w:tcPr>
            <w:tcW w:w="793" w:type="pct"/>
          </w:tcPr>
          <w:p w14:paraId="0CA5BCCD" w14:textId="615868CD" w:rsidR="008F0676" w:rsidRPr="00F7091A" w:rsidRDefault="00D82A63" w:rsidP="00EF6987">
            <w:pPr>
              <w:pStyle w:val="Tabletext"/>
              <w:spacing w:after="60"/>
              <w:rPr>
                <w:rFonts w:asciiTheme="majorHAnsi" w:hAnsiTheme="majorHAnsi" w:cstheme="majorHAnsi"/>
                <w:b/>
              </w:rPr>
            </w:pPr>
            <w:r w:rsidRPr="00F7091A">
              <w:rPr>
                <w:rFonts w:asciiTheme="majorHAnsi" w:hAnsiTheme="majorHAnsi" w:cstheme="majorHAnsi"/>
                <w:b/>
              </w:rPr>
              <w:t>Efficiency</w:t>
            </w:r>
          </w:p>
        </w:tc>
        <w:tc>
          <w:tcPr>
            <w:tcW w:w="4207" w:type="pct"/>
          </w:tcPr>
          <w:p w14:paraId="4D48CBE1" w14:textId="6723E10C" w:rsidR="008F0676" w:rsidRDefault="00D82A63" w:rsidP="00EF6987">
            <w:pPr>
              <w:pStyle w:val="Tabletext"/>
              <w:spacing w:after="60"/>
            </w:pPr>
            <w:r>
              <w:t>Is the SDCP considered cost-beneficial/cost-effective?</w:t>
            </w:r>
          </w:p>
        </w:tc>
      </w:tr>
    </w:tbl>
    <w:p w14:paraId="2EDF4CCA" w14:textId="77777777" w:rsidR="00AF011A" w:rsidRDefault="00AF011A" w:rsidP="00573560">
      <w:pPr>
        <w:spacing w:after="0"/>
      </w:pPr>
    </w:p>
    <w:p w14:paraId="41CDF500" w14:textId="075EB438" w:rsidR="00826636" w:rsidRDefault="0045275C" w:rsidP="00826636">
      <w:r>
        <w:t>Ba</w:t>
      </w:r>
      <w:r w:rsidR="00100566">
        <w:t>s</w:t>
      </w:r>
      <w:r>
        <w:t xml:space="preserve">ed on Recommendation 16 </w:t>
      </w:r>
      <w:r w:rsidR="00971288">
        <w:t xml:space="preserve">(Section 1) </w:t>
      </w:r>
      <w:r>
        <w:t>of the Royal Commission into Aged Care Quality and Safety, ahead of the commencement of this report’s evaluation activities</w:t>
      </w:r>
      <w:r w:rsidR="009170D1">
        <w:t xml:space="preserve">, the Department also requested </w:t>
      </w:r>
      <w:r>
        <w:t xml:space="preserve">two </w:t>
      </w:r>
      <w:r w:rsidR="00100566">
        <w:t>additional</w:t>
      </w:r>
      <w:r w:rsidR="00826636">
        <w:t xml:space="preserve"> </w:t>
      </w:r>
      <w:r w:rsidR="00FB4623">
        <w:t>areas of questioning</w:t>
      </w:r>
      <w:r w:rsidR="00826636">
        <w:t xml:space="preserve"> be added to </w:t>
      </w:r>
      <w:r w:rsidR="008D04A4">
        <w:t>the stakeholder consultatio</w:t>
      </w:r>
      <w:r w:rsidR="001E3743">
        <w:t>n activities</w:t>
      </w:r>
      <w:r w:rsidR="00826636">
        <w:t xml:space="preserve">, </w:t>
      </w:r>
      <w:r w:rsidR="00100566">
        <w:t xml:space="preserve">to support the Department’s </w:t>
      </w:r>
      <w:r w:rsidR="00217207">
        <w:t>response</w:t>
      </w:r>
      <w:r w:rsidR="007F0026">
        <w:t xml:space="preserve">. Accordingly, </w:t>
      </w:r>
      <w:r w:rsidR="00217207">
        <w:t xml:space="preserve">stakeholder consultation </w:t>
      </w:r>
      <w:r w:rsidR="00A25C62">
        <w:t>guides included these items, and</w:t>
      </w:r>
      <w:r w:rsidR="00826636">
        <w:t xml:space="preserve"> findings </w:t>
      </w:r>
      <w:r w:rsidR="00583DC8">
        <w:t>are outlined in Chapter</w:t>
      </w:r>
      <w:r w:rsidR="00733B3E">
        <w:t xml:space="preserve"> </w:t>
      </w:r>
      <w:r w:rsidR="00E5445B">
        <w:fldChar w:fldCharType="begin"/>
      </w:r>
      <w:r w:rsidR="00E5445B">
        <w:instrText xml:space="preserve"> REF _Ref129247910 \r \h </w:instrText>
      </w:r>
      <w:r w:rsidR="00E5445B">
        <w:fldChar w:fldCharType="separate"/>
      </w:r>
      <w:r w:rsidR="00D32536">
        <w:t>8</w:t>
      </w:r>
      <w:r w:rsidR="00E5445B">
        <w:fldChar w:fldCharType="end"/>
      </w:r>
      <w:r w:rsidR="00826636">
        <w:t>.</w:t>
      </w:r>
    </w:p>
    <w:p w14:paraId="62FA9724" w14:textId="4E4347D2" w:rsidR="005C0EB3" w:rsidRDefault="005C0EB3" w:rsidP="005F1F1E">
      <w:r>
        <w:t>Note that this report is structured by the Program’s care continuum rather than the evaluation questions. A mapping table is thus provided in the Appendix, linking each evaluation question to where the question is addressed in the report.</w:t>
      </w:r>
    </w:p>
    <w:p w14:paraId="72FC8D58" w14:textId="77777777" w:rsidR="005F1F1E" w:rsidRDefault="005F1F1E" w:rsidP="002C2089">
      <w:pPr>
        <w:pStyle w:val="Heading3"/>
        <w:spacing w:after="0"/>
      </w:pPr>
      <w:r>
        <w:t>Stage two: Data collection and gathering</w:t>
      </w:r>
    </w:p>
    <w:p w14:paraId="5DC75A7C" w14:textId="77777777" w:rsidR="005F1F1E" w:rsidRDefault="005F1F1E" w:rsidP="005F1F1E">
      <w:r>
        <w:t>To inform the Final Report, data collection occurred between June 2022 and October 2022. A mixed-methods approach was adopted, drawing on a range of primary and secondary data sources.</w:t>
      </w:r>
    </w:p>
    <w:p w14:paraId="2F76DC4F" w14:textId="420D37C4" w:rsidR="007B6D9E" w:rsidRPr="00573560" w:rsidRDefault="007B6D9E" w:rsidP="00C1734C">
      <w:pPr>
        <w:pStyle w:val="Heading4thematicstatement"/>
        <w:rPr>
          <w:rFonts w:asciiTheme="majorHAnsi" w:hAnsiTheme="majorHAnsi" w:cstheme="majorHAnsi"/>
        </w:rPr>
      </w:pPr>
      <w:r w:rsidRPr="00573560">
        <w:rPr>
          <w:rFonts w:asciiTheme="majorHAnsi" w:hAnsiTheme="majorHAnsi" w:cstheme="majorHAnsi"/>
        </w:rPr>
        <w:t>Primary data collection</w:t>
      </w:r>
    </w:p>
    <w:p w14:paraId="43E72814" w14:textId="075D6524" w:rsidR="005F1F1E" w:rsidRDefault="005F1F1E" w:rsidP="007B6D9E">
      <w:r>
        <w:t>The objective of the primary data collection was twofold. First, the evaluation sought to understand developments since the 202</w:t>
      </w:r>
      <w:r w:rsidR="00D44D85">
        <w:t>0 and 202</w:t>
      </w:r>
      <w:r>
        <w:t>1 Interim Report</w:t>
      </w:r>
      <w:r w:rsidR="00D44D85">
        <w:t>s</w:t>
      </w:r>
      <w:r>
        <w:t xml:space="preserve"> with regard to the implementation evaluation domains. Second, the evaluation sought to understand the impact of the Program on individual, service and system level outcomes. To achieve this, a diverse group of stakeholders were engaged to solicit a broad range of views. </w:t>
      </w:r>
    </w:p>
    <w:p w14:paraId="15F969B9" w14:textId="313DBBC5" w:rsidR="005F1F1E" w:rsidRDefault="00024DC4" w:rsidP="005F1F1E">
      <w:r>
        <w:t>For the Final Evaluation, t</w:t>
      </w:r>
      <w:r w:rsidR="005F1F1E">
        <w:t>he following stakeholders were consulted through 30 to 60 minute virtual semi-structured interviews:</w:t>
      </w:r>
    </w:p>
    <w:p w14:paraId="1C59AB9C" w14:textId="77777777" w:rsidR="005F1F1E" w:rsidRDefault="005F1F1E" w:rsidP="005F1F1E">
      <w:pPr>
        <w:pStyle w:val="ListBullet"/>
      </w:pPr>
      <w:r>
        <w:t>Program staff, Program managers, in-reach clinicians and Program referrers</w:t>
      </w:r>
    </w:p>
    <w:p w14:paraId="37194B80" w14:textId="40DC4130" w:rsidR="005F1F1E" w:rsidRDefault="005F1F1E" w:rsidP="005F1F1E">
      <w:pPr>
        <w:pStyle w:val="ListBullet"/>
      </w:pPr>
      <w:r>
        <w:t xml:space="preserve">families and carers of current and former </w:t>
      </w:r>
      <w:r w:rsidR="00B14DF5">
        <w:t xml:space="preserve">Program </w:t>
      </w:r>
      <w:r>
        <w:t>residents</w:t>
      </w:r>
    </w:p>
    <w:p w14:paraId="60724072" w14:textId="77777777" w:rsidR="005F1F1E" w:rsidRDefault="005F1F1E" w:rsidP="005F1F1E">
      <w:pPr>
        <w:pStyle w:val="ListBullet"/>
      </w:pPr>
      <w:r>
        <w:t>NBA service program managers and assessors based across the country</w:t>
      </w:r>
    </w:p>
    <w:p w14:paraId="39D4BD3E" w14:textId="6CBBC34F" w:rsidR="005F1F1E" w:rsidRDefault="005F1F1E" w:rsidP="005F1F1E">
      <w:pPr>
        <w:pStyle w:val="ListBullet"/>
      </w:pPr>
      <w:r>
        <w:t>the Department’s SDCP project team.</w:t>
      </w:r>
    </w:p>
    <w:p w14:paraId="7E79A10B" w14:textId="77777777" w:rsidR="005F1F1E" w:rsidRDefault="005F1F1E" w:rsidP="005F1F1E">
      <w:pPr>
        <w:pStyle w:val="ListBullet"/>
        <w:numPr>
          <w:ilvl w:val="0"/>
          <w:numId w:val="0"/>
        </w:numPr>
        <w:ind w:left="284"/>
      </w:pPr>
    </w:p>
    <w:p w14:paraId="22EDD928" w14:textId="2185BA1A" w:rsidR="005F1F1E" w:rsidRDefault="005F1F1E" w:rsidP="005F1F1E">
      <w:r>
        <w:t xml:space="preserve">In total, 63 consultations across the </w:t>
      </w:r>
      <w:r w:rsidDel="00FA5B53">
        <w:t xml:space="preserve">ten </w:t>
      </w:r>
      <w:r w:rsidR="00513D42">
        <w:t>SDCUs</w:t>
      </w:r>
      <w:r>
        <w:t xml:space="preserve"> and the NBA service were held</w:t>
      </w:r>
      <w:r w:rsidR="00414BA7">
        <w:t>,</w:t>
      </w:r>
      <w:r>
        <w:t xml:space="preserve"> including 16 with families and carers. </w:t>
      </w:r>
    </w:p>
    <w:p w14:paraId="0DD193C9" w14:textId="78F222EE" w:rsidR="008B7963" w:rsidRDefault="008B7963" w:rsidP="008B7963">
      <w:pPr>
        <w:rPr>
          <w:lang w:val="en-AU"/>
        </w:rPr>
      </w:pPr>
      <w:r w:rsidRPr="008B7963">
        <w:rPr>
          <w:lang w:val="en-AU"/>
        </w:rPr>
        <w:t xml:space="preserve">Additionally, a survey was administered in September 2022. </w:t>
      </w:r>
      <w:r w:rsidR="009D5A35">
        <w:rPr>
          <w:lang w:val="en-AU"/>
        </w:rPr>
        <w:t>The survey</w:t>
      </w:r>
      <w:r w:rsidRPr="008B7963">
        <w:rPr>
          <w:lang w:val="en-AU"/>
        </w:rPr>
        <w:t xml:space="preserve"> remained in the field for </w:t>
      </w:r>
      <w:r w:rsidR="003A211F">
        <w:rPr>
          <w:lang w:val="en-AU"/>
        </w:rPr>
        <w:t>ten</w:t>
      </w:r>
      <w:r w:rsidRPr="008B7963">
        <w:rPr>
          <w:lang w:val="en-AU"/>
        </w:rPr>
        <w:t xml:space="preserve"> weeks. While the survey received responses across a range of staff types (e.g. geriatricians</w:t>
      </w:r>
      <w:r w:rsidR="00526FE0">
        <w:rPr>
          <w:lang w:val="en-AU"/>
        </w:rPr>
        <w:t xml:space="preserve">, </w:t>
      </w:r>
      <w:r w:rsidR="006D059C">
        <w:rPr>
          <w:lang w:val="en-AU"/>
        </w:rPr>
        <w:t>SDCU</w:t>
      </w:r>
      <w:r w:rsidR="00526FE0">
        <w:rPr>
          <w:lang w:val="en-AU"/>
        </w:rPr>
        <w:t xml:space="preserve"> managers and personal care attendants</w:t>
      </w:r>
      <w:r w:rsidRPr="008B7963">
        <w:rPr>
          <w:lang w:val="en-AU"/>
        </w:rPr>
        <w:t xml:space="preserve">), there were only </w:t>
      </w:r>
      <w:r w:rsidR="003A211F">
        <w:rPr>
          <w:lang w:val="en-AU"/>
        </w:rPr>
        <w:t>eleven</w:t>
      </w:r>
      <w:r w:rsidRPr="008B7963">
        <w:rPr>
          <w:lang w:val="en-AU"/>
        </w:rPr>
        <w:t xml:space="preserve"> completed responses representing four of the ten </w:t>
      </w:r>
      <w:r w:rsidR="00B900E4">
        <w:rPr>
          <w:lang w:val="en-AU"/>
        </w:rPr>
        <w:t>units</w:t>
      </w:r>
      <w:r w:rsidRPr="008B7963">
        <w:rPr>
          <w:lang w:val="en-AU"/>
        </w:rPr>
        <w:t xml:space="preserve">. </w:t>
      </w:r>
    </w:p>
    <w:p w14:paraId="5D9FF6A8" w14:textId="0B42031C" w:rsidR="00024DC4" w:rsidRDefault="000247E0" w:rsidP="008B7963">
      <w:pPr>
        <w:rPr>
          <w:lang w:val="en-AU"/>
        </w:rPr>
      </w:pPr>
      <w:r>
        <w:rPr>
          <w:lang w:val="en-AU"/>
        </w:rPr>
        <w:t xml:space="preserve">Primary data collected for the Final Evaluation </w:t>
      </w:r>
      <w:r w:rsidR="00067946">
        <w:rPr>
          <w:lang w:val="en-AU"/>
        </w:rPr>
        <w:t xml:space="preserve">Report </w:t>
      </w:r>
      <w:r>
        <w:rPr>
          <w:lang w:val="en-AU"/>
        </w:rPr>
        <w:t xml:space="preserve">was also </w:t>
      </w:r>
      <w:r w:rsidR="00024DC4">
        <w:rPr>
          <w:lang w:val="en-AU"/>
        </w:rPr>
        <w:t>analysed alongside the previous data collected for</w:t>
      </w:r>
      <w:r w:rsidR="0096276C">
        <w:rPr>
          <w:lang w:val="en-AU"/>
        </w:rPr>
        <w:t xml:space="preserve"> the </w:t>
      </w:r>
      <w:r w:rsidR="00024DC4">
        <w:rPr>
          <w:lang w:val="en-AU"/>
        </w:rPr>
        <w:t xml:space="preserve">2020 and 2021 Interim Reports, </w:t>
      </w:r>
      <w:r w:rsidR="006D0B4B">
        <w:rPr>
          <w:lang w:val="en-AU"/>
        </w:rPr>
        <w:t>which included</w:t>
      </w:r>
      <w:r w:rsidR="00024DC4">
        <w:rPr>
          <w:lang w:val="en-AU"/>
        </w:rPr>
        <w:t>:</w:t>
      </w:r>
    </w:p>
    <w:p w14:paraId="3C03BCC1" w14:textId="7B9483BC" w:rsidR="00024DC4" w:rsidRDefault="00024DC4" w:rsidP="00C063DC">
      <w:pPr>
        <w:pStyle w:val="ListParagraph"/>
        <w:numPr>
          <w:ilvl w:val="0"/>
          <w:numId w:val="30"/>
        </w:numPr>
        <w:ind w:left="284" w:hanging="284"/>
        <w:rPr>
          <w:lang w:val="en-AU"/>
        </w:rPr>
      </w:pPr>
      <w:r>
        <w:rPr>
          <w:lang w:val="en-AU"/>
        </w:rPr>
        <w:t xml:space="preserve">close to 100 consultations </w:t>
      </w:r>
      <w:r w:rsidR="003F6749">
        <w:rPr>
          <w:lang w:val="en-AU"/>
        </w:rPr>
        <w:t>held across all SDCUs</w:t>
      </w:r>
      <w:r w:rsidR="00817657">
        <w:rPr>
          <w:lang w:val="en-AU"/>
        </w:rPr>
        <w:t xml:space="preserve"> (</w:t>
      </w:r>
      <w:r w:rsidR="00B14DF5">
        <w:rPr>
          <w:lang w:val="en-AU"/>
        </w:rPr>
        <w:t xml:space="preserve">Program </w:t>
      </w:r>
      <w:r w:rsidR="00817657">
        <w:rPr>
          <w:lang w:val="en-AU"/>
        </w:rPr>
        <w:t xml:space="preserve">staff, </w:t>
      </w:r>
      <w:r w:rsidR="006F3A1E">
        <w:rPr>
          <w:lang w:val="en-AU"/>
        </w:rPr>
        <w:t>in-reach clinicians</w:t>
      </w:r>
      <w:r w:rsidR="00021122">
        <w:rPr>
          <w:lang w:val="en-AU"/>
        </w:rPr>
        <w:t xml:space="preserve">, </w:t>
      </w:r>
      <w:r w:rsidR="00817657">
        <w:rPr>
          <w:lang w:val="en-AU"/>
        </w:rPr>
        <w:t>NBA managers and assessors, and the Department’s SDCP Project Team</w:t>
      </w:r>
      <w:r w:rsidR="0096276C">
        <w:rPr>
          <w:lang w:val="en-AU"/>
        </w:rPr>
        <w:t>) from September 2020 to June 2021</w:t>
      </w:r>
    </w:p>
    <w:p w14:paraId="1AF8E408" w14:textId="08650A0B" w:rsidR="00024DC4" w:rsidRPr="00EE55CD" w:rsidRDefault="00054720" w:rsidP="00C063DC">
      <w:pPr>
        <w:pStyle w:val="ListParagraph"/>
        <w:numPr>
          <w:ilvl w:val="0"/>
          <w:numId w:val="30"/>
        </w:numPr>
        <w:ind w:left="284" w:hanging="284"/>
        <w:rPr>
          <w:lang w:val="en-AU"/>
        </w:rPr>
      </w:pPr>
      <w:r>
        <w:rPr>
          <w:lang w:val="en-AU"/>
        </w:rPr>
        <w:t xml:space="preserve">78 </w:t>
      </w:r>
      <w:r w:rsidR="003F6749" w:rsidRPr="00EE55CD">
        <w:rPr>
          <w:lang w:val="en-AU"/>
        </w:rPr>
        <w:t>survey</w:t>
      </w:r>
      <w:r w:rsidR="00050016">
        <w:rPr>
          <w:lang w:val="en-AU"/>
        </w:rPr>
        <w:t xml:space="preserve"> </w:t>
      </w:r>
      <w:r>
        <w:rPr>
          <w:lang w:val="en-AU"/>
        </w:rPr>
        <w:t>responses</w:t>
      </w:r>
      <w:r w:rsidR="0096276C">
        <w:rPr>
          <w:lang w:val="en-AU"/>
        </w:rPr>
        <w:t xml:space="preserve"> in June 2020</w:t>
      </w:r>
      <w:r>
        <w:rPr>
          <w:lang w:val="en-AU"/>
        </w:rPr>
        <w:t xml:space="preserve"> from</w:t>
      </w:r>
      <w:r w:rsidR="003F6749" w:rsidRPr="00EE55CD">
        <w:rPr>
          <w:lang w:val="en-AU"/>
        </w:rPr>
        <w:t xml:space="preserve"> </w:t>
      </w:r>
      <w:r w:rsidR="00B14DF5">
        <w:rPr>
          <w:lang w:val="en-AU"/>
        </w:rPr>
        <w:t>Program</w:t>
      </w:r>
      <w:r w:rsidR="00B14DF5" w:rsidRPr="00EE55CD">
        <w:rPr>
          <w:lang w:val="en-AU"/>
        </w:rPr>
        <w:t xml:space="preserve"> </w:t>
      </w:r>
      <w:r w:rsidR="003F6749" w:rsidRPr="00EE55CD">
        <w:rPr>
          <w:lang w:val="en-AU"/>
        </w:rPr>
        <w:t xml:space="preserve">personnel, including care staff and clinical in-reach team members. </w:t>
      </w:r>
    </w:p>
    <w:p w14:paraId="1E6093CC" w14:textId="77777777" w:rsidR="00C1734C" w:rsidRPr="00573560" w:rsidRDefault="00C1734C" w:rsidP="00C1734C">
      <w:pPr>
        <w:pStyle w:val="Heading4thematicstatement"/>
        <w:rPr>
          <w:rFonts w:asciiTheme="majorHAnsi" w:hAnsiTheme="majorHAnsi" w:cstheme="majorHAnsi"/>
        </w:rPr>
      </w:pPr>
      <w:r w:rsidRPr="00573560">
        <w:rPr>
          <w:rFonts w:asciiTheme="majorHAnsi" w:hAnsiTheme="majorHAnsi" w:cstheme="majorHAnsi"/>
        </w:rPr>
        <w:t>Secondary data collection</w:t>
      </w:r>
    </w:p>
    <w:p w14:paraId="14F4381A" w14:textId="10F3506F" w:rsidR="003C0696" w:rsidRDefault="00732D81" w:rsidP="003C0696">
      <w:r>
        <w:t xml:space="preserve">This </w:t>
      </w:r>
      <w:r w:rsidR="00D915BF">
        <w:t>Reports also</w:t>
      </w:r>
      <w:r>
        <w:t xml:space="preserve"> draws upon the following secondary data sources:</w:t>
      </w:r>
    </w:p>
    <w:p w14:paraId="332A3BA1" w14:textId="052D11EC" w:rsidR="007E579F" w:rsidRDefault="007E579F" w:rsidP="007E579F">
      <w:pPr>
        <w:pStyle w:val="ListBullet"/>
      </w:pPr>
      <w:r w:rsidRPr="00D915BF">
        <w:rPr>
          <w:rFonts w:asciiTheme="majorHAnsi" w:hAnsiTheme="majorHAnsi" w:cstheme="majorHAnsi"/>
          <w:b/>
        </w:rPr>
        <w:t xml:space="preserve">Six-monthly performance reports from </w:t>
      </w:r>
      <w:r w:rsidR="00513D42">
        <w:rPr>
          <w:rFonts w:asciiTheme="majorHAnsi" w:hAnsiTheme="majorHAnsi" w:cstheme="majorHAnsi"/>
          <w:b/>
        </w:rPr>
        <w:t>SDCUs</w:t>
      </w:r>
      <w:r w:rsidRPr="00D915BF">
        <w:rPr>
          <w:rFonts w:asciiTheme="majorHAnsi" w:hAnsiTheme="majorHAnsi" w:cstheme="majorHAnsi"/>
          <w:b/>
        </w:rPr>
        <w:t xml:space="preserve"> and the NBA service</w:t>
      </w:r>
      <w:r w:rsidRPr="007E579F">
        <w:rPr>
          <w:b/>
          <w:bCs/>
        </w:rPr>
        <w:t>.</w:t>
      </w:r>
      <w:r>
        <w:t xml:space="preserve"> Report contents included de-identified information on client admissions, staff recruitment, the operations of the Clinical Advisory Committee (CAC), lessons learned, and emerging challenge</w:t>
      </w:r>
      <w:r w:rsidR="005C102B">
        <w:t>s</w:t>
      </w:r>
      <w:r w:rsidR="00195B4E">
        <w:t>.</w:t>
      </w:r>
    </w:p>
    <w:p w14:paraId="6139ECDD" w14:textId="52B848AF" w:rsidR="00732D81" w:rsidRDefault="007E579F" w:rsidP="007E579F">
      <w:pPr>
        <w:pStyle w:val="ListBullet"/>
      </w:pPr>
      <w:r w:rsidRPr="00D915BF">
        <w:rPr>
          <w:rFonts w:asciiTheme="majorHAnsi" w:hAnsiTheme="majorHAnsi" w:cstheme="majorHAnsi"/>
          <w:b/>
        </w:rPr>
        <w:t>NBA referral data.</w:t>
      </w:r>
      <w:r w:rsidRPr="007E579F">
        <w:rPr>
          <w:b/>
          <w:bCs/>
        </w:rPr>
        <w:t xml:space="preserve"> </w:t>
      </w:r>
      <w:r>
        <w:t>Data included information on the number of referrals by organisation and region, the timeliness of the referral process, and eligibility decisions.</w:t>
      </w:r>
    </w:p>
    <w:p w14:paraId="0021C7B3" w14:textId="24FDDD43" w:rsidR="007E579F" w:rsidRDefault="007E579F" w:rsidP="007E579F">
      <w:pPr>
        <w:pStyle w:val="ListBullet"/>
      </w:pPr>
      <w:r w:rsidRPr="00D915BF">
        <w:rPr>
          <w:rFonts w:asciiTheme="majorHAnsi" w:hAnsiTheme="majorHAnsi" w:cstheme="majorHAnsi"/>
          <w:b/>
        </w:rPr>
        <w:t xml:space="preserve">Clinical data from </w:t>
      </w:r>
      <w:r w:rsidR="00513D42">
        <w:rPr>
          <w:rFonts w:asciiTheme="majorHAnsi" w:hAnsiTheme="majorHAnsi" w:cstheme="majorHAnsi"/>
          <w:b/>
        </w:rPr>
        <w:t>SDCUs</w:t>
      </w:r>
      <w:r w:rsidR="004854F7" w:rsidRPr="00D915BF">
        <w:rPr>
          <w:rFonts w:asciiTheme="majorHAnsi" w:hAnsiTheme="majorHAnsi" w:cstheme="majorHAnsi"/>
          <w:b/>
        </w:rPr>
        <w:t>.</w:t>
      </w:r>
      <w:r w:rsidR="004854F7">
        <w:t xml:space="preserve"> </w:t>
      </w:r>
      <w:r w:rsidR="009C5900">
        <w:t>The secondary data included operational documen</w:t>
      </w:r>
      <w:r w:rsidR="00195B4E">
        <w:t xml:space="preserve">tation </w:t>
      </w:r>
      <w:r w:rsidR="00337100">
        <w:t>(</w:t>
      </w:r>
      <w:r w:rsidR="00343F3E">
        <w:t>e.g.,</w:t>
      </w:r>
      <w:r w:rsidR="00337100">
        <w:t xml:space="preserve"> documented care processes, protocols and decision-making frameworks) </w:t>
      </w:r>
      <w:r w:rsidR="00ED6310">
        <w:t xml:space="preserve">and de-identified data </w:t>
      </w:r>
      <w:r w:rsidR="00E40B97">
        <w:t>related to outcomes of interest including</w:t>
      </w:r>
      <w:r w:rsidR="00C62012">
        <w:t xml:space="preserve"> clinical incidents, wellbeing and health service utilisation. </w:t>
      </w:r>
    </w:p>
    <w:p w14:paraId="68FE1EB7" w14:textId="77777777" w:rsidR="00C07B64" w:rsidRDefault="00C07B64" w:rsidP="00F8284B">
      <w:pPr>
        <w:pStyle w:val="ListBullet"/>
        <w:numPr>
          <w:ilvl w:val="0"/>
          <w:numId w:val="0"/>
        </w:numPr>
      </w:pPr>
    </w:p>
    <w:p w14:paraId="16F774BE" w14:textId="249F7911" w:rsidR="005F1F1E" w:rsidRDefault="005F1F1E" w:rsidP="002C2089">
      <w:pPr>
        <w:pStyle w:val="Heading3"/>
        <w:spacing w:after="0"/>
      </w:pPr>
      <w:r>
        <w:t>Phase three: Qualitative and quantitative data analysis</w:t>
      </w:r>
    </w:p>
    <w:p w14:paraId="53DD5545" w14:textId="6D472485" w:rsidR="0062293F" w:rsidRDefault="005F1F1E" w:rsidP="007A5CAF">
      <w:r>
        <w:t>Thematic analysis of qualitative data from stakeholder consultation was conducted using Nvivo</w:t>
      </w:r>
      <w:r w:rsidR="00C35EDB">
        <w:t xml:space="preserve"> (QSR International)</w:t>
      </w:r>
      <w:r w:rsidR="008377CF">
        <w:t xml:space="preserve"> –</w:t>
      </w:r>
      <w:r w:rsidR="00C35EDB">
        <w:t xml:space="preserve"> a qualitative data analysis software specifically designed for interview transcripts, videos, photographs, drawings, surveys, and other information. </w:t>
      </w:r>
    </w:p>
    <w:p w14:paraId="69402D91" w14:textId="6DB8C1DC" w:rsidR="006E1461" w:rsidRDefault="005F1F1E" w:rsidP="005F1F1E">
      <w:r>
        <w:t xml:space="preserve">Quantitative analysis </w:t>
      </w:r>
      <w:r w:rsidR="00526FE0">
        <w:t>was performed on the secondary data as well as the survey results</w:t>
      </w:r>
      <w:r w:rsidR="003A0A02">
        <w:t xml:space="preserve"> to identify changes</w:t>
      </w:r>
      <w:r w:rsidR="006E1461">
        <w:t xml:space="preserve"> over time</w:t>
      </w:r>
      <w:r w:rsidR="003A0A02">
        <w:t xml:space="preserve"> in Program referrals and uptak</w:t>
      </w:r>
      <w:r w:rsidR="006E1461">
        <w:t>e</w:t>
      </w:r>
      <w:r w:rsidR="003A0A02">
        <w:t xml:space="preserve">, discharges and bounce-backs, as well as </w:t>
      </w:r>
      <w:r w:rsidR="006E1461">
        <w:t>clinical incidents</w:t>
      </w:r>
      <w:r>
        <w:t xml:space="preserve"> </w:t>
      </w:r>
      <w:r w:rsidR="006E1461">
        <w:t xml:space="preserve">and wellbeing scores for Program residents. </w:t>
      </w:r>
      <w:r w:rsidR="00DB0FC7">
        <w:t xml:space="preserve">These outcomes were then triangulated with findings from the qualitative analysis to validate data results and gain more in-depth insights. </w:t>
      </w:r>
      <w:r w:rsidR="00ED57BE">
        <w:t xml:space="preserve">As part of the quantitative analysis, </w:t>
      </w:r>
      <w:r w:rsidR="00642388">
        <w:t>a cost-benefit analysis was also performed on monetisable Program benefits and costs.</w:t>
      </w:r>
    </w:p>
    <w:p w14:paraId="5B6E25F4" w14:textId="77777777" w:rsidR="005F1F1E" w:rsidRPr="00F30FC5" w:rsidRDefault="005F1F1E" w:rsidP="002C2089">
      <w:pPr>
        <w:pStyle w:val="Heading3"/>
        <w:spacing w:after="0"/>
      </w:pPr>
      <w:r>
        <w:t>Phase four: Dissemination of key findings</w:t>
      </w:r>
    </w:p>
    <w:p w14:paraId="2BB2EEBD" w14:textId="68C144BB" w:rsidR="005F1F1E" w:rsidRDefault="005F1F1E" w:rsidP="005F1F1E">
      <w:r>
        <w:t xml:space="preserve">Findings established through the data collection and analysis phases </w:t>
      </w:r>
      <w:r w:rsidR="00FB2777">
        <w:t>were synthesised across all data sources and summarised</w:t>
      </w:r>
      <w:r>
        <w:t xml:space="preserve"> in the </w:t>
      </w:r>
      <w:r w:rsidR="00FB2777">
        <w:t>Evaluation</w:t>
      </w:r>
      <w:r>
        <w:t xml:space="preserve"> Report</w:t>
      </w:r>
      <w:r w:rsidR="00FB2777">
        <w:t xml:space="preserve"> (this document). In response to the key findings generated through the evaluation, the report </w:t>
      </w:r>
      <w:r w:rsidR="002F18D3">
        <w:t>also identifies</w:t>
      </w:r>
      <w:r w:rsidR="00FB2777">
        <w:t xml:space="preserve"> a number of opportunities to guide the ongoing improvement and </w:t>
      </w:r>
      <w:r w:rsidR="00F97877">
        <w:t>sustainability</w:t>
      </w:r>
      <w:r w:rsidR="00FB2777">
        <w:t xml:space="preserve"> of the Program</w:t>
      </w:r>
      <w:r w:rsidR="00F97877">
        <w:t xml:space="preserve">, as </w:t>
      </w:r>
      <w:r w:rsidR="00F51C36">
        <w:t xml:space="preserve">Phase Two </w:t>
      </w:r>
      <w:r w:rsidR="00513D42">
        <w:t>SDCUs</w:t>
      </w:r>
      <w:r w:rsidR="00F51C36">
        <w:t xml:space="preserve"> are established</w:t>
      </w:r>
      <w:r w:rsidR="0056124C">
        <w:t xml:space="preserve"> and implemented over the </w:t>
      </w:r>
      <w:r w:rsidR="00B362AE">
        <w:t>coming years</w:t>
      </w:r>
      <w:r>
        <w:t>.</w:t>
      </w:r>
    </w:p>
    <w:p w14:paraId="5A706445" w14:textId="77777777" w:rsidR="006B210E" w:rsidRPr="00ED5C15" w:rsidRDefault="006B210E" w:rsidP="005F1F1E"/>
    <w:p w14:paraId="1283E979" w14:textId="630C9EDE" w:rsidR="003A3524" w:rsidRDefault="003A3524" w:rsidP="00573560">
      <w:pPr>
        <w:pStyle w:val="Heading2"/>
        <w:spacing w:after="0"/>
        <w:ind w:left="578" w:hanging="578"/>
      </w:pPr>
      <w:bookmarkStart w:id="16" w:name="_Ref123810958"/>
      <w:r>
        <w:t>Limitations</w:t>
      </w:r>
      <w:bookmarkEnd w:id="16"/>
    </w:p>
    <w:p w14:paraId="2F7BFC0E" w14:textId="372ACD1D" w:rsidR="003A3524" w:rsidRDefault="005C1A05" w:rsidP="003A3524">
      <w:r>
        <w:t xml:space="preserve">While every effort has been made to deliver a robust evaluation, the following </w:t>
      </w:r>
      <w:r w:rsidR="003E69CF">
        <w:t>limitations are noted</w:t>
      </w:r>
      <w:r w:rsidR="00600B92">
        <w:t>:</w:t>
      </w:r>
    </w:p>
    <w:p w14:paraId="21B65E29" w14:textId="0C210236" w:rsidR="003E69CF" w:rsidRDefault="00C45647" w:rsidP="00B44AED">
      <w:pPr>
        <w:pStyle w:val="ListBullet"/>
        <w:numPr>
          <w:ilvl w:val="0"/>
          <w:numId w:val="0"/>
        </w:numPr>
        <w:spacing w:after="240"/>
        <w:contextualSpacing w:val="0"/>
      </w:pPr>
      <w:r w:rsidRPr="00F65B7B">
        <w:rPr>
          <w:rFonts w:asciiTheme="majorHAnsi" w:hAnsiTheme="majorHAnsi" w:cstheme="majorHAnsi"/>
          <w:b/>
        </w:rPr>
        <w:t>Impact of COVID-19</w:t>
      </w:r>
      <w:r w:rsidR="00B7756C">
        <w:rPr>
          <w:rFonts w:asciiTheme="majorHAnsi" w:hAnsiTheme="majorHAnsi" w:cstheme="majorHAnsi"/>
        </w:rPr>
        <w:t>.</w:t>
      </w:r>
      <w:r>
        <w:t xml:space="preserve"> </w:t>
      </w:r>
      <w:r w:rsidR="0011581B">
        <w:t xml:space="preserve">The implementation and delivery of the Program </w:t>
      </w:r>
      <w:r w:rsidR="00070226">
        <w:t xml:space="preserve">over the past three years </w:t>
      </w:r>
      <w:r w:rsidR="00570240">
        <w:t xml:space="preserve">occurred within the context of the COVID-19 pandemic. </w:t>
      </w:r>
      <w:r w:rsidR="00964B15">
        <w:t xml:space="preserve">It is acknowledged that COVID-19 </w:t>
      </w:r>
      <w:r w:rsidR="002324E3">
        <w:t xml:space="preserve">has </w:t>
      </w:r>
      <w:r w:rsidR="00EE14FA">
        <w:t>caused challenges for the aged care industry</w:t>
      </w:r>
      <w:r w:rsidR="00871A47">
        <w:t>. At a</w:t>
      </w:r>
      <w:r w:rsidR="002C09A3">
        <w:t xml:space="preserve"> provider</w:t>
      </w:r>
      <w:r w:rsidR="00871A47">
        <w:t>-</w:t>
      </w:r>
      <w:r w:rsidR="002C09A3">
        <w:t>level</w:t>
      </w:r>
      <w:r w:rsidR="00871A47">
        <w:t xml:space="preserve">, </w:t>
      </w:r>
      <w:r w:rsidR="002D0BCB">
        <w:t>this has</w:t>
      </w:r>
      <w:r w:rsidR="002C09A3">
        <w:t xml:space="preserve"> </w:t>
      </w:r>
      <w:r w:rsidR="002D0BCB">
        <w:t>required</w:t>
      </w:r>
      <w:r w:rsidR="00EE14FA">
        <w:t xml:space="preserve"> new operational </w:t>
      </w:r>
      <w:r w:rsidR="007C7948">
        <w:t>processes</w:t>
      </w:r>
      <w:r w:rsidR="002C09A3">
        <w:t xml:space="preserve"> to </w:t>
      </w:r>
      <w:r w:rsidR="00EF07FD">
        <w:t>protect staff and residents</w:t>
      </w:r>
      <w:r w:rsidR="007C7948">
        <w:t xml:space="preserve">, </w:t>
      </w:r>
      <w:r w:rsidR="002D0BCB">
        <w:t xml:space="preserve">during a time of significant </w:t>
      </w:r>
      <w:r w:rsidR="006D3378">
        <w:t>labour</w:t>
      </w:r>
      <w:r w:rsidR="006C026E">
        <w:t xml:space="preserve"> shortages within the industry. Evaluation </w:t>
      </w:r>
      <w:r w:rsidR="005C1B29">
        <w:t>findings presented in</w:t>
      </w:r>
      <w:r w:rsidR="00C21AC7">
        <w:t xml:space="preserve"> this </w:t>
      </w:r>
      <w:r w:rsidR="005C1B29">
        <w:t>Report are</w:t>
      </w:r>
      <w:r w:rsidR="00C21AC7">
        <w:t xml:space="preserve"> conscious o</w:t>
      </w:r>
      <w:r w:rsidR="00A633FE">
        <w:t>f this context</w:t>
      </w:r>
      <w:r w:rsidR="004936D1">
        <w:t xml:space="preserve">. </w:t>
      </w:r>
    </w:p>
    <w:p w14:paraId="3231222A" w14:textId="302E6C9D" w:rsidR="00B44AED" w:rsidRDefault="00F84473" w:rsidP="00B44AED">
      <w:pPr>
        <w:pStyle w:val="ListBullet"/>
        <w:numPr>
          <w:ilvl w:val="0"/>
          <w:numId w:val="0"/>
        </w:numPr>
        <w:spacing w:after="240"/>
        <w:contextualSpacing w:val="0"/>
      </w:pPr>
      <w:r w:rsidRPr="008911A0">
        <w:rPr>
          <w:rFonts w:asciiTheme="majorHAnsi" w:hAnsiTheme="majorHAnsi" w:cstheme="majorHAnsi"/>
          <w:b/>
        </w:rPr>
        <w:t>C</w:t>
      </w:r>
      <w:r w:rsidR="00C63F71" w:rsidRPr="008911A0">
        <w:rPr>
          <w:rFonts w:asciiTheme="majorHAnsi" w:hAnsiTheme="majorHAnsi" w:cstheme="majorHAnsi"/>
          <w:b/>
        </w:rPr>
        <w:t>onsistency of clinical data collection</w:t>
      </w:r>
      <w:r w:rsidR="00B44AED">
        <w:rPr>
          <w:rFonts w:asciiTheme="majorHAnsi" w:hAnsiTheme="majorHAnsi" w:cstheme="majorHAnsi"/>
          <w:b/>
          <w:bCs/>
        </w:rPr>
        <w:t>.</w:t>
      </w:r>
      <w:r>
        <w:rPr>
          <w:rFonts w:asciiTheme="majorHAnsi" w:hAnsiTheme="majorHAnsi" w:cstheme="majorHAnsi"/>
          <w:b/>
        </w:rPr>
        <w:t xml:space="preserve"> </w:t>
      </w:r>
      <w:r w:rsidR="00F54863">
        <w:t>In relation to potential outcomes of the Program, a reduction in clinical incidents (</w:t>
      </w:r>
      <w:r w:rsidR="00984BAE">
        <w:t>e.g.,</w:t>
      </w:r>
      <w:r w:rsidR="00F54863">
        <w:t xml:space="preserve"> </w:t>
      </w:r>
      <w:r w:rsidR="002030E3">
        <w:t xml:space="preserve">falls) and </w:t>
      </w:r>
      <w:r w:rsidR="0008555A">
        <w:t xml:space="preserve">other </w:t>
      </w:r>
      <w:r w:rsidR="007C54C1">
        <w:t>behavioural</w:t>
      </w:r>
      <w:r w:rsidR="0008555A">
        <w:t xml:space="preserve"> incidents (</w:t>
      </w:r>
      <w:r w:rsidR="00FE4B10">
        <w:t>e.g.,</w:t>
      </w:r>
      <w:r w:rsidR="0008555A">
        <w:t xml:space="preserve"> </w:t>
      </w:r>
      <w:r w:rsidR="00FB292D">
        <w:t>BPSD-related resident-on-staff assaults</w:t>
      </w:r>
      <w:r w:rsidR="0008555A">
        <w:t>)</w:t>
      </w:r>
      <w:r w:rsidR="00FB292D">
        <w:t xml:space="preserve"> were </w:t>
      </w:r>
      <w:r w:rsidR="00AA513F">
        <w:t>identified as key lines of investigatio</w:t>
      </w:r>
      <w:r w:rsidR="00C57E38">
        <w:t xml:space="preserve">n to pursue, </w:t>
      </w:r>
      <w:r w:rsidR="00136A0D">
        <w:t>due to</w:t>
      </w:r>
      <w:r w:rsidR="00C57E38">
        <w:t xml:space="preserve"> their</w:t>
      </w:r>
      <w:r w:rsidR="00F951EC">
        <w:t xml:space="preserve"> impacts on key stakeholders. </w:t>
      </w:r>
      <w:r w:rsidR="00AB2950">
        <w:t xml:space="preserve">To this end, </w:t>
      </w:r>
      <w:r w:rsidR="00513D42">
        <w:t>SDCUs</w:t>
      </w:r>
      <w:r w:rsidR="00136A0D">
        <w:t xml:space="preserve"> were given a secondary data request </w:t>
      </w:r>
      <w:r w:rsidR="00012D59">
        <w:t>document in September 2020</w:t>
      </w:r>
      <w:r w:rsidR="00AB2950">
        <w:t xml:space="preserve"> </w:t>
      </w:r>
      <w:r w:rsidR="00186F45">
        <w:t xml:space="preserve">to ensure that data was collected to support this process. </w:t>
      </w:r>
      <w:r w:rsidR="00A139BC">
        <w:t>Outcome data received</w:t>
      </w:r>
      <w:r w:rsidR="00186F45">
        <w:t xml:space="preserve"> </w:t>
      </w:r>
      <w:r w:rsidR="00543E81">
        <w:t xml:space="preserve">across the latter half of 2022 </w:t>
      </w:r>
      <w:r w:rsidR="00186F45">
        <w:t xml:space="preserve">was </w:t>
      </w:r>
      <w:r w:rsidR="00C77068" w:rsidDel="00790D0D">
        <w:t xml:space="preserve">highly </w:t>
      </w:r>
      <w:r w:rsidR="00790D0D">
        <w:t>varied in terms of</w:t>
      </w:r>
      <w:r w:rsidR="00C77068" w:rsidDel="00790D0D">
        <w:t xml:space="preserve"> </w:t>
      </w:r>
      <w:r w:rsidR="00C77068">
        <w:t>granularity</w:t>
      </w:r>
      <w:r w:rsidR="0093051F">
        <w:t>,</w:t>
      </w:r>
      <w:r w:rsidR="003C0101">
        <w:t xml:space="preserve"> the type of </w:t>
      </w:r>
      <w:r w:rsidR="00875E5D">
        <w:t>information</w:t>
      </w:r>
      <w:r w:rsidR="003C0101">
        <w:t xml:space="preserve"> provided</w:t>
      </w:r>
      <w:r w:rsidR="0093051F">
        <w:t xml:space="preserve">, and the way that incidents were </w:t>
      </w:r>
      <w:r w:rsidR="00875E5D">
        <w:t>described or assessed.</w:t>
      </w:r>
      <w:r w:rsidR="00BF0D16">
        <w:t xml:space="preserve"> Deloitte Access Economics</w:t>
      </w:r>
      <w:r w:rsidR="00477271">
        <w:t xml:space="preserve"> </w:t>
      </w:r>
      <w:r w:rsidR="00A048AA">
        <w:t>undertook a detailed data cleaning process</w:t>
      </w:r>
      <w:r w:rsidR="00477271">
        <w:t xml:space="preserve"> to standardise this information and analyse it </w:t>
      </w:r>
      <w:r w:rsidR="00F17BD0">
        <w:t xml:space="preserve">to a robust and defensible extent, however </w:t>
      </w:r>
      <w:r w:rsidR="008F113D">
        <w:t xml:space="preserve">certain lines of inquiry </w:t>
      </w:r>
      <w:r w:rsidR="000279CF">
        <w:t>were ultimately</w:t>
      </w:r>
      <w:r w:rsidR="008F113D">
        <w:t xml:space="preserve"> not able to be </w:t>
      </w:r>
      <w:r w:rsidR="00DB29C6">
        <w:t>reliably pursued</w:t>
      </w:r>
      <w:r w:rsidR="000279CF">
        <w:t xml:space="preserve">. </w:t>
      </w:r>
      <w:r w:rsidR="002730EB">
        <w:t xml:space="preserve">To </w:t>
      </w:r>
      <w:r w:rsidR="0026343A">
        <w:t>resolve</w:t>
      </w:r>
      <w:r w:rsidR="002730EB">
        <w:t xml:space="preserve"> this issue for future evaluation activities, </w:t>
      </w:r>
      <w:r w:rsidR="000279CF">
        <w:t>r</w:t>
      </w:r>
      <w:r w:rsidR="00F17BD0">
        <w:t xml:space="preserve">ecommendations have been provided </w:t>
      </w:r>
      <w:r w:rsidR="00691EF5">
        <w:t xml:space="preserve">for ongoing Program delivery related to </w:t>
      </w:r>
      <w:r w:rsidR="000E2452">
        <w:t xml:space="preserve">contemporaneous and </w:t>
      </w:r>
      <w:r w:rsidR="00691EF5">
        <w:t>standardi</w:t>
      </w:r>
      <w:r w:rsidR="004E1984">
        <w:t>s</w:t>
      </w:r>
      <w:r w:rsidR="00691EF5">
        <w:t xml:space="preserve">ed </w:t>
      </w:r>
      <w:r w:rsidR="000E2452">
        <w:t>data collection</w:t>
      </w:r>
      <w:r w:rsidR="004E1984">
        <w:t xml:space="preserve">. </w:t>
      </w:r>
    </w:p>
    <w:p w14:paraId="239367C5" w14:textId="29A1D196" w:rsidR="004E1984" w:rsidRPr="00E30D94" w:rsidRDefault="0026343A" w:rsidP="00E30D94">
      <w:pPr>
        <w:pStyle w:val="ListBullet"/>
        <w:numPr>
          <w:ilvl w:val="0"/>
          <w:numId w:val="0"/>
        </w:numPr>
        <w:spacing w:after="240"/>
        <w:contextualSpacing w:val="0"/>
      </w:pPr>
      <w:r w:rsidRPr="00B44AED">
        <w:rPr>
          <w:rFonts w:asciiTheme="majorHAnsi" w:hAnsiTheme="majorHAnsi" w:cstheme="majorHAnsi"/>
          <w:b/>
        </w:rPr>
        <w:t>Timeframes of b</w:t>
      </w:r>
      <w:r w:rsidR="004E1984" w:rsidRPr="00B44AED">
        <w:rPr>
          <w:rFonts w:asciiTheme="majorHAnsi" w:hAnsiTheme="majorHAnsi" w:cstheme="majorHAnsi"/>
          <w:b/>
        </w:rPr>
        <w:t>enefit realisation</w:t>
      </w:r>
      <w:r w:rsidR="005C6866" w:rsidRPr="00B44AED">
        <w:rPr>
          <w:rFonts w:asciiTheme="majorHAnsi" w:hAnsiTheme="majorHAnsi" w:cstheme="majorHAnsi"/>
          <w:b/>
        </w:rPr>
        <w:t xml:space="preserve"> for cost-benefit analysis</w:t>
      </w:r>
      <w:r w:rsidR="00B44AED" w:rsidRPr="00B44AED">
        <w:rPr>
          <w:rFonts w:asciiTheme="majorHAnsi" w:hAnsiTheme="majorHAnsi" w:cstheme="majorHAnsi"/>
          <w:b/>
          <w:bCs/>
        </w:rPr>
        <w:t>.</w:t>
      </w:r>
      <w:r w:rsidR="005E628F" w:rsidRPr="00B44AED">
        <w:rPr>
          <w:rFonts w:asciiTheme="majorHAnsi" w:hAnsiTheme="majorHAnsi" w:cstheme="majorHAnsi"/>
          <w:b/>
        </w:rPr>
        <w:t xml:space="preserve"> </w:t>
      </w:r>
      <w:r w:rsidR="00DA198F">
        <w:t xml:space="preserve">One of the key Program intentions is to reduce </w:t>
      </w:r>
      <w:r w:rsidR="00977FC8">
        <w:t xml:space="preserve">the frequency and severity of </w:t>
      </w:r>
      <w:r w:rsidR="009D65B3">
        <w:t>BPSD</w:t>
      </w:r>
      <w:r w:rsidR="00977FC8">
        <w:t xml:space="preserve"> </w:t>
      </w:r>
      <w:r w:rsidR="00D063DB">
        <w:t>in residents</w:t>
      </w:r>
      <w:r w:rsidR="00977FC8">
        <w:t>, in order to facilitate</w:t>
      </w:r>
      <w:r w:rsidR="00D063DB">
        <w:t xml:space="preserve"> transition out to </w:t>
      </w:r>
      <w:r w:rsidR="000D0938">
        <w:t xml:space="preserve">less intensive </w:t>
      </w:r>
      <w:r w:rsidR="00D063DB">
        <w:t xml:space="preserve">mainstream RACF. </w:t>
      </w:r>
      <w:r w:rsidR="004D66BA">
        <w:t xml:space="preserve">The </w:t>
      </w:r>
      <w:r w:rsidR="00BC0572">
        <w:t>potential</w:t>
      </w:r>
      <w:r w:rsidR="004D66BA">
        <w:t xml:space="preserve"> for Program residents </w:t>
      </w:r>
      <w:r w:rsidR="00A77070">
        <w:t xml:space="preserve">to </w:t>
      </w:r>
      <w:r w:rsidR="005E2745">
        <w:t>req</w:t>
      </w:r>
      <w:r w:rsidR="00C56D5E">
        <w:t>uire less resource-intensive health care services</w:t>
      </w:r>
      <w:r w:rsidR="00A77070">
        <w:t xml:space="preserve"> for several years after Program participation</w:t>
      </w:r>
      <w:r w:rsidR="0035777C">
        <w:t xml:space="preserve"> than would have occurred in </w:t>
      </w:r>
      <w:r w:rsidR="001558EC">
        <w:t>the Program’s</w:t>
      </w:r>
      <w:r w:rsidR="00DB3BEA">
        <w:t xml:space="preserve"> absence</w:t>
      </w:r>
      <w:r w:rsidR="00A77070">
        <w:t xml:space="preserve"> </w:t>
      </w:r>
      <w:r w:rsidR="00863DBC">
        <w:t>is</w:t>
      </w:r>
      <w:r w:rsidR="00A77070">
        <w:t xml:space="preserve"> therefore </w:t>
      </w:r>
      <w:r w:rsidR="0035777C">
        <w:t>a</w:t>
      </w:r>
      <w:r w:rsidR="001829DF">
        <w:t xml:space="preserve"> significant benefit.</w:t>
      </w:r>
      <w:r w:rsidR="00CE1CBA">
        <w:t xml:space="preserve"> </w:t>
      </w:r>
      <w:r w:rsidR="001138B9">
        <w:t>P</w:t>
      </w:r>
      <w:r w:rsidR="00A306AE">
        <w:t xml:space="preserve">rovider performance reports </w:t>
      </w:r>
      <w:r w:rsidR="002F5042">
        <w:t>detail</w:t>
      </w:r>
      <w:r w:rsidR="00A306AE">
        <w:t xml:space="preserve"> successful discharges to </w:t>
      </w:r>
      <w:r w:rsidR="005152AA">
        <w:t xml:space="preserve">mainstream </w:t>
      </w:r>
      <w:r w:rsidR="00B14FC2">
        <w:t>RACFs</w:t>
      </w:r>
      <w:r w:rsidR="005B278B">
        <w:t xml:space="preserve"> </w:t>
      </w:r>
      <w:r w:rsidR="00FC3E2E">
        <w:t xml:space="preserve">due to settled </w:t>
      </w:r>
      <w:r w:rsidR="009D65B3">
        <w:t>BPSD</w:t>
      </w:r>
      <w:r w:rsidR="005B278B">
        <w:t xml:space="preserve"> on a </w:t>
      </w:r>
      <w:r w:rsidR="002F5042">
        <w:t>unit</w:t>
      </w:r>
      <w:r w:rsidR="000217E8">
        <w:t xml:space="preserve"> </w:t>
      </w:r>
      <w:r w:rsidR="002F5042">
        <w:t>record level</w:t>
      </w:r>
      <w:r w:rsidR="005152AA">
        <w:t>, however</w:t>
      </w:r>
      <w:r w:rsidR="007F6B8F">
        <w:t xml:space="preserve"> there is no formal </w:t>
      </w:r>
      <w:r w:rsidR="005130FF">
        <w:t xml:space="preserve">Program </w:t>
      </w:r>
      <w:r w:rsidR="007F6B8F">
        <w:t xml:space="preserve">mechanism for tracking </w:t>
      </w:r>
      <w:r w:rsidR="002A20D5">
        <w:t>post-Program</w:t>
      </w:r>
      <w:r w:rsidR="007F6B8F">
        <w:t xml:space="preserve"> outcomes.</w:t>
      </w:r>
      <w:r w:rsidR="001B04CC">
        <w:t xml:space="preserve"> </w:t>
      </w:r>
      <w:r w:rsidR="00652C7D">
        <w:t xml:space="preserve">Given this limitation, </w:t>
      </w:r>
      <w:r w:rsidR="003439E0">
        <w:t xml:space="preserve">in the cost-benefit analysis (Chapter 6) </w:t>
      </w:r>
      <w:r w:rsidR="00E30D94">
        <w:t xml:space="preserve">assumptions </w:t>
      </w:r>
      <w:r w:rsidR="003439E0">
        <w:t xml:space="preserve">were </w:t>
      </w:r>
      <w:r w:rsidR="00E76B83">
        <w:t xml:space="preserve">applied to </w:t>
      </w:r>
      <w:r w:rsidR="00D51E59">
        <w:t xml:space="preserve">inform benefits </w:t>
      </w:r>
      <w:r w:rsidR="00AE3638">
        <w:t xml:space="preserve">realisation </w:t>
      </w:r>
      <w:r w:rsidR="00D51E59">
        <w:t xml:space="preserve">timeframes of 9 and 18-months </w:t>
      </w:r>
      <w:r w:rsidR="00AE3638">
        <w:t>post-</w:t>
      </w:r>
      <w:r w:rsidR="003439E0">
        <w:t>P</w:t>
      </w:r>
      <w:r w:rsidR="00AE3638">
        <w:t>rogram</w:t>
      </w:r>
      <w:r w:rsidR="00BE2824">
        <w:t>.</w:t>
      </w:r>
      <w:r w:rsidR="00184DD4">
        <w:t xml:space="preserve"> To resolve this issue for future evaluation activities, recommendations have been provided for ongoing data collection related </w:t>
      </w:r>
      <w:r w:rsidR="00D278DC">
        <w:t xml:space="preserve">to post-Program outcomes. </w:t>
      </w:r>
    </w:p>
    <w:p w14:paraId="0A7D8E1F" w14:textId="77B26970" w:rsidR="005F1F1E" w:rsidRDefault="00742788" w:rsidP="00573560">
      <w:pPr>
        <w:pStyle w:val="Heading2"/>
        <w:spacing w:after="0"/>
        <w:ind w:left="578" w:hanging="578"/>
      </w:pPr>
      <w:r>
        <w:t>Structure of this report</w:t>
      </w:r>
    </w:p>
    <w:p w14:paraId="0C0CB000" w14:textId="05B19D14" w:rsidR="00742788" w:rsidRDefault="00E453BE" w:rsidP="00742788">
      <w:r>
        <w:t>The remainder of this Report is structured as follows:</w:t>
      </w:r>
    </w:p>
    <w:p w14:paraId="5C041577" w14:textId="3E595200" w:rsidR="00E453BE" w:rsidRPr="00E453BE" w:rsidRDefault="00E453BE" w:rsidP="00742788">
      <w:r w:rsidRPr="00600B92">
        <w:rPr>
          <w:rFonts w:asciiTheme="majorHAnsi" w:hAnsiTheme="majorHAnsi" w:cstheme="majorHAnsi"/>
          <w:b/>
        </w:rPr>
        <w:t>Chapter 2: Referrals and transitions</w:t>
      </w:r>
      <w:r w:rsidR="00011D69">
        <w:rPr>
          <w:rFonts w:asciiTheme="majorHAnsi" w:hAnsiTheme="majorHAnsi" w:cstheme="majorHAnsi"/>
          <w:b/>
        </w:rPr>
        <w:t xml:space="preserve"> </w:t>
      </w:r>
      <w:r w:rsidRPr="00600B92">
        <w:rPr>
          <w:rFonts w:asciiTheme="majorHAnsi" w:hAnsiTheme="majorHAnsi" w:cstheme="majorHAnsi"/>
          <w:b/>
        </w:rPr>
        <w:t>in.</w:t>
      </w:r>
      <w:r>
        <w:rPr>
          <w:b/>
          <w:bCs/>
        </w:rPr>
        <w:t xml:space="preserve"> </w:t>
      </w:r>
      <w:r w:rsidR="00F57A32">
        <w:t xml:space="preserve">This chapter presents </w:t>
      </w:r>
      <w:r w:rsidR="00CC1A48">
        <w:t>key</w:t>
      </w:r>
      <w:r w:rsidR="00F57A32">
        <w:t xml:space="preserve"> findings that emerged </w:t>
      </w:r>
      <w:r w:rsidR="009E4F18" w:rsidRPr="009E4F18">
        <w:t>through evaluation activities</w:t>
      </w:r>
      <w:r w:rsidR="00F57A32">
        <w:t xml:space="preserve"> as they relate to the referral and transition-in part of the care continuum.</w:t>
      </w:r>
    </w:p>
    <w:p w14:paraId="30B8F5A4" w14:textId="5B748821" w:rsidR="00E453BE" w:rsidRPr="00E453BE" w:rsidRDefault="00E453BE" w:rsidP="00742788">
      <w:r w:rsidRPr="00600B92">
        <w:rPr>
          <w:rFonts w:asciiTheme="majorHAnsi" w:hAnsiTheme="majorHAnsi" w:cstheme="majorHAnsi"/>
          <w:b/>
        </w:rPr>
        <w:t>Chapter 3: Delivery of care.</w:t>
      </w:r>
      <w:r>
        <w:rPr>
          <w:b/>
          <w:bCs/>
        </w:rPr>
        <w:t xml:space="preserve"> </w:t>
      </w:r>
      <w:r w:rsidR="00362627">
        <w:t xml:space="preserve">This chapter presents </w:t>
      </w:r>
      <w:r w:rsidR="00CC1A48">
        <w:t>key</w:t>
      </w:r>
      <w:r w:rsidR="00362627">
        <w:t xml:space="preserve"> findings that emerged </w:t>
      </w:r>
      <w:r w:rsidR="00D14CC5" w:rsidRPr="00D14CC5">
        <w:t>through evaluation activities</w:t>
      </w:r>
      <w:r w:rsidR="00362627">
        <w:t xml:space="preserve"> as they relate to the delivery of </w:t>
      </w:r>
      <w:r w:rsidR="00D14CC5" w:rsidRPr="00D14CC5">
        <w:t>care</w:t>
      </w:r>
      <w:r w:rsidR="00D14CC5">
        <w:t xml:space="preserve"> </w:t>
      </w:r>
      <w:r w:rsidR="00D14CC5" w:rsidRPr="00D14CC5">
        <w:t>part</w:t>
      </w:r>
      <w:r w:rsidR="00362627">
        <w:t xml:space="preserve"> of </w:t>
      </w:r>
      <w:r w:rsidR="00D14CC5" w:rsidRPr="00D14CC5">
        <w:t>the care continuum.</w:t>
      </w:r>
    </w:p>
    <w:p w14:paraId="3FB0A610" w14:textId="2594B3E7" w:rsidR="00684663" w:rsidRDefault="00E453BE" w:rsidP="00742788">
      <w:pPr>
        <w:rPr>
          <w:rFonts w:ascii="Arial" w:hAnsi="Arial" w:cs="Arial"/>
          <w:sz w:val="14"/>
          <w:szCs w:val="14"/>
          <w:shd w:val="clear" w:color="auto" w:fill="FAF9F8"/>
        </w:rPr>
      </w:pPr>
      <w:r w:rsidRPr="00600B92">
        <w:rPr>
          <w:rFonts w:asciiTheme="majorHAnsi" w:hAnsiTheme="majorHAnsi" w:cstheme="majorHAnsi"/>
          <w:b/>
          <w:bCs/>
        </w:rPr>
        <w:t>Chapter 4: Discharge and transition out.</w:t>
      </w:r>
      <w:r>
        <w:rPr>
          <w:b/>
          <w:bCs/>
        </w:rPr>
        <w:t xml:space="preserve"> </w:t>
      </w:r>
      <w:r w:rsidR="00684663" w:rsidRPr="00684663">
        <w:t>This chapter presents key findings that emerged through evaluation activities as they relate to the discharge and transition-out part of the care continuum.</w:t>
      </w:r>
    </w:p>
    <w:p w14:paraId="691B8F04" w14:textId="64C092D4" w:rsidR="00B622F9" w:rsidRDefault="00E453BE" w:rsidP="00742788">
      <w:pPr>
        <w:rPr>
          <w:b/>
          <w:bCs/>
        </w:rPr>
      </w:pPr>
      <w:r w:rsidRPr="00F65B7B">
        <w:rPr>
          <w:rFonts w:asciiTheme="majorHAnsi" w:hAnsiTheme="majorHAnsi" w:cstheme="majorHAnsi"/>
          <w:b/>
        </w:rPr>
        <w:t xml:space="preserve">Chapter </w:t>
      </w:r>
      <w:r w:rsidR="007D1815" w:rsidRPr="00F65B7B">
        <w:rPr>
          <w:rFonts w:asciiTheme="majorHAnsi" w:hAnsiTheme="majorHAnsi" w:cstheme="majorHAnsi"/>
          <w:b/>
        </w:rPr>
        <w:t>5</w:t>
      </w:r>
      <w:r w:rsidRPr="00F65B7B">
        <w:rPr>
          <w:rFonts w:asciiTheme="majorHAnsi" w:hAnsiTheme="majorHAnsi" w:cstheme="majorHAnsi"/>
          <w:b/>
        </w:rPr>
        <w:t xml:space="preserve">: </w:t>
      </w:r>
      <w:r w:rsidR="00B622F9" w:rsidRPr="00F65B7B">
        <w:rPr>
          <w:rFonts w:asciiTheme="majorHAnsi" w:hAnsiTheme="majorHAnsi" w:cstheme="majorHAnsi"/>
          <w:b/>
        </w:rPr>
        <w:t>Program outcomes</w:t>
      </w:r>
      <w:r w:rsidR="00074D4A" w:rsidRPr="00F65B7B">
        <w:rPr>
          <w:rFonts w:asciiTheme="majorHAnsi" w:hAnsiTheme="majorHAnsi" w:cstheme="majorHAnsi"/>
          <w:b/>
        </w:rPr>
        <w:t>.</w:t>
      </w:r>
      <w:r w:rsidR="00074D4A" w:rsidRPr="00074D4A">
        <w:t xml:space="preserve"> </w:t>
      </w:r>
      <w:r w:rsidR="00BE5238">
        <w:t xml:space="preserve">This chapter presents key findings that emerged </w:t>
      </w:r>
      <w:r w:rsidR="00B9639D">
        <w:t>through</w:t>
      </w:r>
      <w:r w:rsidR="00BE5238">
        <w:t xml:space="preserve"> evaluation activitie</w:t>
      </w:r>
      <w:r w:rsidR="002B3D49">
        <w:t>s as they relate to the</w:t>
      </w:r>
      <w:r w:rsidR="009E3DE1">
        <w:t xml:space="preserve"> Program</w:t>
      </w:r>
      <w:r w:rsidR="002B3D49">
        <w:t xml:space="preserve"> </w:t>
      </w:r>
      <w:r w:rsidR="002B3D49" w:rsidRPr="002B3D49">
        <w:t xml:space="preserve">outcomes </w:t>
      </w:r>
      <w:r w:rsidR="0038005F">
        <w:t>at an individual, service and system level</w:t>
      </w:r>
      <w:r w:rsidR="002B3D49" w:rsidRPr="002B3D49">
        <w:t xml:space="preserve"> </w:t>
      </w:r>
      <w:r w:rsidR="0038005F">
        <w:t>for</w:t>
      </w:r>
      <w:r w:rsidR="002B3D49">
        <w:t xml:space="preserve"> residents</w:t>
      </w:r>
      <w:r w:rsidR="0000670B">
        <w:t xml:space="preserve"> and their </w:t>
      </w:r>
      <w:r w:rsidR="002B3D49">
        <w:t>families</w:t>
      </w:r>
      <w:r w:rsidR="0038005F">
        <w:t>/</w:t>
      </w:r>
      <w:r w:rsidR="002B3D49">
        <w:t>carer</w:t>
      </w:r>
      <w:r w:rsidR="0000670B">
        <w:t xml:space="preserve">s, Program staff and the </w:t>
      </w:r>
      <w:r w:rsidR="0000670B" w:rsidRPr="00FC3D72">
        <w:t xml:space="preserve">broader </w:t>
      </w:r>
      <w:r w:rsidR="00D944B1">
        <w:t>health and aged care</w:t>
      </w:r>
      <w:r w:rsidR="0000670B" w:rsidRPr="00FC3D72">
        <w:t xml:space="preserve"> system</w:t>
      </w:r>
      <w:r w:rsidR="0000670B">
        <w:t xml:space="preserve">. </w:t>
      </w:r>
    </w:p>
    <w:p w14:paraId="1FA56995" w14:textId="000980B5" w:rsidR="00B622F9" w:rsidRPr="00BE5238" w:rsidRDefault="00B622F9" w:rsidP="00742788">
      <w:r w:rsidRPr="00F65B7B">
        <w:rPr>
          <w:rFonts w:asciiTheme="majorHAnsi" w:hAnsiTheme="majorHAnsi" w:cstheme="majorHAnsi"/>
          <w:b/>
          <w:bCs/>
        </w:rPr>
        <w:t xml:space="preserve">Chapter </w:t>
      </w:r>
      <w:r w:rsidR="007D1815" w:rsidRPr="00F65B7B">
        <w:rPr>
          <w:rFonts w:asciiTheme="majorHAnsi" w:hAnsiTheme="majorHAnsi" w:cstheme="majorHAnsi"/>
          <w:b/>
          <w:bCs/>
        </w:rPr>
        <w:t>6</w:t>
      </w:r>
      <w:r w:rsidRPr="00F65B7B">
        <w:rPr>
          <w:rFonts w:asciiTheme="majorHAnsi" w:hAnsiTheme="majorHAnsi" w:cstheme="majorHAnsi"/>
          <w:b/>
          <w:bCs/>
        </w:rPr>
        <w:t>: Economic evaluation</w:t>
      </w:r>
      <w:r w:rsidR="00074D4A" w:rsidRPr="00F65B7B">
        <w:rPr>
          <w:rFonts w:asciiTheme="majorHAnsi" w:hAnsiTheme="majorHAnsi" w:cstheme="majorHAnsi"/>
          <w:b/>
          <w:bCs/>
        </w:rPr>
        <w:t>.</w:t>
      </w:r>
      <w:r w:rsidR="00074D4A">
        <w:rPr>
          <w:b/>
          <w:bCs/>
        </w:rPr>
        <w:t xml:space="preserve"> </w:t>
      </w:r>
      <w:r w:rsidR="0000670B">
        <w:t>This chapter presents key findings from the cost-benefit analysis</w:t>
      </w:r>
      <w:r w:rsidR="00570B24">
        <w:t>, where the costs and monetisable benefits of the Progr</w:t>
      </w:r>
      <w:r w:rsidR="00DA3443">
        <w:t>a</w:t>
      </w:r>
      <w:r w:rsidR="00570B24">
        <w:t>m are assessed relative to a comparator case where the Program does not exist.</w:t>
      </w:r>
    </w:p>
    <w:p w14:paraId="0F919071" w14:textId="5DBA061E" w:rsidR="007D1815" w:rsidRPr="00E453BE" w:rsidRDefault="007D1815" w:rsidP="007D1815">
      <w:r w:rsidRPr="00F65B7B">
        <w:rPr>
          <w:rFonts w:asciiTheme="majorHAnsi" w:hAnsiTheme="majorHAnsi" w:cstheme="majorHAnsi"/>
          <w:b/>
        </w:rPr>
        <w:t>Chapter 7: Program administration.</w:t>
      </w:r>
      <w:r>
        <w:rPr>
          <w:b/>
          <w:bCs/>
        </w:rPr>
        <w:t xml:space="preserve"> </w:t>
      </w:r>
      <w:r>
        <w:t>This chapter presents key findings that emerged through evaluation activities as they relate to Program costs and other administrative factors.</w:t>
      </w:r>
    </w:p>
    <w:p w14:paraId="6158C167" w14:textId="2715D917" w:rsidR="00074D4A" w:rsidRPr="00E453BE" w:rsidRDefault="00074D4A" w:rsidP="00074D4A">
      <w:r w:rsidRPr="00F65B7B">
        <w:rPr>
          <w:rFonts w:asciiTheme="majorHAnsi" w:hAnsiTheme="majorHAnsi" w:cstheme="majorHAnsi"/>
          <w:b/>
        </w:rPr>
        <w:t xml:space="preserve">Chapter 9: </w:t>
      </w:r>
      <w:r w:rsidR="00F65B7B">
        <w:rPr>
          <w:rFonts w:asciiTheme="majorHAnsi" w:hAnsiTheme="majorHAnsi" w:cstheme="majorHAnsi"/>
          <w:b/>
          <w:bCs/>
        </w:rPr>
        <w:t>Concluding remarks and i</w:t>
      </w:r>
      <w:r w:rsidRPr="00F65B7B">
        <w:rPr>
          <w:rFonts w:asciiTheme="majorHAnsi" w:hAnsiTheme="majorHAnsi" w:cstheme="majorHAnsi"/>
          <w:b/>
          <w:bCs/>
        </w:rPr>
        <w:t>mplications</w:t>
      </w:r>
      <w:r w:rsidRPr="00F65B7B">
        <w:rPr>
          <w:rFonts w:asciiTheme="majorHAnsi" w:hAnsiTheme="majorHAnsi" w:cstheme="majorHAnsi"/>
          <w:b/>
        </w:rPr>
        <w:t xml:space="preserve"> for ongoing </w:t>
      </w:r>
      <w:r w:rsidR="00573560" w:rsidRPr="00F65B7B">
        <w:rPr>
          <w:rFonts w:asciiTheme="majorHAnsi" w:hAnsiTheme="majorHAnsi" w:cstheme="majorHAnsi"/>
          <w:b/>
        </w:rPr>
        <w:t>implementation</w:t>
      </w:r>
      <w:r w:rsidRPr="00F65B7B">
        <w:rPr>
          <w:rFonts w:asciiTheme="majorHAnsi" w:hAnsiTheme="majorHAnsi" w:cstheme="majorHAnsi"/>
          <w:b/>
        </w:rPr>
        <w:t>.</w:t>
      </w:r>
      <w:r>
        <w:rPr>
          <w:b/>
          <w:bCs/>
        </w:rPr>
        <w:t xml:space="preserve"> </w:t>
      </w:r>
      <w:r>
        <w:t xml:space="preserve">This chapter provides concluding remarks, as well as considerations for </w:t>
      </w:r>
      <w:r w:rsidR="006E3552">
        <w:t>the</w:t>
      </w:r>
      <w:r>
        <w:t xml:space="preserve"> implementation of Phase Two of the Program.</w:t>
      </w:r>
    </w:p>
    <w:p w14:paraId="06F1E829" w14:textId="77777777" w:rsidR="00AD4C98" w:rsidRPr="00FC3D72" w:rsidRDefault="00AD4C98" w:rsidP="00FC3D72"/>
    <w:p w14:paraId="44CAD37E" w14:textId="03AB9A41" w:rsidR="00F52F8F" w:rsidRPr="008656BB" w:rsidRDefault="000F6FDB" w:rsidP="00692EF2">
      <w:pPr>
        <w:pStyle w:val="Heading1"/>
      </w:pPr>
      <w:r>
        <w:t xml:space="preserve"> </w:t>
      </w:r>
      <w:bookmarkStart w:id="17" w:name="_Ref123914305"/>
      <w:bookmarkStart w:id="18" w:name="_Ref123915087"/>
      <w:bookmarkStart w:id="19" w:name="_Toc141714790"/>
      <w:r w:rsidR="00692EF2" w:rsidRPr="008656BB">
        <w:t>Referrals and transitions</w:t>
      </w:r>
      <w:r w:rsidR="00011D69">
        <w:t xml:space="preserve"> </w:t>
      </w:r>
      <w:r w:rsidR="00692EF2" w:rsidRPr="008656BB">
        <w:t>in</w:t>
      </w:r>
      <w:bookmarkEnd w:id="17"/>
      <w:bookmarkEnd w:id="18"/>
      <w:bookmarkEnd w:id="19"/>
    </w:p>
    <w:p w14:paraId="342071E7" w14:textId="5F86CAA5" w:rsidR="00F52F8F" w:rsidRDefault="00F52F8F" w:rsidP="00F52F8F">
      <w:pPr>
        <w:pStyle w:val="Sectionintro"/>
        <w:rPr>
          <w:lang w:val="en-AU"/>
        </w:rPr>
      </w:pPr>
      <w:r w:rsidRPr="0021329C">
        <w:rPr>
          <w:lang w:val="en-AU"/>
        </w:rPr>
        <w:t xml:space="preserve">This chapter </w:t>
      </w:r>
      <w:r w:rsidR="007E4DC6">
        <w:rPr>
          <w:lang w:val="en-AU"/>
        </w:rPr>
        <w:t xml:space="preserve">presents key findings as they relate to the referral and transition-in part of the </w:t>
      </w:r>
      <w:r w:rsidR="00B14DF5">
        <w:rPr>
          <w:lang w:val="en-AU"/>
        </w:rPr>
        <w:t xml:space="preserve">Program’s </w:t>
      </w:r>
      <w:r w:rsidR="007E4DC6">
        <w:rPr>
          <w:lang w:val="en-AU"/>
        </w:rPr>
        <w:t>care continuum</w:t>
      </w:r>
      <w:r w:rsidRPr="0021329C">
        <w:rPr>
          <w:lang w:val="en-AU"/>
        </w:rPr>
        <w:t>.</w:t>
      </w:r>
    </w:p>
    <w:p w14:paraId="5F0CD10C" w14:textId="5B22F4FE" w:rsidR="00A87BD8" w:rsidRDefault="00A87BD8" w:rsidP="00A87BD8">
      <w:pPr>
        <w:pStyle w:val="Caption"/>
      </w:pPr>
      <w:r>
        <w:t xml:space="preserve">Figure </w:t>
      </w:r>
      <w:r w:rsidR="00915F8B">
        <w:fldChar w:fldCharType="begin"/>
      </w:r>
      <w:r w:rsidR="00915F8B">
        <w:instrText xml:space="preserve"> STYLEREF 1 \s </w:instrText>
      </w:r>
      <w:r w:rsidR="00915F8B">
        <w:fldChar w:fldCharType="separate"/>
      </w:r>
      <w:r w:rsidR="00D32536">
        <w:rPr>
          <w:noProof/>
        </w:rPr>
        <w:t>2</w:t>
      </w:r>
      <w:r w:rsidR="00915F8B">
        <w:fldChar w:fldCharType="end"/>
      </w:r>
      <w:r w:rsidR="00BB10FB">
        <w:t>.</w:t>
      </w:r>
      <w:r w:rsidR="008875A8">
        <w:fldChar w:fldCharType="begin"/>
      </w:r>
      <w:r w:rsidR="008875A8">
        <w:instrText xml:space="preserve"> SEQ Figure \* ARABIC \s 1 </w:instrText>
      </w:r>
      <w:r w:rsidR="008875A8">
        <w:fldChar w:fldCharType="separate"/>
      </w:r>
      <w:r w:rsidR="00D32536">
        <w:rPr>
          <w:noProof/>
        </w:rPr>
        <w:t>1</w:t>
      </w:r>
      <w:r w:rsidR="008875A8">
        <w:fldChar w:fldCharType="end"/>
      </w:r>
      <w:r>
        <w:t xml:space="preserve"> </w:t>
      </w:r>
      <w:r w:rsidRPr="009F1FA1">
        <w:t>Referrals and transition-in component of the Program’s care continuum</w:t>
      </w:r>
    </w:p>
    <w:p w14:paraId="17F64FC2" w14:textId="18A6EE16" w:rsidR="008530BC" w:rsidRDefault="000F6FDB" w:rsidP="00216366">
      <w:pPr>
        <w:pStyle w:val="SourcetextTableorChart"/>
        <w:rPr>
          <w:lang w:val="en-AU"/>
        </w:rPr>
      </w:pPr>
      <w:r w:rsidRPr="000F6FDB">
        <w:rPr>
          <w:noProof/>
        </w:rPr>
        <w:drawing>
          <wp:inline distT="0" distB="0" distL="0" distR="0" wp14:anchorId="14EF274B" wp14:editId="3B2C295B">
            <wp:extent cx="6319520" cy="2814320"/>
            <wp:effectExtent l="0" t="0" r="5080" b="5080"/>
            <wp:docPr id="25" name="Picture 25" descr="This diagram is the specialist dementia care program care pathway, as described ear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diagram is the specialist dementia care program care pathway, as described earlie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9520" cy="2814320"/>
                    </a:xfrm>
                    <a:prstGeom prst="rect">
                      <a:avLst/>
                    </a:prstGeom>
                    <a:noFill/>
                    <a:ln>
                      <a:noFill/>
                    </a:ln>
                  </pic:spPr>
                </pic:pic>
              </a:graphicData>
            </a:graphic>
          </wp:inline>
        </w:drawing>
      </w:r>
      <w:r w:rsidR="00D44D2E">
        <w:rPr>
          <w:lang w:val="en-AU"/>
        </w:rPr>
        <w:t>Source: Deloitte Access Economics based on Department of Health information.</w:t>
      </w:r>
    </w:p>
    <w:p w14:paraId="3FF81CE0" w14:textId="3C417B72" w:rsidR="00216366" w:rsidRDefault="001479A9" w:rsidP="00216366">
      <w:pPr>
        <w:rPr>
          <w:lang w:val="en-AU"/>
        </w:rPr>
      </w:pPr>
      <w:r>
        <w:rPr>
          <w:lang w:val="en-AU"/>
        </w:rPr>
        <w:t>An</w:t>
      </w:r>
      <w:r w:rsidR="003659FE">
        <w:rPr>
          <w:lang w:val="en-AU"/>
        </w:rPr>
        <w:t xml:space="preserve"> assessment of the referral and transition-in </w:t>
      </w:r>
      <w:r w:rsidR="00973CE2">
        <w:rPr>
          <w:lang w:val="en-AU"/>
        </w:rPr>
        <w:t xml:space="preserve">process is explored through the following sub-sections of the chapter: </w:t>
      </w:r>
    </w:p>
    <w:p w14:paraId="1263BBA7" w14:textId="7B698525" w:rsidR="00973CE2" w:rsidRDefault="002509AB" w:rsidP="00CB4F73">
      <w:pPr>
        <w:pStyle w:val="ListBullet"/>
        <w:rPr>
          <w:lang w:val="en-AU"/>
        </w:rPr>
      </w:pPr>
      <w:r>
        <w:rPr>
          <w:lang w:val="en-AU"/>
        </w:rPr>
        <w:t>p</w:t>
      </w:r>
      <w:r w:rsidR="00CB4F73">
        <w:rPr>
          <w:lang w:val="en-AU"/>
        </w:rPr>
        <w:t>rogram awareness</w:t>
      </w:r>
    </w:p>
    <w:p w14:paraId="7870140F" w14:textId="609A770F" w:rsidR="00CB4F73" w:rsidRDefault="002509AB" w:rsidP="00CB4F73">
      <w:pPr>
        <w:pStyle w:val="ListBullet"/>
        <w:rPr>
          <w:lang w:val="en-AU"/>
        </w:rPr>
      </w:pPr>
      <w:r>
        <w:rPr>
          <w:lang w:val="en-AU"/>
        </w:rPr>
        <w:t>p</w:t>
      </w:r>
      <w:r w:rsidR="00CB4F73">
        <w:rPr>
          <w:lang w:val="en-AU"/>
        </w:rPr>
        <w:t>rogram adoption and acceptability</w:t>
      </w:r>
    </w:p>
    <w:p w14:paraId="3B555886" w14:textId="5F4DD24A" w:rsidR="00CB4F73" w:rsidRDefault="002509AB" w:rsidP="00CB4F73">
      <w:pPr>
        <w:pStyle w:val="ListBullet"/>
        <w:rPr>
          <w:lang w:val="en-AU"/>
        </w:rPr>
      </w:pPr>
      <w:r>
        <w:rPr>
          <w:lang w:val="en-AU"/>
        </w:rPr>
        <w:t>t</w:t>
      </w:r>
      <w:r w:rsidR="00CB4F73">
        <w:rPr>
          <w:lang w:val="en-AU"/>
        </w:rPr>
        <w:t>imeliness and co-ordination of referrals.</w:t>
      </w:r>
    </w:p>
    <w:p w14:paraId="53C85956" w14:textId="77777777" w:rsidR="00CB4F73" w:rsidRDefault="00CB4F73" w:rsidP="00CB4F73">
      <w:pPr>
        <w:pStyle w:val="ListBullet"/>
        <w:numPr>
          <w:ilvl w:val="0"/>
          <w:numId w:val="0"/>
        </w:numPr>
        <w:ind w:left="284" w:hanging="284"/>
        <w:rPr>
          <w:lang w:val="en-AU"/>
        </w:rPr>
      </w:pPr>
    </w:p>
    <w:p w14:paraId="5FD062B2" w14:textId="001C8B49" w:rsidR="007347D5" w:rsidRPr="00771225" w:rsidRDefault="007347D5" w:rsidP="00235199">
      <w:pPr>
        <w:pStyle w:val="Heading2"/>
        <w:spacing w:after="0"/>
        <w:ind w:left="578" w:hanging="578"/>
        <w:rPr>
          <w:lang w:val="en-AU"/>
        </w:rPr>
      </w:pPr>
      <w:bookmarkStart w:id="20" w:name="_Ref123914210"/>
      <w:bookmarkStart w:id="21" w:name="_Ref123914220"/>
      <w:bookmarkStart w:id="22" w:name="_Ref123919383"/>
      <w:r w:rsidRPr="00771225">
        <w:rPr>
          <w:lang w:val="en-AU"/>
        </w:rPr>
        <w:t>Program awareness</w:t>
      </w:r>
      <w:bookmarkEnd w:id="20"/>
      <w:bookmarkEnd w:id="21"/>
      <w:bookmarkEnd w:id="22"/>
    </w:p>
    <w:p w14:paraId="2B1C6308" w14:textId="1079752B" w:rsidR="00367C0B" w:rsidRPr="002509AB" w:rsidRDefault="00D4289A" w:rsidP="00964FDE">
      <w:pPr>
        <w:rPr>
          <w:rFonts w:asciiTheme="majorHAnsi" w:hAnsiTheme="majorHAnsi" w:cstheme="majorHAnsi"/>
          <w:b/>
          <w:color w:val="012169"/>
          <w:lang w:val="en-AU"/>
        </w:rPr>
      </w:pPr>
      <w:r>
        <w:rPr>
          <w:rFonts w:asciiTheme="majorHAnsi" w:hAnsiTheme="majorHAnsi" w:cstheme="majorHAnsi"/>
          <w:b/>
          <w:color w:val="012169"/>
          <w:lang w:val="en-AU"/>
        </w:rPr>
        <w:t xml:space="preserve">The opening of new </w:t>
      </w:r>
      <w:r w:rsidR="0060647F">
        <w:rPr>
          <w:rFonts w:asciiTheme="majorHAnsi" w:hAnsiTheme="majorHAnsi" w:cstheme="majorHAnsi"/>
          <w:b/>
          <w:color w:val="012169"/>
          <w:lang w:val="en-AU"/>
        </w:rPr>
        <w:t>SDCUs</w:t>
      </w:r>
      <w:r>
        <w:rPr>
          <w:rFonts w:asciiTheme="majorHAnsi" w:hAnsiTheme="majorHAnsi" w:cstheme="majorHAnsi"/>
          <w:b/>
          <w:color w:val="012169"/>
          <w:lang w:val="en-AU"/>
        </w:rPr>
        <w:t xml:space="preserve"> across Phase One coincided with </w:t>
      </w:r>
      <w:r w:rsidR="00550EAE">
        <w:rPr>
          <w:rFonts w:asciiTheme="majorHAnsi" w:hAnsiTheme="majorHAnsi" w:cstheme="majorHAnsi"/>
          <w:b/>
          <w:color w:val="012169"/>
          <w:lang w:val="en-AU"/>
        </w:rPr>
        <w:t xml:space="preserve">growth in the </w:t>
      </w:r>
      <w:r w:rsidR="007F18F2">
        <w:rPr>
          <w:rFonts w:asciiTheme="majorHAnsi" w:hAnsiTheme="majorHAnsi" w:cstheme="majorHAnsi"/>
          <w:b/>
          <w:color w:val="012169"/>
          <w:lang w:val="en-AU"/>
        </w:rPr>
        <w:t>rate</w:t>
      </w:r>
      <w:r w:rsidR="00550EAE">
        <w:rPr>
          <w:rFonts w:asciiTheme="majorHAnsi" w:hAnsiTheme="majorHAnsi" w:cstheme="majorHAnsi"/>
          <w:b/>
          <w:color w:val="012169"/>
          <w:lang w:val="en-AU"/>
        </w:rPr>
        <w:t xml:space="preserve"> of </w:t>
      </w:r>
      <w:r w:rsidR="007F18F2">
        <w:rPr>
          <w:rFonts w:asciiTheme="majorHAnsi" w:hAnsiTheme="majorHAnsi" w:cstheme="majorHAnsi"/>
          <w:b/>
          <w:color w:val="012169"/>
          <w:lang w:val="en-AU"/>
        </w:rPr>
        <w:t xml:space="preserve">Program </w:t>
      </w:r>
      <w:r w:rsidR="00550EAE">
        <w:rPr>
          <w:rFonts w:asciiTheme="majorHAnsi" w:hAnsiTheme="majorHAnsi" w:cstheme="majorHAnsi"/>
          <w:b/>
          <w:color w:val="012169"/>
          <w:lang w:val="en-AU"/>
        </w:rPr>
        <w:t xml:space="preserve">referrals </w:t>
      </w:r>
      <w:r w:rsidR="009A753A">
        <w:rPr>
          <w:rFonts w:asciiTheme="majorHAnsi" w:hAnsiTheme="majorHAnsi" w:cstheme="majorHAnsi"/>
          <w:b/>
          <w:color w:val="012169"/>
          <w:lang w:val="en-AU"/>
        </w:rPr>
        <w:t xml:space="preserve">(though </w:t>
      </w:r>
      <w:r w:rsidR="007F18F2">
        <w:rPr>
          <w:rFonts w:asciiTheme="majorHAnsi" w:hAnsiTheme="majorHAnsi" w:cstheme="majorHAnsi"/>
          <w:b/>
          <w:color w:val="012169"/>
          <w:lang w:val="en-AU"/>
        </w:rPr>
        <w:t>rates of</w:t>
      </w:r>
      <w:r w:rsidR="009A753A">
        <w:rPr>
          <w:rFonts w:asciiTheme="majorHAnsi" w:hAnsiTheme="majorHAnsi" w:cstheme="majorHAnsi"/>
          <w:b/>
          <w:color w:val="012169"/>
          <w:lang w:val="en-AU"/>
        </w:rPr>
        <w:t xml:space="preserve"> referral were </w:t>
      </w:r>
      <w:r w:rsidR="00DE571B">
        <w:rPr>
          <w:rFonts w:asciiTheme="majorHAnsi" w:hAnsiTheme="majorHAnsi" w:cstheme="majorHAnsi"/>
          <w:b/>
          <w:color w:val="012169"/>
          <w:lang w:val="en-AU"/>
        </w:rPr>
        <w:t xml:space="preserve">also </w:t>
      </w:r>
      <w:r w:rsidR="009A753A">
        <w:rPr>
          <w:rFonts w:asciiTheme="majorHAnsi" w:hAnsiTheme="majorHAnsi" w:cstheme="majorHAnsi"/>
          <w:b/>
          <w:color w:val="012169"/>
          <w:lang w:val="en-AU"/>
        </w:rPr>
        <w:t>gr</w:t>
      </w:r>
      <w:r w:rsidR="00B6100A">
        <w:rPr>
          <w:rFonts w:asciiTheme="majorHAnsi" w:hAnsiTheme="majorHAnsi" w:cstheme="majorHAnsi"/>
          <w:b/>
          <w:color w:val="012169"/>
          <w:lang w:val="en-AU"/>
        </w:rPr>
        <w:t>owing as of June 2022)</w:t>
      </w:r>
      <w:r w:rsidR="004E61BF">
        <w:rPr>
          <w:rFonts w:asciiTheme="majorHAnsi" w:hAnsiTheme="majorHAnsi" w:cstheme="majorHAnsi"/>
          <w:b/>
          <w:color w:val="012169"/>
          <w:lang w:val="en-AU"/>
        </w:rPr>
        <w:t>. Referrals</w:t>
      </w:r>
      <w:r w:rsidR="0083383D" w:rsidRPr="002509AB">
        <w:rPr>
          <w:rFonts w:asciiTheme="majorHAnsi" w:hAnsiTheme="majorHAnsi" w:cstheme="majorHAnsi"/>
          <w:b/>
          <w:color w:val="012169"/>
          <w:lang w:val="en-AU"/>
        </w:rPr>
        <w:t xml:space="preserve"> by referrer type have now </w:t>
      </w:r>
      <w:r w:rsidR="008E6182" w:rsidRPr="002509AB">
        <w:rPr>
          <w:rFonts w:asciiTheme="majorHAnsi" w:hAnsiTheme="majorHAnsi" w:cstheme="majorHAnsi"/>
          <w:b/>
          <w:color w:val="012169"/>
          <w:lang w:val="en-AU"/>
        </w:rPr>
        <w:t xml:space="preserve">settled to </w:t>
      </w:r>
      <w:r w:rsidR="00123997" w:rsidRPr="002509AB">
        <w:rPr>
          <w:rFonts w:asciiTheme="majorHAnsi" w:hAnsiTheme="majorHAnsi" w:cstheme="majorHAnsi"/>
          <w:b/>
          <w:color w:val="012169"/>
          <w:lang w:val="en-AU"/>
        </w:rPr>
        <w:t xml:space="preserve">a </w:t>
      </w:r>
      <w:r w:rsidR="00377802" w:rsidRPr="002509AB">
        <w:rPr>
          <w:rFonts w:asciiTheme="majorHAnsi" w:hAnsiTheme="majorHAnsi" w:cstheme="majorHAnsi"/>
          <w:b/>
          <w:color w:val="012169"/>
          <w:lang w:val="en-AU"/>
        </w:rPr>
        <w:t xml:space="preserve">broadly even split between </w:t>
      </w:r>
      <w:r w:rsidR="00CE60C9" w:rsidRPr="002509AB">
        <w:rPr>
          <w:rFonts w:asciiTheme="majorHAnsi" w:hAnsiTheme="majorHAnsi" w:cstheme="majorHAnsi"/>
          <w:b/>
          <w:color w:val="012169"/>
          <w:lang w:val="en-AU"/>
        </w:rPr>
        <w:t>inpatient settings and RACFs</w:t>
      </w:r>
      <w:r w:rsidR="00E60ADA" w:rsidRPr="002509AB">
        <w:rPr>
          <w:rFonts w:asciiTheme="majorHAnsi" w:hAnsiTheme="majorHAnsi" w:cstheme="majorHAnsi"/>
          <w:b/>
          <w:color w:val="012169"/>
          <w:lang w:val="en-AU"/>
        </w:rPr>
        <w:t xml:space="preserve">. </w:t>
      </w:r>
      <w:r w:rsidR="003E5CDA">
        <w:rPr>
          <w:rFonts w:asciiTheme="majorHAnsi" w:hAnsiTheme="majorHAnsi" w:cstheme="majorHAnsi"/>
          <w:b/>
          <w:color w:val="012169"/>
          <w:lang w:val="en-AU"/>
        </w:rPr>
        <w:t xml:space="preserve">Across the states and territories, </w:t>
      </w:r>
      <w:r w:rsidR="00BA7F99">
        <w:rPr>
          <w:rFonts w:asciiTheme="majorHAnsi" w:hAnsiTheme="majorHAnsi" w:cstheme="majorHAnsi"/>
          <w:b/>
          <w:color w:val="012169"/>
          <w:lang w:val="en-AU"/>
        </w:rPr>
        <w:t>referral rates were correlated with the numb</w:t>
      </w:r>
      <w:r w:rsidR="00C5405C">
        <w:rPr>
          <w:rFonts w:asciiTheme="majorHAnsi" w:hAnsiTheme="majorHAnsi" w:cstheme="majorHAnsi"/>
          <w:b/>
          <w:color w:val="012169"/>
          <w:lang w:val="en-AU"/>
        </w:rPr>
        <w:t xml:space="preserve">er of sites within the jurisdiction. </w:t>
      </w:r>
    </w:p>
    <w:p w14:paraId="7C34A8F5" w14:textId="395FC098" w:rsidR="00B83943" w:rsidRDefault="009775B1" w:rsidP="003B0911">
      <w:pPr>
        <w:rPr>
          <w:lang w:val="en-AU"/>
        </w:rPr>
      </w:pPr>
      <w:r>
        <w:rPr>
          <w:lang w:val="en-AU"/>
        </w:rPr>
        <w:t xml:space="preserve">Awareness of the Program among referrers increased strongly during 2020, as nine of the Phase </w:t>
      </w:r>
      <w:r w:rsidR="006F6BB4">
        <w:rPr>
          <w:lang w:val="en-AU"/>
        </w:rPr>
        <w:t>One</w:t>
      </w:r>
      <w:r>
        <w:rPr>
          <w:lang w:val="en-AU"/>
        </w:rPr>
        <w:t xml:space="preserve"> </w:t>
      </w:r>
      <w:r w:rsidR="00513D42">
        <w:rPr>
          <w:lang w:val="en-AU"/>
        </w:rPr>
        <w:t>SDCUs</w:t>
      </w:r>
      <w:r>
        <w:rPr>
          <w:lang w:val="en-AU"/>
        </w:rPr>
        <w:t xml:space="preserve"> </w:t>
      </w:r>
      <w:r w:rsidR="00E95FB0">
        <w:rPr>
          <w:lang w:val="en-AU"/>
        </w:rPr>
        <w:t>were implemented. While referral</w:t>
      </w:r>
      <w:r w:rsidR="00C72AED">
        <w:rPr>
          <w:lang w:val="en-AU"/>
        </w:rPr>
        <w:t xml:space="preserve">s </w:t>
      </w:r>
      <w:r w:rsidR="004F1128">
        <w:rPr>
          <w:lang w:val="en-AU"/>
        </w:rPr>
        <w:t xml:space="preserve">were relatively stable during 2021, the first two quarters of </w:t>
      </w:r>
      <w:r w:rsidR="00D133ED">
        <w:rPr>
          <w:lang w:val="en-AU"/>
        </w:rPr>
        <w:t>2022 ha</w:t>
      </w:r>
      <w:r w:rsidR="00944198">
        <w:rPr>
          <w:lang w:val="en-AU"/>
        </w:rPr>
        <w:t>ve</w:t>
      </w:r>
      <w:r w:rsidR="00D133ED">
        <w:rPr>
          <w:lang w:val="en-AU"/>
        </w:rPr>
        <w:t xml:space="preserve"> seen renewed growth</w:t>
      </w:r>
      <w:r w:rsidR="00E30C1D">
        <w:rPr>
          <w:lang w:val="en-AU"/>
        </w:rPr>
        <w:t xml:space="preserve"> </w:t>
      </w:r>
      <w:r w:rsidR="0035486B">
        <w:rPr>
          <w:lang w:val="en-AU"/>
        </w:rPr>
        <w:t>(</w:t>
      </w:r>
      <w:r w:rsidR="000217E8">
        <w:rPr>
          <w:lang w:val="en-AU"/>
        </w:rPr>
        <w:fldChar w:fldCharType="begin"/>
      </w:r>
      <w:r w:rsidR="000217E8">
        <w:rPr>
          <w:lang w:val="en-AU"/>
        </w:rPr>
        <w:instrText xml:space="preserve"> REF _Ref125368642 \h </w:instrText>
      </w:r>
      <w:r w:rsidR="000217E8">
        <w:rPr>
          <w:lang w:val="en-AU"/>
        </w:rPr>
      </w:r>
      <w:r w:rsidR="000217E8">
        <w:rPr>
          <w:lang w:val="en-AU"/>
        </w:rPr>
        <w:fldChar w:fldCharType="separate"/>
      </w:r>
      <w:r w:rsidR="00D32536">
        <w:t xml:space="preserve">Figure </w:t>
      </w:r>
      <w:r w:rsidR="00D32536">
        <w:rPr>
          <w:noProof/>
        </w:rPr>
        <w:t>2</w:t>
      </w:r>
      <w:r w:rsidR="00D32536">
        <w:t>.</w:t>
      </w:r>
      <w:r w:rsidR="00D32536">
        <w:rPr>
          <w:noProof/>
        </w:rPr>
        <w:t>2</w:t>
      </w:r>
      <w:r w:rsidR="000217E8">
        <w:rPr>
          <w:lang w:val="en-AU"/>
        </w:rPr>
        <w:fldChar w:fldCharType="end"/>
      </w:r>
      <w:r w:rsidR="0035486B">
        <w:rPr>
          <w:lang w:val="en-AU"/>
        </w:rPr>
        <w:t>)</w:t>
      </w:r>
      <w:r w:rsidR="00900268" w:rsidRPr="003B0911">
        <w:rPr>
          <w:lang w:val="en-AU"/>
        </w:rPr>
        <w:t xml:space="preserve">. </w:t>
      </w:r>
    </w:p>
    <w:p w14:paraId="2031AEE8" w14:textId="5F7EB15B" w:rsidR="00BB10FB" w:rsidRDefault="00BB10FB" w:rsidP="00BB10FB">
      <w:pPr>
        <w:pStyle w:val="Caption"/>
      </w:pPr>
      <w:bookmarkStart w:id="23" w:name="_Ref125368642"/>
      <w:r>
        <w:t xml:space="preserve">Figure </w:t>
      </w:r>
      <w:r w:rsidR="00525231">
        <w:fldChar w:fldCharType="begin"/>
      </w:r>
      <w:r w:rsidR="00525231">
        <w:instrText xml:space="preserve"> STYLEREF 1 \s </w:instrText>
      </w:r>
      <w:r w:rsidR="00525231">
        <w:fldChar w:fldCharType="separate"/>
      </w:r>
      <w:r w:rsidR="00D32536">
        <w:rPr>
          <w:noProof/>
        </w:rPr>
        <w:t>2</w:t>
      </w:r>
      <w:r w:rsidR="00525231">
        <w:fldChar w:fldCharType="end"/>
      </w:r>
      <w:r>
        <w:t>.</w:t>
      </w:r>
      <w:r w:rsidR="008875A8">
        <w:fldChar w:fldCharType="begin"/>
      </w:r>
      <w:r w:rsidR="008875A8">
        <w:instrText xml:space="preserve"> SEQ Figure \* ARABIC \s 1 </w:instrText>
      </w:r>
      <w:r w:rsidR="008875A8">
        <w:fldChar w:fldCharType="separate"/>
      </w:r>
      <w:r w:rsidR="00D32536">
        <w:rPr>
          <w:noProof/>
        </w:rPr>
        <w:t>2</w:t>
      </w:r>
      <w:r w:rsidR="008875A8">
        <w:fldChar w:fldCharType="end"/>
      </w:r>
      <w:bookmarkEnd w:id="23"/>
      <w:r>
        <w:t xml:space="preserve"> </w:t>
      </w:r>
      <w:r w:rsidRPr="007428F8">
        <w:t>Number of referrals by referrer, by quarter, by year and periodic growth rate of referrals</w:t>
      </w:r>
    </w:p>
    <w:p w14:paraId="78A45B52" w14:textId="3859851A" w:rsidR="00E179B2" w:rsidRDefault="00E350C8" w:rsidP="003B0911">
      <w:pPr>
        <w:rPr>
          <w:lang w:val="en-AU"/>
        </w:rPr>
      </w:pPr>
      <w:r w:rsidRPr="00E350C8">
        <w:rPr>
          <w:noProof/>
        </w:rPr>
        <w:drawing>
          <wp:inline distT="0" distB="0" distL="0" distR="0" wp14:anchorId="23547A30" wp14:editId="64361344">
            <wp:extent cx="6319520" cy="5097145"/>
            <wp:effectExtent l="0" t="0" r="0" b="8255"/>
            <wp:docPr id="45" name="Picture 45" descr="This graph shows the number of referrals for the Program for each quarter of the year between Q3 2019 and Q2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graph shows the number of referrals for the Program for each quarter of the year between Q3 2019 and Q2 2022.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9520" cy="5097145"/>
                    </a:xfrm>
                    <a:prstGeom prst="rect">
                      <a:avLst/>
                    </a:prstGeom>
                    <a:noFill/>
                    <a:ln>
                      <a:noFill/>
                    </a:ln>
                  </pic:spPr>
                </pic:pic>
              </a:graphicData>
            </a:graphic>
          </wp:inline>
        </w:drawing>
      </w:r>
    </w:p>
    <w:p w14:paraId="4504CF15" w14:textId="53B4DA3E" w:rsidR="00E30C1D" w:rsidRDefault="00E30C1D" w:rsidP="005E46D4">
      <w:pPr>
        <w:pStyle w:val="SourcetextTableorChart"/>
        <w:spacing w:after="0"/>
        <w:rPr>
          <w:lang w:val="en-AU"/>
        </w:rPr>
      </w:pPr>
      <w:r>
        <w:rPr>
          <w:lang w:val="en-AU"/>
        </w:rPr>
        <w:t xml:space="preserve">Source: Deloitte Access Economics calculations, based on NBA data July 2019 to June 2022. </w:t>
      </w:r>
    </w:p>
    <w:p w14:paraId="0ADFC93D" w14:textId="4597680D" w:rsidR="00E30C1D" w:rsidRPr="005E46D4" w:rsidRDefault="00E30C1D">
      <w:pPr>
        <w:rPr>
          <w:iCs/>
          <w:color w:val="53565A" w:themeColor="background2"/>
          <w:sz w:val="14"/>
          <w:szCs w:val="18"/>
          <w:lang w:val="en-AU"/>
        </w:rPr>
      </w:pPr>
      <w:r w:rsidRPr="005E46D4">
        <w:rPr>
          <w:iCs/>
          <w:color w:val="53565A" w:themeColor="background2"/>
          <w:sz w:val="14"/>
          <w:szCs w:val="18"/>
          <w:lang w:val="en-AU"/>
        </w:rPr>
        <w:t xml:space="preserve">Note: </w:t>
      </w:r>
      <w:r w:rsidR="003F3F61">
        <w:rPr>
          <w:iCs/>
          <w:color w:val="53565A" w:themeColor="background2"/>
          <w:sz w:val="14"/>
          <w:szCs w:val="18"/>
          <w:lang w:val="en-AU"/>
        </w:rPr>
        <w:t xml:space="preserve">There are 109 referrals not shown, due to their referrer type being ‘Other’ (including not stated). </w:t>
      </w:r>
    </w:p>
    <w:p w14:paraId="02954717" w14:textId="263D31D9" w:rsidR="003B0911" w:rsidRPr="00386E7F" w:rsidRDefault="003D0947" w:rsidP="003B0911">
      <w:r>
        <w:rPr>
          <w:lang w:val="en-AU"/>
        </w:rPr>
        <w:t xml:space="preserve">As shown in </w:t>
      </w:r>
      <w:r w:rsidR="000217E8">
        <w:rPr>
          <w:lang w:val="en-AU"/>
        </w:rPr>
        <w:fldChar w:fldCharType="begin"/>
      </w:r>
      <w:r w:rsidR="000217E8">
        <w:rPr>
          <w:lang w:val="en-AU"/>
        </w:rPr>
        <w:instrText xml:space="preserve"> REF _Ref125368658 \h </w:instrText>
      </w:r>
      <w:r w:rsidR="000217E8">
        <w:rPr>
          <w:lang w:val="en-AU"/>
        </w:rPr>
      </w:r>
      <w:r w:rsidR="000217E8">
        <w:rPr>
          <w:lang w:val="en-AU"/>
        </w:rPr>
        <w:fldChar w:fldCharType="separate"/>
      </w:r>
      <w:r w:rsidR="00D32536">
        <w:t xml:space="preserve">Figure </w:t>
      </w:r>
      <w:r w:rsidR="00D32536">
        <w:rPr>
          <w:noProof/>
        </w:rPr>
        <w:t>2</w:t>
      </w:r>
      <w:r w:rsidR="00D32536">
        <w:t>.</w:t>
      </w:r>
      <w:r w:rsidR="00D32536">
        <w:rPr>
          <w:noProof/>
        </w:rPr>
        <w:t>3</w:t>
      </w:r>
      <w:r w:rsidR="000217E8">
        <w:rPr>
          <w:lang w:val="en-AU"/>
        </w:rPr>
        <w:fldChar w:fldCharType="end"/>
      </w:r>
      <w:r>
        <w:rPr>
          <w:lang w:val="en-AU"/>
        </w:rPr>
        <w:t xml:space="preserve">, </w:t>
      </w:r>
      <w:r w:rsidR="00B42F5A">
        <w:rPr>
          <w:lang w:val="en-AU"/>
        </w:rPr>
        <w:t xml:space="preserve">during the early phases of </w:t>
      </w:r>
      <w:r w:rsidR="001169FE">
        <w:rPr>
          <w:lang w:val="en-AU"/>
        </w:rPr>
        <w:t xml:space="preserve">Program </w:t>
      </w:r>
      <w:r w:rsidR="00B42F5A">
        <w:rPr>
          <w:lang w:val="en-AU"/>
        </w:rPr>
        <w:t xml:space="preserve">implementation, </w:t>
      </w:r>
      <w:r w:rsidR="00110CCF">
        <w:rPr>
          <w:lang w:val="en-AU"/>
        </w:rPr>
        <w:t xml:space="preserve">of the two </w:t>
      </w:r>
      <w:r w:rsidR="000D3586">
        <w:t xml:space="preserve">key referrer types (inpatient units and </w:t>
      </w:r>
      <w:r w:rsidR="009E111E">
        <w:t xml:space="preserve">mainstream </w:t>
      </w:r>
      <w:r w:rsidR="000D3586">
        <w:t>RACF</w:t>
      </w:r>
      <w:r w:rsidR="009E111E">
        <w:t>s</w:t>
      </w:r>
      <w:r w:rsidR="000D3586">
        <w:t>), awareness</w:t>
      </w:r>
      <w:r w:rsidR="00C76685">
        <w:t xml:space="preserve"> of the Program</w:t>
      </w:r>
      <w:r w:rsidR="000D3586">
        <w:t xml:space="preserve"> was </w:t>
      </w:r>
      <w:r w:rsidR="00C76685">
        <w:t>stronge</w:t>
      </w:r>
      <w:r w:rsidR="00B42F5A">
        <w:t>st</w:t>
      </w:r>
      <w:r w:rsidR="00C76685">
        <w:t xml:space="preserve"> </w:t>
      </w:r>
      <w:r w:rsidR="000D3586">
        <w:t xml:space="preserve">among </w:t>
      </w:r>
      <w:r w:rsidR="00F174F1">
        <w:t>inpatient units</w:t>
      </w:r>
      <w:r w:rsidR="00C76685">
        <w:t>.</w:t>
      </w:r>
      <w:r w:rsidR="00756B3D">
        <w:rPr>
          <w:lang w:val="en-AU"/>
        </w:rPr>
        <w:t xml:space="preserve"> However, over</w:t>
      </w:r>
      <w:r w:rsidR="00F76BE8" w:rsidRPr="003B0911">
        <w:rPr>
          <w:lang w:val="en-AU"/>
        </w:rPr>
        <w:t xml:space="preserve"> time, referral patterns by referrer type have settled into </w:t>
      </w:r>
      <w:r w:rsidR="008E16C5">
        <w:rPr>
          <w:lang w:val="en-AU"/>
        </w:rPr>
        <w:t>a more balanced</w:t>
      </w:r>
      <w:r w:rsidR="00824174" w:rsidRPr="003B0911">
        <w:rPr>
          <w:lang w:val="en-AU"/>
        </w:rPr>
        <w:t xml:space="preserve"> split</w:t>
      </w:r>
      <w:r w:rsidR="00DD4EBF">
        <w:rPr>
          <w:lang w:val="en-AU"/>
        </w:rPr>
        <w:t xml:space="preserve">, </w:t>
      </w:r>
      <w:r w:rsidR="00CB1EE3">
        <w:rPr>
          <w:lang w:val="en-AU"/>
        </w:rPr>
        <w:t>shifting from around 70% of referral</w:t>
      </w:r>
      <w:r w:rsidR="00425954">
        <w:rPr>
          <w:lang w:val="en-AU"/>
        </w:rPr>
        <w:t>s</w:t>
      </w:r>
      <w:r w:rsidR="00CB1EE3">
        <w:rPr>
          <w:lang w:val="en-AU"/>
        </w:rPr>
        <w:t xml:space="preserve"> originating </w:t>
      </w:r>
      <w:r w:rsidR="006538E9">
        <w:rPr>
          <w:lang w:val="en-AU"/>
        </w:rPr>
        <w:t xml:space="preserve">form inpatient settings </w:t>
      </w:r>
      <w:r w:rsidR="008237EC">
        <w:t xml:space="preserve">at the time the first </w:t>
      </w:r>
      <w:r w:rsidR="00425954">
        <w:t>SDCU</w:t>
      </w:r>
      <w:r w:rsidR="008237EC">
        <w:t xml:space="preserve"> (Brightwater) opened in late 2019, to around 50% over the past 12 months</w:t>
      </w:r>
      <w:r w:rsidR="00286A43">
        <w:rPr>
          <w:lang w:val="en-AU"/>
        </w:rPr>
        <w:t xml:space="preserve">. This </w:t>
      </w:r>
      <w:r w:rsidR="00F0286C" w:rsidRPr="003B0911">
        <w:rPr>
          <w:lang w:val="en-AU"/>
        </w:rPr>
        <w:t>support</w:t>
      </w:r>
      <w:r w:rsidR="00286A43">
        <w:rPr>
          <w:lang w:val="en-AU"/>
        </w:rPr>
        <w:t>s</w:t>
      </w:r>
      <w:r w:rsidR="00E160A8" w:rsidRPr="003B0911">
        <w:rPr>
          <w:lang w:val="en-AU"/>
        </w:rPr>
        <w:t xml:space="preserve"> </w:t>
      </w:r>
      <w:r w:rsidR="00B42F5A">
        <w:rPr>
          <w:lang w:val="en-AU"/>
        </w:rPr>
        <w:t>insights gleaned through stakeholder consultation</w:t>
      </w:r>
      <w:r w:rsidR="00892218" w:rsidRPr="003B0911">
        <w:rPr>
          <w:lang w:val="en-AU"/>
        </w:rPr>
        <w:t xml:space="preserve"> that awareness </w:t>
      </w:r>
      <w:r w:rsidR="00B42F5A">
        <w:rPr>
          <w:lang w:val="en-AU"/>
        </w:rPr>
        <w:t>of the Program has grown</w:t>
      </w:r>
      <w:r w:rsidR="00892218" w:rsidRPr="003B0911">
        <w:rPr>
          <w:lang w:val="en-AU"/>
        </w:rPr>
        <w:t xml:space="preserve"> across</w:t>
      </w:r>
      <w:r w:rsidR="00445BD5">
        <w:rPr>
          <w:lang w:val="en-AU"/>
        </w:rPr>
        <w:t xml:space="preserve"> mainstream RACFs</w:t>
      </w:r>
      <w:r w:rsidR="009E111E">
        <w:rPr>
          <w:lang w:val="en-AU"/>
        </w:rPr>
        <w:t xml:space="preserve"> over time.</w:t>
      </w:r>
    </w:p>
    <w:p w14:paraId="5BC2CD1A" w14:textId="33D4FB53" w:rsidR="00A61477" w:rsidRDefault="00A61477" w:rsidP="00286205">
      <w:pPr>
        <w:rPr>
          <w:lang w:val="en-AU"/>
        </w:rPr>
      </w:pPr>
    </w:p>
    <w:p w14:paraId="33870D84" w14:textId="6DD95632" w:rsidR="00D514DF" w:rsidRDefault="00D514DF" w:rsidP="00964FDE"/>
    <w:p w14:paraId="156F1079" w14:textId="5918CDBA" w:rsidR="00BB10FB" w:rsidRDefault="00BB10FB" w:rsidP="00BB10FB">
      <w:pPr>
        <w:pStyle w:val="Caption"/>
      </w:pPr>
      <w:bookmarkStart w:id="24" w:name="_Ref125368658"/>
      <w:r>
        <w:t xml:space="preserve">Figure </w:t>
      </w:r>
      <w:r w:rsidR="00915F8B">
        <w:fldChar w:fldCharType="begin"/>
      </w:r>
      <w:r w:rsidR="00915F8B">
        <w:instrText xml:space="preserve"> STYLEREF 1 \s </w:instrText>
      </w:r>
      <w:r w:rsidR="00915F8B">
        <w:fldChar w:fldCharType="separate"/>
      </w:r>
      <w:r w:rsidR="00D32536">
        <w:rPr>
          <w:noProof/>
        </w:rPr>
        <w:t>2</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3</w:t>
      </w:r>
      <w:r w:rsidR="008875A8">
        <w:fldChar w:fldCharType="end"/>
      </w:r>
      <w:bookmarkEnd w:id="24"/>
      <w:r>
        <w:t xml:space="preserve"> </w:t>
      </w:r>
      <w:r w:rsidRPr="009C1E8A">
        <w:t>Distribution of referrals by referrer type, by quarter</w:t>
      </w:r>
    </w:p>
    <w:p w14:paraId="1C40EAF2" w14:textId="401FDF48" w:rsidR="00266CFB" w:rsidRDefault="00091A60" w:rsidP="00964FDE">
      <w:pPr>
        <w:rPr>
          <w:b/>
          <w:bCs/>
          <w:color w:val="012169"/>
          <w:lang w:val="en-AU"/>
        </w:rPr>
      </w:pPr>
      <w:r w:rsidRPr="00091A60">
        <w:rPr>
          <w:noProof/>
        </w:rPr>
        <w:drawing>
          <wp:inline distT="0" distB="0" distL="0" distR="0" wp14:anchorId="196ECBFF" wp14:editId="31E9824E">
            <wp:extent cx="6065134" cy="3152627"/>
            <wp:effectExtent l="0" t="0" r="0" b="0"/>
            <wp:docPr id="28" name="Picture 28" descr="This graph shows the proportion of referrals coming from inpatient settings versus RACFs for each quarter between Q3 2019 and Q2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graph shows the proportion of referrals coming from inpatient settings versus RACFs for each quarter between Q3 2019 and Q2 2022.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8574" cy="3164811"/>
                    </a:xfrm>
                    <a:prstGeom prst="rect">
                      <a:avLst/>
                    </a:prstGeom>
                    <a:noFill/>
                    <a:ln>
                      <a:noFill/>
                    </a:ln>
                  </pic:spPr>
                </pic:pic>
              </a:graphicData>
            </a:graphic>
          </wp:inline>
        </w:drawing>
      </w:r>
    </w:p>
    <w:p w14:paraId="279391CC" w14:textId="3E54D71A" w:rsidR="0056162A" w:rsidRDefault="003D051E" w:rsidP="005E46D4">
      <w:pPr>
        <w:pStyle w:val="SourcetextTableorChart"/>
        <w:spacing w:after="0"/>
        <w:rPr>
          <w:lang w:val="en-AU"/>
        </w:rPr>
      </w:pPr>
      <w:r>
        <w:rPr>
          <w:lang w:val="en-AU"/>
        </w:rPr>
        <w:t xml:space="preserve">Source: Deloitte Access Economics </w:t>
      </w:r>
      <w:r w:rsidR="00116A20">
        <w:rPr>
          <w:lang w:val="en-AU"/>
        </w:rPr>
        <w:t>based on NBA referral data, 2019 to 2022.</w:t>
      </w:r>
    </w:p>
    <w:p w14:paraId="0746A22C" w14:textId="21C8A60D" w:rsidR="006662A2" w:rsidRDefault="006662A2" w:rsidP="005E46D4">
      <w:pPr>
        <w:rPr>
          <w:iCs/>
          <w:color w:val="53565A" w:themeColor="background2"/>
          <w:sz w:val="14"/>
          <w:szCs w:val="18"/>
          <w:lang w:val="en-AU"/>
        </w:rPr>
      </w:pPr>
      <w:r w:rsidRPr="00AE23A4">
        <w:rPr>
          <w:iCs/>
          <w:color w:val="53565A" w:themeColor="background2"/>
          <w:sz w:val="14"/>
          <w:szCs w:val="18"/>
          <w:lang w:val="en-AU"/>
        </w:rPr>
        <w:t xml:space="preserve">Note: </w:t>
      </w:r>
      <w:r>
        <w:rPr>
          <w:iCs/>
          <w:color w:val="53565A" w:themeColor="background2"/>
          <w:sz w:val="14"/>
          <w:szCs w:val="18"/>
          <w:lang w:val="en-AU"/>
        </w:rPr>
        <w:t xml:space="preserve">There are 109 referrals not shown, due to their referrer type being ‘Other’ (including not stated).  </w:t>
      </w:r>
    </w:p>
    <w:p w14:paraId="2710880C" w14:textId="6CC58813" w:rsidR="00013864" w:rsidRPr="002C2471" w:rsidRDefault="00013864" w:rsidP="005E46D4">
      <w:pPr>
        <w:rPr>
          <w:b/>
          <w:bCs/>
          <w:color w:val="012169"/>
          <w:lang w:val="en-AU"/>
        </w:rPr>
      </w:pPr>
      <w:r>
        <w:rPr>
          <w:lang w:val="en-AU"/>
        </w:rPr>
        <w:t xml:space="preserve">At a state and territory level, there </w:t>
      </w:r>
      <w:r w:rsidR="00425DE2">
        <w:rPr>
          <w:lang w:val="en-AU"/>
        </w:rPr>
        <w:t>was</w:t>
      </w:r>
      <w:r>
        <w:rPr>
          <w:lang w:val="en-AU"/>
        </w:rPr>
        <w:t xml:space="preserve"> variation in relation to referral patterns</w:t>
      </w:r>
      <w:r w:rsidR="00EB3253">
        <w:rPr>
          <w:lang w:val="en-AU"/>
        </w:rPr>
        <w:t xml:space="preserve"> by referrer type</w:t>
      </w:r>
      <w:r>
        <w:rPr>
          <w:lang w:val="en-AU"/>
        </w:rPr>
        <w:t xml:space="preserve">. Since the </w:t>
      </w:r>
      <w:r w:rsidRPr="00FD19FE">
        <w:rPr>
          <w:rFonts w:asciiTheme="majorHAnsi" w:hAnsiTheme="majorHAnsi" w:cstheme="majorHAnsi"/>
          <w:b/>
          <w:lang w:val="en-AU"/>
        </w:rPr>
        <w:t>Interim Report (2021)</w:t>
      </w:r>
      <w:r w:rsidRPr="00FD19FE">
        <w:rPr>
          <w:rFonts w:asciiTheme="majorHAnsi" w:hAnsiTheme="majorHAnsi" w:cstheme="majorHAnsi"/>
          <w:lang w:val="en-AU"/>
        </w:rPr>
        <w:t>,</w:t>
      </w:r>
      <w:r>
        <w:rPr>
          <w:lang w:val="en-AU"/>
        </w:rPr>
        <w:t xml:space="preserve"> </w:t>
      </w:r>
      <w:r w:rsidR="003D6636">
        <w:rPr>
          <w:lang w:val="en-AU"/>
        </w:rPr>
        <w:t>QLD and WA</w:t>
      </w:r>
      <w:r w:rsidR="001427FE">
        <w:rPr>
          <w:lang w:val="en-AU"/>
        </w:rPr>
        <w:t xml:space="preserve"> have </w:t>
      </w:r>
      <w:r w:rsidR="00551E34">
        <w:rPr>
          <w:lang w:val="en-AU"/>
        </w:rPr>
        <w:t>seen strong shift</w:t>
      </w:r>
      <w:r w:rsidR="006E1304">
        <w:rPr>
          <w:lang w:val="en-AU"/>
        </w:rPr>
        <w:t>s</w:t>
      </w:r>
      <w:r w:rsidR="00551E34">
        <w:rPr>
          <w:lang w:val="en-AU"/>
        </w:rPr>
        <w:t xml:space="preserve"> towards RACF </w:t>
      </w:r>
      <w:r w:rsidR="0003676C">
        <w:rPr>
          <w:lang w:val="en-AU"/>
        </w:rPr>
        <w:t>referrals</w:t>
      </w:r>
      <w:r w:rsidR="00BB0896">
        <w:rPr>
          <w:lang w:val="en-AU"/>
        </w:rPr>
        <w:t>, while</w:t>
      </w:r>
      <w:r>
        <w:rPr>
          <w:lang w:val="en-AU"/>
        </w:rPr>
        <w:t xml:space="preserve"> NSW and VIC </w:t>
      </w:r>
      <w:r w:rsidR="0003676C">
        <w:rPr>
          <w:lang w:val="en-AU"/>
        </w:rPr>
        <w:t>continue</w:t>
      </w:r>
      <w:r>
        <w:rPr>
          <w:lang w:val="en-AU"/>
        </w:rPr>
        <w:t xml:space="preserve"> to </w:t>
      </w:r>
      <w:r w:rsidR="00D839F7">
        <w:rPr>
          <w:lang w:val="en-AU"/>
        </w:rPr>
        <w:t>receive</w:t>
      </w:r>
      <w:r>
        <w:rPr>
          <w:lang w:val="en-AU"/>
        </w:rPr>
        <w:t xml:space="preserve"> the majority of its referrals from </w:t>
      </w:r>
      <w:r w:rsidR="001F1135">
        <w:rPr>
          <w:lang w:val="en-AU"/>
        </w:rPr>
        <w:t xml:space="preserve">RACFs </w:t>
      </w:r>
      <w:r>
        <w:rPr>
          <w:lang w:val="en-AU"/>
        </w:rPr>
        <w:t xml:space="preserve">(see </w:t>
      </w:r>
      <w:r w:rsidR="000217E8">
        <w:rPr>
          <w:lang w:val="en-AU"/>
        </w:rPr>
        <w:fldChar w:fldCharType="begin"/>
      </w:r>
      <w:r w:rsidR="000217E8">
        <w:rPr>
          <w:lang w:val="en-AU"/>
        </w:rPr>
        <w:instrText xml:space="preserve"> REF _Ref125368665 \h </w:instrText>
      </w:r>
      <w:r w:rsidR="000217E8">
        <w:rPr>
          <w:lang w:val="en-AU"/>
        </w:rPr>
      </w:r>
      <w:r w:rsidR="000217E8">
        <w:rPr>
          <w:lang w:val="en-AU"/>
        </w:rPr>
        <w:fldChar w:fldCharType="separate"/>
      </w:r>
      <w:r w:rsidR="00D32536">
        <w:t xml:space="preserve">Figure </w:t>
      </w:r>
      <w:r w:rsidR="00D32536">
        <w:rPr>
          <w:noProof/>
        </w:rPr>
        <w:t>2</w:t>
      </w:r>
      <w:r w:rsidR="00D32536">
        <w:t>.</w:t>
      </w:r>
      <w:r w:rsidR="00D32536">
        <w:rPr>
          <w:noProof/>
        </w:rPr>
        <w:t>4</w:t>
      </w:r>
      <w:r w:rsidR="000217E8">
        <w:rPr>
          <w:lang w:val="en-AU"/>
        </w:rPr>
        <w:fldChar w:fldCharType="end"/>
      </w:r>
      <w:r>
        <w:rPr>
          <w:lang w:val="en-AU"/>
        </w:rPr>
        <w:t xml:space="preserve">). </w:t>
      </w:r>
    </w:p>
    <w:p w14:paraId="636E7F89" w14:textId="61AD011D" w:rsidR="00A63707" w:rsidRDefault="00A63707" w:rsidP="00A63707">
      <w:pPr>
        <w:pStyle w:val="Caption"/>
      </w:pPr>
      <w:bookmarkStart w:id="25" w:name="_Ref125368665"/>
      <w:r>
        <w:t xml:space="preserve">Figure </w:t>
      </w:r>
      <w:r w:rsidR="00915F8B">
        <w:fldChar w:fldCharType="begin"/>
      </w:r>
      <w:r w:rsidR="00915F8B">
        <w:instrText xml:space="preserve"> STYLEREF 1 \s </w:instrText>
      </w:r>
      <w:r w:rsidR="00915F8B">
        <w:fldChar w:fldCharType="separate"/>
      </w:r>
      <w:r w:rsidR="00D32536">
        <w:rPr>
          <w:noProof/>
        </w:rPr>
        <w:t>2</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4</w:t>
      </w:r>
      <w:r w:rsidR="008875A8">
        <w:fldChar w:fldCharType="end"/>
      </w:r>
      <w:bookmarkEnd w:id="25"/>
      <w:r>
        <w:t xml:space="preserve"> </w:t>
      </w:r>
      <w:r w:rsidRPr="0008529D">
        <w:t>Distribution of referrals by referrer type, by state/territory of referrer</w:t>
      </w:r>
    </w:p>
    <w:p w14:paraId="571AE1C4" w14:textId="1A18F6A0" w:rsidR="00645B46" w:rsidRPr="005E46D4" w:rsidRDefault="009A3613" w:rsidP="005E46D4">
      <w:pPr>
        <w:keepNext/>
      </w:pPr>
      <w:r w:rsidRPr="009A3613">
        <w:rPr>
          <w:iCs/>
          <w:noProof/>
          <w:color w:val="53565A" w:themeColor="background2"/>
          <w:sz w:val="14"/>
          <w:szCs w:val="18"/>
        </w:rPr>
        <w:drawing>
          <wp:inline distT="0" distB="0" distL="0" distR="0" wp14:anchorId="551DAD2D" wp14:editId="3D207F37">
            <wp:extent cx="6957561" cy="3485072"/>
            <wp:effectExtent l="0" t="0" r="0" b="0"/>
            <wp:docPr id="475882760" name="Picture 475882760" descr="This graph shows the proportion of referrals coming from inpatient settings versus RACFs for each half of the year between 2019 and 2022, for each individual state or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2760" name="Picture 475882760" descr="This graph shows the proportion of referrals coming from inpatient settings versus RACFs for each half of the year between 2019 and 2022, for each individual state or territor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9973" cy="3531361"/>
                    </a:xfrm>
                    <a:prstGeom prst="rect">
                      <a:avLst/>
                    </a:prstGeom>
                    <a:noFill/>
                    <a:ln>
                      <a:noFill/>
                    </a:ln>
                  </pic:spPr>
                </pic:pic>
              </a:graphicData>
            </a:graphic>
          </wp:inline>
        </w:drawing>
      </w:r>
    </w:p>
    <w:p w14:paraId="7B2EDC84" w14:textId="77777777" w:rsidR="00AA303A" w:rsidRDefault="00AA303A" w:rsidP="005E46D4">
      <w:pPr>
        <w:pStyle w:val="SourcetextTableorChart"/>
        <w:spacing w:after="0"/>
        <w:rPr>
          <w:lang w:val="en-AU"/>
        </w:rPr>
      </w:pPr>
      <w:r>
        <w:rPr>
          <w:lang w:val="en-AU"/>
        </w:rPr>
        <w:t>Source: Deloitte Access Economics analysis based on NBA referral data, July 2019 to June 2022.</w:t>
      </w:r>
    </w:p>
    <w:p w14:paraId="452E2D14" w14:textId="5C48771E" w:rsidR="00481ACF" w:rsidRPr="00AE23A4" w:rsidRDefault="00481ACF" w:rsidP="00481ACF">
      <w:pPr>
        <w:rPr>
          <w:iCs/>
          <w:color w:val="53565A" w:themeColor="background2"/>
          <w:sz w:val="14"/>
          <w:szCs w:val="18"/>
          <w:lang w:val="en-AU"/>
        </w:rPr>
      </w:pPr>
      <w:r w:rsidRPr="00AE23A4">
        <w:rPr>
          <w:iCs/>
          <w:color w:val="53565A" w:themeColor="background2"/>
          <w:sz w:val="14"/>
          <w:szCs w:val="18"/>
          <w:lang w:val="en-AU"/>
        </w:rPr>
        <w:t xml:space="preserve">Note: </w:t>
      </w:r>
      <w:r>
        <w:rPr>
          <w:iCs/>
          <w:color w:val="53565A" w:themeColor="background2"/>
          <w:sz w:val="14"/>
          <w:szCs w:val="18"/>
          <w:lang w:val="en-AU"/>
        </w:rPr>
        <w:t>There are 1</w:t>
      </w:r>
      <w:r w:rsidR="00131C9B">
        <w:rPr>
          <w:iCs/>
          <w:color w:val="53565A" w:themeColor="background2"/>
          <w:sz w:val="14"/>
          <w:szCs w:val="18"/>
          <w:lang w:val="en-AU"/>
        </w:rPr>
        <w:t>12</w:t>
      </w:r>
      <w:r>
        <w:rPr>
          <w:iCs/>
          <w:color w:val="53565A" w:themeColor="background2"/>
          <w:sz w:val="14"/>
          <w:szCs w:val="18"/>
          <w:lang w:val="en-AU"/>
        </w:rPr>
        <w:t xml:space="preserve"> referrals not shown, due to their referrer type being ‘Other’ (including not stated)</w:t>
      </w:r>
      <w:r w:rsidR="00131C9B">
        <w:rPr>
          <w:iCs/>
          <w:color w:val="53565A" w:themeColor="background2"/>
          <w:sz w:val="14"/>
          <w:szCs w:val="18"/>
          <w:lang w:val="en-AU"/>
        </w:rPr>
        <w:t>, or refer</w:t>
      </w:r>
      <w:r w:rsidR="00F235F7">
        <w:rPr>
          <w:iCs/>
          <w:color w:val="53565A" w:themeColor="background2"/>
          <w:sz w:val="14"/>
          <w:szCs w:val="18"/>
          <w:lang w:val="en-AU"/>
        </w:rPr>
        <w:t>rals from TAS and NT (suppressed due to low sample size</w:t>
      </w:r>
      <w:r w:rsidR="009A1B46">
        <w:rPr>
          <w:iCs/>
          <w:color w:val="53565A" w:themeColor="background2"/>
          <w:sz w:val="14"/>
          <w:szCs w:val="18"/>
          <w:lang w:val="en-AU"/>
        </w:rPr>
        <w:t>s).</w:t>
      </w:r>
      <w:r>
        <w:rPr>
          <w:iCs/>
          <w:color w:val="53565A" w:themeColor="background2"/>
          <w:sz w:val="14"/>
          <w:szCs w:val="18"/>
          <w:lang w:val="en-AU"/>
        </w:rPr>
        <w:t xml:space="preserve"> </w:t>
      </w:r>
    </w:p>
    <w:p w14:paraId="27E6FAB1" w14:textId="09D9D26E" w:rsidR="00643207" w:rsidRPr="00E81438" w:rsidRDefault="00BC23CF" w:rsidP="00E81438">
      <w:pPr>
        <w:rPr>
          <w:lang w:val="en-AU"/>
        </w:rPr>
      </w:pPr>
      <w:r>
        <w:rPr>
          <w:lang w:val="en-AU"/>
        </w:rPr>
        <w:t xml:space="preserve">To compare Program engagement across jurisdictions, </w:t>
      </w:r>
      <w:r w:rsidR="000217E8">
        <w:rPr>
          <w:lang w:val="en-AU"/>
        </w:rPr>
        <w:fldChar w:fldCharType="begin"/>
      </w:r>
      <w:r w:rsidR="000217E8">
        <w:rPr>
          <w:lang w:val="en-AU"/>
        </w:rPr>
        <w:instrText xml:space="preserve"> REF _Ref125368674 \h </w:instrText>
      </w:r>
      <w:r w:rsidR="000217E8">
        <w:rPr>
          <w:lang w:val="en-AU"/>
        </w:rPr>
      </w:r>
      <w:r w:rsidR="000217E8">
        <w:rPr>
          <w:lang w:val="en-AU"/>
        </w:rPr>
        <w:fldChar w:fldCharType="separate"/>
      </w:r>
      <w:r w:rsidR="00D32536">
        <w:t xml:space="preserve">Figure </w:t>
      </w:r>
      <w:r w:rsidR="00D32536">
        <w:rPr>
          <w:noProof/>
        </w:rPr>
        <w:t>2</w:t>
      </w:r>
      <w:r w:rsidR="00D32536">
        <w:t>.</w:t>
      </w:r>
      <w:r w:rsidR="00D32536">
        <w:rPr>
          <w:noProof/>
        </w:rPr>
        <w:t>5</w:t>
      </w:r>
      <w:r w:rsidR="000217E8">
        <w:rPr>
          <w:lang w:val="en-AU"/>
        </w:rPr>
        <w:fldChar w:fldCharType="end"/>
      </w:r>
      <w:r>
        <w:rPr>
          <w:lang w:val="en-AU"/>
        </w:rPr>
        <w:t xml:space="preserve"> displays each state and territory’s number of Program referrals and operational bed-days, using a jurisdiction-specific denominator to adjust for differences in the potential Program cohort size. </w:t>
      </w:r>
      <w:r w:rsidR="00562517">
        <w:rPr>
          <w:lang w:val="en-AU"/>
        </w:rPr>
        <w:t>Here, o</w:t>
      </w:r>
      <w:r w:rsidR="00ED6DD2">
        <w:rPr>
          <w:lang w:val="en-AU"/>
        </w:rPr>
        <w:t xml:space="preserve">bserved demand for the Program </w:t>
      </w:r>
      <w:r w:rsidR="00562517">
        <w:rPr>
          <w:lang w:val="en-AU"/>
        </w:rPr>
        <w:t>is</w:t>
      </w:r>
      <w:r w:rsidR="00ED6DD2">
        <w:rPr>
          <w:lang w:val="en-AU"/>
        </w:rPr>
        <w:t xml:space="preserve"> proxied by referrals, which are considered a key measure of Program awareness.</w:t>
      </w:r>
    </w:p>
    <w:p w14:paraId="6FFE5DE4" w14:textId="07F672AA" w:rsidR="002739EE" w:rsidRDefault="002739EE" w:rsidP="002739EE">
      <w:pPr>
        <w:pStyle w:val="Caption"/>
      </w:pPr>
      <w:bookmarkStart w:id="26" w:name="_Ref125368674"/>
      <w:bookmarkStart w:id="27" w:name="_Ref125358204"/>
      <w:r>
        <w:t xml:space="preserve">Figure </w:t>
      </w:r>
      <w:r w:rsidR="00915F8B">
        <w:fldChar w:fldCharType="begin"/>
      </w:r>
      <w:r w:rsidR="00915F8B">
        <w:instrText xml:space="preserve"> STYLEREF 1 \s </w:instrText>
      </w:r>
      <w:r w:rsidR="00915F8B">
        <w:fldChar w:fldCharType="separate"/>
      </w:r>
      <w:r w:rsidR="00D32536">
        <w:rPr>
          <w:noProof/>
        </w:rPr>
        <w:t>2</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5</w:t>
      </w:r>
      <w:r w:rsidR="008875A8">
        <w:fldChar w:fldCharType="end"/>
      </w:r>
      <w:bookmarkEnd w:id="26"/>
      <w:r>
        <w:t xml:space="preserve"> </w:t>
      </w:r>
      <w:r w:rsidRPr="006B732C">
        <w:t>Program demand (indicated by volume of referrals) and supply, by jurisdiction</w:t>
      </w:r>
      <w:bookmarkEnd w:id="27"/>
    </w:p>
    <w:p w14:paraId="4248B767" w14:textId="4304F5A7" w:rsidR="00B15026" w:rsidRDefault="00126B5E" w:rsidP="00B15026">
      <w:pPr>
        <w:rPr>
          <w:lang w:val="en-AU"/>
        </w:rPr>
      </w:pPr>
      <w:r w:rsidRPr="00126B5E">
        <w:rPr>
          <w:noProof/>
        </w:rPr>
        <w:drawing>
          <wp:inline distT="0" distB="0" distL="0" distR="0" wp14:anchorId="610F9E8F" wp14:editId="019A6CFA">
            <wp:extent cx="5417388" cy="3740785"/>
            <wp:effectExtent l="0" t="0" r="0" b="0"/>
            <wp:docPr id="63" name="Picture 63" descr="This graph shows each state and territory plotted as a dot point. Th x-axis is the operational Program bed days in the state or territory per 1000 jurisdiction residents estimated to have dementia. The y-axis shows the number of Program referrals for each state and territory per 1000 jurisdiction residents with dement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graph shows each state and territory plotted as a dot point. Th x-axis is the operational Program bed days in the state or territory per 1000 jurisdiction residents estimated to have dementia. The y-axis shows the number of Program referrals for each state and territory per 1000 jurisdiction residents with dementi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0167" cy="3756514"/>
                    </a:xfrm>
                    <a:prstGeom prst="rect">
                      <a:avLst/>
                    </a:prstGeom>
                    <a:noFill/>
                    <a:ln>
                      <a:noFill/>
                    </a:ln>
                  </pic:spPr>
                </pic:pic>
              </a:graphicData>
            </a:graphic>
          </wp:inline>
        </w:drawing>
      </w:r>
    </w:p>
    <w:p w14:paraId="5BF766BD" w14:textId="440217CF" w:rsidR="00E3534B" w:rsidRDefault="00E3534B" w:rsidP="00B308DD">
      <w:pPr>
        <w:pStyle w:val="SourcetextTableorChart"/>
        <w:spacing w:after="0"/>
        <w:rPr>
          <w:lang w:val="en-AU"/>
        </w:rPr>
      </w:pPr>
      <w:r>
        <w:rPr>
          <w:lang w:val="en-AU"/>
        </w:rPr>
        <w:t>Source: Deloitte Access Economics analysis based on</w:t>
      </w:r>
      <w:r w:rsidR="00D05E7F">
        <w:rPr>
          <w:lang w:val="en-AU"/>
        </w:rPr>
        <w:t xml:space="preserve">: NBA referral data (July 2019 to June 2022); </w:t>
      </w:r>
      <w:r w:rsidR="00944690">
        <w:rPr>
          <w:lang w:val="en-AU"/>
        </w:rPr>
        <w:t xml:space="preserve">Program cost data (provided by the Department) and AIHW </w:t>
      </w:r>
      <w:r w:rsidR="00601B6C">
        <w:rPr>
          <w:lang w:val="en-AU"/>
        </w:rPr>
        <w:t>(2022).</w:t>
      </w:r>
    </w:p>
    <w:p w14:paraId="28E679FA" w14:textId="2146C03C" w:rsidR="00883283" w:rsidRDefault="00883283" w:rsidP="00B308DD">
      <w:pPr>
        <w:spacing w:after="0"/>
        <w:rPr>
          <w:iCs/>
          <w:color w:val="53565A" w:themeColor="background2"/>
          <w:sz w:val="14"/>
          <w:szCs w:val="18"/>
          <w:lang w:val="en-AU"/>
        </w:rPr>
      </w:pPr>
      <w:r w:rsidRPr="00074E8B">
        <w:rPr>
          <w:iCs/>
          <w:color w:val="53565A" w:themeColor="background2"/>
          <w:sz w:val="14"/>
          <w:szCs w:val="18"/>
          <w:lang w:val="en-AU"/>
        </w:rPr>
        <w:t>Note</w:t>
      </w:r>
      <w:r w:rsidR="00706F49">
        <w:rPr>
          <w:iCs/>
          <w:color w:val="53565A" w:themeColor="background2"/>
          <w:sz w:val="14"/>
          <w:szCs w:val="18"/>
          <w:lang w:val="en-AU"/>
        </w:rPr>
        <w:t xml:space="preserve"> i</w:t>
      </w:r>
      <w:r w:rsidRPr="00074E8B">
        <w:rPr>
          <w:iCs/>
          <w:color w:val="53565A" w:themeColor="background2"/>
          <w:sz w:val="14"/>
          <w:szCs w:val="18"/>
          <w:lang w:val="en-AU"/>
        </w:rPr>
        <w:t xml:space="preserve">: Operational bed-days are defined </w:t>
      </w:r>
      <w:r w:rsidR="00677CDC" w:rsidRPr="00074E8B">
        <w:rPr>
          <w:iCs/>
          <w:color w:val="53565A" w:themeColor="background2"/>
          <w:sz w:val="14"/>
          <w:szCs w:val="18"/>
          <w:lang w:val="en-AU"/>
        </w:rPr>
        <w:t>as</w:t>
      </w:r>
      <w:r w:rsidR="00706F49">
        <w:rPr>
          <w:iCs/>
          <w:color w:val="53565A" w:themeColor="background2"/>
          <w:sz w:val="14"/>
          <w:szCs w:val="18"/>
          <w:lang w:val="en-AU"/>
        </w:rPr>
        <w:t xml:space="preserve"> non bounce-back</w:t>
      </w:r>
      <w:r w:rsidR="00677CDC" w:rsidRPr="00074E8B">
        <w:rPr>
          <w:iCs/>
          <w:color w:val="53565A" w:themeColor="background2"/>
          <w:sz w:val="14"/>
          <w:szCs w:val="18"/>
          <w:lang w:val="en-AU"/>
        </w:rPr>
        <w:t xml:space="preserve"> bed-days at an open site</w:t>
      </w:r>
      <w:r w:rsidR="00EA0346" w:rsidRPr="00074E8B">
        <w:rPr>
          <w:iCs/>
          <w:color w:val="53565A" w:themeColor="background2"/>
          <w:sz w:val="14"/>
          <w:szCs w:val="18"/>
          <w:lang w:val="en-AU"/>
        </w:rPr>
        <w:t xml:space="preserve">. </w:t>
      </w:r>
      <w:r w:rsidR="00227F9E" w:rsidRPr="00074E8B">
        <w:rPr>
          <w:iCs/>
          <w:color w:val="53565A" w:themeColor="background2"/>
          <w:sz w:val="14"/>
          <w:szCs w:val="18"/>
          <w:lang w:val="en-AU"/>
        </w:rPr>
        <w:t xml:space="preserve"> </w:t>
      </w:r>
    </w:p>
    <w:p w14:paraId="0649C2BF" w14:textId="30A5488B" w:rsidR="00FC7FE0" w:rsidRDefault="00FC7FE0" w:rsidP="005F4E28">
      <w:pPr>
        <w:spacing w:after="0"/>
        <w:rPr>
          <w:iCs/>
          <w:color w:val="53565A" w:themeColor="background2"/>
          <w:sz w:val="14"/>
          <w:szCs w:val="18"/>
          <w:lang w:val="en-AU"/>
        </w:rPr>
      </w:pPr>
      <w:r>
        <w:rPr>
          <w:iCs/>
          <w:color w:val="53565A" w:themeColor="background2"/>
          <w:sz w:val="14"/>
          <w:szCs w:val="18"/>
          <w:lang w:val="en-AU"/>
        </w:rPr>
        <w:t xml:space="preserve">Note ii: </w:t>
      </w:r>
      <w:r w:rsidR="0053480E">
        <w:rPr>
          <w:iCs/>
          <w:color w:val="53565A" w:themeColor="background2"/>
          <w:sz w:val="14"/>
          <w:szCs w:val="18"/>
          <w:lang w:val="en-AU"/>
        </w:rPr>
        <w:t xml:space="preserve">AIHW estimates of the number of people </w:t>
      </w:r>
      <w:r w:rsidR="00B308DD">
        <w:rPr>
          <w:iCs/>
          <w:color w:val="53565A" w:themeColor="background2"/>
          <w:sz w:val="14"/>
          <w:szCs w:val="18"/>
          <w:lang w:val="en-AU"/>
        </w:rPr>
        <w:t xml:space="preserve">in each jurisdiction living with dementia use national prevalence estimates applied to </w:t>
      </w:r>
      <w:r w:rsidR="00832614">
        <w:rPr>
          <w:iCs/>
          <w:color w:val="53565A" w:themeColor="background2"/>
          <w:sz w:val="14"/>
          <w:szCs w:val="18"/>
          <w:lang w:val="en-AU"/>
        </w:rPr>
        <w:t xml:space="preserve">each state/territory’s </w:t>
      </w:r>
      <w:r w:rsidR="00B308DD">
        <w:rPr>
          <w:iCs/>
          <w:color w:val="53565A" w:themeColor="background2"/>
          <w:sz w:val="14"/>
          <w:szCs w:val="18"/>
          <w:lang w:val="en-AU"/>
        </w:rPr>
        <w:t xml:space="preserve">age-sex population structure. </w:t>
      </w:r>
      <w:r w:rsidR="005F4E28">
        <w:rPr>
          <w:iCs/>
          <w:color w:val="53565A" w:themeColor="background2"/>
          <w:sz w:val="14"/>
          <w:szCs w:val="18"/>
          <w:lang w:val="en-AU"/>
        </w:rPr>
        <w:t>Only</w:t>
      </w:r>
      <w:r w:rsidR="00857F5B">
        <w:rPr>
          <w:iCs/>
          <w:color w:val="53565A" w:themeColor="background2"/>
          <w:sz w:val="14"/>
          <w:szCs w:val="18"/>
          <w:lang w:val="en-AU"/>
        </w:rPr>
        <w:t xml:space="preserve"> a small proportion of this cohort would be eligible for Program participation.</w:t>
      </w:r>
    </w:p>
    <w:p w14:paraId="0DFC3C38" w14:textId="0F8DC365" w:rsidR="005F4E28" w:rsidRPr="00074E8B" w:rsidRDefault="005F4E28" w:rsidP="00883283">
      <w:pPr>
        <w:rPr>
          <w:iCs/>
          <w:color w:val="53565A" w:themeColor="background2"/>
          <w:sz w:val="14"/>
          <w:szCs w:val="18"/>
          <w:lang w:val="en-AU"/>
        </w:rPr>
      </w:pPr>
      <w:r>
        <w:rPr>
          <w:iCs/>
          <w:color w:val="53565A" w:themeColor="background2"/>
          <w:sz w:val="14"/>
          <w:szCs w:val="18"/>
          <w:lang w:val="en-AU"/>
        </w:rPr>
        <w:t xml:space="preserve">Note iii: </w:t>
      </w:r>
      <w:r w:rsidR="006461B7">
        <w:rPr>
          <w:iCs/>
          <w:color w:val="53565A" w:themeColor="background2"/>
          <w:sz w:val="14"/>
          <w:szCs w:val="18"/>
          <w:lang w:val="en-AU"/>
        </w:rPr>
        <w:t>VIC and the national average are shown as one data point</w:t>
      </w:r>
      <w:r w:rsidR="003F2964">
        <w:rPr>
          <w:iCs/>
          <w:color w:val="53565A" w:themeColor="background2"/>
          <w:sz w:val="14"/>
          <w:szCs w:val="18"/>
          <w:lang w:val="en-AU"/>
        </w:rPr>
        <w:t xml:space="preserve"> due to</w:t>
      </w:r>
      <w:r w:rsidR="00F3174C">
        <w:rPr>
          <w:iCs/>
          <w:color w:val="53565A" w:themeColor="background2"/>
          <w:sz w:val="14"/>
          <w:szCs w:val="18"/>
          <w:lang w:val="en-AU"/>
        </w:rPr>
        <w:t xml:space="preserve"> overlap.</w:t>
      </w:r>
    </w:p>
    <w:p w14:paraId="7227072B" w14:textId="5A010852" w:rsidR="00385C1A" w:rsidRDefault="003E23D9" w:rsidP="00E4301F">
      <w:pPr>
        <w:rPr>
          <w:lang w:val="en-AU"/>
        </w:rPr>
      </w:pPr>
      <w:r>
        <w:rPr>
          <w:lang w:val="en-AU"/>
        </w:rPr>
        <w:t xml:space="preserve">It can be seen in </w:t>
      </w:r>
      <w:r>
        <w:rPr>
          <w:lang w:val="en-AU"/>
        </w:rPr>
        <w:fldChar w:fldCharType="begin"/>
      </w:r>
      <w:r>
        <w:rPr>
          <w:lang w:val="en-AU"/>
        </w:rPr>
        <w:instrText xml:space="preserve"> REF _Ref125368674 \h </w:instrText>
      </w:r>
      <w:r>
        <w:rPr>
          <w:lang w:val="en-AU"/>
        </w:rPr>
      </w:r>
      <w:r>
        <w:rPr>
          <w:lang w:val="en-AU"/>
        </w:rPr>
        <w:fldChar w:fldCharType="separate"/>
      </w:r>
      <w:r w:rsidR="00D32536">
        <w:t xml:space="preserve">Figure </w:t>
      </w:r>
      <w:r w:rsidR="00D32536">
        <w:rPr>
          <w:noProof/>
        </w:rPr>
        <w:t>2</w:t>
      </w:r>
      <w:r w:rsidR="00D32536">
        <w:t>.</w:t>
      </w:r>
      <w:r w:rsidR="00D32536">
        <w:rPr>
          <w:noProof/>
        </w:rPr>
        <w:t>5</w:t>
      </w:r>
      <w:r>
        <w:rPr>
          <w:lang w:val="en-AU"/>
        </w:rPr>
        <w:fldChar w:fldCharType="end"/>
      </w:r>
      <w:r>
        <w:rPr>
          <w:lang w:val="en-AU"/>
        </w:rPr>
        <w:t xml:space="preserve"> that</w:t>
      </w:r>
      <w:r w:rsidR="007813BE">
        <w:rPr>
          <w:lang w:val="en-AU"/>
        </w:rPr>
        <w:t xml:space="preserve"> ACT </w:t>
      </w:r>
      <w:r w:rsidR="00F05640">
        <w:rPr>
          <w:lang w:val="en-AU"/>
        </w:rPr>
        <w:t xml:space="preserve">has both the highest number of referrals and the largest Program capacity, relative to </w:t>
      </w:r>
      <w:r w:rsidR="007E1F55">
        <w:rPr>
          <w:lang w:val="en-AU"/>
        </w:rPr>
        <w:t>its</w:t>
      </w:r>
      <w:r w:rsidR="00F05640">
        <w:rPr>
          <w:lang w:val="en-AU"/>
        </w:rPr>
        <w:t xml:space="preserve"> population with dementia.</w:t>
      </w:r>
      <w:r w:rsidR="00980E57">
        <w:rPr>
          <w:rStyle w:val="FootnoteReference"/>
          <w:lang w:val="en-AU"/>
        </w:rPr>
        <w:footnoteReference w:id="3"/>
      </w:r>
      <w:r w:rsidR="00F05640">
        <w:rPr>
          <w:lang w:val="en-AU"/>
        </w:rPr>
        <w:t xml:space="preserve"> </w:t>
      </w:r>
      <w:r w:rsidR="007E1F55">
        <w:rPr>
          <w:lang w:val="en-AU"/>
        </w:rPr>
        <w:t xml:space="preserve">Conversely, of the jurisdictions with </w:t>
      </w:r>
      <w:r w:rsidR="004E5FCC">
        <w:rPr>
          <w:lang w:val="en-AU"/>
        </w:rPr>
        <w:t>SDCUs</w:t>
      </w:r>
      <w:r w:rsidR="0098594C">
        <w:rPr>
          <w:lang w:val="en-AU"/>
        </w:rPr>
        <w:t>,</w:t>
      </w:r>
      <w:r w:rsidR="007E1F55">
        <w:rPr>
          <w:lang w:val="en-AU"/>
        </w:rPr>
        <w:t xml:space="preserve"> NSW has both the smallest Program capacity and the </w:t>
      </w:r>
      <w:r w:rsidR="0098594C">
        <w:rPr>
          <w:lang w:val="en-AU"/>
        </w:rPr>
        <w:t>lowest numbers of referrals relative to its dementia population.</w:t>
      </w:r>
      <w:r w:rsidR="00F05640">
        <w:rPr>
          <w:lang w:val="en-AU"/>
        </w:rPr>
        <w:t xml:space="preserve"> </w:t>
      </w:r>
      <w:r w:rsidR="00AC0212">
        <w:rPr>
          <w:lang w:val="en-AU"/>
        </w:rPr>
        <w:t xml:space="preserve">When combined with the </w:t>
      </w:r>
      <w:r w:rsidR="00381926">
        <w:rPr>
          <w:lang w:val="en-AU"/>
        </w:rPr>
        <w:t>observed timing</w:t>
      </w:r>
      <w:r w:rsidR="00021112">
        <w:rPr>
          <w:lang w:val="en-AU"/>
        </w:rPr>
        <w:t xml:space="preserve"> of</w:t>
      </w:r>
      <w:r w:rsidR="00005FC3">
        <w:rPr>
          <w:lang w:val="en-AU"/>
        </w:rPr>
        <w:t xml:space="preserve"> growth in referrals and new sites</w:t>
      </w:r>
      <w:r w:rsidR="00021112">
        <w:rPr>
          <w:lang w:val="en-AU"/>
        </w:rPr>
        <w:t xml:space="preserve"> opening</w:t>
      </w:r>
      <w:r w:rsidR="00005FC3">
        <w:rPr>
          <w:lang w:val="en-AU"/>
        </w:rPr>
        <w:t xml:space="preserve"> seen in </w:t>
      </w:r>
      <w:r w:rsidR="000217E8">
        <w:rPr>
          <w:lang w:val="en-AU"/>
        </w:rPr>
        <w:fldChar w:fldCharType="begin"/>
      </w:r>
      <w:r w:rsidR="000217E8">
        <w:rPr>
          <w:lang w:val="en-AU"/>
        </w:rPr>
        <w:instrText xml:space="preserve"> REF _Ref125368642 \h </w:instrText>
      </w:r>
      <w:r w:rsidR="00034947">
        <w:rPr>
          <w:lang w:val="en-AU"/>
        </w:rPr>
        <w:instrText xml:space="preserve"> \* MERGEFORMAT </w:instrText>
      </w:r>
      <w:r w:rsidR="000217E8">
        <w:rPr>
          <w:lang w:val="en-AU"/>
        </w:rPr>
      </w:r>
      <w:r w:rsidR="000217E8">
        <w:rPr>
          <w:lang w:val="en-AU"/>
        </w:rPr>
        <w:fldChar w:fldCharType="separate"/>
      </w:r>
      <w:r w:rsidR="00D32536">
        <w:t xml:space="preserve">Figure </w:t>
      </w:r>
      <w:r w:rsidR="00D32536">
        <w:rPr>
          <w:noProof/>
        </w:rPr>
        <w:t>2.2</w:t>
      </w:r>
      <w:r w:rsidR="000217E8">
        <w:rPr>
          <w:lang w:val="en-AU"/>
        </w:rPr>
        <w:fldChar w:fldCharType="end"/>
      </w:r>
      <w:r w:rsidR="00005FC3">
        <w:rPr>
          <w:lang w:val="en-AU"/>
        </w:rPr>
        <w:t xml:space="preserve">, </w:t>
      </w:r>
      <w:r w:rsidR="00455875">
        <w:rPr>
          <w:lang w:val="en-AU"/>
        </w:rPr>
        <w:t>it may be theorised</w:t>
      </w:r>
      <w:r w:rsidR="002D2FBE">
        <w:rPr>
          <w:lang w:val="en-AU"/>
        </w:rPr>
        <w:t xml:space="preserve"> that </w:t>
      </w:r>
      <w:r w:rsidR="007E11D9">
        <w:rPr>
          <w:lang w:val="en-AU"/>
        </w:rPr>
        <w:t>referrals are a reaction to</w:t>
      </w:r>
      <w:r w:rsidR="004F0415">
        <w:rPr>
          <w:lang w:val="en-AU"/>
        </w:rPr>
        <w:t xml:space="preserve"> perceived</w:t>
      </w:r>
      <w:r w:rsidR="007E11D9">
        <w:rPr>
          <w:lang w:val="en-AU"/>
        </w:rPr>
        <w:t xml:space="preserve"> supply</w:t>
      </w:r>
      <w:r w:rsidR="004F0415">
        <w:rPr>
          <w:lang w:val="en-AU"/>
        </w:rPr>
        <w:t xml:space="preserve"> (i.e.</w:t>
      </w:r>
      <w:r w:rsidR="00285046">
        <w:rPr>
          <w:lang w:val="en-AU"/>
        </w:rPr>
        <w:t>,</w:t>
      </w:r>
      <w:r w:rsidR="004F0415">
        <w:rPr>
          <w:lang w:val="en-AU"/>
        </w:rPr>
        <w:t xml:space="preserve"> referrers are encouraged/discouraged based on </w:t>
      </w:r>
      <w:r w:rsidR="001B1349">
        <w:rPr>
          <w:lang w:val="en-AU"/>
        </w:rPr>
        <w:t xml:space="preserve">the </w:t>
      </w:r>
      <w:r w:rsidR="00CF6536">
        <w:rPr>
          <w:lang w:val="en-AU"/>
        </w:rPr>
        <w:t xml:space="preserve">perception </w:t>
      </w:r>
      <w:r w:rsidR="006C4063">
        <w:rPr>
          <w:lang w:val="en-AU"/>
        </w:rPr>
        <w:t>of</w:t>
      </w:r>
      <w:r w:rsidR="00CF6536">
        <w:rPr>
          <w:lang w:val="en-AU"/>
        </w:rPr>
        <w:t xml:space="preserve"> </w:t>
      </w:r>
      <w:r w:rsidR="007A733D">
        <w:rPr>
          <w:lang w:val="en-AU"/>
        </w:rPr>
        <w:t>SDCU</w:t>
      </w:r>
      <w:r w:rsidR="00CF6536">
        <w:rPr>
          <w:lang w:val="en-AU"/>
        </w:rPr>
        <w:t xml:space="preserve"> </w:t>
      </w:r>
      <w:r w:rsidR="006C4063">
        <w:rPr>
          <w:lang w:val="en-AU"/>
        </w:rPr>
        <w:t>availability</w:t>
      </w:r>
      <w:r w:rsidR="00D07790">
        <w:rPr>
          <w:lang w:val="en-AU"/>
        </w:rPr>
        <w:t>)</w:t>
      </w:r>
      <w:r w:rsidR="007E11D9">
        <w:rPr>
          <w:lang w:val="en-AU"/>
        </w:rPr>
        <w:t>.</w:t>
      </w:r>
      <w:r w:rsidR="0040050D">
        <w:rPr>
          <w:lang w:val="en-AU"/>
        </w:rPr>
        <w:t xml:space="preserve"> For SA, while referrals rates are</w:t>
      </w:r>
      <w:r w:rsidR="00B134D6">
        <w:rPr>
          <w:lang w:val="en-AU"/>
        </w:rPr>
        <w:t xml:space="preserve"> close to twice the national average</w:t>
      </w:r>
      <w:r w:rsidR="007D0743">
        <w:rPr>
          <w:lang w:val="en-AU"/>
        </w:rPr>
        <w:t xml:space="preserve">, </w:t>
      </w:r>
      <w:r w:rsidR="00EB4DA3">
        <w:rPr>
          <w:lang w:val="en-AU"/>
        </w:rPr>
        <w:t xml:space="preserve">it is noted that </w:t>
      </w:r>
      <w:r w:rsidR="00B134D6">
        <w:rPr>
          <w:lang w:val="en-AU"/>
        </w:rPr>
        <w:t xml:space="preserve">the sole SA </w:t>
      </w:r>
      <w:r w:rsidR="00187CF7">
        <w:rPr>
          <w:lang w:val="en-AU"/>
        </w:rPr>
        <w:t>SDCU</w:t>
      </w:r>
      <w:r w:rsidR="00F43AC1">
        <w:rPr>
          <w:lang w:val="en-AU"/>
        </w:rPr>
        <w:t xml:space="preserve"> </w:t>
      </w:r>
      <w:r w:rsidR="00B134D6">
        <w:rPr>
          <w:lang w:val="en-AU"/>
        </w:rPr>
        <w:t xml:space="preserve">(Aldersgate) had </w:t>
      </w:r>
      <w:r w:rsidR="00717F00">
        <w:rPr>
          <w:lang w:val="en-AU"/>
        </w:rPr>
        <w:t>a high</w:t>
      </w:r>
      <w:r w:rsidR="00B134D6">
        <w:rPr>
          <w:lang w:val="en-AU"/>
        </w:rPr>
        <w:t xml:space="preserve"> number of Program admissions relative to other sites.</w:t>
      </w:r>
      <w:r w:rsidR="000D4CAD">
        <w:rPr>
          <w:lang w:val="en-AU"/>
        </w:rPr>
        <w:t xml:space="preserve"> </w:t>
      </w:r>
      <w:r w:rsidR="00B02384">
        <w:rPr>
          <w:lang w:val="en-AU"/>
        </w:rPr>
        <w:t>As an alternate contributing factor, i</w:t>
      </w:r>
      <w:r w:rsidR="00EA1777">
        <w:rPr>
          <w:lang w:val="en-AU"/>
        </w:rPr>
        <w:t xml:space="preserve">t is also acknowledged that separate to the Program, </w:t>
      </w:r>
      <w:r w:rsidR="00CD163B">
        <w:rPr>
          <w:lang w:val="en-AU"/>
        </w:rPr>
        <w:t xml:space="preserve">overall </w:t>
      </w:r>
      <w:r w:rsidR="00EA1777">
        <w:rPr>
          <w:lang w:val="en-AU"/>
        </w:rPr>
        <w:t>jurisdictional capacity to support people with very severe BPSD include</w:t>
      </w:r>
      <w:r w:rsidR="0022380C">
        <w:rPr>
          <w:lang w:val="en-AU"/>
        </w:rPr>
        <w:t>s</w:t>
      </w:r>
      <w:r w:rsidR="00EA1777">
        <w:rPr>
          <w:lang w:val="en-AU"/>
        </w:rPr>
        <w:t xml:space="preserve"> </w:t>
      </w:r>
      <w:r w:rsidR="002A7FBD">
        <w:rPr>
          <w:lang w:val="en-AU"/>
        </w:rPr>
        <w:t xml:space="preserve">other </w:t>
      </w:r>
      <w:r w:rsidR="00EA1777">
        <w:rPr>
          <w:lang w:val="en-AU"/>
        </w:rPr>
        <w:t xml:space="preserve">services </w:t>
      </w:r>
      <w:r w:rsidR="00D17D82">
        <w:rPr>
          <w:lang w:val="en-AU"/>
        </w:rPr>
        <w:t>(e.g.</w:t>
      </w:r>
      <w:r w:rsidR="00EA1777">
        <w:rPr>
          <w:lang w:val="en-AU"/>
        </w:rPr>
        <w:t xml:space="preserve"> Older Persons Mental Health services in NSW</w:t>
      </w:r>
      <w:r w:rsidR="00183222">
        <w:rPr>
          <w:lang w:val="en-AU"/>
        </w:rPr>
        <w:t xml:space="preserve"> and Acute Cognitive Units in QLD</w:t>
      </w:r>
      <w:r w:rsidR="00CD163B">
        <w:rPr>
          <w:lang w:val="en-AU"/>
        </w:rPr>
        <w:t>).</w:t>
      </w:r>
      <w:r w:rsidR="00E4301F">
        <w:rPr>
          <w:lang w:val="en-AU"/>
        </w:rPr>
        <w:t xml:space="preserve"> </w:t>
      </w:r>
      <w:r w:rsidR="00EB3340">
        <w:rPr>
          <w:lang w:val="en-AU"/>
        </w:rPr>
        <w:t>Hence, these services o</w:t>
      </w:r>
      <w:r w:rsidR="0091150D">
        <w:rPr>
          <w:lang w:val="en-AU"/>
        </w:rPr>
        <w:t xml:space="preserve">perating alongside the Program may influence observed Program demand. </w:t>
      </w:r>
    </w:p>
    <w:p w14:paraId="7E9EB339" w14:textId="114BDC76" w:rsidR="002622E0" w:rsidRDefault="000C75D3" w:rsidP="0079620C">
      <w:pPr>
        <w:rPr>
          <w:lang w:val="en-AU"/>
        </w:rPr>
      </w:pPr>
      <w:r>
        <w:rPr>
          <w:lang w:val="en-AU"/>
        </w:rPr>
        <w:t xml:space="preserve">The Department has stated its intention of establishing 35 </w:t>
      </w:r>
      <w:r w:rsidR="000C5458">
        <w:rPr>
          <w:lang w:val="en-AU"/>
        </w:rPr>
        <w:t xml:space="preserve">Program </w:t>
      </w:r>
      <w:r>
        <w:rPr>
          <w:lang w:val="en-AU"/>
        </w:rPr>
        <w:t xml:space="preserve">units nationally, including one in each PHN. To this end, </w:t>
      </w:r>
      <w:r w:rsidR="009179F8">
        <w:rPr>
          <w:lang w:val="en-AU"/>
        </w:rPr>
        <w:t xml:space="preserve">Phase </w:t>
      </w:r>
      <w:r w:rsidR="00455CCA">
        <w:rPr>
          <w:lang w:val="en-AU"/>
        </w:rPr>
        <w:t>2</w:t>
      </w:r>
      <w:r w:rsidR="009179F8">
        <w:rPr>
          <w:lang w:val="en-AU"/>
        </w:rPr>
        <w:t xml:space="preserve"> </w:t>
      </w:r>
      <w:r w:rsidR="006813EE">
        <w:rPr>
          <w:lang w:val="en-AU"/>
        </w:rPr>
        <w:t xml:space="preserve">will include </w:t>
      </w:r>
      <w:r w:rsidR="008064C1">
        <w:rPr>
          <w:lang w:val="en-AU"/>
        </w:rPr>
        <w:t xml:space="preserve">three </w:t>
      </w:r>
      <w:r w:rsidR="0084202F">
        <w:rPr>
          <w:lang w:val="en-AU"/>
        </w:rPr>
        <w:t>add</w:t>
      </w:r>
      <w:r w:rsidR="009B65B2">
        <w:rPr>
          <w:lang w:val="en-AU"/>
        </w:rPr>
        <w:t>i</w:t>
      </w:r>
      <w:r w:rsidR="0084202F">
        <w:rPr>
          <w:lang w:val="en-AU"/>
        </w:rPr>
        <w:t>tional</w:t>
      </w:r>
      <w:r w:rsidR="00265871">
        <w:rPr>
          <w:lang w:val="en-AU"/>
        </w:rPr>
        <w:t xml:space="preserve"> SDCUs in </w:t>
      </w:r>
      <w:r w:rsidR="008064C1">
        <w:rPr>
          <w:lang w:val="en-AU"/>
        </w:rPr>
        <w:t xml:space="preserve">NSW, </w:t>
      </w:r>
      <w:r w:rsidR="00B96879">
        <w:rPr>
          <w:lang w:val="en-AU"/>
        </w:rPr>
        <w:t xml:space="preserve">one additional SDCU in </w:t>
      </w:r>
      <w:r w:rsidR="00265871">
        <w:rPr>
          <w:lang w:val="en-AU"/>
        </w:rPr>
        <w:t>WA</w:t>
      </w:r>
      <w:r w:rsidR="00B15579">
        <w:rPr>
          <w:lang w:val="en-AU"/>
        </w:rPr>
        <w:t xml:space="preserve">, VIC, SA, </w:t>
      </w:r>
      <w:r w:rsidR="001A70EF">
        <w:rPr>
          <w:lang w:val="en-AU"/>
        </w:rPr>
        <w:t>ACT</w:t>
      </w:r>
      <w:r w:rsidR="006813EE">
        <w:rPr>
          <w:lang w:val="en-AU"/>
        </w:rPr>
        <w:t xml:space="preserve"> and </w:t>
      </w:r>
      <w:r w:rsidR="0084202F">
        <w:rPr>
          <w:lang w:val="en-AU"/>
        </w:rPr>
        <w:t xml:space="preserve">the first SDCU in </w:t>
      </w:r>
      <w:r w:rsidR="006813EE">
        <w:rPr>
          <w:lang w:val="en-AU"/>
        </w:rPr>
        <w:t>TAS</w:t>
      </w:r>
      <w:r w:rsidR="002C5E46">
        <w:rPr>
          <w:lang w:val="en-AU"/>
        </w:rPr>
        <w:t xml:space="preserve"> operationalising across 2023</w:t>
      </w:r>
      <w:r w:rsidR="0084202F">
        <w:rPr>
          <w:lang w:val="en-AU"/>
        </w:rPr>
        <w:t xml:space="preserve">. </w:t>
      </w:r>
      <w:r w:rsidR="000C5458">
        <w:rPr>
          <w:lang w:val="en-AU"/>
        </w:rPr>
        <w:t xml:space="preserve">It is expected that Program referral rates will strongly increase following </w:t>
      </w:r>
      <w:r w:rsidR="00C13D7F">
        <w:rPr>
          <w:lang w:val="en-AU"/>
        </w:rPr>
        <w:t>expansion</w:t>
      </w:r>
      <w:r w:rsidR="00E80963">
        <w:rPr>
          <w:lang w:val="en-AU"/>
        </w:rPr>
        <w:t>s</w:t>
      </w:r>
      <w:r w:rsidR="00C13D7F">
        <w:rPr>
          <w:lang w:val="en-AU"/>
        </w:rPr>
        <w:t xml:space="preserve"> of</w:t>
      </w:r>
      <w:r w:rsidR="000C5458">
        <w:rPr>
          <w:lang w:val="en-AU"/>
        </w:rPr>
        <w:t xml:space="preserve"> jurisdictional capacity.</w:t>
      </w:r>
      <w:r w:rsidR="00F43AC1">
        <w:rPr>
          <w:lang w:val="en-AU"/>
        </w:rPr>
        <w:t xml:space="preserve"> </w:t>
      </w:r>
    </w:p>
    <w:p w14:paraId="297FCDA3" w14:textId="06EA6634" w:rsidR="008D2FAA" w:rsidRPr="0034666D" w:rsidRDefault="001E6EF6" w:rsidP="0034666D">
      <w:pPr>
        <w:pStyle w:val="ListBullet"/>
        <w:numPr>
          <w:ilvl w:val="0"/>
          <w:numId w:val="0"/>
        </w:numPr>
        <w:spacing w:after="240"/>
        <w:contextualSpacing w:val="0"/>
        <w:rPr>
          <w:lang w:val="en-AU"/>
        </w:rPr>
      </w:pPr>
      <w:r w:rsidRPr="00665221">
        <w:rPr>
          <w:rFonts w:asciiTheme="majorHAnsi" w:hAnsiTheme="majorHAnsi" w:cstheme="majorHAnsi"/>
          <w:b/>
          <w:color w:val="012169"/>
          <w:lang w:val="en-AU"/>
        </w:rPr>
        <w:t xml:space="preserve">Concurrent with </w:t>
      </w:r>
      <w:r w:rsidR="00CC3918">
        <w:rPr>
          <w:rFonts w:asciiTheme="majorHAnsi" w:hAnsiTheme="majorHAnsi" w:cstheme="majorHAnsi"/>
          <w:b/>
          <w:color w:val="012169"/>
          <w:lang w:val="en-AU"/>
        </w:rPr>
        <w:t>increasing numbers of</w:t>
      </w:r>
      <w:r w:rsidRPr="00665221">
        <w:rPr>
          <w:rFonts w:asciiTheme="majorHAnsi" w:hAnsiTheme="majorHAnsi" w:cstheme="majorHAnsi"/>
          <w:b/>
          <w:color w:val="012169"/>
          <w:lang w:val="en-AU"/>
        </w:rPr>
        <w:t xml:space="preserve"> </w:t>
      </w:r>
      <w:r w:rsidR="00E3076E" w:rsidRPr="00665221">
        <w:rPr>
          <w:rFonts w:asciiTheme="majorHAnsi" w:hAnsiTheme="majorHAnsi" w:cstheme="majorHAnsi"/>
          <w:b/>
          <w:color w:val="012169"/>
          <w:lang w:val="en-AU"/>
        </w:rPr>
        <w:t>NBA referrals</w:t>
      </w:r>
      <w:r w:rsidRPr="00665221">
        <w:rPr>
          <w:rFonts w:asciiTheme="majorHAnsi" w:hAnsiTheme="majorHAnsi" w:cstheme="majorHAnsi"/>
          <w:b/>
          <w:color w:val="012169"/>
          <w:lang w:val="en-AU"/>
        </w:rPr>
        <w:t>, the</w:t>
      </w:r>
      <w:r w:rsidR="008F0C1F" w:rsidRPr="00665221">
        <w:rPr>
          <w:rFonts w:asciiTheme="majorHAnsi" w:hAnsiTheme="majorHAnsi" w:cstheme="majorHAnsi"/>
          <w:b/>
          <w:color w:val="012169"/>
          <w:lang w:val="en-AU"/>
        </w:rPr>
        <w:t xml:space="preserve"> proportion of NBA </w:t>
      </w:r>
      <w:r w:rsidR="000951D7" w:rsidRPr="00665221">
        <w:rPr>
          <w:rFonts w:asciiTheme="majorHAnsi" w:hAnsiTheme="majorHAnsi" w:cstheme="majorHAnsi"/>
          <w:b/>
          <w:color w:val="012169"/>
          <w:lang w:val="en-AU"/>
        </w:rPr>
        <w:t xml:space="preserve">referrals </w:t>
      </w:r>
      <w:r w:rsidR="008F0C1F" w:rsidRPr="00665221">
        <w:rPr>
          <w:rFonts w:asciiTheme="majorHAnsi" w:hAnsiTheme="majorHAnsi" w:cstheme="majorHAnsi"/>
          <w:b/>
          <w:color w:val="012169"/>
          <w:lang w:val="en-AU"/>
        </w:rPr>
        <w:t xml:space="preserve">deemed eligible for assessment has </w:t>
      </w:r>
      <w:r w:rsidR="00231A37" w:rsidRPr="00665221">
        <w:rPr>
          <w:rFonts w:asciiTheme="majorHAnsi" w:hAnsiTheme="majorHAnsi" w:cstheme="majorHAnsi"/>
          <w:b/>
          <w:color w:val="012169"/>
          <w:lang w:val="en-AU"/>
        </w:rPr>
        <w:t xml:space="preserve">declined </w:t>
      </w:r>
      <w:r w:rsidR="00F213C1" w:rsidRPr="00665221">
        <w:rPr>
          <w:rFonts w:asciiTheme="majorHAnsi" w:hAnsiTheme="majorHAnsi" w:cstheme="majorHAnsi"/>
          <w:b/>
          <w:color w:val="012169"/>
          <w:lang w:val="en-AU"/>
        </w:rPr>
        <w:t>across the length of the Program</w:t>
      </w:r>
      <w:r w:rsidR="000428EB" w:rsidRPr="00665221">
        <w:rPr>
          <w:rFonts w:asciiTheme="majorHAnsi" w:hAnsiTheme="majorHAnsi" w:cstheme="majorHAnsi"/>
          <w:b/>
          <w:color w:val="012169"/>
          <w:lang w:val="en-AU"/>
        </w:rPr>
        <w:t>.</w:t>
      </w:r>
      <w:r w:rsidR="008F0C1F" w:rsidRPr="00665221">
        <w:rPr>
          <w:rFonts w:asciiTheme="majorHAnsi" w:hAnsiTheme="majorHAnsi" w:cstheme="majorHAnsi"/>
          <w:b/>
          <w:color w:val="012169"/>
          <w:lang w:val="en-AU"/>
        </w:rPr>
        <w:t xml:space="preserve"> This </w:t>
      </w:r>
      <w:r w:rsidR="00E20539" w:rsidRPr="00665221">
        <w:rPr>
          <w:rFonts w:asciiTheme="majorHAnsi" w:hAnsiTheme="majorHAnsi" w:cstheme="majorHAnsi"/>
          <w:b/>
          <w:color w:val="012169"/>
          <w:lang w:val="en-AU"/>
        </w:rPr>
        <w:t xml:space="preserve">may be attributed to </w:t>
      </w:r>
      <w:r w:rsidR="008F0C1F" w:rsidRPr="00665221">
        <w:rPr>
          <w:rFonts w:asciiTheme="majorHAnsi" w:hAnsiTheme="majorHAnsi" w:cstheme="majorHAnsi"/>
          <w:b/>
          <w:color w:val="012169"/>
          <w:lang w:val="en-AU"/>
        </w:rPr>
        <w:t xml:space="preserve">a high proportion of new referrers who </w:t>
      </w:r>
      <w:r w:rsidR="0071325A" w:rsidRPr="00665221">
        <w:rPr>
          <w:rFonts w:asciiTheme="majorHAnsi" w:hAnsiTheme="majorHAnsi" w:cstheme="majorHAnsi"/>
          <w:b/>
          <w:color w:val="012169"/>
          <w:lang w:val="en-AU"/>
        </w:rPr>
        <w:t xml:space="preserve">are </w:t>
      </w:r>
      <w:r w:rsidR="00124313">
        <w:rPr>
          <w:rFonts w:asciiTheme="majorHAnsi" w:hAnsiTheme="majorHAnsi" w:cstheme="majorHAnsi"/>
          <w:b/>
          <w:bCs/>
          <w:color w:val="012169"/>
          <w:lang w:val="en-AU"/>
        </w:rPr>
        <w:t>less</w:t>
      </w:r>
      <w:r w:rsidR="0071325A" w:rsidRPr="00665221">
        <w:rPr>
          <w:rFonts w:asciiTheme="majorHAnsi" w:hAnsiTheme="majorHAnsi" w:cstheme="majorHAnsi"/>
          <w:b/>
          <w:color w:val="012169"/>
          <w:lang w:val="en-AU"/>
        </w:rPr>
        <w:t xml:space="preserve"> familiar</w:t>
      </w:r>
      <w:r w:rsidR="008F0C1F" w:rsidRPr="00665221">
        <w:rPr>
          <w:rFonts w:asciiTheme="majorHAnsi" w:hAnsiTheme="majorHAnsi" w:cstheme="majorHAnsi"/>
          <w:b/>
          <w:color w:val="012169"/>
          <w:lang w:val="en-AU"/>
        </w:rPr>
        <w:t xml:space="preserve"> </w:t>
      </w:r>
      <w:r w:rsidR="00695D45" w:rsidRPr="00665221">
        <w:rPr>
          <w:rFonts w:asciiTheme="majorHAnsi" w:hAnsiTheme="majorHAnsi" w:cstheme="majorHAnsi"/>
          <w:b/>
          <w:color w:val="012169"/>
          <w:lang w:val="en-AU"/>
        </w:rPr>
        <w:t xml:space="preserve">with the </w:t>
      </w:r>
      <w:r w:rsidR="008F0C1F" w:rsidRPr="00665221">
        <w:rPr>
          <w:rFonts w:asciiTheme="majorHAnsi" w:hAnsiTheme="majorHAnsi" w:cstheme="majorHAnsi"/>
          <w:b/>
          <w:color w:val="012169"/>
          <w:lang w:val="en-AU"/>
        </w:rPr>
        <w:t>Program scope and eligibility criteria.</w:t>
      </w:r>
    </w:p>
    <w:p w14:paraId="6BB3BE3D" w14:textId="1419C6FC" w:rsidR="00C23238" w:rsidRDefault="007B2985" w:rsidP="00117570">
      <w:r>
        <w:t xml:space="preserve">Increasing understanding of the Program’s eligibility criteria is important for maximising the efficiency of the NBA service. </w:t>
      </w:r>
      <w:r w:rsidR="003C1F1F">
        <w:t xml:space="preserve">Over the life of the Program, </w:t>
      </w:r>
      <w:r w:rsidR="00C33FA9">
        <w:t>36</w:t>
      </w:r>
      <w:r w:rsidR="003C1F1F">
        <w:t xml:space="preserve">% of </w:t>
      </w:r>
      <w:r w:rsidR="00ED4FC9">
        <w:t>NBA referrals</w:t>
      </w:r>
      <w:r w:rsidR="00023E8D">
        <w:t xml:space="preserve"> </w:t>
      </w:r>
      <w:r w:rsidR="00256081">
        <w:t>did not undergo a</w:t>
      </w:r>
      <w:r w:rsidR="00AE278E">
        <w:t xml:space="preserve"> formal SDCP assessment</w:t>
      </w:r>
      <w:r w:rsidR="00256081">
        <w:t>, either due to ineligibility or case closure</w:t>
      </w:r>
      <w:r w:rsidR="003C1F1F">
        <w:t>.</w:t>
      </w:r>
    </w:p>
    <w:p w14:paraId="22A40659" w14:textId="672D8D44" w:rsidR="00117570" w:rsidRDefault="00C326E5" w:rsidP="00117570">
      <w:pPr>
        <w:rPr>
          <w:lang w:val="en-AU"/>
        </w:rPr>
      </w:pPr>
      <w:r w:rsidRPr="005F75EC">
        <w:t>A</w:t>
      </w:r>
      <w:r>
        <w:rPr>
          <w:lang w:val="en-AU"/>
        </w:rPr>
        <w:t xml:space="preserve">cross </w:t>
      </w:r>
      <w:r w:rsidR="0003022A">
        <w:rPr>
          <w:lang w:val="en-AU"/>
        </w:rPr>
        <w:t xml:space="preserve">the </w:t>
      </w:r>
      <w:r w:rsidR="00BA00D2">
        <w:rPr>
          <w:lang w:val="en-AU"/>
        </w:rPr>
        <w:t xml:space="preserve">two key </w:t>
      </w:r>
      <w:r w:rsidR="00ED0C6B">
        <w:rPr>
          <w:lang w:val="en-AU"/>
        </w:rPr>
        <w:t>referrer</w:t>
      </w:r>
      <w:r>
        <w:rPr>
          <w:lang w:val="en-AU"/>
        </w:rPr>
        <w:t xml:space="preserve"> types, </w:t>
      </w:r>
      <w:r w:rsidR="004A7E87">
        <w:rPr>
          <w:lang w:val="en-AU"/>
        </w:rPr>
        <w:t>rates of NBA referrals deemed eligible for assessment</w:t>
      </w:r>
      <w:r w:rsidR="00F60EB7">
        <w:rPr>
          <w:lang w:val="en-AU"/>
        </w:rPr>
        <w:t xml:space="preserve"> were broadly similar until 2022, where eligibility</w:t>
      </w:r>
      <w:r w:rsidR="000D62C9">
        <w:rPr>
          <w:lang w:val="en-AU"/>
        </w:rPr>
        <w:t xml:space="preserve"> for referrals</w:t>
      </w:r>
      <w:r w:rsidR="00CD00E2">
        <w:rPr>
          <w:lang w:val="en-AU"/>
        </w:rPr>
        <w:t xml:space="preserve"> originating from inpatient </w:t>
      </w:r>
      <w:r w:rsidR="00153533">
        <w:rPr>
          <w:lang w:val="en-AU"/>
        </w:rPr>
        <w:t>settings</w:t>
      </w:r>
      <w:r w:rsidR="00F60EB7">
        <w:rPr>
          <w:lang w:val="en-AU"/>
        </w:rPr>
        <w:t xml:space="preserve"> rose to 71</w:t>
      </w:r>
      <w:r w:rsidR="00153533">
        <w:rPr>
          <w:lang w:val="en-AU"/>
        </w:rPr>
        <w:t>%</w:t>
      </w:r>
      <w:r w:rsidR="00F60EB7">
        <w:rPr>
          <w:lang w:val="en-AU"/>
        </w:rPr>
        <w:t xml:space="preserve"> wh</w:t>
      </w:r>
      <w:r w:rsidR="00581C80">
        <w:rPr>
          <w:lang w:val="en-AU"/>
        </w:rPr>
        <w:t>ile</w:t>
      </w:r>
      <w:r w:rsidR="00F60EB7">
        <w:rPr>
          <w:lang w:val="en-AU"/>
        </w:rPr>
        <w:t xml:space="preserve"> eligibility</w:t>
      </w:r>
      <w:r w:rsidR="00490646">
        <w:rPr>
          <w:lang w:val="en-AU"/>
        </w:rPr>
        <w:t xml:space="preserve"> for referrals originating from</w:t>
      </w:r>
      <w:r w:rsidR="003023D9">
        <w:rPr>
          <w:lang w:val="en-AU"/>
        </w:rPr>
        <w:t xml:space="preserve"> RACFs</w:t>
      </w:r>
      <w:r w:rsidR="00F60EB7">
        <w:rPr>
          <w:lang w:val="en-AU"/>
        </w:rPr>
        <w:t xml:space="preserve"> declined to 38</w:t>
      </w:r>
      <w:r w:rsidR="003023D9">
        <w:rPr>
          <w:lang w:val="en-AU"/>
        </w:rPr>
        <w:t>%</w:t>
      </w:r>
      <w:r w:rsidR="004D3D16">
        <w:rPr>
          <w:lang w:val="en-AU"/>
        </w:rPr>
        <w:t xml:space="preserve"> (</w:t>
      </w:r>
      <w:r w:rsidR="000217E8">
        <w:rPr>
          <w:lang w:val="en-AU"/>
        </w:rPr>
        <w:fldChar w:fldCharType="begin"/>
      </w:r>
      <w:r w:rsidR="000217E8">
        <w:rPr>
          <w:lang w:val="en-AU"/>
        </w:rPr>
        <w:instrText xml:space="preserve"> REF _Ref125368728 \h </w:instrText>
      </w:r>
      <w:r w:rsidR="000217E8">
        <w:rPr>
          <w:lang w:val="en-AU"/>
        </w:rPr>
      </w:r>
      <w:r w:rsidR="000217E8">
        <w:rPr>
          <w:lang w:val="en-AU"/>
        </w:rPr>
        <w:fldChar w:fldCharType="separate"/>
      </w:r>
      <w:r w:rsidR="00D32536">
        <w:t xml:space="preserve">Figure </w:t>
      </w:r>
      <w:r w:rsidR="00D32536">
        <w:rPr>
          <w:noProof/>
        </w:rPr>
        <w:t>2</w:t>
      </w:r>
      <w:r w:rsidR="00D32536">
        <w:t>.</w:t>
      </w:r>
      <w:r w:rsidR="00D32536">
        <w:rPr>
          <w:noProof/>
        </w:rPr>
        <w:t>6</w:t>
      </w:r>
      <w:r w:rsidR="000217E8">
        <w:rPr>
          <w:lang w:val="en-AU"/>
        </w:rPr>
        <w:fldChar w:fldCharType="end"/>
      </w:r>
      <w:r w:rsidR="004D3D16">
        <w:rPr>
          <w:lang w:val="en-AU"/>
        </w:rPr>
        <w:t>)</w:t>
      </w:r>
      <w:r w:rsidR="00F60EB7">
        <w:rPr>
          <w:lang w:val="en-AU"/>
        </w:rPr>
        <w:t xml:space="preserve">. </w:t>
      </w:r>
      <w:r w:rsidR="003023D9">
        <w:rPr>
          <w:lang w:val="en-AU"/>
        </w:rPr>
        <w:t xml:space="preserve">This is reflective of the growing </w:t>
      </w:r>
      <w:r w:rsidR="002F2B75">
        <w:rPr>
          <w:lang w:val="en-AU"/>
        </w:rPr>
        <w:t>proportion of</w:t>
      </w:r>
      <w:r w:rsidR="003023D9">
        <w:rPr>
          <w:lang w:val="en-AU"/>
        </w:rPr>
        <w:t xml:space="preserve"> referrals from RACFs</w:t>
      </w:r>
      <w:r w:rsidR="00BB2147">
        <w:rPr>
          <w:lang w:val="en-AU"/>
        </w:rPr>
        <w:t xml:space="preserve">, </w:t>
      </w:r>
      <w:r w:rsidR="002F2B75">
        <w:rPr>
          <w:lang w:val="en-AU"/>
        </w:rPr>
        <w:t>which</w:t>
      </w:r>
      <w:r w:rsidR="006E766A">
        <w:rPr>
          <w:lang w:val="en-AU"/>
        </w:rPr>
        <w:t xml:space="preserve"> is driven by an</w:t>
      </w:r>
      <w:r w:rsidR="00BB2147">
        <w:rPr>
          <w:lang w:val="en-AU"/>
        </w:rPr>
        <w:t xml:space="preserve"> increasing number of </w:t>
      </w:r>
      <w:r w:rsidR="00AD1EBC">
        <w:rPr>
          <w:lang w:val="en-AU"/>
        </w:rPr>
        <w:t xml:space="preserve">‘new’ </w:t>
      </w:r>
      <w:r w:rsidR="00BB2147">
        <w:rPr>
          <w:lang w:val="en-AU"/>
        </w:rPr>
        <w:t>unique RACF referrer</w:t>
      </w:r>
      <w:r w:rsidR="00BB246C">
        <w:rPr>
          <w:lang w:val="en-AU"/>
        </w:rPr>
        <w:t xml:space="preserve">s who are </w:t>
      </w:r>
      <w:r w:rsidR="00D47DEC">
        <w:rPr>
          <w:lang w:val="en-AU"/>
        </w:rPr>
        <w:t xml:space="preserve">less familiar </w:t>
      </w:r>
      <w:r w:rsidR="003D440B">
        <w:rPr>
          <w:lang w:val="en-AU"/>
        </w:rPr>
        <w:t xml:space="preserve">with the Program scope and eligibility criteria. </w:t>
      </w:r>
      <w:r w:rsidR="004367E4">
        <w:rPr>
          <w:lang w:val="en-AU"/>
        </w:rPr>
        <w:t>T</w:t>
      </w:r>
      <w:r w:rsidR="001C6DF7">
        <w:rPr>
          <w:lang w:val="en-AU"/>
        </w:rPr>
        <w:t xml:space="preserve">he </w:t>
      </w:r>
      <w:r w:rsidR="00963C93">
        <w:rPr>
          <w:lang w:val="en-AU"/>
        </w:rPr>
        <w:t xml:space="preserve">proportion of ineligible referrals </w:t>
      </w:r>
      <w:r w:rsidR="001C6DF7">
        <w:rPr>
          <w:lang w:val="en-AU"/>
        </w:rPr>
        <w:t xml:space="preserve">is an important </w:t>
      </w:r>
      <w:r w:rsidR="004367E4">
        <w:rPr>
          <w:lang w:val="en-AU"/>
        </w:rPr>
        <w:t>metric t</w:t>
      </w:r>
      <w:r w:rsidR="0044432D">
        <w:rPr>
          <w:lang w:val="en-AU"/>
        </w:rPr>
        <w:t>hat allows evaluators to monitor</w:t>
      </w:r>
      <w:r w:rsidR="00910FB1">
        <w:rPr>
          <w:lang w:val="en-AU"/>
        </w:rPr>
        <w:t xml:space="preserve"> the extent to which referrers </w:t>
      </w:r>
      <w:r w:rsidR="002B06B1">
        <w:rPr>
          <w:lang w:val="en-AU"/>
        </w:rPr>
        <w:t xml:space="preserve">appropriately </w:t>
      </w:r>
      <w:r w:rsidR="00910FB1">
        <w:rPr>
          <w:lang w:val="en-AU"/>
        </w:rPr>
        <w:t xml:space="preserve">understand the Program’s eligibility criteria. Therefore, </w:t>
      </w:r>
      <w:r w:rsidR="002707EF">
        <w:rPr>
          <w:lang w:val="en-AU"/>
        </w:rPr>
        <w:t xml:space="preserve">it is suggested that the Department continues to </w:t>
      </w:r>
      <w:r w:rsidR="000521DD">
        <w:rPr>
          <w:lang w:val="en-AU"/>
        </w:rPr>
        <w:t>monitor</w:t>
      </w:r>
      <w:r w:rsidR="002707EF">
        <w:rPr>
          <w:lang w:val="en-AU"/>
        </w:rPr>
        <w:t xml:space="preserve"> this metric over time</w:t>
      </w:r>
      <w:r w:rsidR="00910FB1">
        <w:rPr>
          <w:lang w:val="en-AU"/>
        </w:rPr>
        <w:t xml:space="preserve">, particularly as </w:t>
      </w:r>
      <w:r w:rsidR="004367E4">
        <w:rPr>
          <w:lang w:val="en-AU"/>
        </w:rPr>
        <w:t>the number of ‘new’ unique referr</w:t>
      </w:r>
      <w:r w:rsidR="00A6108A">
        <w:rPr>
          <w:lang w:val="en-AU"/>
        </w:rPr>
        <w:t>er</w:t>
      </w:r>
      <w:r w:rsidR="001920CC">
        <w:rPr>
          <w:lang w:val="en-AU"/>
        </w:rPr>
        <w:t>s</w:t>
      </w:r>
      <w:r w:rsidR="00963C93">
        <w:rPr>
          <w:lang w:val="en-AU"/>
        </w:rPr>
        <w:t xml:space="preserve"> decreases</w:t>
      </w:r>
      <w:r w:rsidR="000521DD">
        <w:rPr>
          <w:lang w:val="en-AU"/>
        </w:rPr>
        <w:t>.</w:t>
      </w:r>
    </w:p>
    <w:p w14:paraId="756736B4" w14:textId="1ED29232" w:rsidR="00B21AC1" w:rsidRDefault="00B21AC1" w:rsidP="00B21AC1">
      <w:pPr>
        <w:pStyle w:val="Caption"/>
      </w:pPr>
      <w:bookmarkStart w:id="28" w:name="_Ref125368728"/>
      <w:r>
        <w:t xml:space="preserve">Figure </w:t>
      </w:r>
      <w:r w:rsidR="00915F8B">
        <w:fldChar w:fldCharType="begin"/>
      </w:r>
      <w:r w:rsidR="00915F8B">
        <w:instrText xml:space="preserve"> STYLEREF 1 \s </w:instrText>
      </w:r>
      <w:r w:rsidR="00915F8B">
        <w:fldChar w:fldCharType="separate"/>
      </w:r>
      <w:r w:rsidR="00D32536">
        <w:rPr>
          <w:noProof/>
        </w:rPr>
        <w:t>2</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6</w:t>
      </w:r>
      <w:r w:rsidR="008875A8">
        <w:fldChar w:fldCharType="end"/>
      </w:r>
      <w:bookmarkEnd w:id="28"/>
      <w:r>
        <w:t xml:space="preserve"> </w:t>
      </w:r>
      <w:r w:rsidRPr="00703793">
        <w:t>Proportion of referrals deemed eligible for an NBA assessment, by calendar year and referrer type</w:t>
      </w:r>
    </w:p>
    <w:p w14:paraId="2E58E580" w14:textId="1E4A6489" w:rsidR="00747B4E" w:rsidRDefault="00B21A36" w:rsidP="00D67AFE">
      <w:pPr>
        <w:pStyle w:val="SourcetextTableorChart"/>
        <w:spacing w:after="120"/>
        <w:rPr>
          <w:lang w:val="en-AU"/>
        </w:rPr>
      </w:pPr>
      <w:r w:rsidRPr="00B21A36">
        <w:rPr>
          <w:noProof/>
        </w:rPr>
        <w:drawing>
          <wp:inline distT="0" distB="0" distL="0" distR="0" wp14:anchorId="1932030B" wp14:editId="1FF8564A">
            <wp:extent cx="5972537" cy="3870266"/>
            <wp:effectExtent l="0" t="0" r="0" b="0"/>
            <wp:docPr id="475882752" name="Picture 475882752" descr="This image is a column graph showing the proportion of referrals deemed eligible for NBA assessment over time, split by whether the referrer was an inpatient setting or a R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2752" name="Picture 475882752" descr="This image is a column graph showing the proportion of referrals deemed eligible for NBA assessment over time, split by whether the referrer was an inpatient setting or a RAC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9837" cy="3887957"/>
                    </a:xfrm>
                    <a:prstGeom prst="rect">
                      <a:avLst/>
                    </a:prstGeom>
                    <a:noFill/>
                    <a:ln>
                      <a:noFill/>
                    </a:ln>
                  </pic:spPr>
                </pic:pic>
              </a:graphicData>
            </a:graphic>
          </wp:inline>
        </w:drawing>
      </w:r>
    </w:p>
    <w:p w14:paraId="4EC0105F" w14:textId="5832C268" w:rsidR="00D67AFE" w:rsidRDefault="00D67AFE" w:rsidP="00D67AFE">
      <w:pPr>
        <w:pStyle w:val="SourcetextTableorChart"/>
        <w:spacing w:after="120"/>
        <w:rPr>
          <w:lang w:val="en-AU"/>
        </w:rPr>
      </w:pPr>
      <w:r>
        <w:rPr>
          <w:lang w:val="en-AU"/>
        </w:rPr>
        <w:t>Source: Deloitte Access Economics analysis based on NBA referral data, July 2019 to June 2022.</w:t>
      </w:r>
    </w:p>
    <w:p w14:paraId="3940F44A" w14:textId="413D84AE" w:rsidR="00D67AFE" w:rsidRDefault="00D67AFE" w:rsidP="00D67AFE">
      <w:pPr>
        <w:rPr>
          <w:iCs/>
          <w:color w:val="53565A" w:themeColor="background2"/>
          <w:sz w:val="14"/>
          <w:szCs w:val="18"/>
          <w:lang w:val="en-AU"/>
        </w:rPr>
      </w:pPr>
      <w:r w:rsidRPr="00074E8B">
        <w:rPr>
          <w:iCs/>
          <w:color w:val="53565A" w:themeColor="background2"/>
          <w:sz w:val="14"/>
          <w:szCs w:val="18"/>
          <w:lang w:val="en-AU"/>
        </w:rPr>
        <w:t>Note</w:t>
      </w:r>
      <w:r>
        <w:rPr>
          <w:iCs/>
          <w:color w:val="53565A" w:themeColor="background2"/>
          <w:sz w:val="14"/>
          <w:szCs w:val="18"/>
          <w:lang w:val="en-AU"/>
        </w:rPr>
        <w:t xml:space="preserve"> i</w:t>
      </w:r>
      <w:r w:rsidRPr="00074E8B">
        <w:rPr>
          <w:iCs/>
          <w:color w:val="53565A" w:themeColor="background2"/>
          <w:sz w:val="14"/>
          <w:szCs w:val="18"/>
          <w:lang w:val="en-AU"/>
        </w:rPr>
        <w:t xml:space="preserve">: </w:t>
      </w:r>
      <w:r w:rsidR="007E22DF">
        <w:rPr>
          <w:iCs/>
          <w:color w:val="53565A" w:themeColor="background2"/>
          <w:sz w:val="14"/>
          <w:szCs w:val="18"/>
          <w:lang w:val="en-AU"/>
        </w:rPr>
        <w:t xml:space="preserve">There are 109 referrals not shown, due to their referrer type being ‘Other’ (including not stated). </w:t>
      </w:r>
    </w:p>
    <w:p w14:paraId="4145A565" w14:textId="7005FB32" w:rsidR="00070500" w:rsidRPr="00477623" w:rsidRDefault="00070500" w:rsidP="00D67AFE">
      <w:pPr>
        <w:rPr>
          <w:lang w:val="en-AU"/>
        </w:rPr>
      </w:pPr>
      <w:r>
        <w:rPr>
          <w:lang w:val="en-AU"/>
        </w:rPr>
        <w:t>In exploring the drivers of ineligible referrals, NBA referral data shows the most common reasons a referral was deemed ineligible for assessment was ‘behaviours too mild’ and ‘no consent</w:t>
      </w:r>
      <w:r w:rsidR="005B20F3">
        <w:rPr>
          <w:lang w:val="en-AU"/>
        </w:rPr>
        <w:t>/consent withdrawn</w:t>
      </w:r>
      <w:r>
        <w:rPr>
          <w:lang w:val="en-AU"/>
        </w:rPr>
        <w:t>’</w:t>
      </w:r>
      <w:r w:rsidR="000217E8">
        <w:rPr>
          <w:lang w:val="en-AU"/>
        </w:rPr>
        <w:t xml:space="preserve"> (</w:t>
      </w:r>
      <w:r w:rsidR="000217E8">
        <w:rPr>
          <w:lang w:val="en-AU"/>
        </w:rPr>
        <w:fldChar w:fldCharType="begin"/>
      </w:r>
      <w:r w:rsidR="000217E8">
        <w:rPr>
          <w:lang w:val="en-AU"/>
        </w:rPr>
        <w:instrText xml:space="preserve"> REF _Ref125368763 \h </w:instrText>
      </w:r>
      <w:r w:rsidR="000217E8">
        <w:rPr>
          <w:lang w:val="en-AU"/>
        </w:rPr>
      </w:r>
      <w:r w:rsidR="000217E8">
        <w:rPr>
          <w:lang w:val="en-AU"/>
        </w:rPr>
        <w:fldChar w:fldCharType="separate"/>
      </w:r>
      <w:r w:rsidR="00D32536">
        <w:t xml:space="preserve">Figure </w:t>
      </w:r>
      <w:r w:rsidR="00D32536">
        <w:rPr>
          <w:noProof/>
        </w:rPr>
        <w:t>2</w:t>
      </w:r>
      <w:r w:rsidR="00D32536">
        <w:t>.</w:t>
      </w:r>
      <w:r w:rsidR="00D32536">
        <w:rPr>
          <w:noProof/>
        </w:rPr>
        <w:t>7</w:t>
      </w:r>
      <w:r w:rsidR="000217E8">
        <w:rPr>
          <w:lang w:val="en-AU"/>
        </w:rPr>
        <w:fldChar w:fldCharType="end"/>
      </w:r>
      <w:r w:rsidR="000217E8">
        <w:rPr>
          <w:lang w:val="en-AU"/>
        </w:rPr>
        <w:t>)</w:t>
      </w:r>
      <w:r>
        <w:rPr>
          <w:lang w:val="en-AU"/>
        </w:rPr>
        <w:t xml:space="preserve">. This was a consistent finding </w:t>
      </w:r>
      <w:r w:rsidR="005B20F3">
        <w:rPr>
          <w:lang w:val="en-AU"/>
        </w:rPr>
        <w:t>from 2020 onwards</w:t>
      </w:r>
      <w:r>
        <w:rPr>
          <w:lang w:val="en-AU"/>
        </w:rPr>
        <w:t xml:space="preserve">. </w:t>
      </w:r>
      <w:r w:rsidRPr="00E669A5">
        <w:rPr>
          <w:lang w:val="en-AU"/>
        </w:rPr>
        <w:t xml:space="preserve">Ahead </w:t>
      </w:r>
      <w:r w:rsidRPr="00E669A5">
        <w:t>of the opening of Phase Two sites, there is an opportunity for the NBA service to better communicate to prospective referrers the targeted severity of behaviour</w:t>
      </w:r>
      <w:r>
        <w:t>s, particularly among prospective referrers who work at facilities located close to the new SDCUs.</w:t>
      </w:r>
    </w:p>
    <w:p w14:paraId="1DEBDE65" w14:textId="2C1F3886" w:rsidR="00B21AC1" w:rsidRDefault="00B21AC1" w:rsidP="00B21AC1">
      <w:pPr>
        <w:pStyle w:val="Caption"/>
      </w:pPr>
      <w:bookmarkStart w:id="29" w:name="_Ref125368763"/>
      <w:r>
        <w:t xml:space="preserve">Figure </w:t>
      </w:r>
      <w:r w:rsidR="00915F8B">
        <w:fldChar w:fldCharType="begin"/>
      </w:r>
      <w:r w:rsidR="00915F8B">
        <w:instrText xml:space="preserve"> STYLEREF 1 \s </w:instrText>
      </w:r>
      <w:r w:rsidR="00915F8B">
        <w:fldChar w:fldCharType="separate"/>
      </w:r>
      <w:r w:rsidR="00D32536">
        <w:rPr>
          <w:noProof/>
        </w:rPr>
        <w:t>2</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7</w:t>
      </w:r>
      <w:r w:rsidR="008875A8">
        <w:fldChar w:fldCharType="end"/>
      </w:r>
      <w:bookmarkEnd w:id="29"/>
      <w:r>
        <w:t xml:space="preserve"> </w:t>
      </w:r>
      <w:r w:rsidRPr="004F406B">
        <w:t>Most common reasons for referral ineligibility, by referrer type and calendar year</w:t>
      </w:r>
    </w:p>
    <w:p w14:paraId="75516411" w14:textId="5CDE43B8" w:rsidR="00447773" w:rsidRDefault="00554C09" w:rsidP="002066D9">
      <w:pPr>
        <w:rPr>
          <w:lang w:val="en-AU"/>
        </w:rPr>
      </w:pPr>
      <w:r w:rsidRPr="00554C09">
        <w:rPr>
          <w:noProof/>
        </w:rPr>
        <w:drawing>
          <wp:inline distT="0" distB="0" distL="0" distR="0" wp14:anchorId="010C0997" wp14:editId="6968338A">
            <wp:extent cx="6545297" cy="6920179"/>
            <wp:effectExtent l="0" t="0" r="8255" b="0"/>
            <wp:docPr id="27" name="Picture 27" descr="This image is a set of individual graphs for 2019, 2020, 2021 and 2022, showing the reasons why referrals were deemed ineligible. This analysis is split by referre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is a set of individual graphs for 2019, 2020, 2021 and 2022, showing the reasons why referrals were deemed ineligible. This analysis is split by referrer typ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61586" cy="6937401"/>
                    </a:xfrm>
                    <a:prstGeom prst="rect">
                      <a:avLst/>
                    </a:prstGeom>
                    <a:noFill/>
                    <a:ln>
                      <a:noFill/>
                    </a:ln>
                  </pic:spPr>
                </pic:pic>
              </a:graphicData>
            </a:graphic>
          </wp:inline>
        </w:drawing>
      </w:r>
      <w:r w:rsidR="00447773">
        <w:rPr>
          <w:lang w:val="en-AU"/>
        </w:rPr>
        <w:t xml:space="preserve"> </w:t>
      </w:r>
    </w:p>
    <w:p w14:paraId="2AB9DE4E" w14:textId="77777777" w:rsidR="00E560D6" w:rsidRDefault="00E560D6" w:rsidP="00E560D6">
      <w:pPr>
        <w:pStyle w:val="SourcetextTableorChart"/>
        <w:spacing w:after="120"/>
        <w:rPr>
          <w:lang w:val="en-AU"/>
        </w:rPr>
      </w:pPr>
      <w:r>
        <w:rPr>
          <w:lang w:val="en-AU"/>
        </w:rPr>
        <w:t>Source: Deloitte Access Economics analysis based on NBA referral data, July 2019 to June 2022.</w:t>
      </w:r>
    </w:p>
    <w:p w14:paraId="0DF00496" w14:textId="5071E564" w:rsidR="00E560D6" w:rsidRPr="007D6210" w:rsidRDefault="00E560D6" w:rsidP="002066D9">
      <w:pPr>
        <w:rPr>
          <w:iCs/>
          <w:color w:val="53565A" w:themeColor="background2"/>
          <w:sz w:val="14"/>
          <w:szCs w:val="18"/>
          <w:lang w:val="en-AU"/>
        </w:rPr>
      </w:pPr>
      <w:r w:rsidRPr="00074E8B">
        <w:rPr>
          <w:iCs/>
          <w:color w:val="53565A" w:themeColor="background2"/>
          <w:sz w:val="14"/>
          <w:szCs w:val="18"/>
          <w:lang w:val="en-AU"/>
        </w:rPr>
        <w:t>Note</w:t>
      </w:r>
      <w:r>
        <w:rPr>
          <w:iCs/>
          <w:color w:val="53565A" w:themeColor="background2"/>
          <w:sz w:val="14"/>
          <w:szCs w:val="18"/>
          <w:lang w:val="en-AU"/>
        </w:rPr>
        <w:t xml:space="preserve"> i</w:t>
      </w:r>
      <w:r w:rsidRPr="00074E8B">
        <w:rPr>
          <w:iCs/>
          <w:color w:val="53565A" w:themeColor="background2"/>
          <w:sz w:val="14"/>
          <w:szCs w:val="18"/>
          <w:lang w:val="en-AU"/>
        </w:rPr>
        <w:t xml:space="preserve">: </w:t>
      </w:r>
      <w:r w:rsidR="00DA6049">
        <w:rPr>
          <w:iCs/>
          <w:color w:val="53565A" w:themeColor="background2"/>
          <w:sz w:val="14"/>
          <w:szCs w:val="18"/>
          <w:lang w:val="en-AU"/>
        </w:rPr>
        <w:t>Additional thematic coding has been undertaken where reasons</w:t>
      </w:r>
      <w:r w:rsidR="00B319C2">
        <w:rPr>
          <w:iCs/>
          <w:color w:val="53565A" w:themeColor="background2"/>
          <w:sz w:val="14"/>
          <w:szCs w:val="18"/>
          <w:lang w:val="en-AU"/>
        </w:rPr>
        <w:t xml:space="preserve"> for ineligibility</w:t>
      </w:r>
      <w:r w:rsidR="00DA6049">
        <w:rPr>
          <w:iCs/>
          <w:color w:val="53565A" w:themeColor="background2"/>
          <w:sz w:val="14"/>
          <w:szCs w:val="18"/>
          <w:lang w:val="en-AU"/>
        </w:rPr>
        <w:t xml:space="preserve"> were considered </w:t>
      </w:r>
      <w:r w:rsidR="00D0320B">
        <w:rPr>
          <w:iCs/>
          <w:color w:val="53565A" w:themeColor="background2"/>
          <w:sz w:val="14"/>
          <w:szCs w:val="18"/>
          <w:lang w:val="en-AU"/>
        </w:rPr>
        <w:t>to overlap</w:t>
      </w:r>
      <w:r>
        <w:rPr>
          <w:iCs/>
          <w:color w:val="53565A" w:themeColor="background2"/>
          <w:sz w:val="14"/>
          <w:szCs w:val="18"/>
          <w:lang w:val="en-AU"/>
        </w:rPr>
        <w:t>.</w:t>
      </w:r>
      <w:r w:rsidRPr="00074E8B">
        <w:rPr>
          <w:iCs/>
          <w:color w:val="53565A" w:themeColor="background2"/>
          <w:sz w:val="14"/>
          <w:szCs w:val="18"/>
          <w:lang w:val="en-AU"/>
        </w:rPr>
        <w:t xml:space="preserve">  </w:t>
      </w:r>
    </w:p>
    <w:p w14:paraId="7F033755" w14:textId="413939D9" w:rsidR="007D5FA4" w:rsidRPr="007D5FA4" w:rsidRDefault="00250879" w:rsidP="00CA6AE6">
      <w:pPr>
        <w:rPr>
          <w:lang w:val="en-AU"/>
        </w:rPr>
      </w:pPr>
      <w:r>
        <w:rPr>
          <w:lang w:val="en-AU"/>
        </w:rPr>
        <w:t>I</w:t>
      </w:r>
      <w:r w:rsidR="00E36D68">
        <w:rPr>
          <w:lang w:val="en-AU"/>
        </w:rPr>
        <w:t>n</w:t>
      </w:r>
      <w:r w:rsidR="005A38E5">
        <w:rPr>
          <w:lang w:val="en-AU"/>
        </w:rPr>
        <w:t xml:space="preserve"> consultation</w:t>
      </w:r>
      <w:r w:rsidR="00E36D68">
        <w:rPr>
          <w:lang w:val="en-AU"/>
        </w:rPr>
        <w:t>,</w:t>
      </w:r>
      <w:r w:rsidR="005A38E5">
        <w:rPr>
          <w:lang w:val="en-AU"/>
        </w:rPr>
        <w:t xml:space="preserve"> s</w:t>
      </w:r>
      <w:r w:rsidR="00C0714F" w:rsidRPr="00E64940">
        <w:rPr>
          <w:lang w:val="en-AU"/>
        </w:rPr>
        <w:t xml:space="preserve">takeholders </w:t>
      </w:r>
      <w:r w:rsidR="00523493">
        <w:rPr>
          <w:lang w:val="en-AU"/>
        </w:rPr>
        <w:t>described</w:t>
      </w:r>
      <w:r w:rsidR="00C0714F" w:rsidRPr="00E64940">
        <w:rPr>
          <w:lang w:val="en-AU"/>
        </w:rPr>
        <w:t xml:space="preserve"> several </w:t>
      </w:r>
      <w:r w:rsidR="00E36D68">
        <w:rPr>
          <w:lang w:val="en-AU"/>
        </w:rPr>
        <w:t>factors influenc</w:t>
      </w:r>
      <w:r w:rsidR="00040A94">
        <w:rPr>
          <w:lang w:val="en-AU"/>
        </w:rPr>
        <w:t>ing</w:t>
      </w:r>
      <w:r w:rsidR="00E36D68">
        <w:rPr>
          <w:lang w:val="en-AU"/>
        </w:rPr>
        <w:t xml:space="preserve"> the effectiveness of referral processes</w:t>
      </w:r>
      <w:r w:rsidR="001F7C9E">
        <w:rPr>
          <w:lang w:val="en-AU"/>
        </w:rPr>
        <w:t xml:space="preserve">, which may require </w:t>
      </w:r>
      <w:r w:rsidR="008E032F">
        <w:rPr>
          <w:lang w:val="en-AU"/>
        </w:rPr>
        <w:t xml:space="preserve">increased focus in the coming year as Phase </w:t>
      </w:r>
      <w:r w:rsidR="00967C77">
        <w:rPr>
          <w:lang w:val="en-AU"/>
        </w:rPr>
        <w:t>2</w:t>
      </w:r>
      <w:r w:rsidR="008E032F">
        <w:rPr>
          <w:lang w:val="en-AU"/>
        </w:rPr>
        <w:t xml:space="preserve"> sites are implemented</w:t>
      </w:r>
      <w:r w:rsidR="00CA6AE6">
        <w:rPr>
          <w:lang w:val="en-AU"/>
        </w:rPr>
        <w:t>.</w:t>
      </w:r>
    </w:p>
    <w:p w14:paraId="0E27F4CB" w14:textId="64209532" w:rsidR="002F30E4" w:rsidRPr="00916C7D" w:rsidRDefault="00A47C2A" w:rsidP="00DC69F1">
      <w:pPr>
        <w:pStyle w:val="ListBullet"/>
        <w:spacing w:after="170"/>
        <w:contextualSpacing w:val="0"/>
        <w:rPr>
          <w:lang w:val="en-AU"/>
        </w:rPr>
      </w:pPr>
      <w:r w:rsidRPr="001B72E4">
        <w:rPr>
          <w:rFonts w:asciiTheme="majorHAnsi" w:hAnsiTheme="majorHAnsi" w:cstheme="majorHAnsi"/>
          <w:b/>
          <w:lang w:val="en-AU"/>
        </w:rPr>
        <w:t xml:space="preserve">Raising awareness of </w:t>
      </w:r>
      <w:r w:rsidR="00A523A1">
        <w:rPr>
          <w:rFonts w:asciiTheme="majorHAnsi" w:hAnsiTheme="majorHAnsi" w:cstheme="majorHAnsi"/>
          <w:b/>
          <w:bCs/>
          <w:lang w:val="en-AU"/>
        </w:rPr>
        <w:t xml:space="preserve">less intensive </w:t>
      </w:r>
      <w:r w:rsidR="00996B9D">
        <w:rPr>
          <w:rFonts w:asciiTheme="majorHAnsi" w:hAnsiTheme="majorHAnsi" w:cstheme="majorHAnsi"/>
          <w:b/>
          <w:bCs/>
          <w:lang w:val="en-AU"/>
        </w:rPr>
        <w:t xml:space="preserve">dementia behaviour </w:t>
      </w:r>
      <w:r w:rsidR="00A523A1">
        <w:rPr>
          <w:rFonts w:asciiTheme="majorHAnsi" w:hAnsiTheme="majorHAnsi" w:cstheme="majorHAnsi"/>
          <w:b/>
          <w:bCs/>
          <w:lang w:val="en-AU"/>
        </w:rPr>
        <w:t>supports</w:t>
      </w:r>
      <w:r w:rsidR="00996B9D">
        <w:rPr>
          <w:rFonts w:asciiTheme="majorHAnsi" w:hAnsiTheme="majorHAnsi" w:cstheme="majorHAnsi"/>
          <w:b/>
          <w:bCs/>
          <w:lang w:val="en-AU"/>
        </w:rPr>
        <w:t>, currently</w:t>
      </w:r>
      <w:r w:rsidR="00A523A1">
        <w:rPr>
          <w:rFonts w:asciiTheme="majorHAnsi" w:hAnsiTheme="majorHAnsi" w:cstheme="majorHAnsi"/>
          <w:b/>
          <w:bCs/>
          <w:lang w:val="en-AU"/>
        </w:rPr>
        <w:t xml:space="preserve"> a</w:t>
      </w:r>
      <w:r w:rsidR="00155CCF">
        <w:rPr>
          <w:rFonts w:asciiTheme="majorHAnsi" w:hAnsiTheme="majorHAnsi" w:cstheme="majorHAnsi"/>
          <w:b/>
          <w:bCs/>
          <w:lang w:val="en-AU"/>
        </w:rPr>
        <w:t>vailable through DSA</w:t>
      </w:r>
      <w:r w:rsidRPr="001B72E4">
        <w:rPr>
          <w:rFonts w:asciiTheme="majorHAnsi" w:hAnsiTheme="majorHAnsi" w:cstheme="majorHAnsi"/>
          <w:b/>
          <w:bCs/>
          <w:lang w:val="en-AU"/>
        </w:rPr>
        <w:t>.</w:t>
      </w:r>
      <w:r w:rsidR="007E58D8">
        <w:rPr>
          <w:lang w:val="en-AU"/>
        </w:rPr>
        <w:t xml:space="preserve"> S</w:t>
      </w:r>
      <w:r w:rsidR="007E58D8" w:rsidRPr="00211E93">
        <w:rPr>
          <w:lang w:val="en-AU"/>
        </w:rPr>
        <w:t>takeholders reflected that referrers may</w:t>
      </w:r>
      <w:r w:rsidR="00F42449">
        <w:rPr>
          <w:lang w:val="en-AU"/>
        </w:rPr>
        <w:t xml:space="preserve"> still</w:t>
      </w:r>
      <w:r w:rsidR="007E58D8" w:rsidRPr="00211E93">
        <w:rPr>
          <w:lang w:val="en-AU"/>
        </w:rPr>
        <w:t xml:space="preserve"> have a limited understanding of the range</w:t>
      </w:r>
      <w:r w:rsidR="00724841">
        <w:rPr>
          <w:lang w:val="en-AU"/>
        </w:rPr>
        <w:t xml:space="preserve"> of dementia behaviour </w:t>
      </w:r>
      <w:r w:rsidR="007E58D8" w:rsidRPr="00211E93">
        <w:rPr>
          <w:lang w:val="en-AU"/>
        </w:rPr>
        <w:t>supports available for</w:t>
      </w:r>
      <w:r w:rsidR="00655204">
        <w:rPr>
          <w:lang w:val="en-AU"/>
        </w:rPr>
        <w:t xml:space="preserve"> BPSD</w:t>
      </w:r>
      <w:r w:rsidR="007E58D8" w:rsidRPr="00211E93">
        <w:rPr>
          <w:lang w:val="en-AU"/>
        </w:rPr>
        <w:t xml:space="preserve"> </w:t>
      </w:r>
      <w:r w:rsidR="00F03656">
        <w:rPr>
          <w:lang w:val="en-AU"/>
        </w:rPr>
        <w:t xml:space="preserve">that are </w:t>
      </w:r>
      <w:r w:rsidR="007E58D8" w:rsidRPr="00211E93">
        <w:rPr>
          <w:lang w:val="en-AU"/>
        </w:rPr>
        <w:t>too mild for the Program, such as the Severe Behavioural Response Team (SBRT).</w:t>
      </w:r>
      <w:r w:rsidR="00261ED7">
        <w:rPr>
          <w:lang w:val="en-AU"/>
        </w:rPr>
        <w:t xml:space="preserve"> </w:t>
      </w:r>
      <w:r w:rsidR="00F42449">
        <w:rPr>
          <w:lang w:val="en-AU"/>
        </w:rPr>
        <w:t>It is noted that staff turnover within the aged care sector (particularly during COVID-19) may</w:t>
      </w:r>
      <w:r w:rsidR="00655204">
        <w:rPr>
          <w:lang w:val="en-AU"/>
        </w:rPr>
        <w:t xml:space="preserve"> have</w:t>
      </w:r>
      <w:r w:rsidR="00F42449">
        <w:rPr>
          <w:lang w:val="en-AU"/>
        </w:rPr>
        <w:t xml:space="preserve"> be</w:t>
      </w:r>
      <w:r w:rsidR="00655204">
        <w:rPr>
          <w:lang w:val="en-AU"/>
        </w:rPr>
        <w:t>en</w:t>
      </w:r>
      <w:r w:rsidR="00F42449">
        <w:rPr>
          <w:lang w:val="en-AU"/>
        </w:rPr>
        <w:t xml:space="preserve"> a </w:t>
      </w:r>
      <w:r w:rsidR="001115EE">
        <w:rPr>
          <w:lang w:val="en-AU"/>
        </w:rPr>
        <w:t xml:space="preserve">significant </w:t>
      </w:r>
      <w:r w:rsidR="00F42449">
        <w:rPr>
          <w:lang w:val="en-AU"/>
        </w:rPr>
        <w:t xml:space="preserve">contributing factor to this loss of facility-level knowledge. </w:t>
      </w:r>
      <w:r w:rsidR="00AD2BAD" w:rsidRPr="00F42449">
        <w:rPr>
          <w:lang w:val="en-AU"/>
        </w:rPr>
        <w:t xml:space="preserve">Across the breadth of stakeholder consultation, there </w:t>
      </w:r>
      <w:r w:rsidR="007F0A2B" w:rsidRPr="00F42449">
        <w:rPr>
          <w:lang w:val="en-AU"/>
        </w:rPr>
        <w:t>were</w:t>
      </w:r>
      <w:r w:rsidR="00AD2BAD" w:rsidRPr="00F42449">
        <w:rPr>
          <w:lang w:val="en-AU"/>
        </w:rPr>
        <w:t xml:space="preserve"> </w:t>
      </w:r>
      <w:r w:rsidR="00F42449">
        <w:rPr>
          <w:lang w:val="en-AU"/>
        </w:rPr>
        <w:t xml:space="preserve">also </w:t>
      </w:r>
      <w:r w:rsidR="00AD2BAD" w:rsidRPr="0085799C">
        <w:rPr>
          <w:lang w:val="en-AU"/>
        </w:rPr>
        <w:t xml:space="preserve">inconsistent reflections on </w:t>
      </w:r>
      <w:r w:rsidR="00504108" w:rsidRPr="0085799C">
        <w:rPr>
          <w:lang w:val="en-AU"/>
        </w:rPr>
        <w:t xml:space="preserve">whether patients with dual mental health diagnoses or </w:t>
      </w:r>
      <w:r w:rsidR="000B03CA" w:rsidRPr="0085799C">
        <w:rPr>
          <w:lang w:val="en-AU"/>
        </w:rPr>
        <w:t xml:space="preserve">NDIS participants </w:t>
      </w:r>
      <w:r w:rsidR="00504108" w:rsidRPr="0085799C">
        <w:rPr>
          <w:lang w:val="en-AU"/>
        </w:rPr>
        <w:t xml:space="preserve">were eligible for the </w:t>
      </w:r>
      <w:r w:rsidR="00AD2BAD" w:rsidRPr="0085799C">
        <w:rPr>
          <w:lang w:val="en-AU"/>
        </w:rPr>
        <w:t>Program</w:t>
      </w:r>
      <w:r w:rsidR="002E23B0" w:rsidRPr="0085799C">
        <w:rPr>
          <w:lang w:val="en-AU"/>
        </w:rPr>
        <w:t>.</w:t>
      </w:r>
      <w:r w:rsidR="002E23B0">
        <w:rPr>
          <w:lang w:val="en-AU"/>
        </w:rPr>
        <w:t xml:space="preserve"> </w:t>
      </w:r>
      <w:r w:rsidR="00A47FE7">
        <w:rPr>
          <w:lang w:val="en-AU"/>
        </w:rPr>
        <w:t>It</w:t>
      </w:r>
      <w:r w:rsidR="00D86ABE">
        <w:t xml:space="preserve"> is suggested that DSA should consider </w:t>
      </w:r>
      <w:r w:rsidR="004C6759">
        <w:t xml:space="preserve">alternative and/or sustained approaches </w:t>
      </w:r>
      <w:r w:rsidR="00D86ABE">
        <w:t>to minimise this type of knowledge loss</w:t>
      </w:r>
      <w:r w:rsidR="00E1630B">
        <w:t xml:space="preserve"> within mainstream RACFs</w:t>
      </w:r>
      <w:r w:rsidR="006033B0">
        <w:t xml:space="preserve"> (e.g.</w:t>
      </w:r>
      <w:r w:rsidR="0018790A">
        <w:t>,</w:t>
      </w:r>
      <w:r w:rsidR="006033B0">
        <w:t xml:space="preserve"> </w:t>
      </w:r>
      <w:r w:rsidR="00C325D2">
        <w:t xml:space="preserve">awareness-raising activities </w:t>
      </w:r>
      <w:r w:rsidR="006033B0">
        <w:t>targeting</w:t>
      </w:r>
      <w:r w:rsidR="00CE735F">
        <w:t xml:space="preserve"> provider-level management</w:t>
      </w:r>
      <w:r w:rsidR="001115EE">
        <w:t xml:space="preserve"> as</w:t>
      </w:r>
      <w:r w:rsidR="00CE735F">
        <w:t xml:space="preserve"> management may be less likely to turn over</w:t>
      </w:r>
      <w:r w:rsidR="000925A2">
        <w:t xml:space="preserve">, educational </w:t>
      </w:r>
      <w:r w:rsidR="003E3124">
        <w:t xml:space="preserve">Program </w:t>
      </w:r>
      <w:r w:rsidR="000925A2">
        <w:t>materials that may be accessed on-demand e.g.</w:t>
      </w:r>
      <w:r w:rsidR="0018790A">
        <w:t>,</w:t>
      </w:r>
      <w:r w:rsidR="000925A2">
        <w:t xml:space="preserve"> videos</w:t>
      </w:r>
      <w:r w:rsidR="00916C7D">
        <w:t>)</w:t>
      </w:r>
      <w:r w:rsidR="00CE735F">
        <w:t>.</w:t>
      </w:r>
    </w:p>
    <w:p w14:paraId="53E23703" w14:textId="1C0611BA" w:rsidR="002A1D4A" w:rsidRDefault="004E0136" w:rsidP="00DC69F1">
      <w:pPr>
        <w:pStyle w:val="ListBullet"/>
        <w:spacing w:after="170"/>
        <w:contextualSpacing w:val="0"/>
        <w:rPr>
          <w:lang w:val="en-AU"/>
        </w:rPr>
      </w:pPr>
      <w:r>
        <w:rPr>
          <w:rFonts w:asciiTheme="majorHAnsi" w:hAnsiTheme="majorHAnsi" w:cstheme="majorHAnsi"/>
          <w:b/>
          <w:bCs/>
          <w:lang w:val="en-AU"/>
        </w:rPr>
        <w:t>Feedback loops with referrers on reasons a referral was deemed ineligible</w:t>
      </w:r>
      <w:r w:rsidR="00E72440" w:rsidRPr="001B72E4">
        <w:rPr>
          <w:rFonts w:asciiTheme="majorHAnsi" w:hAnsiTheme="majorHAnsi" w:cstheme="majorHAnsi"/>
          <w:b/>
          <w:bCs/>
          <w:lang w:val="en-AU"/>
        </w:rPr>
        <w:t>.</w:t>
      </w:r>
      <w:r w:rsidR="00E72440">
        <w:rPr>
          <w:lang w:val="en-AU"/>
        </w:rPr>
        <w:t xml:space="preserve"> </w:t>
      </w:r>
      <w:r w:rsidR="00AC1EC1" w:rsidRPr="00E72440">
        <w:rPr>
          <w:lang w:val="en-AU"/>
        </w:rPr>
        <w:t xml:space="preserve">Stakeholders observed improvements in awareness and understanding of the eligibility criteria among </w:t>
      </w:r>
      <w:r w:rsidR="00721C85">
        <w:rPr>
          <w:lang w:val="en-AU"/>
        </w:rPr>
        <w:t>unique referrers</w:t>
      </w:r>
      <w:r w:rsidR="00AC1EC1" w:rsidRPr="00E72440">
        <w:rPr>
          <w:lang w:val="en-AU"/>
        </w:rPr>
        <w:t xml:space="preserve"> who ha</w:t>
      </w:r>
      <w:r w:rsidR="00A71AB3">
        <w:rPr>
          <w:lang w:val="en-AU"/>
        </w:rPr>
        <w:t>d</w:t>
      </w:r>
      <w:r w:rsidR="00AC1EC1" w:rsidRPr="00E72440">
        <w:rPr>
          <w:lang w:val="en-AU"/>
        </w:rPr>
        <w:t xml:space="preserve"> previously submitted a referral and gone through the </w:t>
      </w:r>
      <w:r w:rsidR="002710A5" w:rsidRPr="00E72440">
        <w:rPr>
          <w:lang w:val="en-AU"/>
        </w:rPr>
        <w:t xml:space="preserve">Program </w:t>
      </w:r>
      <w:r w:rsidR="00AC1EC1" w:rsidRPr="00E72440">
        <w:rPr>
          <w:lang w:val="en-AU"/>
        </w:rPr>
        <w:t xml:space="preserve">process. This was </w:t>
      </w:r>
      <w:r w:rsidR="00AC1EC1" w:rsidRPr="00610858">
        <w:rPr>
          <w:color w:val="000000" w:themeColor="text1"/>
          <w:lang w:val="en-AU"/>
        </w:rPr>
        <w:t>attributed in part to the improved feedback loops in the NBA and CAC processes (</w:t>
      </w:r>
      <w:r w:rsidR="00610858" w:rsidRPr="00610858">
        <w:rPr>
          <w:color w:val="000000" w:themeColor="text1"/>
          <w:lang w:val="en-AU"/>
        </w:rPr>
        <w:t xml:space="preserve">Section </w:t>
      </w:r>
      <w:r w:rsidR="0002656D">
        <w:rPr>
          <w:color w:val="000000" w:themeColor="text1"/>
          <w:lang w:val="en-AU"/>
        </w:rPr>
        <w:fldChar w:fldCharType="begin"/>
      </w:r>
      <w:r w:rsidR="0002656D">
        <w:rPr>
          <w:color w:val="000000" w:themeColor="text1"/>
          <w:lang w:val="en-AU"/>
        </w:rPr>
        <w:instrText xml:space="preserve"> REF _Ref124148594 \n \h </w:instrText>
      </w:r>
      <w:r w:rsidR="0002656D">
        <w:rPr>
          <w:color w:val="000000" w:themeColor="text1"/>
          <w:lang w:val="en-AU"/>
        </w:rPr>
      </w:r>
      <w:r w:rsidR="0002656D">
        <w:rPr>
          <w:color w:val="000000" w:themeColor="text1"/>
          <w:lang w:val="en-AU"/>
        </w:rPr>
        <w:fldChar w:fldCharType="separate"/>
      </w:r>
      <w:r w:rsidR="00D32536">
        <w:rPr>
          <w:color w:val="000000" w:themeColor="text1"/>
          <w:lang w:val="en-AU"/>
        </w:rPr>
        <w:t>2.2</w:t>
      </w:r>
      <w:r w:rsidR="0002656D">
        <w:rPr>
          <w:color w:val="000000" w:themeColor="text1"/>
          <w:lang w:val="en-AU"/>
        </w:rPr>
        <w:fldChar w:fldCharType="end"/>
      </w:r>
      <w:r w:rsidR="00AC1EC1" w:rsidRPr="00610858">
        <w:rPr>
          <w:color w:val="000000" w:themeColor="text1"/>
          <w:lang w:val="en-AU"/>
        </w:rPr>
        <w:t xml:space="preserve">) which </w:t>
      </w:r>
      <w:r w:rsidR="00AC1EC1" w:rsidRPr="00E72440">
        <w:rPr>
          <w:lang w:val="en-AU"/>
        </w:rPr>
        <w:t>strengthened information-sharing with referring facilities</w:t>
      </w:r>
      <w:r>
        <w:rPr>
          <w:lang w:val="en-AU"/>
        </w:rPr>
        <w:t>, including the reasons a referral was deemed ineligible for the Program.</w:t>
      </w:r>
    </w:p>
    <w:p w14:paraId="4B8AE3AC" w14:textId="09712472" w:rsidR="00495B42" w:rsidRPr="002A1D4A" w:rsidRDefault="00495B42" w:rsidP="00DC69F1">
      <w:pPr>
        <w:pStyle w:val="ListBullet"/>
        <w:spacing w:after="170"/>
        <w:contextualSpacing w:val="0"/>
        <w:rPr>
          <w:lang w:val="en-AU"/>
        </w:rPr>
      </w:pPr>
      <w:r w:rsidRPr="001B72E4">
        <w:rPr>
          <w:rFonts w:asciiTheme="majorHAnsi" w:hAnsiTheme="majorHAnsi" w:cstheme="majorHAnsi"/>
          <w:b/>
          <w:lang w:val="en-AU"/>
        </w:rPr>
        <w:t>Decreasing risk tolerance.</w:t>
      </w:r>
      <w:r w:rsidRPr="002A1D4A">
        <w:rPr>
          <w:lang w:val="en-AU"/>
        </w:rPr>
        <w:t xml:space="preserve"> A</w:t>
      </w:r>
      <w:r w:rsidR="00CC3DCD" w:rsidRPr="002A1D4A">
        <w:rPr>
          <w:lang w:val="en-AU"/>
        </w:rPr>
        <w:t>n anecdotal</w:t>
      </w:r>
      <w:r w:rsidRPr="002A1D4A">
        <w:rPr>
          <w:lang w:val="en-AU"/>
        </w:rPr>
        <w:t xml:space="preserve"> theory raised for increasing referrals </w:t>
      </w:r>
      <w:r w:rsidR="00CC71B4">
        <w:rPr>
          <w:lang w:val="en-AU"/>
        </w:rPr>
        <w:t xml:space="preserve">within mainstream RACFs </w:t>
      </w:r>
      <w:r w:rsidRPr="002A1D4A">
        <w:rPr>
          <w:lang w:val="en-AU"/>
        </w:rPr>
        <w:t xml:space="preserve">for behaviours considered too mild for the Program was decreasing </w:t>
      </w:r>
      <w:r w:rsidR="00CC71B4">
        <w:rPr>
          <w:lang w:val="en-AU"/>
        </w:rPr>
        <w:t xml:space="preserve">provider-level </w:t>
      </w:r>
      <w:r w:rsidRPr="002A1D4A">
        <w:rPr>
          <w:lang w:val="en-AU"/>
        </w:rPr>
        <w:t>risk tolerance for</w:t>
      </w:r>
      <w:r w:rsidR="00B578A2" w:rsidRPr="002A1D4A">
        <w:rPr>
          <w:lang w:val="en-AU"/>
        </w:rPr>
        <w:t xml:space="preserve"> BPSD. </w:t>
      </w:r>
      <w:r w:rsidR="00B67222">
        <w:rPr>
          <w:lang w:val="en-AU"/>
        </w:rPr>
        <w:t>If continuing trends are observed relat</w:t>
      </w:r>
      <w:r w:rsidR="00DC64EA">
        <w:rPr>
          <w:lang w:val="en-AU"/>
        </w:rPr>
        <w:t>ed to inappropriate referrals for mild behaviours, indicating an ongoing decline in the willingness of providers to provide support for people with BPSD</w:t>
      </w:r>
      <w:r w:rsidR="00102F25">
        <w:rPr>
          <w:lang w:val="en-AU"/>
        </w:rPr>
        <w:t xml:space="preserve"> </w:t>
      </w:r>
      <w:r w:rsidR="00DC64EA">
        <w:rPr>
          <w:lang w:val="en-AU"/>
        </w:rPr>
        <w:t>in mainstream facilities, a broader response to this issue may be required</w:t>
      </w:r>
      <w:r w:rsidR="003C64B5">
        <w:rPr>
          <w:lang w:val="en-AU"/>
        </w:rPr>
        <w:t>.</w:t>
      </w:r>
    </w:p>
    <w:p w14:paraId="75064CDB" w14:textId="3DFC1E09" w:rsidR="00916483" w:rsidRPr="00DC69F1" w:rsidRDefault="00916483" w:rsidP="002066D9">
      <w:pPr>
        <w:rPr>
          <w:lang w:val="en-AU"/>
        </w:rPr>
      </w:pPr>
      <w:r w:rsidRPr="00DC69F1">
        <w:rPr>
          <w:lang w:val="en-AU"/>
        </w:rPr>
        <w:t xml:space="preserve">Stakeholders </w:t>
      </w:r>
      <w:r w:rsidR="002066D9" w:rsidRPr="00DC69F1">
        <w:rPr>
          <w:lang w:val="en-AU"/>
        </w:rPr>
        <w:t xml:space="preserve">also </w:t>
      </w:r>
      <w:r w:rsidRPr="00DC69F1">
        <w:rPr>
          <w:lang w:val="en-AU"/>
        </w:rPr>
        <w:t xml:space="preserve">identified several strategies which have </w:t>
      </w:r>
      <w:r w:rsidR="00CE1745">
        <w:rPr>
          <w:lang w:val="en-AU"/>
        </w:rPr>
        <w:t>served</w:t>
      </w:r>
      <w:r w:rsidRPr="00DC69F1">
        <w:rPr>
          <w:lang w:val="en-AU"/>
        </w:rPr>
        <w:t xml:space="preserve"> as key enablers </w:t>
      </w:r>
      <w:r w:rsidR="00040A94">
        <w:rPr>
          <w:lang w:val="en-AU"/>
        </w:rPr>
        <w:t>in</w:t>
      </w:r>
      <w:r w:rsidRPr="00DC69F1">
        <w:rPr>
          <w:lang w:val="en-AU"/>
        </w:rPr>
        <w:t xml:space="preserve"> driving </w:t>
      </w:r>
      <w:r w:rsidR="00831705">
        <w:rPr>
          <w:lang w:val="en-AU"/>
        </w:rPr>
        <w:t xml:space="preserve">Program </w:t>
      </w:r>
      <w:r w:rsidRPr="00DC69F1">
        <w:rPr>
          <w:lang w:val="en-AU"/>
        </w:rPr>
        <w:t>awareness and referrals</w:t>
      </w:r>
      <w:r w:rsidR="00CE1745">
        <w:rPr>
          <w:lang w:val="en-AU"/>
        </w:rPr>
        <w:t xml:space="preserve"> over the duration of the Program</w:t>
      </w:r>
      <w:r w:rsidRPr="00DC69F1">
        <w:rPr>
          <w:lang w:val="en-AU"/>
        </w:rPr>
        <w:t>:</w:t>
      </w:r>
    </w:p>
    <w:p w14:paraId="0DBF65D2" w14:textId="60EAF9C2" w:rsidR="006565E1" w:rsidRPr="00DC69F1" w:rsidRDefault="00916483" w:rsidP="00DC69F1">
      <w:pPr>
        <w:pStyle w:val="ListBullet"/>
        <w:spacing w:after="170"/>
        <w:contextualSpacing w:val="0"/>
        <w:rPr>
          <w:lang w:val="en-AU"/>
        </w:rPr>
      </w:pPr>
      <w:r w:rsidRPr="00C77A3F">
        <w:rPr>
          <w:rFonts w:asciiTheme="majorHAnsi" w:hAnsiTheme="majorHAnsi" w:cstheme="majorHAnsi"/>
          <w:b/>
        </w:rPr>
        <w:t>Leveraging the networks of in-reach clinicians.</w:t>
      </w:r>
      <w:r w:rsidRPr="00DC69F1">
        <w:t xml:space="preserve"> Consistent with the </w:t>
      </w:r>
      <w:r w:rsidRPr="00394F3E">
        <w:rPr>
          <w:rFonts w:asciiTheme="majorHAnsi" w:hAnsiTheme="majorHAnsi" w:cstheme="majorHAnsi"/>
          <w:b/>
        </w:rPr>
        <w:t>Interim Report</w:t>
      </w:r>
      <w:r w:rsidR="00600795" w:rsidRPr="00394F3E">
        <w:rPr>
          <w:rFonts w:asciiTheme="majorHAnsi" w:hAnsiTheme="majorHAnsi" w:cstheme="majorHAnsi"/>
          <w:b/>
        </w:rPr>
        <w:t xml:space="preserve"> (2021)</w:t>
      </w:r>
      <w:r w:rsidRPr="00394F3E">
        <w:rPr>
          <w:rFonts w:asciiTheme="majorHAnsi" w:hAnsiTheme="majorHAnsi" w:cstheme="majorHAnsi"/>
        </w:rPr>
        <w:t>,</w:t>
      </w:r>
      <w:r w:rsidR="00136955" w:rsidRPr="00DC69F1">
        <w:t xml:space="preserve"> </w:t>
      </w:r>
      <w:r w:rsidR="00394F3E">
        <w:t>SDCU staff noted that</w:t>
      </w:r>
      <w:r w:rsidR="00136955" w:rsidRPr="00DC69F1">
        <w:t xml:space="preserve"> i</w:t>
      </w:r>
      <w:r w:rsidR="003D1D38" w:rsidRPr="00DC69F1">
        <w:t xml:space="preserve">n-reach mental health clinicians (who traditionally work at geriatric and psychogeriatric inpatient units) are key to driving awareness among inpatient referrers, given their existing networks in these settings. </w:t>
      </w:r>
    </w:p>
    <w:p w14:paraId="676C115B" w14:textId="195821B4" w:rsidR="000A6060" w:rsidRPr="00DC69F1" w:rsidRDefault="000A6060" w:rsidP="00DC69F1">
      <w:pPr>
        <w:pStyle w:val="ListBullet"/>
        <w:spacing w:after="170"/>
        <w:contextualSpacing w:val="0"/>
        <w:rPr>
          <w:lang w:val="en-AU"/>
        </w:rPr>
      </w:pPr>
      <w:r w:rsidRPr="000A6060">
        <w:rPr>
          <w:rFonts w:asciiTheme="majorHAnsi" w:hAnsiTheme="majorHAnsi" w:cstheme="majorHAnsi"/>
          <w:b/>
          <w:bCs/>
        </w:rPr>
        <w:t>Relationships</w:t>
      </w:r>
      <w:r w:rsidR="009C4BBD" w:rsidRPr="000A6060">
        <w:rPr>
          <w:rFonts w:asciiTheme="majorHAnsi" w:hAnsiTheme="majorHAnsi" w:cstheme="majorHAnsi"/>
          <w:b/>
        </w:rPr>
        <w:t xml:space="preserve"> with </w:t>
      </w:r>
      <w:r w:rsidRPr="000A6060">
        <w:rPr>
          <w:rFonts w:asciiTheme="majorHAnsi" w:hAnsiTheme="majorHAnsi" w:cstheme="majorHAnsi"/>
          <w:b/>
          <w:bCs/>
        </w:rPr>
        <w:t>social workers in inpatient settings</w:t>
      </w:r>
      <w:r w:rsidRPr="000A6060">
        <w:rPr>
          <w:rFonts w:asciiTheme="majorHAnsi" w:hAnsiTheme="majorHAnsi" w:cstheme="majorHAnsi"/>
        </w:rPr>
        <w:t>.</w:t>
      </w:r>
      <w:r>
        <w:t xml:space="preserve"> A number of stakeholders commented on </w:t>
      </w:r>
      <w:r w:rsidR="009C4BBD" w:rsidRPr="00DC69F1">
        <w:t xml:space="preserve">the </w:t>
      </w:r>
      <w:r>
        <w:t xml:space="preserve">importance of using social workers who work in </w:t>
      </w:r>
      <w:r w:rsidR="003D036B">
        <w:t xml:space="preserve">aged </w:t>
      </w:r>
      <w:r>
        <w:t xml:space="preserve">care settings to raise the profile of the unit. These staff members have existing networks with prospective referrers and are perceived to be credible in understanding the unique needs and ideal placement options for </w:t>
      </w:r>
      <w:r w:rsidR="00974667">
        <w:t xml:space="preserve">people </w:t>
      </w:r>
      <w:r>
        <w:t xml:space="preserve">with </w:t>
      </w:r>
      <w:r w:rsidR="00A84949">
        <w:t xml:space="preserve">very severe </w:t>
      </w:r>
      <w:r>
        <w:t>BPSD.</w:t>
      </w:r>
    </w:p>
    <w:p w14:paraId="02B1F14D" w14:textId="0CFB71F4" w:rsidR="009C4BBD" w:rsidRPr="005A7FBB" w:rsidRDefault="009C4BBD" w:rsidP="00DC69F1">
      <w:pPr>
        <w:pStyle w:val="ListBullet"/>
        <w:spacing w:after="170"/>
        <w:contextualSpacing w:val="0"/>
      </w:pPr>
      <w:r w:rsidRPr="006C532C">
        <w:rPr>
          <w:rFonts w:asciiTheme="majorHAnsi" w:hAnsiTheme="majorHAnsi" w:cstheme="majorHAnsi"/>
          <w:b/>
        </w:rPr>
        <w:t>PHNs.</w:t>
      </w:r>
      <w:r w:rsidR="00AC788E">
        <w:rPr>
          <w:rFonts w:asciiTheme="majorHAnsi" w:hAnsiTheme="majorHAnsi" w:cstheme="majorHAnsi"/>
          <w:b/>
        </w:rPr>
        <w:t xml:space="preserve"> </w:t>
      </w:r>
      <w:r w:rsidR="00AC788E" w:rsidRPr="005A7FBB">
        <w:t>Many SDCUs found</w:t>
      </w:r>
      <w:r w:rsidRPr="00DC69F1">
        <w:t xml:space="preserve"> it </w:t>
      </w:r>
      <w:r w:rsidR="00AC788E" w:rsidRPr="005A7FBB">
        <w:t>helpful to</w:t>
      </w:r>
      <w:r w:rsidRPr="00DC69F1">
        <w:t xml:space="preserve"> </w:t>
      </w:r>
      <w:r w:rsidR="005A7FBB" w:rsidRPr="005A7FBB">
        <w:t>leverage</w:t>
      </w:r>
      <w:r w:rsidRPr="00DC69F1">
        <w:t xml:space="preserve"> PHNs </w:t>
      </w:r>
      <w:r w:rsidR="005A7FBB">
        <w:t>and their networks</w:t>
      </w:r>
      <w:r w:rsidRPr="00DC69F1">
        <w:t xml:space="preserve"> to raise the profile of the </w:t>
      </w:r>
      <w:r w:rsidR="00DA7EC3">
        <w:t>Program</w:t>
      </w:r>
      <w:r w:rsidR="00DA7EC3" w:rsidRPr="00DC69F1">
        <w:t xml:space="preserve"> </w:t>
      </w:r>
      <w:r w:rsidRPr="00DC69F1">
        <w:t xml:space="preserve">across </w:t>
      </w:r>
      <w:r w:rsidR="00445BD5">
        <w:t xml:space="preserve">mainstream </w:t>
      </w:r>
      <w:r w:rsidRPr="00DC69F1">
        <w:t xml:space="preserve">RACFs </w:t>
      </w:r>
      <w:r w:rsidR="00445BD5">
        <w:t>and in-patient settings</w:t>
      </w:r>
      <w:r w:rsidRPr="00DC69F1">
        <w:t>.</w:t>
      </w:r>
    </w:p>
    <w:p w14:paraId="77BFACF5" w14:textId="506B8ED3" w:rsidR="00524799" w:rsidRPr="00524799" w:rsidRDefault="00524799" w:rsidP="00DC69F1">
      <w:pPr>
        <w:pStyle w:val="ListBullet"/>
        <w:spacing w:after="170"/>
        <w:contextualSpacing w:val="0"/>
        <w:rPr>
          <w:lang w:val="en-AU"/>
        </w:rPr>
      </w:pPr>
      <w:r w:rsidRPr="005A7FBB">
        <w:rPr>
          <w:rFonts w:asciiTheme="majorHAnsi" w:hAnsiTheme="majorHAnsi" w:cstheme="majorHAnsi"/>
          <w:b/>
          <w:lang w:val="en-AU"/>
        </w:rPr>
        <w:t>Integration with</w:t>
      </w:r>
      <w:r w:rsidR="00766BB9">
        <w:rPr>
          <w:rFonts w:asciiTheme="majorHAnsi" w:hAnsiTheme="majorHAnsi" w:cstheme="majorHAnsi"/>
          <w:b/>
          <w:lang w:val="en-AU"/>
        </w:rPr>
        <w:t xml:space="preserve"> other dementia support </w:t>
      </w:r>
      <w:r w:rsidR="00F22E33">
        <w:rPr>
          <w:rFonts w:asciiTheme="majorHAnsi" w:hAnsiTheme="majorHAnsi" w:cstheme="majorHAnsi"/>
          <w:b/>
          <w:lang w:val="en-AU"/>
        </w:rPr>
        <w:t>services</w:t>
      </w:r>
      <w:r>
        <w:rPr>
          <w:b/>
          <w:bCs/>
          <w:lang w:val="en-AU"/>
        </w:rPr>
        <w:t xml:space="preserve">. </w:t>
      </w:r>
      <w:r w:rsidR="001D3C0F">
        <w:rPr>
          <w:lang w:val="en-AU"/>
        </w:rPr>
        <w:t xml:space="preserve">Many SDCUs </w:t>
      </w:r>
      <w:r w:rsidR="00374718">
        <w:rPr>
          <w:lang w:val="en-AU"/>
        </w:rPr>
        <w:t>commented on</w:t>
      </w:r>
      <w:r w:rsidRPr="00524799">
        <w:rPr>
          <w:lang w:val="en-AU"/>
        </w:rPr>
        <w:t xml:space="preserve"> the </w:t>
      </w:r>
      <w:r w:rsidR="00D17C12">
        <w:rPr>
          <w:lang w:val="en-AU"/>
        </w:rPr>
        <w:t>importance</w:t>
      </w:r>
      <w:r w:rsidR="00877132">
        <w:rPr>
          <w:lang w:val="en-AU"/>
        </w:rPr>
        <w:t xml:space="preserve"> of</w:t>
      </w:r>
      <w:r w:rsidR="008A652F">
        <w:rPr>
          <w:lang w:val="en-AU"/>
        </w:rPr>
        <w:t xml:space="preserve"> </w:t>
      </w:r>
      <w:r w:rsidR="00484D8F">
        <w:rPr>
          <w:lang w:val="en-AU"/>
        </w:rPr>
        <w:t xml:space="preserve">incidental </w:t>
      </w:r>
      <w:r w:rsidR="004C0AE5">
        <w:rPr>
          <w:lang w:val="en-AU"/>
        </w:rPr>
        <w:t xml:space="preserve">Program </w:t>
      </w:r>
      <w:r w:rsidRPr="00524799">
        <w:rPr>
          <w:lang w:val="en-AU"/>
        </w:rPr>
        <w:t xml:space="preserve">awareness-building </w:t>
      </w:r>
      <w:r w:rsidR="00F22E33">
        <w:rPr>
          <w:lang w:val="en-AU"/>
        </w:rPr>
        <w:t xml:space="preserve">where it is </w:t>
      </w:r>
      <w:r w:rsidR="00484D8F">
        <w:rPr>
          <w:lang w:val="en-AU"/>
        </w:rPr>
        <w:t>performed</w:t>
      </w:r>
      <w:r w:rsidR="00204B4C">
        <w:rPr>
          <w:lang w:val="en-AU"/>
        </w:rPr>
        <w:t xml:space="preserve"> concurrently with</w:t>
      </w:r>
      <w:r w:rsidR="00484D8F">
        <w:rPr>
          <w:lang w:val="en-AU"/>
        </w:rPr>
        <w:t xml:space="preserve"> other government-funded dementia support services</w:t>
      </w:r>
      <w:r w:rsidR="00186FEC">
        <w:rPr>
          <w:lang w:val="en-AU"/>
        </w:rPr>
        <w:t xml:space="preserve">. </w:t>
      </w:r>
      <w:r w:rsidR="00766BB9">
        <w:rPr>
          <w:lang w:val="en-AU"/>
        </w:rPr>
        <w:t xml:space="preserve">These </w:t>
      </w:r>
      <w:r w:rsidR="005F369F">
        <w:rPr>
          <w:lang w:val="en-AU"/>
        </w:rPr>
        <w:t>services</w:t>
      </w:r>
      <w:r w:rsidR="00766BB9">
        <w:rPr>
          <w:lang w:val="en-AU"/>
        </w:rPr>
        <w:t xml:space="preserve"> </w:t>
      </w:r>
      <w:r w:rsidR="00CF091B">
        <w:rPr>
          <w:lang w:val="en-AU"/>
        </w:rPr>
        <w:t xml:space="preserve">provide </w:t>
      </w:r>
      <w:r w:rsidR="00186FEC">
        <w:rPr>
          <w:lang w:val="en-AU"/>
        </w:rPr>
        <w:t>an opportunity</w:t>
      </w:r>
      <w:r>
        <w:rPr>
          <w:lang w:val="en-AU"/>
        </w:rPr>
        <w:t xml:space="preserve"> </w:t>
      </w:r>
      <w:r w:rsidR="00766BB9">
        <w:rPr>
          <w:lang w:val="en-AU"/>
        </w:rPr>
        <w:t>to</w:t>
      </w:r>
      <w:r>
        <w:rPr>
          <w:lang w:val="en-AU"/>
        </w:rPr>
        <w:t xml:space="preserve"> introduce staff </w:t>
      </w:r>
      <w:r w:rsidR="00CC1C1E">
        <w:rPr>
          <w:lang w:val="en-AU"/>
        </w:rPr>
        <w:t xml:space="preserve">at these facilities (who are likely to become referrers) </w:t>
      </w:r>
      <w:r>
        <w:rPr>
          <w:lang w:val="en-AU"/>
        </w:rPr>
        <w:t xml:space="preserve">to the Program and </w:t>
      </w:r>
      <w:r w:rsidR="00CC1C1E">
        <w:rPr>
          <w:lang w:val="en-AU"/>
        </w:rPr>
        <w:t>convey the eligibility criteria and</w:t>
      </w:r>
      <w:r>
        <w:rPr>
          <w:lang w:val="en-AU"/>
        </w:rPr>
        <w:t xml:space="preserve"> referral process.</w:t>
      </w:r>
    </w:p>
    <w:p w14:paraId="16B57A6C" w14:textId="4B8861AC" w:rsidR="00524799" w:rsidRPr="00DC69F1" w:rsidRDefault="002C6788" w:rsidP="00DC69F1">
      <w:pPr>
        <w:pStyle w:val="ListBullet"/>
        <w:spacing w:after="170"/>
        <w:contextualSpacing w:val="0"/>
        <w:rPr>
          <w:lang w:val="en-AU"/>
        </w:rPr>
      </w:pPr>
      <w:r w:rsidRPr="00280E98">
        <w:rPr>
          <w:rFonts w:asciiTheme="majorHAnsi" w:hAnsiTheme="majorHAnsi" w:cstheme="majorHAnsi"/>
          <w:b/>
        </w:rPr>
        <w:t xml:space="preserve">Provider promotional activities. </w:t>
      </w:r>
      <w:r w:rsidR="00524799">
        <w:rPr>
          <w:lang w:val="en-AU"/>
        </w:rPr>
        <w:t>Some SDCUs</w:t>
      </w:r>
      <w:r w:rsidR="008821F5" w:rsidRPr="00524799">
        <w:rPr>
          <w:lang w:val="en-AU"/>
        </w:rPr>
        <w:t xml:space="preserve"> noted their staff </w:t>
      </w:r>
      <w:r w:rsidR="00575A4C" w:rsidRPr="00524799">
        <w:rPr>
          <w:lang w:val="en-AU"/>
        </w:rPr>
        <w:t>undertook targeted relationship-building and networking activities at the outset to drive awareness among local referrers</w:t>
      </w:r>
      <w:r w:rsidR="00524799">
        <w:rPr>
          <w:lang w:val="en-AU"/>
        </w:rPr>
        <w:t>, such as presentations at forums and conferences</w:t>
      </w:r>
      <w:r w:rsidR="00575A4C" w:rsidRPr="00524799">
        <w:rPr>
          <w:lang w:val="en-AU"/>
        </w:rPr>
        <w:t xml:space="preserve">. </w:t>
      </w:r>
      <w:r w:rsidR="006565E1" w:rsidRPr="00524799">
        <w:rPr>
          <w:lang w:val="en-AU"/>
        </w:rPr>
        <w:t>More mature s</w:t>
      </w:r>
      <w:r w:rsidR="008E50A2" w:rsidRPr="00524799">
        <w:rPr>
          <w:lang w:val="en-AU"/>
        </w:rPr>
        <w:t xml:space="preserve">ites who </w:t>
      </w:r>
      <w:r w:rsidR="006565E1" w:rsidRPr="00524799">
        <w:rPr>
          <w:lang w:val="en-AU"/>
        </w:rPr>
        <w:t xml:space="preserve">were </w:t>
      </w:r>
      <w:r w:rsidR="008E50A2" w:rsidRPr="00524799">
        <w:rPr>
          <w:lang w:val="en-AU"/>
        </w:rPr>
        <w:t xml:space="preserve">reported </w:t>
      </w:r>
      <w:r w:rsidR="006565E1" w:rsidRPr="00524799">
        <w:rPr>
          <w:lang w:val="en-AU"/>
        </w:rPr>
        <w:t xml:space="preserve">to have a strong </w:t>
      </w:r>
      <w:r w:rsidR="008E50A2" w:rsidRPr="00524799">
        <w:rPr>
          <w:lang w:val="en-AU"/>
        </w:rPr>
        <w:t>clinical nurs</w:t>
      </w:r>
      <w:r w:rsidR="00A13DA6">
        <w:rPr>
          <w:lang w:val="en-AU"/>
        </w:rPr>
        <w:t>ing governance</w:t>
      </w:r>
      <w:r w:rsidR="006565E1" w:rsidRPr="00524799">
        <w:rPr>
          <w:lang w:val="en-AU"/>
        </w:rPr>
        <w:t xml:space="preserve"> structure, </w:t>
      </w:r>
      <w:r w:rsidR="00B15739" w:rsidRPr="00524799">
        <w:rPr>
          <w:lang w:val="en-AU"/>
        </w:rPr>
        <w:t>noted their</w:t>
      </w:r>
      <w:r w:rsidR="00BB7E7A" w:rsidRPr="00524799">
        <w:rPr>
          <w:lang w:val="en-AU"/>
        </w:rPr>
        <w:t xml:space="preserve"> nurse coordinator </w:t>
      </w:r>
      <w:r w:rsidR="006565E1" w:rsidRPr="00524799">
        <w:rPr>
          <w:lang w:val="en-AU"/>
        </w:rPr>
        <w:t>also regularly</w:t>
      </w:r>
      <w:r w:rsidR="00B15739" w:rsidRPr="00524799">
        <w:rPr>
          <w:lang w:val="en-AU"/>
        </w:rPr>
        <w:t xml:space="preserve"> engage</w:t>
      </w:r>
      <w:r w:rsidR="00A838B0">
        <w:rPr>
          <w:lang w:val="en-AU"/>
        </w:rPr>
        <w:t>d</w:t>
      </w:r>
      <w:r w:rsidR="00B15739" w:rsidRPr="00524799">
        <w:rPr>
          <w:lang w:val="en-AU"/>
        </w:rPr>
        <w:t xml:space="preserve"> </w:t>
      </w:r>
      <w:r w:rsidR="00BB7E7A" w:rsidRPr="00524799">
        <w:rPr>
          <w:lang w:val="en-AU"/>
        </w:rPr>
        <w:t>in ongoing networkin</w:t>
      </w:r>
      <w:r w:rsidR="00B15739" w:rsidRPr="00524799">
        <w:rPr>
          <w:lang w:val="en-AU"/>
        </w:rPr>
        <w:t>g activitie</w:t>
      </w:r>
      <w:r w:rsidR="008E50A2" w:rsidRPr="00524799">
        <w:rPr>
          <w:lang w:val="en-AU"/>
        </w:rPr>
        <w:t>s as part of their role</w:t>
      </w:r>
      <w:r w:rsidR="00B15739" w:rsidRPr="00524799">
        <w:rPr>
          <w:lang w:val="en-AU"/>
        </w:rPr>
        <w:t xml:space="preserve">. </w:t>
      </w:r>
      <w:r w:rsidR="00C03189">
        <w:rPr>
          <w:lang w:val="en-AU"/>
        </w:rPr>
        <w:t>Consultations indicated that</w:t>
      </w:r>
      <w:r w:rsidR="00524799">
        <w:rPr>
          <w:lang w:val="en-AU"/>
        </w:rPr>
        <w:t xml:space="preserve"> networking and targeted discussions were more effective than broad </w:t>
      </w:r>
      <w:r w:rsidR="0023785F" w:rsidRPr="000772E2">
        <w:rPr>
          <w:lang w:val="en-AU"/>
        </w:rPr>
        <w:t>email distribution</w:t>
      </w:r>
      <w:r w:rsidR="00524799">
        <w:rPr>
          <w:lang w:val="en-AU"/>
        </w:rPr>
        <w:t xml:space="preserve">s as </w:t>
      </w:r>
      <w:r w:rsidR="00A4775E">
        <w:rPr>
          <w:lang w:val="en-AU"/>
        </w:rPr>
        <w:t>they were able to target</w:t>
      </w:r>
      <w:r w:rsidR="00524799">
        <w:rPr>
          <w:lang w:val="en-AU"/>
        </w:rPr>
        <w:t xml:space="preserve"> the</w:t>
      </w:r>
      <w:r w:rsidR="0023785F" w:rsidRPr="000772E2">
        <w:rPr>
          <w:lang w:val="en-AU"/>
        </w:rPr>
        <w:t xml:space="preserve"> clinician </w:t>
      </w:r>
      <w:r w:rsidR="00A4775E">
        <w:rPr>
          <w:lang w:val="en-AU"/>
        </w:rPr>
        <w:t>most likely to</w:t>
      </w:r>
      <w:r w:rsidR="00524799">
        <w:rPr>
          <w:lang w:val="en-AU"/>
        </w:rPr>
        <w:t xml:space="preserve"> initiate referrals.</w:t>
      </w:r>
    </w:p>
    <w:p w14:paraId="7DB924E3" w14:textId="6B83E818" w:rsidR="00D30188" w:rsidRDefault="002C24A9" w:rsidP="00DC69F1">
      <w:pPr>
        <w:pStyle w:val="ListBullet"/>
        <w:numPr>
          <w:ilvl w:val="0"/>
          <w:numId w:val="0"/>
        </w:numPr>
        <w:spacing w:after="170"/>
        <w:ind w:left="284"/>
        <w:contextualSpacing w:val="0"/>
        <w:rPr>
          <w:lang w:val="en-AU"/>
        </w:rPr>
      </w:pPr>
      <w:r>
        <w:t xml:space="preserve">Consistent with the Interim Report findings, stakeholders agreed there </w:t>
      </w:r>
      <w:r w:rsidR="00214D83">
        <w:t>is an opportunity</w:t>
      </w:r>
      <w:r>
        <w:t xml:space="preserve"> to support future site openings</w:t>
      </w:r>
      <w:r w:rsidR="002B3433">
        <w:t xml:space="preserve"> through</w:t>
      </w:r>
      <w:r>
        <w:t xml:space="preserve"> </w:t>
      </w:r>
      <w:r w:rsidR="00591BC6">
        <w:t>better standardising t</w:t>
      </w:r>
      <w:r>
        <w:t>he promotional materials developed across providers to ensure consistent messaging and reduce duplication of effort.</w:t>
      </w:r>
      <w:r w:rsidR="00524799">
        <w:t xml:space="preserve"> For example, </w:t>
      </w:r>
      <w:r w:rsidR="00C53372">
        <w:rPr>
          <w:lang w:val="en-AU"/>
        </w:rPr>
        <w:t xml:space="preserve">some </w:t>
      </w:r>
      <w:r w:rsidR="00524799">
        <w:rPr>
          <w:lang w:val="en-AU"/>
        </w:rPr>
        <w:t xml:space="preserve">families reported they only found out about the </w:t>
      </w:r>
      <w:r w:rsidR="009F3C4F">
        <w:rPr>
          <w:lang w:val="en-AU"/>
        </w:rPr>
        <w:t>Program</w:t>
      </w:r>
      <w:r w:rsidR="00524799">
        <w:rPr>
          <w:lang w:val="en-AU"/>
        </w:rPr>
        <w:t xml:space="preserve"> through online </w:t>
      </w:r>
      <w:r w:rsidR="00524799" w:rsidRPr="00E669A5">
        <w:rPr>
          <w:lang w:val="en-AU"/>
        </w:rPr>
        <w:t xml:space="preserve">research </w:t>
      </w:r>
      <w:r w:rsidR="00C53372">
        <w:rPr>
          <w:lang w:val="en-AU"/>
        </w:rPr>
        <w:t>by</w:t>
      </w:r>
      <w:r w:rsidR="00C53372" w:rsidRPr="00E669A5">
        <w:rPr>
          <w:lang w:val="en-AU"/>
        </w:rPr>
        <w:t xml:space="preserve"> </w:t>
      </w:r>
      <w:r w:rsidR="00524799" w:rsidRPr="00E669A5">
        <w:rPr>
          <w:lang w:val="en-AU"/>
        </w:rPr>
        <w:t>their own initiative.</w:t>
      </w:r>
      <w:r w:rsidR="00E669A5" w:rsidRPr="00E669A5">
        <w:rPr>
          <w:lang w:val="en-AU"/>
        </w:rPr>
        <w:t xml:space="preserve"> </w:t>
      </w:r>
    </w:p>
    <w:p w14:paraId="5CFC7EDC" w14:textId="1EC8C6A7" w:rsidR="00E669A5" w:rsidRPr="005E09EF" w:rsidRDefault="00C331EA">
      <w:pPr>
        <w:pStyle w:val="ListBullet"/>
        <w:numPr>
          <w:ilvl w:val="0"/>
          <w:numId w:val="0"/>
        </w:numPr>
        <w:spacing w:after="170"/>
        <w:ind w:left="284"/>
        <w:contextualSpacing w:val="0"/>
        <w:rPr>
          <w:lang w:val="en-AU"/>
        </w:rPr>
      </w:pPr>
      <w:r w:rsidRPr="005E09EF">
        <w:rPr>
          <w:rFonts w:asciiTheme="majorHAnsi" w:hAnsiTheme="majorHAnsi" w:cstheme="majorHAnsi"/>
          <w:b/>
          <w:bCs/>
        </w:rPr>
        <w:t>State/territory engagement and buy-in.</w:t>
      </w:r>
      <w:r>
        <w:t xml:space="preserve"> </w:t>
      </w:r>
      <w:r w:rsidR="00336830">
        <w:t xml:space="preserve">Stakeholders reported variation </w:t>
      </w:r>
      <w:r w:rsidR="00C26B98">
        <w:t xml:space="preserve">across </w:t>
      </w:r>
      <w:r w:rsidR="00A47AFA">
        <w:t>jurisdictions</w:t>
      </w:r>
      <w:r w:rsidR="00C26B98">
        <w:t xml:space="preserve"> as to the </w:t>
      </w:r>
      <w:r w:rsidR="00991F5E">
        <w:t>approach to engaging with and promoting the Program among the state/territory health departments</w:t>
      </w:r>
      <w:r w:rsidR="00C26B98">
        <w:t>.</w:t>
      </w:r>
      <w:r>
        <w:t xml:space="preserve"> Internal health department promotion and acceptance has been </w:t>
      </w:r>
      <w:r w:rsidR="00D65FA8">
        <w:t>more</w:t>
      </w:r>
      <w:r>
        <w:t xml:space="preserve"> challenging where Acute Cognitive Units </w:t>
      </w:r>
      <w:r w:rsidR="00057B21">
        <w:t xml:space="preserve">had existed prior to the Program </w:t>
      </w:r>
      <w:r>
        <w:t xml:space="preserve">(a similar model to the </w:t>
      </w:r>
      <w:r w:rsidR="00DA7EC3">
        <w:t xml:space="preserve">SDCUs </w:t>
      </w:r>
      <w:r>
        <w:t>– a</w:t>
      </w:r>
      <w:r w:rsidR="00095793">
        <w:t>n inpatient</w:t>
      </w:r>
      <w:r>
        <w:t xml:space="preserve"> unit in a non-hospital environment that </w:t>
      </w:r>
      <w:r w:rsidR="00C77EE6">
        <w:t>supports</w:t>
      </w:r>
      <w:r>
        <w:t xml:space="preserve"> </w:t>
      </w:r>
      <w:r w:rsidR="00974667">
        <w:t xml:space="preserve">people </w:t>
      </w:r>
      <w:r>
        <w:t xml:space="preserve">with </w:t>
      </w:r>
      <w:r w:rsidR="00C30FAD">
        <w:t xml:space="preserve">very </w:t>
      </w:r>
      <w:r>
        <w:t>severe BPSD).</w:t>
      </w:r>
      <w:r w:rsidR="00794893" w:rsidRPr="00794893">
        <w:t xml:space="preserve"> </w:t>
      </w:r>
      <w:r w:rsidR="005E09EF" w:rsidRPr="005E09EF">
        <w:t xml:space="preserve">In jurisdictions where these units operate, there was a perception that the referral process was more straightforward as both the referrers and units are located within the state government. </w:t>
      </w:r>
    </w:p>
    <w:p w14:paraId="479F682A" w14:textId="6984A18D" w:rsidR="00F13CCB" w:rsidRPr="007F079B" w:rsidRDefault="00F13CCB" w:rsidP="00DB54DA">
      <w:pPr>
        <w:pStyle w:val="Heading2"/>
        <w:spacing w:after="0"/>
        <w:ind w:left="578" w:hanging="578"/>
        <w:rPr>
          <w:lang w:val="en-AU"/>
        </w:rPr>
      </w:pPr>
      <w:bookmarkStart w:id="30" w:name="_Ref124148594"/>
      <w:r w:rsidRPr="007F079B">
        <w:rPr>
          <w:lang w:val="en-AU"/>
        </w:rPr>
        <w:t>Program adoption</w:t>
      </w:r>
      <w:bookmarkEnd w:id="30"/>
    </w:p>
    <w:p w14:paraId="655A000C" w14:textId="373EF37E" w:rsidR="00371473" w:rsidRPr="00EC2F23" w:rsidRDefault="000F1F19" w:rsidP="00371473">
      <w:pPr>
        <w:rPr>
          <w:rFonts w:asciiTheme="majorHAnsi" w:hAnsiTheme="majorHAnsi" w:cstheme="majorHAnsi"/>
          <w:b/>
          <w:color w:val="012169"/>
        </w:rPr>
      </w:pPr>
      <w:r>
        <w:rPr>
          <w:rFonts w:asciiTheme="majorHAnsi" w:hAnsiTheme="majorHAnsi" w:cstheme="majorHAnsi"/>
          <w:b/>
          <w:color w:val="012169"/>
          <w:lang w:val="en-AU"/>
        </w:rPr>
        <w:t xml:space="preserve">Over the period </w:t>
      </w:r>
      <w:r w:rsidR="00121332">
        <w:rPr>
          <w:rFonts w:asciiTheme="majorHAnsi" w:hAnsiTheme="majorHAnsi" w:cstheme="majorHAnsi"/>
          <w:b/>
          <w:color w:val="012169"/>
          <w:lang w:val="en-AU"/>
        </w:rPr>
        <w:t xml:space="preserve">September 2019 to June 2022, of all </w:t>
      </w:r>
      <w:r w:rsidR="001440F0">
        <w:rPr>
          <w:rFonts w:asciiTheme="majorHAnsi" w:hAnsiTheme="majorHAnsi" w:cstheme="majorHAnsi"/>
          <w:b/>
          <w:color w:val="012169"/>
          <w:lang w:val="en-AU"/>
        </w:rPr>
        <w:t xml:space="preserve">Program referrals approximately one in three </w:t>
      </w:r>
      <w:r w:rsidR="00687E23">
        <w:rPr>
          <w:rFonts w:asciiTheme="majorHAnsi" w:hAnsiTheme="majorHAnsi" w:cstheme="majorHAnsi"/>
          <w:b/>
          <w:color w:val="012169"/>
          <w:lang w:val="en-AU"/>
        </w:rPr>
        <w:t>were</w:t>
      </w:r>
      <w:r w:rsidR="001440F0">
        <w:rPr>
          <w:rFonts w:asciiTheme="majorHAnsi" w:hAnsiTheme="majorHAnsi" w:cstheme="majorHAnsi"/>
          <w:b/>
          <w:color w:val="012169"/>
          <w:lang w:val="en-AU"/>
        </w:rPr>
        <w:t xml:space="preserve"> assessed for suitability at a CAC. </w:t>
      </w:r>
      <w:r w:rsidR="00FC302D">
        <w:rPr>
          <w:rFonts w:asciiTheme="majorHAnsi" w:hAnsiTheme="majorHAnsi" w:cstheme="majorHAnsi"/>
          <w:b/>
          <w:color w:val="012169"/>
          <w:lang w:val="en-AU"/>
        </w:rPr>
        <w:t xml:space="preserve">Of those assessed for suitability, just over one in two </w:t>
      </w:r>
      <w:r w:rsidR="00FE09E6">
        <w:rPr>
          <w:rFonts w:asciiTheme="majorHAnsi" w:hAnsiTheme="majorHAnsi" w:cstheme="majorHAnsi"/>
          <w:b/>
          <w:color w:val="012169"/>
          <w:lang w:val="en-AU"/>
        </w:rPr>
        <w:t>were</w:t>
      </w:r>
      <w:r w:rsidR="00FC302D">
        <w:rPr>
          <w:rFonts w:asciiTheme="majorHAnsi" w:hAnsiTheme="majorHAnsi" w:cstheme="majorHAnsi"/>
          <w:b/>
          <w:color w:val="012169"/>
          <w:lang w:val="en-AU"/>
        </w:rPr>
        <w:t xml:space="preserve"> placed in a </w:t>
      </w:r>
      <w:r w:rsidR="0056131D">
        <w:rPr>
          <w:rFonts w:asciiTheme="majorHAnsi" w:hAnsiTheme="majorHAnsi" w:cstheme="majorHAnsi"/>
          <w:b/>
          <w:color w:val="012169"/>
          <w:lang w:val="en-AU"/>
        </w:rPr>
        <w:t>SDCU</w:t>
      </w:r>
      <w:r w:rsidR="00FC302D">
        <w:rPr>
          <w:rFonts w:asciiTheme="majorHAnsi" w:hAnsiTheme="majorHAnsi" w:cstheme="majorHAnsi"/>
          <w:b/>
          <w:color w:val="012169"/>
          <w:lang w:val="en-AU"/>
        </w:rPr>
        <w:t>. This results in an overall placement rate of</w:t>
      </w:r>
      <w:r w:rsidR="00FC0B7A">
        <w:rPr>
          <w:rFonts w:asciiTheme="majorHAnsi" w:hAnsiTheme="majorHAnsi" w:cstheme="majorHAnsi"/>
          <w:b/>
          <w:color w:val="012169"/>
          <w:lang w:val="en-AU"/>
        </w:rPr>
        <w:t xml:space="preserve"> </w:t>
      </w:r>
      <w:r w:rsidR="00EE4DCE">
        <w:rPr>
          <w:rFonts w:asciiTheme="majorHAnsi" w:hAnsiTheme="majorHAnsi" w:cstheme="majorHAnsi"/>
          <w:b/>
          <w:color w:val="012169"/>
          <w:lang w:val="en-AU"/>
        </w:rPr>
        <w:t>one in five</w:t>
      </w:r>
      <w:r w:rsidR="009668A7">
        <w:rPr>
          <w:rFonts w:asciiTheme="majorHAnsi" w:hAnsiTheme="majorHAnsi" w:cstheme="majorHAnsi"/>
          <w:b/>
          <w:color w:val="012169"/>
          <w:lang w:val="en-AU"/>
        </w:rPr>
        <w:t xml:space="preserve"> referred to the Program</w:t>
      </w:r>
      <w:r w:rsidR="00EE4DCE">
        <w:rPr>
          <w:rFonts w:asciiTheme="majorHAnsi" w:hAnsiTheme="majorHAnsi" w:cstheme="majorHAnsi"/>
          <w:b/>
          <w:color w:val="012169"/>
          <w:lang w:val="en-AU"/>
        </w:rPr>
        <w:t xml:space="preserve">. </w:t>
      </w:r>
    </w:p>
    <w:p w14:paraId="09F5E1D5" w14:textId="2F653C39" w:rsidR="007F1011" w:rsidRDefault="000217E8" w:rsidP="00F13CCB">
      <w:pPr>
        <w:rPr>
          <w:lang w:val="en-AU"/>
        </w:rPr>
      </w:pPr>
      <w:r>
        <w:rPr>
          <w:lang w:val="en-AU"/>
        </w:rPr>
        <w:fldChar w:fldCharType="begin"/>
      </w:r>
      <w:r>
        <w:rPr>
          <w:lang w:val="en-AU"/>
        </w:rPr>
        <w:instrText xml:space="preserve"> REF _Ref125368789 \h </w:instrText>
      </w:r>
      <w:r>
        <w:rPr>
          <w:lang w:val="en-AU"/>
        </w:rPr>
      </w:r>
      <w:r>
        <w:rPr>
          <w:lang w:val="en-AU"/>
        </w:rPr>
        <w:fldChar w:fldCharType="separate"/>
      </w:r>
      <w:r w:rsidR="00D32536">
        <w:t xml:space="preserve">Figure </w:t>
      </w:r>
      <w:r w:rsidR="00D32536">
        <w:rPr>
          <w:noProof/>
        </w:rPr>
        <w:t>2</w:t>
      </w:r>
      <w:r w:rsidR="00D32536">
        <w:t>.</w:t>
      </w:r>
      <w:r w:rsidR="00D32536">
        <w:rPr>
          <w:noProof/>
        </w:rPr>
        <w:t>8</w:t>
      </w:r>
      <w:r>
        <w:rPr>
          <w:lang w:val="en-AU"/>
        </w:rPr>
        <w:fldChar w:fldCharType="end"/>
      </w:r>
      <w:r w:rsidR="00446758">
        <w:rPr>
          <w:lang w:val="en-AU"/>
        </w:rPr>
        <w:t xml:space="preserve"> </w:t>
      </w:r>
      <w:r w:rsidR="00AE69DF">
        <w:rPr>
          <w:lang w:val="en-AU"/>
        </w:rPr>
        <w:t>displays</w:t>
      </w:r>
      <w:r w:rsidR="003D773B">
        <w:rPr>
          <w:lang w:val="en-AU"/>
        </w:rPr>
        <w:t xml:space="preserve"> the </w:t>
      </w:r>
      <w:r w:rsidR="002F7D43">
        <w:rPr>
          <w:lang w:val="en-AU"/>
        </w:rPr>
        <w:t xml:space="preserve">overall </w:t>
      </w:r>
      <w:r w:rsidR="0073775F">
        <w:rPr>
          <w:lang w:val="en-AU"/>
        </w:rPr>
        <w:t>level of</w:t>
      </w:r>
      <w:r w:rsidR="002F7D43">
        <w:rPr>
          <w:lang w:val="en-AU"/>
        </w:rPr>
        <w:t xml:space="preserve"> Program uptake between September 2019 and June 2022</w:t>
      </w:r>
      <w:r w:rsidR="00CF33BC">
        <w:rPr>
          <w:lang w:val="en-AU"/>
        </w:rPr>
        <w:t>, across each stage of the referral and placement process</w:t>
      </w:r>
      <w:r w:rsidR="00CE3EB0">
        <w:rPr>
          <w:lang w:val="en-AU"/>
        </w:rPr>
        <w:t>: referral</w:t>
      </w:r>
      <w:r w:rsidR="003910FD">
        <w:rPr>
          <w:lang w:val="en-AU"/>
        </w:rPr>
        <w:t xml:space="preserve"> application</w:t>
      </w:r>
      <w:r w:rsidR="00CE3EB0">
        <w:rPr>
          <w:lang w:val="en-AU"/>
        </w:rPr>
        <w:t xml:space="preserve">, </w:t>
      </w:r>
      <w:r w:rsidR="00ED4FC9">
        <w:rPr>
          <w:lang w:val="en-AU"/>
        </w:rPr>
        <w:t>NBA</w:t>
      </w:r>
      <w:r w:rsidR="003910FD">
        <w:rPr>
          <w:lang w:val="en-AU"/>
        </w:rPr>
        <w:t xml:space="preserve"> for </w:t>
      </w:r>
      <w:r w:rsidR="001700C1">
        <w:rPr>
          <w:lang w:val="en-AU"/>
        </w:rPr>
        <w:t xml:space="preserve">Program </w:t>
      </w:r>
      <w:r w:rsidR="003910FD">
        <w:rPr>
          <w:lang w:val="en-AU"/>
        </w:rPr>
        <w:t>eligibility</w:t>
      </w:r>
      <w:r w:rsidR="00A518CB">
        <w:rPr>
          <w:lang w:val="en-AU"/>
        </w:rPr>
        <w:t xml:space="preserve">, </w:t>
      </w:r>
      <w:r w:rsidR="000B6385">
        <w:rPr>
          <w:lang w:val="en-AU"/>
        </w:rPr>
        <w:t>resident</w:t>
      </w:r>
      <w:r w:rsidR="00CE3EB0">
        <w:rPr>
          <w:lang w:val="en-AU"/>
        </w:rPr>
        <w:t xml:space="preserve"> suitability assessment</w:t>
      </w:r>
      <w:r w:rsidR="003910FD">
        <w:rPr>
          <w:lang w:val="en-AU"/>
        </w:rPr>
        <w:t xml:space="preserve"> conducted by </w:t>
      </w:r>
      <w:r w:rsidR="000B6385">
        <w:rPr>
          <w:lang w:val="en-AU"/>
        </w:rPr>
        <w:t>SDCU</w:t>
      </w:r>
      <w:r w:rsidR="00CE3EB0">
        <w:rPr>
          <w:lang w:val="en-AU"/>
        </w:rPr>
        <w:t>,</w:t>
      </w:r>
      <w:r w:rsidR="002F7D43">
        <w:rPr>
          <w:lang w:val="en-AU"/>
        </w:rPr>
        <w:t xml:space="preserve"> </w:t>
      </w:r>
      <w:r w:rsidR="00E775F6">
        <w:rPr>
          <w:lang w:val="en-AU"/>
        </w:rPr>
        <w:t>placement.</w:t>
      </w:r>
    </w:p>
    <w:p w14:paraId="3779DB80" w14:textId="513C406A" w:rsidR="00956EAD" w:rsidRDefault="00956EAD" w:rsidP="00956EAD">
      <w:pPr>
        <w:pStyle w:val="Caption"/>
      </w:pPr>
      <w:bookmarkStart w:id="31" w:name="_Ref125368789"/>
      <w:bookmarkStart w:id="32" w:name="_Ref129013799"/>
      <w:r>
        <w:t xml:space="preserve">Figure </w:t>
      </w:r>
      <w:r w:rsidR="00915F8B">
        <w:fldChar w:fldCharType="begin"/>
      </w:r>
      <w:r w:rsidR="00915F8B">
        <w:instrText xml:space="preserve"> STYLEREF 1 \s </w:instrText>
      </w:r>
      <w:r w:rsidR="00915F8B">
        <w:fldChar w:fldCharType="separate"/>
      </w:r>
      <w:r w:rsidR="00D32536">
        <w:rPr>
          <w:noProof/>
        </w:rPr>
        <w:t>2</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8</w:t>
      </w:r>
      <w:r w:rsidR="008875A8">
        <w:fldChar w:fldCharType="end"/>
      </w:r>
      <w:bookmarkEnd w:id="31"/>
      <w:bookmarkEnd w:id="32"/>
      <w:r>
        <w:t xml:space="preserve"> </w:t>
      </w:r>
      <w:r w:rsidRPr="00797A37">
        <w:t>Overall Program uptake</w:t>
      </w:r>
    </w:p>
    <w:p w14:paraId="00B35DC1" w14:textId="354AB60A" w:rsidR="002F7D43" w:rsidRDefault="009D6EC4" w:rsidP="00F13CCB">
      <w:pPr>
        <w:rPr>
          <w:b/>
          <w:bCs/>
          <w:lang w:val="en-AU"/>
        </w:rPr>
      </w:pPr>
      <w:r w:rsidRPr="009D6EC4">
        <w:rPr>
          <w:noProof/>
        </w:rPr>
        <w:drawing>
          <wp:inline distT="0" distB="0" distL="0" distR="0" wp14:anchorId="7028F076" wp14:editId="5C3544E4">
            <wp:extent cx="6319520" cy="4493260"/>
            <wp:effectExtent l="0" t="0" r="0" b="2540"/>
            <wp:docPr id="42" name="Picture 42" descr="This is a flow chart showing the number of referrals to the program between September 2019 and June 2022, and outcomes such as placement in a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is a flow chart showing the number of referrals to the program between September 2019 and June 2022, and outcomes such as placement in a uni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19520" cy="4493260"/>
                    </a:xfrm>
                    <a:prstGeom prst="rect">
                      <a:avLst/>
                    </a:prstGeom>
                    <a:noFill/>
                    <a:ln>
                      <a:noFill/>
                    </a:ln>
                  </pic:spPr>
                </pic:pic>
              </a:graphicData>
            </a:graphic>
          </wp:inline>
        </w:drawing>
      </w:r>
    </w:p>
    <w:p w14:paraId="02775AAD" w14:textId="1EB21E7C" w:rsidR="00AE69DF" w:rsidRPr="00AE69DF" w:rsidRDefault="00AE69DF" w:rsidP="00AE69DF">
      <w:pPr>
        <w:pStyle w:val="SourcetextTableorChart"/>
        <w:spacing w:after="120"/>
        <w:rPr>
          <w:lang w:val="en-AU"/>
        </w:rPr>
      </w:pPr>
      <w:r>
        <w:rPr>
          <w:lang w:val="en-AU"/>
        </w:rPr>
        <w:t>Source: Deloitte Access Economics analysis based on NBA referral data, July 2019 to June 2022.</w:t>
      </w:r>
    </w:p>
    <w:p w14:paraId="1AC3DB13" w14:textId="7B20E19D" w:rsidR="00263BB8" w:rsidRDefault="003C03A6" w:rsidP="003C03A6">
      <w:pPr>
        <w:rPr>
          <w:lang w:val="en-AU"/>
        </w:rPr>
      </w:pPr>
      <w:r w:rsidRPr="003C03A6">
        <w:rPr>
          <w:lang w:val="en-AU"/>
        </w:rPr>
        <w:t xml:space="preserve">From </w:t>
      </w:r>
      <w:r w:rsidR="000C1CB4">
        <w:rPr>
          <w:lang w:val="en-AU"/>
        </w:rPr>
        <w:t>this overall view</w:t>
      </w:r>
      <w:r w:rsidR="00403A20">
        <w:rPr>
          <w:lang w:val="en-AU"/>
        </w:rPr>
        <w:t xml:space="preserve"> the following findings are noted.</w:t>
      </w:r>
    </w:p>
    <w:p w14:paraId="29DE0BE7" w14:textId="56C0B9F2" w:rsidR="00AE21BF" w:rsidRDefault="007A0C0A" w:rsidP="000217E8">
      <w:pPr>
        <w:pStyle w:val="ListBullet"/>
        <w:tabs>
          <w:tab w:val="clear" w:pos="360"/>
        </w:tabs>
        <w:rPr>
          <w:lang w:val="en-AU"/>
        </w:rPr>
      </w:pPr>
      <w:r>
        <w:rPr>
          <w:lang w:val="en-AU"/>
        </w:rPr>
        <w:t>T</w:t>
      </w:r>
      <w:r w:rsidR="007219BD">
        <w:rPr>
          <w:lang w:val="en-AU"/>
        </w:rPr>
        <w:t xml:space="preserve">he NBA </w:t>
      </w:r>
      <w:r w:rsidR="004D2818">
        <w:rPr>
          <w:lang w:val="en-AU"/>
        </w:rPr>
        <w:t>service</w:t>
      </w:r>
      <w:r w:rsidR="00B80338">
        <w:rPr>
          <w:lang w:val="en-AU"/>
        </w:rPr>
        <w:t xml:space="preserve"> </w:t>
      </w:r>
      <w:r w:rsidR="00D364CD">
        <w:rPr>
          <w:lang w:val="en-AU"/>
        </w:rPr>
        <w:t>plays</w:t>
      </w:r>
      <w:r w:rsidR="00B80338">
        <w:rPr>
          <w:lang w:val="en-AU"/>
        </w:rPr>
        <w:t xml:space="preserve"> a significant role in </w:t>
      </w:r>
      <w:r w:rsidR="00382D89">
        <w:rPr>
          <w:lang w:val="en-AU"/>
        </w:rPr>
        <w:t>triaging</w:t>
      </w:r>
      <w:r w:rsidR="00B41319">
        <w:rPr>
          <w:lang w:val="en-AU"/>
        </w:rPr>
        <w:t xml:space="preserve"> the overall </w:t>
      </w:r>
      <w:r w:rsidR="00640450">
        <w:rPr>
          <w:lang w:val="en-AU"/>
        </w:rPr>
        <w:t>cohort referred to the Program</w:t>
      </w:r>
      <w:r w:rsidR="009444D2">
        <w:rPr>
          <w:lang w:val="en-AU"/>
        </w:rPr>
        <w:t xml:space="preserve">. Approximately two-thirds of </w:t>
      </w:r>
      <w:r w:rsidR="00D364CD">
        <w:rPr>
          <w:lang w:val="en-AU"/>
        </w:rPr>
        <w:t xml:space="preserve">referrals are </w:t>
      </w:r>
      <w:r w:rsidR="008F2ABE">
        <w:rPr>
          <w:lang w:val="en-AU"/>
        </w:rPr>
        <w:t xml:space="preserve">discharged prior to a suitability </w:t>
      </w:r>
      <w:r w:rsidR="00DE1D9F">
        <w:rPr>
          <w:lang w:val="en-AU"/>
        </w:rPr>
        <w:t xml:space="preserve">assessment being conducted by </w:t>
      </w:r>
      <w:r w:rsidR="00513D42">
        <w:rPr>
          <w:lang w:val="en-AU"/>
        </w:rPr>
        <w:t>an SDCU</w:t>
      </w:r>
      <w:r w:rsidR="00DE1D9F">
        <w:rPr>
          <w:lang w:val="en-AU"/>
        </w:rPr>
        <w:t>.</w:t>
      </w:r>
      <w:r w:rsidR="006A7287">
        <w:rPr>
          <w:lang w:val="en-AU"/>
        </w:rPr>
        <w:t xml:space="preserve"> </w:t>
      </w:r>
      <w:r w:rsidR="009A381F">
        <w:rPr>
          <w:lang w:val="en-AU"/>
        </w:rPr>
        <w:t xml:space="preserve">This process </w:t>
      </w:r>
      <w:r w:rsidR="00D91E31">
        <w:rPr>
          <w:lang w:val="en-AU"/>
        </w:rPr>
        <w:t>minimises</w:t>
      </w:r>
      <w:r w:rsidR="009A381F">
        <w:rPr>
          <w:lang w:val="en-AU"/>
        </w:rPr>
        <w:t xml:space="preserve"> the extent of prov</w:t>
      </w:r>
      <w:r w:rsidR="00514652">
        <w:rPr>
          <w:lang w:val="en-AU"/>
        </w:rPr>
        <w:t xml:space="preserve">ider resources that are required to </w:t>
      </w:r>
      <w:r w:rsidR="00757790">
        <w:rPr>
          <w:lang w:val="en-AU"/>
        </w:rPr>
        <w:t>assess suitability</w:t>
      </w:r>
      <w:r w:rsidR="00C81479">
        <w:rPr>
          <w:lang w:val="en-AU"/>
        </w:rPr>
        <w:t>.</w:t>
      </w:r>
      <w:r w:rsidR="00A179AB">
        <w:rPr>
          <w:lang w:val="en-AU"/>
        </w:rPr>
        <w:t xml:space="preserve"> </w:t>
      </w:r>
      <w:r w:rsidR="00E16055">
        <w:rPr>
          <w:lang w:val="en-AU"/>
        </w:rPr>
        <w:t>As noted in</w:t>
      </w:r>
      <w:r w:rsidR="009742AE">
        <w:rPr>
          <w:lang w:val="en-AU"/>
        </w:rPr>
        <w:t xml:space="preserve"> Section </w:t>
      </w:r>
      <w:r w:rsidR="009742AE">
        <w:rPr>
          <w:lang w:val="en-AU"/>
        </w:rPr>
        <w:fldChar w:fldCharType="begin"/>
      </w:r>
      <w:r w:rsidR="009742AE">
        <w:rPr>
          <w:lang w:val="en-AU"/>
        </w:rPr>
        <w:instrText xml:space="preserve"> REF _Ref123914210 \r \h </w:instrText>
      </w:r>
      <w:r w:rsidR="009742AE">
        <w:rPr>
          <w:lang w:val="en-AU"/>
        </w:rPr>
      </w:r>
      <w:r w:rsidR="009742AE">
        <w:rPr>
          <w:lang w:val="en-AU"/>
        </w:rPr>
        <w:fldChar w:fldCharType="separate"/>
      </w:r>
      <w:r w:rsidR="00D32536">
        <w:rPr>
          <w:lang w:val="en-AU"/>
        </w:rPr>
        <w:t>2.1</w:t>
      </w:r>
      <w:r w:rsidR="009742AE">
        <w:rPr>
          <w:lang w:val="en-AU"/>
        </w:rPr>
        <w:fldChar w:fldCharType="end"/>
      </w:r>
      <w:r w:rsidR="00E16055">
        <w:rPr>
          <w:lang w:val="en-AU"/>
        </w:rPr>
        <w:t xml:space="preserve"> </w:t>
      </w:r>
      <w:r w:rsidR="009742AE">
        <w:rPr>
          <w:lang w:val="en-AU"/>
        </w:rPr>
        <w:t xml:space="preserve">, the most common reason </w:t>
      </w:r>
      <w:r w:rsidR="00BD5B9B">
        <w:rPr>
          <w:lang w:val="en-AU"/>
        </w:rPr>
        <w:t xml:space="preserve">a referral is deemed ineligible for the </w:t>
      </w:r>
      <w:r w:rsidR="001700C1">
        <w:rPr>
          <w:lang w:val="en-AU"/>
        </w:rPr>
        <w:t xml:space="preserve">Program </w:t>
      </w:r>
      <w:r w:rsidR="00A179AB">
        <w:rPr>
          <w:lang w:val="en-AU"/>
        </w:rPr>
        <w:t xml:space="preserve">was ‘behaviours too mild’. </w:t>
      </w:r>
      <w:r w:rsidR="006A7287">
        <w:rPr>
          <w:lang w:val="en-AU"/>
        </w:rPr>
        <w:t xml:space="preserve"> </w:t>
      </w:r>
    </w:p>
    <w:p w14:paraId="1C6981EA" w14:textId="6DD9A887" w:rsidR="001516B3" w:rsidRDefault="00DB5BBD" w:rsidP="000217E8">
      <w:pPr>
        <w:pStyle w:val="ListBullet"/>
        <w:tabs>
          <w:tab w:val="clear" w:pos="360"/>
        </w:tabs>
        <w:rPr>
          <w:lang w:val="en-AU"/>
        </w:rPr>
      </w:pPr>
      <w:r>
        <w:rPr>
          <w:lang w:val="en-AU"/>
        </w:rPr>
        <w:t xml:space="preserve">The reasons for </w:t>
      </w:r>
      <w:r w:rsidR="004873FA">
        <w:rPr>
          <w:lang w:val="en-AU"/>
        </w:rPr>
        <w:t>a</w:t>
      </w:r>
      <w:r w:rsidR="001516B3">
        <w:rPr>
          <w:lang w:val="en-AU"/>
        </w:rPr>
        <w:t xml:space="preserve"> provider’s</w:t>
      </w:r>
      <w:r w:rsidR="004873FA">
        <w:rPr>
          <w:lang w:val="en-AU"/>
        </w:rPr>
        <w:t xml:space="preserve"> suitability assessment not resulting in a placement</w:t>
      </w:r>
      <w:r w:rsidR="00014A06">
        <w:rPr>
          <w:lang w:val="en-AU"/>
        </w:rPr>
        <w:t xml:space="preserve"> </w:t>
      </w:r>
      <w:r w:rsidR="00DD721A">
        <w:rPr>
          <w:lang w:val="en-AU"/>
        </w:rPr>
        <w:t>were relatively consistent across sites</w:t>
      </w:r>
      <w:r w:rsidR="004873FA">
        <w:rPr>
          <w:lang w:val="en-AU"/>
        </w:rPr>
        <w:t xml:space="preserve">. </w:t>
      </w:r>
      <w:r w:rsidR="006E31EF">
        <w:rPr>
          <w:lang w:val="en-AU"/>
        </w:rPr>
        <w:t xml:space="preserve">The </w:t>
      </w:r>
      <w:r w:rsidR="005C3017">
        <w:rPr>
          <w:lang w:val="en-AU"/>
        </w:rPr>
        <w:t xml:space="preserve">most common </w:t>
      </w:r>
      <w:r w:rsidR="006E31EF">
        <w:rPr>
          <w:lang w:val="en-AU"/>
        </w:rPr>
        <w:t xml:space="preserve">reasons prospective clients </w:t>
      </w:r>
      <w:r w:rsidR="0057647B">
        <w:rPr>
          <w:lang w:val="en-AU"/>
        </w:rPr>
        <w:t>were</w:t>
      </w:r>
      <w:r w:rsidR="006E31EF">
        <w:rPr>
          <w:lang w:val="en-AU"/>
        </w:rPr>
        <w:t xml:space="preserve"> deemed </w:t>
      </w:r>
      <w:r w:rsidR="005C3017">
        <w:rPr>
          <w:lang w:val="en-AU"/>
        </w:rPr>
        <w:t>not suitable</w:t>
      </w:r>
      <w:r w:rsidR="000E0E2B">
        <w:rPr>
          <w:lang w:val="en-AU"/>
        </w:rPr>
        <w:t xml:space="preserve"> </w:t>
      </w:r>
      <w:r w:rsidR="009742AE">
        <w:rPr>
          <w:lang w:val="en-AU"/>
        </w:rPr>
        <w:t>related to</w:t>
      </w:r>
      <w:r w:rsidR="00984BAE">
        <w:rPr>
          <w:lang w:val="en-AU"/>
        </w:rPr>
        <w:t xml:space="preserve"> </w:t>
      </w:r>
      <w:r w:rsidR="006E31EF" w:rsidRPr="009742AE">
        <w:rPr>
          <w:lang w:val="en-AU"/>
        </w:rPr>
        <w:t xml:space="preserve">the resident </w:t>
      </w:r>
      <w:r w:rsidR="009742AE">
        <w:rPr>
          <w:lang w:val="en-AU"/>
        </w:rPr>
        <w:t xml:space="preserve">not being </w:t>
      </w:r>
      <w:r w:rsidR="006E31EF" w:rsidRPr="009742AE">
        <w:rPr>
          <w:lang w:val="en-AU"/>
        </w:rPr>
        <w:t xml:space="preserve">a good ‘fit’ within the current </w:t>
      </w:r>
      <w:r w:rsidR="00D442CA" w:rsidRPr="009742AE">
        <w:rPr>
          <w:lang w:val="en-AU"/>
        </w:rPr>
        <w:t>SDCU</w:t>
      </w:r>
      <w:r w:rsidR="006E31EF" w:rsidRPr="009742AE">
        <w:rPr>
          <w:lang w:val="en-AU"/>
        </w:rPr>
        <w:t xml:space="preserve"> dynamics</w:t>
      </w:r>
      <w:r w:rsidR="004B0899" w:rsidRPr="009742AE">
        <w:rPr>
          <w:lang w:val="en-AU"/>
        </w:rPr>
        <w:t xml:space="preserve"> of existing residents and staff</w:t>
      </w:r>
      <w:r w:rsidR="00984BAE">
        <w:rPr>
          <w:lang w:val="en-AU"/>
        </w:rPr>
        <w:t>,</w:t>
      </w:r>
      <w:r w:rsidR="009742AE">
        <w:rPr>
          <w:lang w:val="en-AU"/>
        </w:rPr>
        <w:t xml:space="preserve"> or that </w:t>
      </w:r>
      <w:r w:rsidR="00984BAE">
        <w:rPr>
          <w:lang w:val="en-AU"/>
        </w:rPr>
        <w:t>their</w:t>
      </w:r>
      <w:r w:rsidR="00984BAE" w:rsidRPr="009742AE">
        <w:rPr>
          <w:lang w:val="en-AU"/>
        </w:rPr>
        <w:t xml:space="preserve"> </w:t>
      </w:r>
      <w:r w:rsidR="005C3017" w:rsidRPr="009742AE">
        <w:rPr>
          <w:lang w:val="en-AU"/>
        </w:rPr>
        <w:t xml:space="preserve">medical comorbidities </w:t>
      </w:r>
      <w:r w:rsidR="001952B0">
        <w:rPr>
          <w:lang w:val="en-AU"/>
        </w:rPr>
        <w:t xml:space="preserve">were too complex and </w:t>
      </w:r>
      <w:r w:rsidR="005C3017" w:rsidRPr="009742AE">
        <w:rPr>
          <w:lang w:val="en-AU"/>
        </w:rPr>
        <w:t>required treatment.</w:t>
      </w:r>
      <w:r w:rsidR="002F5EAA" w:rsidRPr="009742AE">
        <w:rPr>
          <w:lang w:val="en-AU"/>
        </w:rPr>
        <w:t xml:space="preserve"> </w:t>
      </w:r>
    </w:p>
    <w:p w14:paraId="618F8B0D" w14:textId="4BE7B5D1" w:rsidR="00C927C4" w:rsidRDefault="00BC3A42" w:rsidP="000217E8">
      <w:pPr>
        <w:pStyle w:val="ListBullet"/>
        <w:tabs>
          <w:tab w:val="clear" w:pos="360"/>
        </w:tabs>
        <w:rPr>
          <w:lang w:val="en-AU"/>
        </w:rPr>
      </w:pPr>
      <w:r w:rsidRPr="001516B3">
        <w:rPr>
          <w:lang w:val="en-AU"/>
        </w:rPr>
        <w:t xml:space="preserve">Due to the age and medical complexity of the prospective </w:t>
      </w:r>
      <w:r w:rsidR="00F71A90" w:rsidRPr="001516B3">
        <w:rPr>
          <w:lang w:val="en-AU"/>
        </w:rPr>
        <w:t xml:space="preserve">Program cohort, </w:t>
      </w:r>
      <w:r w:rsidR="00E235E7" w:rsidRPr="001516B3">
        <w:rPr>
          <w:lang w:val="en-AU"/>
        </w:rPr>
        <w:t>approximately 30</w:t>
      </w:r>
      <w:r w:rsidR="000C7F42" w:rsidRPr="001516B3">
        <w:rPr>
          <w:lang w:val="en-AU"/>
        </w:rPr>
        <w:t xml:space="preserve">% </w:t>
      </w:r>
      <w:r w:rsidR="00E235E7" w:rsidRPr="001516B3">
        <w:rPr>
          <w:lang w:val="en-AU"/>
        </w:rPr>
        <w:t xml:space="preserve">of </w:t>
      </w:r>
      <w:r w:rsidR="009F1606" w:rsidRPr="001516B3">
        <w:rPr>
          <w:lang w:val="en-AU"/>
        </w:rPr>
        <w:t xml:space="preserve">those </w:t>
      </w:r>
      <w:r w:rsidR="00E235E7" w:rsidRPr="001516B3">
        <w:rPr>
          <w:lang w:val="en-AU"/>
        </w:rPr>
        <w:t>not placed ha</w:t>
      </w:r>
      <w:r w:rsidR="009F1606" w:rsidRPr="001516B3">
        <w:rPr>
          <w:lang w:val="en-AU"/>
        </w:rPr>
        <w:t>d</w:t>
      </w:r>
      <w:r w:rsidR="00E235E7" w:rsidRPr="001516B3">
        <w:rPr>
          <w:lang w:val="en-AU"/>
        </w:rPr>
        <w:t xml:space="preserve"> their case closed due to behaviours</w:t>
      </w:r>
      <w:r w:rsidR="00196071" w:rsidRPr="001516B3">
        <w:rPr>
          <w:lang w:val="en-AU"/>
        </w:rPr>
        <w:t xml:space="preserve"> </w:t>
      </w:r>
      <w:r w:rsidR="00E235E7" w:rsidRPr="001516B3">
        <w:rPr>
          <w:lang w:val="en-AU"/>
        </w:rPr>
        <w:t>settling</w:t>
      </w:r>
      <w:r w:rsidR="00FA5C9B" w:rsidRPr="001516B3">
        <w:rPr>
          <w:lang w:val="en-AU"/>
        </w:rPr>
        <w:t xml:space="preserve"> and </w:t>
      </w:r>
      <w:r w:rsidR="00B17A0E" w:rsidRPr="001516B3">
        <w:rPr>
          <w:lang w:val="en-AU"/>
        </w:rPr>
        <w:t xml:space="preserve">approximately </w:t>
      </w:r>
      <w:r w:rsidR="00FA5C9B" w:rsidRPr="001516B3">
        <w:rPr>
          <w:lang w:val="en-AU"/>
        </w:rPr>
        <w:t>1</w:t>
      </w:r>
      <w:r w:rsidR="00E61DC0">
        <w:rPr>
          <w:lang w:val="en-AU"/>
        </w:rPr>
        <w:t>5</w:t>
      </w:r>
      <w:r w:rsidR="000C7F42" w:rsidRPr="001516B3">
        <w:rPr>
          <w:lang w:val="en-AU"/>
        </w:rPr>
        <w:t xml:space="preserve">% </w:t>
      </w:r>
      <w:r w:rsidR="00B17A0E" w:rsidRPr="001516B3">
        <w:rPr>
          <w:lang w:val="en-AU"/>
        </w:rPr>
        <w:t xml:space="preserve">passed away </w:t>
      </w:r>
      <w:r w:rsidR="00E61DC0">
        <w:rPr>
          <w:lang w:val="en-AU"/>
        </w:rPr>
        <w:t xml:space="preserve">(or were receiving palliative care) </w:t>
      </w:r>
      <w:r w:rsidR="00B17A0E" w:rsidRPr="001516B3">
        <w:rPr>
          <w:lang w:val="en-AU"/>
        </w:rPr>
        <w:t>during the timeframe examined</w:t>
      </w:r>
      <w:r w:rsidR="00FA5C9B" w:rsidRPr="001516B3">
        <w:rPr>
          <w:lang w:val="en-AU"/>
        </w:rPr>
        <w:t>.</w:t>
      </w:r>
    </w:p>
    <w:p w14:paraId="1DAF25D1" w14:textId="77777777" w:rsidR="00C73974" w:rsidRDefault="00C73974" w:rsidP="00C73974">
      <w:pPr>
        <w:pStyle w:val="ListBullet"/>
        <w:numPr>
          <w:ilvl w:val="0"/>
          <w:numId w:val="0"/>
        </w:numPr>
        <w:ind w:left="360" w:hanging="360"/>
        <w:rPr>
          <w:lang w:val="en-AU"/>
        </w:rPr>
      </w:pPr>
    </w:p>
    <w:p w14:paraId="445BF2EE" w14:textId="0E367321" w:rsidR="00C37274" w:rsidRDefault="00085122" w:rsidP="00C37274">
      <w:pPr>
        <w:pStyle w:val="ListBullet"/>
        <w:numPr>
          <w:ilvl w:val="0"/>
          <w:numId w:val="0"/>
        </w:numPr>
        <w:rPr>
          <w:rFonts w:asciiTheme="majorHAnsi" w:hAnsiTheme="majorHAnsi" w:cstheme="majorHAnsi"/>
          <w:b/>
          <w:color w:val="012169"/>
          <w:lang w:val="en-AU"/>
        </w:rPr>
      </w:pPr>
      <w:r>
        <w:rPr>
          <w:rFonts w:asciiTheme="majorHAnsi" w:hAnsiTheme="majorHAnsi" w:cstheme="majorHAnsi"/>
          <w:b/>
          <w:color w:val="012169"/>
          <w:lang w:val="en-AU"/>
        </w:rPr>
        <w:t xml:space="preserve">For equity cohorts where data quality </w:t>
      </w:r>
      <w:r w:rsidR="009E0406">
        <w:rPr>
          <w:rFonts w:asciiTheme="majorHAnsi" w:hAnsiTheme="majorHAnsi" w:cstheme="majorHAnsi"/>
          <w:b/>
          <w:color w:val="012169"/>
          <w:lang w:val="en-AU"/>
        </w:rPr>
        <w:t xml:space="preserve">was </w:t>
      </w:r>
      <w:r w:rsidR="004A3949">
        <w:rPr>
          <w:rFonts w:asciiTheme="majorHAnsi" w:hAnsiTheme="majorHAnsi" w:cstheme="majorHAnsi"/>
          <w:b/>
          <w:color w:val="012169"/>
          <w:lang w:val="en-AU"/>
        </w:rPr>
        <w:t>able to support estimation</w:t>
      </w:r>
      <w:r>
        <w:rPr>
          <w:rFonts w:asciiTheme="majorHAnsi" w:hAnsiTheme="majorHAnsi" w:cstheme="majorHAnsi"/>
          <w:b/>
          <w:color w:val="012169"/>
          <w:lang w:val="en-AU"/>
        </w:rPr>
        <w:t>, the</w:t>
      </w:r>
      <w:r w:rsidR="0068013E">
        <w:rPr>
          <w:rFonts w:asciiTheme="majorHAnsi" w:hAnsiTheme="majorHAnsi" w:cstheme="majorHAnsi"/>
          <w:b/>
          <w:color w:val="012169"/>
          <w:lang w:val="en-AU"/>
        </w:rPr>
        <w:t xml:space="preserve"> cohort referred into the Program was </w:t>
      </w:r>
      <w:r w:rsidR="001A1F47">
        <w:rPr>
          <w:rFonts w:asciiTheme="majorHAnsi" w:hAnsiTheme="majorHAnsi" w:cstheme="majorHAnsi"/>
          <w:b/>
          <w:color w:val="012169"/>
          <w:lang w:val="en-AU"/>
        </w:rPr>
        <w:t>slightly less than the ABS population data</w:t>
      </w:r>
      <w:r w:rsidR="0068013E">
        <w:rPr>
          <w:rFonts w:asciiTheme="majorHAnsi" w:hAnsiTheme="majorHAnsi" w:cstheme="majorHAnsi"/>
          <w:b/>
          <w:color w:val="012169"/>
          <w:lang w:val="en-AU"/>
        </w:rPr>
        <w:t xml:space="preserve"> across </w:t>
      </w:r>
      <w:r>
        <w:rPr>
          <w:rFonts w:asciiTheme="majorHAnsi" w:hAnsiTheme="majorHAnsi" w:cstheme="majorHAnsi"/>
          <w:b/>
          <w:color w:val="012169"/>
          <w:lang w:val="en-AU"/>
        </w:rPr>
        <w:t>Aboriginal and/or Torres Strait Islander self-identification</w:t>
      </w:r>
      <w:r w:rsidR="009E0406">
        <w:rPr>
          <w:rFonts w:asciiTheme="majorHAnsi" w:hAnsiTheme="majorHAnsi" w:cstheme="majorHAnsi"/>
          <w:b/>
          <w:color w:val="012169"/>
          <w:lang w:val="en-AU"/>
        </w:rPr>
        <w:t>, culturally and/or linguistically diverse background, and regional/rural locality</w:t>
      </w:r>
      <w:r w:rsidR="00AE4AFF">
        <w:rPr>
          <w:rFonts w:asciiTheme="majorHAnsi" w:hAnsiTheme="majorHAnsi" w:cstheme="majorHAnsi"/>
          <w:b/>
          <w:color w:val="012169"/>
          <w:lang w:val="en-AU"/>
        </w:rPr>
        <w:t xml:space="preserve">, </w:t>
      </w:r>
      <w:r w:rsidR="00AE4AFF" w:rsidRPr="00AE4AFF">
        <w:rPr>
          <w:rFonts w:asciiTheme="majorHAnsi" w:hAnsiTheme="majorHAnsi" w:cstheme="majorHAnsi"/>
          <w:b/>
          <w:color w:val="012169"/>
          <w:lang w:val="en-AU"/>
        </w:rPr>
        <w:t>noting the small data set available at this stage of the Program implementation</w:t>
      </w:r>
      <w:r w:rsidR="00C37274" w:rsidRPr="00C73974">
        <w:rPr>
          <w:rFonts w:asciiTheme="majorHAnsi" w:hAnsiTheme="majorHAnsi" w:cstheme="majorHAnsi"/>
          <w:b/>
          <w:color w:val="012169"/>
          <w:lang w:val="en-AU"/>
        </w:rPr>
        <w:t>.</w:t>
      </w:r>
    </w:p>
    <w:p w14:paraId="68300531" w14:textId="77777777" w:rsidR="00C37274" w:rsidRPr="0079620C" w:rsidRDefault="00C37274" w:rsidP="0079620C">
      <w:pPr>
        <w:pStyle w:val="ListBullet"/>
        <w:numPr>
          <w:ilvl w:val="0"/>
          <w:numId w:val="0"/>
        </w:numPr>
        <w:rPr>
          <w:rFonts w:asciiTheme="majorHAnsi" w:hAnsiTheme="majorHAnsi" w:cstheme="majorHAnsi"/>
          <w:b/>
          <w:color w:val="012169"/>
          <w:lang w:val="en-AU"/>
        </w:rPr>
      </w:pPr>
    </w:p>
    <w:p w14:paraId="79470BE9" w14:textId="77ED228A" w:rsidR="005A178E" w:rsidRDefault="00BC0091" w:rsidP="005A178E">
      <w:pPr>
        <w:rPr>
          <w:lang w:val="en-AU"/>
        </w:rPr>
      </w:pPr>
      <w:r>
        <w:rPr>
          <w:lang w:val="en-AU"/>
        </w:rPr>
        <w:t>At the point of referral, DSA collects demographic data to understand whether people self-identify as part of an equity cohort. F</w:t>
      </w:r>
      <w:r w:rsidR="005A178E">
        <w:rPr>
          <w:lang w:val="en-AU"/>
        </w:rPr>
        <w:t>or the cohort referred</w:t>
      </w:r>
      <w:r>
        <w:rPr>
          <w:lang w:val="en-AU"/>
        </w:rPr>
        <w:t xml:space="preserve"> in </w:t>
      </w:r>
      <w:r>
        <w:rPr>
          <w:lang w:val="en-AU"/>
        </w:rPr>
        <w:fldChar w:fldCharType="begin"/>
      </w:r>
      <w:r>
        <w:rPr>
          <w:lang w:val="en-AU"/>
        </w:rPr>
        <w:instrText xml:space="preserve"> REF _Ref129013799 \h </w:instrText>
      </w:r>
      <w:r>
        <w:rPr>
          <w:lang w:val="en-AU"/>
        </w:rPr>
      </w:r>
      <w:r>
        <w:rPr>
          <w:lang w:val="en-AU"/>
        </w:rPr>
        <w:fldChar w:fldCharType="separate"/>
      </w:r>
      <w:r w:rsidR="00D32536">
        <w:t xml:space="preserve">Figure </w:t>
      </w:r>
      <w:r w:rsidR="00D32536">
        <w:rPr>
          <w:noProof/>
        </w:rPr>
        <w:t>2</w:t>
      </w:r>
      <w:r w:rsidR="00D32536">
        <w:t>.</w:t>
      </w:r>
      <w:r w:rsidR="00D32536">
        <w:rPr>
          <w:noProof/>
        </w:rPr>
        <w:t>8</w:t>
      </w:r>
      <w:r>
        <w:rPr>
          <w:lang w:val="en-AU"/>
        </w:rPr>
        <w:fldChar w:fldCharType="end"/>
      </w:r>
      <w:r w:rsidR="005A178E">
        <w:rPr>
          <w:lang w:val="en-AU"/>
        </w:rPr>
        <w:t xml:space="preserve">: </w:t>
      </w:r>
    </w:p>
    <w:p w14:paraId="35A0DE89" w14:textId="74FB508D" w:rsidR="005A178E" w:rsidRDefault="005A178E" w:rsidP="005A178E">
      <w:pPr>
        <w:pStyle w:val="ListParagraph"/>
        <w:numPr>
          <w:ilvl w:val="0"/>
          <w:numId w:val="35"/>
        </w:numPr>
        <w:rPr>
          <w:lang w:val="en-AU"/>
        </w:rPr>
      </w:pPr>
      <w:r>
        <w:rPr>
          <w:lang w:val="en-AU"/>
        </w:rPr>
        <w:t>24.9</w:t>
      </w:r>
      <w:r w:rsidR="002C3559">
        <w:rPr>
          <w:lang w:val="en-AU"/>
        </w:rPr>
        <w:t xml:space="preserve">% </w:t>
      </w:r>
      <w:r>
        <w:rPr>
          <w:lang w:val="en-AU"/>
        </w:rPr>
        <w:t>were from a regional/rural area</w:t>
      </w:r>
    </w:p>
    <w:p w14:paraId="7785EF07" w14:textId="137ABDC7" w:rsidR="005A178E" w:rsidRDefault="005A178E" w:rsidP="005A178E">
      <w:pPr>
        <w:pStyle w:val="ListParagraph"/>
        <w:numPr>
          <w:ilvl w:val="0"/>
          <w:numId w:val="35"/>
        </w:numPr>
        <w:rPr>
          <w:lang w:val="en-AU"/>
        </w:rPr>
      </w:pPr>
      <w:r>
        <w:rPr>
          <w:lang w:val="en-AU"/>
        </w:rPr>
        <w:t>22.5</w:t>
      </w:r>
      <w:r w:rsidR="002C3559">
        <w:rPr>
          <w:lang w:val="en-AU"/>
        </w:rPr>
        <w:t xml:space="preserve">% </w:t>
      </w:r>
      <w:r>
        <w:rPr>
          <w:lang w:val="en-AU"/>
        </w:rPr>
        <w:t>were from a culturally and/or linguistically diverse background</w:t>
      </w:r>
    </w:p>
    <w:p w14:paraId="682FE7C3" w14:textId="65FA07C3" w:rsidR="005A178E" w:rsidRPr="00DA6B55" w:rsidRDefault="005A178E" w:rsidP="005A178E">
      <w:pPr>
        <w:pStyle w:val="ListParagraph"/>
        <w:numPr>
          <w:ilvl w:val="0"/>
          <w:numId w:val="35"/>
        </w:numPr>
        <w:rPr>
          <w:lang w:val="en-AU"/>
        </w:rPr>
      </w:pPr>
      <w:r>
        <w:rPr>
          <w:lang w:val="en-AU"/>
        </w:rPr>
        <w:t>2.03</w:t>
      </w:r>
      <w:r w:rsidR="002C3559">
        <w:rPr>
          <w:lang w:val="en-AU"/>
        </w:rPr>
        <w:t>%</w:t>
      </w:r>
      <w:r>
        <w:rPr>
          <w:lang w:val="en-AU"/>
        </w:rPr>
        <w:t xml:space="preserve"> self-identified as Aboriginal and/or Torres Strait Islander.</w:t>
      </w:r>
      <w:r>
        <w:rPr>
          <w:rStyle w:val="FootnoteReference"/>
          <w:lang w:val="en-AU"/>
        </w:rPr>
        <w:footnoteReference w:id="4"/>
      </w:r>
      <w:r>
        <w:rPr>
          <w:lang w:val="en-AU"/>
        </w:rPr>
        <w:t xml:space="preserve"> </w:t>
      </w:r>
    </w:p>
    <w:p w14:paraId="10DB0660" w14:textId="77777777" w:rsidR="005A178E" w:rsidRDefault="005A178E" w:rsidP="005A178E">
      <w:pPr>
        <w:rPr>
          <w:lang w:val="en-AU"/>
        </w:rPr>
      </w:pPr>
      <w:r>
        <w:rPr>
          <w:lang w:val="en-AU"/>
        </w:rPr>
        <w:t>According to the Australian Bureau of Statistics, as of 2021:</w:t>
      </w:r>
    </w:p>
    <w:p w14:paraId="3D903EE2" w14:textId="30920E64" w:rsidR="005A178E" w:rsidRDefault="005A178E" w:rsidP="005A178E">
      <w:pPr>
        <w:pStyle w:val="ListBullet"/>
        <w:rPr>
          <w:lang w:val="en-AU"/>
        </w:rPr>
      </w:pPr>
      <w:r w:rsidRPr="00480821">
        <w:rPr>
          <w:lang w:val="en-AU"/>
        </w:rPr>
        <w:t>33</w:t>
      </w:r>
      <w:r w:rsidR="002C3559">
        <w:rPr>
          <w:lang w:val="en-AU"/>
        </w:rPr>
        <w:t xml:space="preserve">% </w:t>
      </w:r>
      <w:r>
        <w:rPr>
          <w:lang w:val="en-AU"/>
        </w:rPr>
        <w:t>of Australians lived outside of a capital city</w:t>
      </w:r>
      <w:r>
        <w:rPr>
          <w:rStyle w:val="FootnoteReference"/>
          <w:lang w:val="en-AU"/>
        </w:rPr>
        <w:footnoteReference w:id="5"/>
      </w:r>
    </w:p>
    <w:p w14:paraId="61C92BCE" w14:textId="4E45F87F" w:rsidR="005A178E" w:rsidRDefault="005A178E" w:rsidP="005A178E">
      <w:pPr>
        <w:pStyle w:val="ListBullet"/>
        <w:rPr>
          <w:lang w:val="en-AU"/>
        </w:rPr>
      </w:pPr>
      <w:r w:rsidRPr="00480821">
        <w:rPr>
          <w:lang w:val="en-AU"/>
        </w:rPr>
        <w:t>28</w:t>
      </w:r>
      <w:r w:rsidR="002C3559">
        <w:rPr>
          <w:lang w:val="en-AU"/>
        </w:rPr>
        <w:t xml:space="preserve">% </w:t>
      </w:r>
      <w:r w:rsidRPr="00480821">
        <w:rPr>
          <w:lang w:val="en-AU"/>
        </w:rPr>
        <w:t>were born overseas</w:t>
      </w:r>
      <w:r>
        <w:rPr>
          <w:rStyle w:val="FootnoteReference"/>
          <w:lang w:val="en-AU"/>
        </w:rPr>
        <w:footnoteReference w:id="6"/>
      </w:r>
    </w:p>
    <w:p w14:paraId="7DA27784" w14:textId="6147DF35" w:rsidR="005A178E" w:rsidRDefault="005A178E" w:rsidP="005A178E">
      <w:pPr>
        <w:pStyle w:val="ListBullet"/>
        <w:rPr>
          <w:lang w:val="en-AU"/>
        </w:rPr>
      </w:pPr>
      <w:r w:rsidRPr="00480821">
        <w:rPr>
          <w:lang w:val="en-AU"/>
        </w:rPr>
        <w:t>4</w:t>
      </w:r>
      <w:r w:rsidR="002C3559">
        <w:rPr>
          <w:lang w:val="en-AU"/>
        </w:rPr>
        <w:t xml:space="preserve">% </w:t>
      </w:r>
      <w:r w:rsidRPr="00480821">
        <w:rPr>
          <w:lang w:val="en-AU"/>
        </w:rPr>
        <w:t xml:space="preserve">self-identified as Aboriginal and/or Torres Strait Islander (noting that a third of </w:t>
      </w:r>
      <w:r>
        <w:rPr>
          <w:lang w:val="en-AU"/>
        </w:rPr>
        <w:t>this</w:t>
      </w:r>
      <w:r w:rsidRPr="00480821">
        <w:rPr>
          <w:lang w:val="en-AU"/>
        </w:rPr>
        <w:t xml:space="preserve"> population </w:t>
      </w:r>
      <w:r>
        <w:rPr>
          <w:lang w:val="en-AU"/>
        </w:rPr>
        <w:t>is</w:t>
      </w:r>
      <w:r w:rsidRPr="00480821">
        <w:rPr>
          <w:lang w:val="en-AU"/>
        </w:rPr>
        <w:t xml:space="preserve"> aged under 15)</w:t>
      </w:r>
      <w:r>
        <w:rPr>
          <w:rStyle w:val="FootnoteReference"/>
          <w:lang w:val="en-AU"/>
        </w:rPr>
        <w:footnoteReference w:id="7"/>
      </w:r>
      <w:r w:rsidRPr="00480821">
        <w:rPr>
          <w:lang w:val="en-AU"/>
        </w:rPr>
        <w:t xml:space="preserve">. </w:t>
      </w:r>
    </w:p>
    <w:p w14:paraId="5CD0028E" w14:textId="77777777" w:rsidR="005A178E" w:rsidRDefault="005A178E" w:rsidP="005A178E">
      <w:pPr>
        <w:pStyle w:val="ListBullet"/>
        <w:numPr>
          <w:ilvl w:val="0"/>
          <w:numId w:val="0"/>
        </w:numPr>
        <w:rPr>
          <w:lang w:val="en-AU"/>
        </w:rPr>
      </w:pPr>
    </w:p>
    <w:p w14:paraId="32FEE850" w14:textId="469F613B" w:rsidR="005A178E" w:rsidRDefault="005A178E" w:rsidP="005A178E">
      <w:pPr>
        <w:pStyle w:val="ListBullet"/>
        <w:numPr>
          <w:ilvl w:val="0"/>
          <w:numId w:val="0"/>
        </w:numPr>
        <w:rPr>
          <w:lang w:val="en-AU"/>
        </w:rPr>
      </w:pPr>
      <w:r w:rsidRPr="00480821">
        <w:rPr>
          <w:lang w:val="en-AU"/>
        </w:rPr>
        <w:t xml:space="preserve">Across the remainder of the identified </w:t>
      </w:r>
      <w:r w:rsidR="00813244">
        <w:rPr>
          <w:lang w:val="en-AU"/>
        </w:rPr>
        <w:t xml:space="preserve">equity </w:t>
      </w:r>
      <w:r w:rsidRPr="00480821">
        <w:rPr>
          <w:lang w:val="en-AU"/>
        </w:rPr>
        <w:t>cohorts (care leavers; homeless; lesbian, gay, bisexual, transgender, intersex or questioning; parents of forced adoption or removed children; financially or socially disadvantaged; veterans), less than 1.5</w:t>
      </w:r>
      <w:r w:rsidR="002C3559">
        <w:rPr>
          <w:lang w:val="en-AU"/>
        </w:rPr>
        <w:t xml:space="preserve">% </w:t>
      </w:r>
      <w:r w:rsidRPr="00480821">
        <w:rPr>
          <w:lang w:val="en-AU"/>
        </w:rPr>
        <w:t xml:space="preserve">of </w:t>
      </w:r>
      <w:r w:rsidR="00813244">
        <w:rPr>
          <w:lang w:val="en-AU"/>
        </w:rPr>
        <w:t>those referred</w:t>
      </w:r>
      <w:r w:rsidRPr="00480821">
        <w:rPr>
          <w:lang w:val="en-AU"/>
        </w:rPr>
        <w:t xml:space="preserve"> identified as part of any of these cohorts individually (i.e., less than 1.5</w:t>
      </w:r>
      <w:r w:rsidR="002C3559">
        <w:rPr>
          <w:lang w:val="en-AU"/>
        </w:rPr>
        <w:t>%</w:t>
      </w:r>
      <w:r w:rsidRPr="00480821">
        <w:rPr>
          <w:lang w:val="en-AU"/>
        </w:rPr>
        <w:t xml:space="preserve"> identified as homeless). However</w:t>
      </w:r>
      <w:r w:rsidR="00922901">
        <w:rPr>
          <w:lang w:val="en-AU"/>
        </w:rPr>
        <w:t>,</w:t>
      </w:r>
      <w:r w:rsidRPr="00480821">
        <w:rPr>
          <w:lang w:val="en-AU"/>
        </w:rPr>
        <w:t xml:space="preserve"> these cohorts were characterised by extensive missing data</w:t>
      </w:r>
      <w:r w:rsidR="00547EBF">
        <w:rPr>
          <w:lang w:val="en-AU"/>
        </w:rPr>
        <w:t xml:space="preserve"> which limits the ability to accurately measure these indicators. </w:t>
      </w:r>
    </w:p>
    <w:p w14:paraId="07C3FCBC" w14:textId="6B809473" w:rsidR="00BC3A6D" w:rsidRDefault="00BC3A6D" w:rsidP="005A178E">
      <w:pPr>
        <w:pStyle w:val="ListBullet"/>
        <w:numPr>
          <w:ilvl w:val="0"/>
          <w:numId w:val="0"/>
        </w:numPr>
        <w:rPr>
          <w:lang w:val="en-AU"/>
        </w:rPr>
      </w:pPr>
    </w:p>
    <w:p w14:paraId="3CF0777D" w14:textId="11478306" w:rsidR="00BC3A6D" w:rsidRPr="00480821" w:rsidRDefault="00BC3A6D" w:rsidP="005A178E">
      <w:pPr>
        <w:pStyle w:val="ListBullet"/>
        <w:numPr>
          <w:ilvl w:val="0"/>
          <w:numId w:val="0"/>
        </w:numPr>
        <w:rPr>
          <w:lang w:val="en-AU"/>
        </w:rPr>
      </w:pPr>
      <w:r>
        <w:rPr>
          <w:lang w:val="en-AU"/>
        </w:rPr>
        <w:t>In relation to the cohort eventually placed,</w:t>
      </w:r>
      <w:r w:rsidR="004C51F1">
        <w:rPr>
          <w:lang w:val="en-AU"/>
        </w:rPr>
        <w:t xml:space="preserve"> 45</w:t>
      </w:r>
      <w:r w:rsidR="002C3559">
        <w:rPr>
          <w:lang w:val="en-AU"/>
        </w:rPr>
        <w:t>%</w:t>
      </w:r>
      <w:r w:rsidR="004C51F1">
        <w:rPr>
          <w:lang w:val="en-AU"/>
        </w:rPr>
        <w:t xml:space="preserve"> identified as part of an equity cohort</w:t>
      </w:r>
      <w:r w:rsidR="008D4AF7">
        <w:rPr>
          <w:lang w:val="en-AU"/>
        </w:rPr>
        <w:t xml:space="preserve"> (noting that </w:t>
      </w:r>
      <w:r w:rsidR="00C37274">
        <w:rPr>
          <w:lang w:val="en-AU"/>
        </w:rPr>
        <w:t>the</w:t>
      </w:r>
      <w:r w:rsidR="008D4AF7">
        <w:rPr>
          <w:lang w:val="en-AU"/>
        </w:rPr>
        <w:t xml:space="preserve"> cohorts </w:t>
      </w:r>
      <w:r w:rsidR="00C37274">
        <w:rPr>
          <w:lang w:val="en-AU"/>
        </w:rPr>
        <w:t xml:space="preserve">described above </w:t>
      </w:r>
      <w:r w:rsidR="008D4AF7">
        <w:rPr>
          <w:lang w:val="en-AU"/>
        </w:rPr>
        <w:t>are not mutually exclusive).</w:t>
      </w:r>
    </w:p>
    <w:p w14:paraId="09F510AA" w14:textId="77777777" w:rsidR="005A178E" w:rsidRDefault="005A178E" w:rsidP="00C73974">
      <w:pPr>
        <w:pStyle w:val="ListBullet"/>
        <w:numPr>
          <w:ilvl w:val="0"/>
          <w:numId w:val="0"/>
        </w:numPr>
        <w:rPr>
          <w:rFonts w:asciiTheme="majorHAnsi" w:hAnsiTheme="majorHAnsi" w:cstheme="majorHAnsi"/>
          <w:b/>
          <w:color w:val="012169"/>
          <w:lang w:val="en-AU"/>
        </w:rPr>
      </w:pPr>
    </w:p>
    <w:p w14:paraId="059BC2FC" w14:textId="2A57EB92" w:rsidR="00C73974" w:rsidRPr="00C73974" w:rsidRDefault="00C73974" w:rsidP="00C73974">
      <w:pPr>
        <w:pStyle w:val="ListBullet"/>
        <w:numPr>
          <w:ilvl w:val="0"/>
          <w:numId w:val="0"/>
        </w:numPr>
        <w:rPr>
          <w:rFonts w:asciiTheme="majorHAnsi" w:hAnsiTheme="majorHAnsi" w:cstheme="majorHAnsi"/>
          <w:b/>
          <w:color w:val="012169"/>
          <w:lang w:val="en-AU"/>
        </w:rPr>
      </w:pPr>
      <w:r>
        <w:rPr>
          <w:rFonts w:asciiTheme="majorHAnsi" w:hAnsiTheme="majorHAnsi" w:cstheme="majorHAnsi"/>
          <w:b/>
          <w:color w:val="012169"/>
          <w:lang w:val="en-AU"/>
        </w:rPr>
        <w:t>T</w:t>
      </w:r>
      <w:r w:rsidRPr="00C73974">
        <w:rPr>
          <w:rFonts w:asciiTheme="majorHAnsi" w:hAnsiTheme="majorHAnsi" w:cstheme="majorHAnsi"/>
          <w:b/>
          <w:color w:val="012169"/>
          <w:lang w:val="en-AU"/>
        </w:rPr>
        <w:t xml:space="preserve">he concept of the </w:t>
      </w:r>
      <w:r w:rsidR="001700C1">
        <w:rPr>
          <w:rFonts w:asciiTheme="majorHAnsi" w:hAnsiTheme="majorHAnsi" w:cstheme="majorHAnsi"/>
          <w:b/>
          <w:color w:val="012169"/>
          <w:lang w:val="en-AU"/>
        </w:rPr>
        <w:t>Program</w:t>
      </w:r>
      <w:r w:rsidR="001700C1" w:rsidRPr="00C73974">
        <w:rPr>
          <w:rFonts w:asciiTheme="majorHAnsi" w:hAnsiTheme="majorHAnsi" w:cstheme="majorHAnsi"/>
          <w:b/>
          <w:color w:val="012169"/>
          <w:lang w:val="en-AU"/>
        </w:rPr>
        <w:t xml:space="preserve"> </w:t>
      </w:r>
      <w:r w:rsidR="00C016E2">
        <w:rPr>
          <w:rFonts w:asciiTheme="majorHAnsi" w:hAnsiTheme="majorHAnsi" w:cstheme="majorHAnsi"/>
          <w:b/>
          <w:color w:val="012169"/>
          <w:lang w:val="en-AU"/>
        </w:rPr>
        <w:t>was</w:t>
      </w:r>
      <w:r w:rsidRPr="00C73974">
        <w:rPr>
          <w:rFonts w:asciiTheme="majorHAnsi" w:hAnsiTheme="majorHAnsi" w:cstheme="majorHAnsi"/>
          <w:b/>
          <w:color w:val="012169"/>
          <w:lang w:val="en-AU"/>
        </w:rPr>
        <w:t xml:space="preserve"> well-received by families/carers, with offers for assessment typically only declined for</w:t>
      </w:r>
      <w:r>
        <w:rPr>
          <w:rFonts w:asciiTheme="majorHAnsi" w:hAnsiTheme="majorHAnsi" w:cstheme="majorHAnsi"/>
          <w:b/>
          <w:color w:val="012169"/>
          <w:lang w:val="en-AU"/>
        </w:rPr>
        <w:t xml:space="preserve"> </w:t>
      </w:r>
      <w:r w:rsidRPr="00C73974">
        <w:rPr>
          <w:rFonts w:asciiTheme="majorHAnsi" w:hAnsiTheme="majorHAnsi" w:cstheme="majorHAnsi"/>
          <w:b/>
          <w:color w:val="012169"/>
          <w:lang w:val="en-AU"/>
        </w:rPr>
        <w:t>distance reasons.</w:t>
      </w:r>
    </w:p>
    <w:p w14:paraId="3D138ACB" w14:textId="77777777" w:rsidR="00C73974" w:rsidRDefault="00C73974" w:rsidP="00C73974">
      <w:pPr>
        <w:pStyle w:val="ListBullet"/>
        <w:numPr>
          <w:ilvl w:val="0"/>
          <w:numId w:val="0"/>
        </w:numPr>
        <w:rPr>
          <w:lang w:val="en-AU"/>
        </w:rPr>
      </w:pPr>
    </w:p>
    <w:p w14:paraId="6B851951" w14:textId="79ED94F3" w:rsidR="00654264" w:rsidRPr="007E3B36" w:rsidRDefault="00074E02" w:rsidP="00C73974">
      <w:pPr>
        <w:pStyle w:val="ListBullet"/>
        <w:numPr>
          <w:ilvl w:val="0"/>
          <w:numId w:val="0"/>
        </w:numPr>
        <w:rPr>
          <w:lang w:val="en-AU"/>
        </w:rPr>
      </w:pPr>
      <w:r>
        <w:t>Program referrers noted that where</w:t>
      </w:r>
      <w:r w:rsidDel="001700C1">
        <w:t xml:space="preserve"> </w:t>
      </w:r>
      <w:r w:rsidR="001700C1">
        <w:t>Program</w:t>
      </w:r>
      <w:r>
        <w:t xml:space="preserve"> placement is suggested, families/carers are typically always willing to have their loved one assessed for eligibility. </w:t>
      </w:r>
      <w:r w:rsidR="00BF1908" w:rsidRPr="00C927C4">
        <w:rPr>
          <w:lang w:val="en-AU"/>
        </w:rPr>
        <w:t>With regard to why a</w:t>
      </w:r>
      <w:r w:rsidR="00B639EA" w:rsidRPr="00C927C4">
        <w:rPr>
          <w:lang w:val="en-AU"/>
        </w:rPr>
        <w:t>n</w:t>
      </w:r>
      <w:r w:rsidR="00BF1908" w:rsidRPr="00C927C4">
        <w:rPr>
          <w:lang w:val="en-AU"/>
        </w:rPr>
        <w:t xml:space="preserve"> </w:t>
      </w:r>
      <w:r w:rsidR="007248EF" w:rsidRPr="00C927C4">
        <w:rPr>
          <w:lang w:val="en-AU"/>
        </w:rPr>
        <w:t xml:space="preserve">offer </w:t>
      </w:r>
      <w:r w:rsidR="001516B3" w:rsidRPr="00C927C4">
        <w:rPr>
          <w:lang w:val="en-AU"/>
        </w:rPr>
        <w:t>for</w:t>
      </w:r>
      <w:r w:rsidR="007248EF" w:rsidRPr="00C927C4">
        <w:rPr>
          <w:lang w:val="en-AU"/>
        </w:rPr>
        <w:t xml:space="preserve"> placement might be declined by the family/carer, insights gleaned through consultation indicated this</w:t>
      </w:r>
      <w:r w:rsidR="00B639EA" w:rsidRPr="00C927C4">
        <w:rPr>
          <w:lang w:val="en-AU"/>
        </w:rPr>
        <w:t xml:space="preserve"> was typically only related to </w:t>
      </w:r>
      <w:r w:rsidR="00B639EA">
        <w:t xml:space="preserve">the distance between the family/carer residence and the location of the </w:t>
      </w:r>
      <w:r w:rsidR="001516B3">
        <w:t>SDCU</w:t>
      </w:r>
      <w:r w:rsidR="00B639EA">
        <w:t>.</w:t>
      </w:r>
      <w:r w:rsidR="00CB181A">
        <w:rPr>
          <w:rStyle w:val="FootnoteReference"/>
        </w:rPr>
        <w:footnoteReference w:id="8"/>
      </w:r>
      <w:r w:rsidR="00615AF0">
        <w:t xml:space="preserve"> </w:t>
      </w:r>
      <w:r w:rsidR="00C73974">
        <w:t xml:space="preserve">Stakeholders </w:t>
      </w:r>
      <w:r w:rsidR="00695BAC">
        <w:t>noted that almost</w:t>
      </w:r>
      <w:r w:rsidR="00615AF0">
        <w:t xml:space="preserve"> all families/carers were highly receptive to the concept of the Program. </w:t>
      </w:r>
      <w:r w:rsidR="00AC743F">
        <w:t xml:space="preserve">Positive family/carer sentiment was supported by responses to the 2021 </w:t>
      </w:r>
      <w:r w:rsidR="00427B15">
        <w:t xml:space="preserve">Program </w:t>
      </w:r>
      <w:r w:rsidR="00AC743F">
        <w:t xml:space="preserve">staff survey. With a mean agreement score of 4.5 (out of 5), </w:t>
      </w:r>
      <w:r w:rsidR="00AC743F" w:rsidRPr="00AC743F">
        <w:rPr>
          <w:i/>
          <w:iCs/>
        </w:rPr>
        <w:t>‘the concept of the SDCP has been well received by families/carers’</w:t>
      </w:r>
      <w:r w:rsidR="00AC743F">
        <w:t xml:space="preserve"> was one of the highest rated attributes across all Likert scale questions asked in the survey.</w:t>
      </w:r>
    </w:p>
    <w:p w14:paraId="6D50D165" w14:textId="77777777" w:rsidR="006D2EEE" w:rsidRPr="003C03A6" w:rsidRDefault="006D2EEE" w:rsidP="006D2EEE">
      <w:pPr>
        <w:pStyle w:val="ListBullet"/>
        <w:numPr>
          <w:ilvl w:val="0"/>
          <w:numId w:val="0"/>
        </w:numPr>
        <w:rPr>
          <w:lang w:val="en-AU"/>
        </w:rPr>
      </w:pPr>
    </w:p>
    <w:p w14:paraId="22A91E50" w14:textId="0A54A52A" w:rsidR="008B3484" w:rsidRPr="00701D19" w:rsidRDefault="007E5A32" w:rsidP="008B3484">
      <w:pPr>
        <w:rPr>
          <w:rFonts w:asciiTheme="majorHAnsi" w:hAnsiTheme="majorHAnsi" w:cstheme="majorHAnsi"/>
          <w:b/>
          <w:color w:val="012169"/>
          <w:lang w:val="en-AU"/>
        </w:rPr>
      </w:pPr>
      <w:r w:rsidRPr="00701D19">
        <w:rPr>
          <w:rFonts w:asciiTheme="majorHAnsi" w:hAnsiTheme="majorHAnsi" w:cstheme="majorHAnsi"/>
          <w:b/>
          <w:color w:val="012169"/>
          <w:lang w:val="en-AU"/>
        </w:rPr>
        <w:t xml:space="preserve">There has been a </w:t>
      </w:r>
      <w:r w:rsidR="00FB0765" w:rsidRPr="00701D19">
        <w:rPr>
          <w:rFonts w:asciiTheme="majorHAnsi" w:hAnsiTheme="majorHAnsi" w:cstheme="majorHAnsi"/>
          <w:b/>
          <w:color w:val="012169"/>
          <w:lang w:val="en-AU"/>
        </w:rPr>
        <w:t>marked</w:t>
      </w:r>
      <w:r w:rsidRPr="00701D19">
        <w:rPr>
          <w:rFonts w:asciiTheme="majorHAnsi" w:hAnsiTheme="majorHAnsi" w:cstheme="majorHAnsi"/>
          <w:b/>
          <w:color w:val="012169"/>
          <w:lang w:val="en-AU"/>
        </w:rPr>
        <w:t xml:space="preserve"> improvement in site occupancy since the Interim Report (2021). </w:t>
      </w:r>
      <w:r w:rsidR="00B011F4" w:rsidRPr="00701D19">
        <w:rPr>
          <w:rFonts w:asciiTheme="majorHAnsi" w:hAnsiTheme="majorHAnsi" w:cstheme="majorHAnsi"/>
          <w:b/>
          <w:color w:val="012169"/>
          <w:lang w:val="en-AU"/>
        </w:rPr>
        <w:t>O</w:t>
      </w:r>
      <w:r w:rsidRPr="00701D19">
        <w:rPr>
          <w:rFonts w:asciiTheme="majorHAnsi" w:hAnsiTheme="majorHAnsi" w:cstheme="majorHAnsi"/>
          <w:b/>
          <w:color w:val="012169"/>
          <w:lang w:val="en-AU"/>
        </w:rPr>
        <w:t xml:space="preserve">ver half of </w:t>
      </w:r>
      <w:r w:rsidR="00513D42">
        <w:rPr>
          <w:rFonts w:asciiTheme="majorHAnsi" w:hAnsiTheme="majorHAnsi" w:cstheme="majorHAnsi"/>
          <w:b/>
          <w:color w:val="012169"/>
          <w:lang w:val="en-AU"/>
        </w:rPr>
        <w:t>SDCU</w:t>
      </w:r>
      <w:r w:rsidRPr="00701D19">
        <w:rPr>
          <w:rFonts w:asciiTheme="majorHAnsi" w:hAnsiTheme="majorHAnsi" w:cstheme="majorHAnsi"/>
          <w:b/>
          <w:color w:val="012169"/>
          <w:lang w:val="en-AU"/>
        </w:rPr>
        <w:t xml:space="preserve">s achieved occupancy rates </w:t>
      </w:r>
      <w:r w:rsidR="002D72DB">
        <w:rPr>
          <w:rFonts w:asciiTheme="majorHAnsi" w:hAnsiTheme="majorHAnsi" w:cstheme="majorHAnsi"/>
          <w:b/>
          <w:bCs/>
          <w:color w:val="012169"/>
          <w:lang w:val="en-AU"/>
        </w:rPr>
        <w:t>(based on occupied bed</w:t>
      </w:r>
      <w:r w:rsidR="00C73DE3">
        <w:rPr>
          <w:rFonts w:asciiTheme="majorHAnsi" w:hAnsiTheme="majorHAnsi" w:cstheme="majorHAnsi"/>
          <w:b/>
          <w:bCs/>
          <w:color w:val="012169"/>
          <w:lang w:val="en-AU"/>
        </w:rPr>
        <w:t>-</w:t>
      </w:r>
      <w:r w:rsidR="002D72DB">
        <w:rPr>
          <w:rFonts w:asciiTheme="majorHAnsi" w:hAnsiTheme="majorHAnsi" w:cstheme="majorHAnsi"/>
          <w:b/>
          <w:bCs/>
          <w:color w:val="012169"/>
          <w:lang w:val="en-AU"/>
        </w:rPr>
        <w:t>days)</w:t>
      </w:r>
      <w:r w:rsidRPr="00701D19">
        <w:rPr>
          <w:rFonts w:asciiTheme="majorHAnsi" w:hAnsiTheme="majorHAnsi" w:cstheme="majorHAnsi"/>
          <w:b/>
          <w:bCs/>
          <w:color w:val="012169"/>
          <w:lang w:val="en-AU"/>
        </w:rPr>
        <w:t xml:space="preserve"> </w:t>
      </w:r>
      <w:r w:rsidRPr="00701D19">
        <w:rPr>
          <w:rFonts w:asciiTheme="majorHAnsi" w:hAnsiTheme="majorHAnsi" w:cstheme="majorHAnsi"/>
          <w:b/>
          <w:color w:val="012169"/>
          <w:lang w:val="en-AU"/>
        </w:rPr>
        <w:t>of 80</w:t>
      </w:r>
      <w:r w:rsidR="00B83E4D">
        <w:rPr>
          <w:rFonts w:asciiTheme="majorHAnsi" w:hAnsiTheme="majorHAnsi" w:cstheme="majorHAnsi"/>
          <w:b/>
          <w:bCs/>
          <w:color w:val="012169"/>
          <w:lang w:val="en-AU"/>
        </w:rPr>
        <w:t>%</w:t>
      </w:r>
      <w:r w:rsidRPr="00701D19">
        <w:rPr>
          <w:rFonts w:asciiTheme="majorHAnsi" w:hAnsiTheme="majorHAnsi" w:cstheme="majorHAnsi"/>
          <w:b/>
          <w:color w:val="012169"/>
          <w:lang w:val="en-AU"/>
        </w:rPr>
        <w:t xml:space="preserve"> or over </w:t>
      </w:r>
      <w:r w:rsidR="00481C05" w:rsidRPr="00701D19">
        <w:rPr>
          <w:rFonts w:asciiTheme="majorHAnsi" w:hAnsiTheme="majorHAnsi" w:cstheme="majorHAnsi"/>
          <w:b/>
          <w:color w:val="012169"/>
          <w:lang w:val="en-AU"/>
        </w:rPr>
        <w:t>in Financial Year (FY</w:t>
      </w:r>
      <w:r w:rsidR="00644C93" w:rsidRPr="00701D19">
        <w:rPr>
          <w:rFonts w:asciiTheme="majorHAnsi" w:hAnsiTheme="majorHAnsi" w:cstheme="majorHAnsi"/>
          <w:b/>
          <w:color w:val="012169"/>
          <w:lang w:val="en-AU"/>
        </w:rPr>
        <w:t xml:space="preserve">) </w:t>
      </w:r>
      <w:r w:rsidR="00481C05" w:rsidRPr="00701D19">
        <w:rPr>
          <w:rFonts w:asciiTheme="majorHAnsi" w:hAnsiTheme="majorHAnsi" w:cstheme="majorHAnsi"/>
          <w:b/>
          <w:color w:val="012169"/>
          <w:lang w:val="en-AU"/>
        </w:rPr>
        <w:t>2021-22</w:t>
      </w:r>
      <w:r w:rsidR="00841366" w:rsidRPr="00701D19">
        <w:rPr>
          <w:rFonts w:asciiTheme="majorHAnsi" w:hAnsiTheme="majorHAnsi" w:cstheme="majorHAnsi"/>
          <w:b/>
          <w:color w:val="012169"/>
          <w:lang w:val="en-AU"/>
        </w:rPr>
        <w:t>.</w:t>
      </w:r>
    </w:p>
    <w:p w14:paraId="203F65A7" w14:textId="14FFDEA3" w:rsidR="001735BA" w:rsidRPr="001851E6" w:rsidRDefault="001735BA" w:rsidP="001735BA">
      <w:pPr>
        <w:spacing w:after="0"/>
        <w:rPr>
          <w:u w:val="single"/>
          <w:lang w:val="en-AU"/>
        </w:rPr>
      </w:pPr>
      <w:r w:rsidRPr="001851E6">
        <w:rPr>
          <w:u w:val="single"/>
          <w:lang w:val="en-AU"/>
        </w:rPr>
        <w:t>Reaching capacity</w:t>
      </w:r>
      <w:r w:rsidR="008D3E61" w:rsidRPr="001851E6">
        <w:rPr>
          <w:u w:val="single"/>
          <w:lang w:val="en-AU"/>
        </w:rPr>
        <w:t xml:space="preserve"> (i.e. </w:t>
      </w:r>
      <w:r w:rsidR="00365CFA">
        <w:rPr>
          <w:u w:val="single"/>
          <w:lang w:val="en-AU"/>
        </w:rPr>
        <w:t xml:space="preserve">full </w:t>
      </w:r>
      <w:r w:rsidR="00B5624D">
        <w:rPr>
          <w:u w:val="single"/>
          <w:lang w:val="en-AU"/>
        </w:rPr>
        <w:t>occupancy first reached</w:t>
      </w:r>
      <w:r w:rsidR="008D3E61" w:rsidRPr="001851E6">
        <w:rPr>
          <w:u w:val="single"/>
          <w:lang w:val="en-AU"/>
        </w:rPr>
        <w:t>)</w:t>
      </w:r>
    </w:p>
    <w:p w14:paraId="053D279E" w14:textId="611135D4" w:rsidR="00617536" w:rsidRDefault="00AD25C9" w:rsidP="001851E6">
      <w:pPr>
        <w:rPr>
          <w:lang w:val="en-AU"/>
        </w:rPr>
      </w:pPr>
      <w:r w:rsidRPr="001851E6">
        <w:rPr>
          <w:lang w:val="en-AU"/>
        </w:rPr>
        <w:t xml:space="preserve">One way to </w:t>
      </w:r>
      <w:r w:rsidR="00B053A4">
        <w:rPr>
          <w:lang w:val="en-AU"/>
        </w:rPr>
        <w:t>examine Program</w:t>
      </w:r>
      <w:r w:rsidRPr="001851E6">
        <w:rPr>
          <w:lang w:val="en-AU"/>
        </w:rPr>
        <w:t xml:space="preserve"> uptake is to </w:t>
      </w:r>
      <w:r w:rsidR="00B053A4">
        <w:rPr>
          <w:lang w:val="en-AU"/>
        </w:rPr>
        <w:t>assess</w:t>
      </w:r>
      <w:r w:rsidR="0039510F" w:rsidRPr="001851E6">
        <w:rPr>
          <w:lang w:val="en-AU"/>
        </w:rPr>
        <w:t xml:space="preserve"> how long it took</w:t>
      </w:r>
      <w:r w:rsidR="0039510F">
        <w:rPr>
          <w:lang w:val="en-AU"/>
        </w:rPr>
        <w:t xml:space="preserve"> </w:t>
      </w:r>
      <w:r w:rsidR="00BC2CB9">
        <w:rPr>
          <w:lang w:val="en-AU"/>
        </w:rPr>
        <w:t>each</w:t>
      </w:r>
      <w:r w:rsidR="0039510F" w:rsidRPr="001851E6">
        <w:rPr>
          <w:lang w:val="en-AU"/>
        </w:rPr>
        <w:t xml:space="preserve"> SDCU</w:t>
      </w:r>
      <w:r w:rsidR="00596FEF" w:rsidRPr="001851E6">
        <w:rPr>
          <w:lang w:val="en-AU"/>
        </w:rPr>
        <w:t xml:space="preserve"> </w:t>
      </w:r>
      <w:r w:rsidR="0039510F" w:rsidRPr="001851E6">
        <w:rPr>
          <w:lang w:val="en-AU"/>
        </w:rPr>
        <w:t xml:space="preserve">to </w:t>
      </w:r>
      <w:r w:rsidR="0039510F">
        <w:rPr>
          <w:lang w:val="en-AU"/>
        </w:rPr>
        <w:t xml:space="preserve">first </w:t>
      </w:r>
      <w:r w:rsidR="0039510F" w:rsidRPr="001851E6">
        <w:rPr>
          <w:lang w:val="en-AU"/>
        </w:rPr>
        <w:t>reach</w:t>
      </w:r>
      <w:r w:rsidR="0039510F">
        <w:rPr>
          <w:lang w:val="en-AU"/>
        </w:rPr>
        <w:t xml:space="preserve"> capacity</w:t>
      </w:r>
      <w:r w:rsidR="001851E6">
        <w:rPr>
          <w:lang w:val="en-AU"/>
        </w:rPr>
        <w:t xml:space="preserve">. </w:t>
      </w:r>
      <w:r w:rsidR="00D55178" w:rsidRPr="00CB7892">
        <w:rPr>
          <w:lang w:val="en-AU"/>
        </w:rPr>
        <w:t xml:space="preserve">The rate </w:t>
      </w:r>
      <w:r w:rsidR="004B0EF5" w:rsidRPr="00CB7892">
        <w:rPr>
          <w:lang w:val="en-AU"/>
        </w:rPr>
        <w:t>at which SDCU</w:t>
      </w:r>
      <w:r w:rsidR="00AC4B79" w:rsidRPr="00CB7892">
        <w:rPr>
          <w:lang w:val="en-AU"/>
        </w:rPr>
        <w:t>s</w:t>
      </w:r>
      <w:r w:rsidR="004B0EF5" w:rsidRPr="00CB7892">
        <w:rPr>
          <w:lang w:val="en-AU"/>
        </w:rPr>
        <w:t xml:space="preserve"> were able to reach capacity </w:t>
      </w:r>
      <w:r w:rsidR="007B520A" w:rsidRPr="00CB7892">
        <w:rPr>
          <w:lang w:val="en-AU"/>
        </w:rPr>
        <w:t>varie</w:t>
      </w:r>
      <w:r w:rsidR="0039510F" w:rsidRPr="00CB7892">
        <w:rPr>
          <w:lang w:val="en-AU"/>
        </w:rPr>
        <w:t xml:space="preserve">d. </w:t>
      </w:r>
      <w:r w:rsidR="00617536">
        <w:rPr>
          <w:lang w:val="en-AU"/>
        </w:rPr>
        <w:t>At this stage of the Program, nine out of ten SDCUs have achieved full Program occupancy (</w:t>
      </w:r>
      <w:r w:rsidR="000217E8">
        <w:rPr>
          <w:lang w:val="en-AU"/>
        </w:rPr>
        <w:fldChar w:fldCharType="begin"/>
      </w:r>
      <w:r w:rsidR="000217E8">
        <w:rPr>
          <w:lang w:val="en-AU"/>
        </w:rPr>
        <w:instrText xml:space="preserve"> REF _Ref125368837 \h </w:instrText>
      </w:r>
      <w:r w:rsidR="000217E8">
        <w:rPr>
          <w:lang w:val="en-AU"/>
        </w:rPr>
      </w:r>
      <w:r w:rsidR="000217E8">
        <w:rPr>
          <w:lang w:val="en-AU"/>
        </w:rPr>
        <w:fldChar w:fldCharType="separate"/>
      </w:r>
      <w:r w:rsidR="00D32536">
        <w:t xml:space="preserve">Figure </w:t>
      </w:r>
      <w:r w:rsidR="00D32536">
        <w:rPr>
          <w:noProof/>
        </w:rPr>
        <w:t>2</w:t>
      </w:r>
      <w:r w:rsidR="00D32536">
        <w:t>.</w:t>
      </w:r>
      <w:r w:rsidR="00D32536">
        <w:rPr>
          <w:noProof/>
        </w:rPr>
        <w:t>9</w:t>
      </w:r>
      <w:r w:rsidR="000217E8">
        <w:rPr>
          <w:lang w:val="en-AU"/>
        </w:rPr>
        <w:fldChar w:fldCharType="end"/>
      </w:r>
      <w:r w:rsidR="00617536">
        <w:rPr>
          <w:lang w:val="en-AU"/>
        </w:rPr>
        <w:t>). However, there was wide underlying variation in the time taken to achieve this metric (i.e. timelines differed between three months and over one and a half years), with one SDCU at approximately half-capacity after more than two years.</w:t>
      </w:r>
    </w:p>
    <w:p w14:paraId="6BB76021" w14:textId="38BB1240" w:rsidR="007B520A" w:rsidRDefault="00773CED" w:rsidP="001851E6">
      <w:pPr>
        <w:rPr>
          <w:lang w:val="en-AU"/>
        </w:rPr>
      </w:pPr>
      <w:r>
        <w:rPr>
          <w:lang w:val="en-AU"/>
        </w:rPr>
        <w:t>Stakeholders consulted highlighted several themes that help to</w:t>
      </w:r>
      <w:r w:rsidR="00FD0F85">
        <w:rPr>
          <w:lang w:val="en-AU"/>
        </w:rPr>
        <w:t xml:space="preserve"> understand </w:t>
      </w:r>
      <w:r w:rsidR="00F17EEA">
        <w:rPr>
          <w:lang w:val="en-AU"/>
        </w:rPr>
        <w:t>variation in the extent to which</w:t>
      </w:r>
      <w:r w:rsidR="00EF1D95">
        <w:rPr>
          <w:lang w:val="en-AU"/>
        </w:rPr>
        <w:t xml:space="preserve"> different</w:t>
      </w:r>
      <w:r w:rsidR="00F17EEA">
        <w:rPr>
          <w:lang w:val="en-AU"/>
        </w:rPr>
        <w:t xml:space="preserve"> SDCUs are able to achieve and maintain full occupancy</w:t>
      </w:r>
      <w:r w:rsidR="00FD0F85">
        <w:rPr>
          <w:lang w:val="en-AU"/>
        </w:rPr>
        <w:t>:</w:t>
      </w:r>
    </w:p>
    <w:p w14:paraId="4835238A" w14:textId="55E3CE2C" w:rsidR="00A505ED" w:rsidRPr="009D597A" w:rsidRDefault="001E5F4B" w:rsidP="001E5F4B">
      <w:pPr>
        <w:pStyle w:val="ListBullet"/>
        <w:spacing w:after="240"/>
        <w:ind w:left="357" w:hanging="357"/>
        <w:contextualSpacing w:val="0"/>
        <w:rPr>
          <w:lang w:val="en-AU"/>
        </w:rPr>
      </w:pPr>
      <w:r w:rsidRPr="001E5F4B">
        <w:rPr>
          <w:rFonts w:asciiTheme="majorHAnsi" w:hAnsiTheme="majorHAnsi" w:cstheme="majorHAnsi"/>
          <w:b/>
          <w:bCs/>
        </w:rPr>
        <w:t>Provider risk appetite.</w:t>
      </w:r>
      <w:r>
        <w:t xml:space="preserve"> </w:t>
      </w:r>
      <w:r w:rsidR="00CC504A">
        <w:t>Many of the SDCUs slow to reach capacity have declined placement for residents who were assessed as eligible by the NBA service.</w:t>
      </w:r>
      <w:r w:rsidR="001952B0">
        <w:t xml:space="preserve"> Reasons for declining placement typically related to poor ‘fit’ with the current resident and staff mix, as well as a view that some residents’ needs were too complex and would create unnecessary risk for the provider. Indeed, observations from consultations indicated significant variation in risk appetite across </w:t>
      </w:r>
      <w:r w:rsidR="00615AF0">
        <w:t>SDCU</w:t>
      </w:r>
      <w:r w:rsidR="00B93766">
        <w:t>s</w:t>
      </w:r>
      <w:r w:rsidR="001952B0">
        <w:t>. Some providers take a view that no resident should be declined a placement based on need complexity and have accepted clients who were declined from other SDCUs for this reason.</w:t>
      </w:r>
    </w:p>
    <w:p w14:paraId="0D40BA66" w14:textId="39053EEA" w:rsidR="009D597A" w:rsidRPr="00A505ED" w:rsidRDefault="004D047D" w:rsidP="001E5F4B">
      <w:pPr>
        <w:pStyle w:val="ListBullet"/>
        <w:spacing w:after="240"/>
        <w:ind w:left="357" w:hanging="357"/>
        <w:contextualSpacing w:val="0"/>
        <w:rPr>
          <w:lang w:val="en-AU"/>
        </w:rPr>
      </w:pPr>
      <w:r w:rsidRPr="004D047D">
        <w:rPr>
          <w:rFonts w:asciiTheme="majorHAnsi" w:hAnsiTheme="majorHAnsi" w:cstheme="majorHAnsi"/>
          <w:b/>
          <w:bCs/>
        </w:rPr>
        <w:t>Unique barriers that exist in regional and rural areas.</w:t>
      </w:r>
      <w:r>
        <w:t xml:space="preserve"> </w:t>
      </w:r>
      <w:r w:rsidR="00A60D7F" w:rsidRPr="000F5074">
        <w:t>P</w:t>
      </w:r>
      <w:r w:rsidR="00A60D7F">
        <w:t>eople</w:t>
      </w:r>
      <w:r w:rsidR="00A60D7F" w:rsidRPr="000F5074">
        <w:t xml:space="preserve"> in regional and rural </w:t>
      </w:r>
      <w:r w:rsidR="00A60D7F">
        <w:t xml:space="preserve">areas </w:t>
      </w:r>
      <w:r w:rsidR="00A60D7F">
        <w:rPr>
          <w:lang w:val="en-AU"/>
        </w:rPr>
        <w:t xml:space="preserve">can face additional challenges in meeting the NBA eligibility criteria where there is limited presence of a </w:t>
      </w:r>
      <w:r w:rsidR="00A60D7F">
        <w:t xml:space="preserve">psychogeriatrician (or other relevant specialist) in their location, which is required as part of the Program eligibility criteria. </w:t>
      </w:r>
      <w:r w:rsidR="00A60D7F">
        <w:rPr>
          <w:lang w:val="en-AU"/>
        </w:rPr>
        <w:t xml:space="preserve">Stakeholders noted that consultants administering the NBA process had worked collaboratively with patients, family members and health care workers in order to address this challenge. </w:t>
      </w:r>
      <w:r w:rsidR="00A60D7F" w:rsidRPr="005A0A46">
        <w:rPr>
          <w:lang w:val="en-AU"/>
        </w:rPr>
        <w:t xml:space="preserve"> </w:t>
      </w:r>
    </w:p>
    <w:p w14:paraId="71FEE630" w14:textId="33415979" w:rsidR="001851E6" w:rsidRPr="001851E6" w:rsidRDefault="001851E6" w:rsidP="001851E6">
      <w:pPr>
        <w:spacing w:after="0"/>
        <w:rPr>
          <w:u w:val="single"/>
          <w:lang w:val="en-AU"/>
        </w:rPr>
      </w:pPr>
      <w:r w:rsidRPr="001851E6">
        <w:rPr>
          <w:u w:val="single"/>
          <w:lang w:val="en-AU"/>
        </w:rPr>
        <w:t>Occupied bed-days</w:t>
      </w:r>
      <w:r>
        <w:rPr>
          <w:u w:val="single"/>
          <w:lang w:val="en-AU"/>
        </w:rPr>
        <w:t xml:space="preserve"> (i.e. </w:t>
      </w:r>
      <w:r w:rsidR="00365CFA">
        <w:rPr>
          <w:u w:val="single"/>
          <w:lang w:val="en-AU"/>
        </w:rPr>
        <w:t xml:space="preserve">annual </w:t>
      </w:r>
      <w:r>
        <w:rPr>
          <w:u w:val="single"/>
          <w:lang w:val="en-AU"/>
        </w:rPr>
        <w:t>occupancy</w:t>
      </w:r>
      <w:r w:rsidR="00365CFA">
        <w:rPr>
          <w:u w:val="single"/>
          <w:lang w:val="en-AU"/>
        </w:rPr>
        <w:t xml:space="preserve"> rate</w:t>
      </w:r>
      <w:r>
        <w:rPr>
          <w:u w:val="single"/>
          <w:lang w:val="en-AU"/>
        </w:rPr>
        <w:t>)</w:t>
      </w:r>
    </w:p>
    <w:p w14:paraId="32ED94CD" w14:textId="1004ED35" w:rsidR="00B23A2F" w:rsidRPr="00E46623" w:rsidRDefault="000420C3" w:rsidP="009B44B1">
      <w:r w:rsidRPr="000420C3">
        <w:rPr>
          <w:lang w:val="en-AU"/>
        </w:rPr>
        <w:t xml:space="preserve">A </w:t>
      </w:r>
      <w:r>
        <w:rPr>
          <w:lang w:val="en-AU"/>
        </w:rPr>
        <w:t xml:space="preserve">separate measure of Program uptake </w:t>
      </w:r>
      <w:r w:rsidR="00FA6C01">
        <w:rPr>
          <w:lang w:val="en-AU"/>
        </w:rPr>
        <w:t>is</w:t>
      </w:r>
      <w:r w:rsidR="006243B2" w:rsidRPr="000420C3">
        <w:rPr>
          <w:lang w:val="en-AU"/>
        </w:rPr>
        <w:t xml:space="preserve"> </w:t>
      </w:r>
      <w:r w:rsidR="003C4120">
        <w:rPr>
          <w:lang w:val="en-AU"/>
        </w:rPr>
        <w:t xml:space="preserve">SDCU </w:t>
      </w:r>
      <w:r w:rsidR="006243B2" w:rsidRPr="000420C3">
        <w:rPr>
          <w:lang w:val="en-AU"/>
        </w:rPr>
        <w:t>occupied bed</w:t>
      </w:r>
      <w:r w:rsidR="00B34E5B">
        <w:rPr>
          <w:lang w:val="en-AU"/>
        </w:rPr>
        <w:t>-days</w:t>
      </w:r>
      <w:r w:rsidR="00596FEF" w:rsidRPr="000420C3">
        <w:rPr>
          <w:lang w:val="en-AU"/>
        </w:rPr>
        <w:t xml:space="preserve">. Unit-level </w:t>
      </w:r>
      <w:r w:rsidR="00513D42">
        <w:rPr>
          <w:lang w:val="en-AU"/>
        </w:rPr>
        <w:t>SDCU</w:t>
      </w:r>
      <w:r w:rsidR="00596FEF" w:rsidRPr="000420C3">
        <w:rPr>
          <w:lang w:val="en-AU"/>
        </w:rPr>
        <w:t xml:space="preserve"> data was used to build a bottom-up model of each site in terms of operational-bed</w:t>
      </w:r>
      <w:r w:rsidR="005C41E0">
        <w:rPr>
          <w:lang w:val="en-AU"/>
        </w:rPr>
        <w:t>-</w:t>
      </w:r>
      <w:r w:rsidR="00596FEF" w:rsidRPr="000420C3">
        <w:rPr>
          <w:lang w:val="en-AU"/>
        </w:rPr>
        <w:t>days (i.e. excluding bounce-back days) and occupied bed</w:t>
      </w:r>
      <w:r w:rsidR="005C41E0">
        <w:rPr>
          <w:lang w:val="en-AU"/>
        </w:rPr>
        <w:t>-</w:t>
      </w:r>
      <w:r w:rsidR="00596FEF" w:rsidRPr="000420C3">
        <w:rPr>
          <w:lang w:val="en-AU"/>
        </w:rPr>
        <w:t xml:space="preserve">days based on admission and discharge </w:t>
      </w:r>
      <w:r w:rsidR="008D0392">
        <w:rPr>
          <w:lang w:val="en-AU"/>
        </w:rPr>
        <w:t>dates</w:t>
      </w:r>
      <w:r w:rsidR="00596FEF" w:rsidRPr="000420C3">
        <w:rPr>
          <w:lang w:val="en-AU"/>
        </w:rPr>
        <w:t>.</w:t>
      </w:r>
      <w:r w:rsidR="0082623B">
        <w:rPr>
          <w:rStyle w:val="FootnoteReference"/>
          <w:lang w:val="en-AU"/>
        </w:rPr>
        <w:footnoteReference w:id="9"/>
      </w:r>
      <w:r w:rsidR="00596FEF" w:rsidRPr="000420C3">
        <w:rPr>
          <w:lang w:val="en-AU"/>
        </w:rPr>
        <w:t xml:space="preserve"> </w:t>
      </w:r>
      <w:r w:rsidR="009C6FC5">
        <w:rPr>
          <w:lang w:val="en-AU"/>
        </w:rPr>
        <w:t>S</w:t>
      </w:r>
      <w:r w:rsidR="00AB1A8B">
        <w:rPr>
          <w:lang w:val="en-AU"/>
        </w:rPr>
        <w:t xml:space="preserve">ince the </w:t>
      </w:r>
      <w:r w:rsidR="00AB1A8B" w:rsidRPr="00C5404C">
        <w:rPr>
          <w:rFonts w:asciiTheme="majorHAnsi" w:hAnsiTheme="majorHAnsi" w:cstheme="majorHAnsi"/>
          <w:b/>
          <w:lang w:val="en-AU"/>
        </w:rPr>
        <w:t>Interim Report (2021)</w:t>
      </w:r>
      <w:r w:rsidR="00AB1A8B">
        <w:rPr>
          <w:lang w:val="en-AU"/>
        </w:rPr>
        <w:t xml:space="preserve"> there has been a strong improvement in </w:t>
      </w:r>
      <w:r w:rsidR="00B23A2F">
        <w:rPr>
          <w:lang w:val="en-AU"/>
        </w:rPr>
        <w:t>the</w:t>
      </w:r>
      <w:r w:rsidR="00E46623">
        <w:rPr>
          <w:lang w:val="en-AU"/>
        </w:rPr>
        <w:t xml:space="preserve"> Program’s overall</w:t>
      </w:r>
      <w:r w:rsidR="00B23A2F">
        <w:rPr>
          <w:lang w:val="en-AU"/>
        </w:rPr>
        <w:t xml:space="preserve"> </w:t>
      </w:r>
      <w:r w:rsidR="00B23A2F" w:rsidRPr="00E46623">
        <w:t>occupancy rate</w:t>
      </w:r>
      <w:r w:rsidR="008D7765" w:rsidRPr="00E46623">
        <w:t>,</w:t>
      </w:r>
      <w:r w:rsidR="00B23A2F" w:rsidRPr="00E46623">
        <w:t xml:space="preserve"> from 41% in FY20 and 54% in FY21 to 85% in FY21-22.</w:t>
      </w:r>
    </w:p>
    <w:p w14:paraId="78FD51E0" w14:textId="4E492680" w:rsidR="00906A7E" w:rsidRPr="00DC2C24" w:rsidRDefault="00E46623" w:rsidP="00DC2C24">
      <w:pPr>
        <w:rPr>
          <w:lang w:val="en-AU"/>
        </w:rPr>
      </w:pPr>
      <w:r>
        <w:rPr>
          <w:lang w:val="en-AU"/>
        </w:rPr>
        <w:t>I</w:t>
      </w:r>
      <w:r w:rsidR="00596FEF" w:rsidRPr="000420C3">
        <w:rPr>
          <w:lang w:val="en-AU"/>
        </w:rPr>
        <w:t xml:space="preserve">t is broadly estimated that in FY22 over half of </w:t>
      </w:r>
      <w:r>
        <w:rPr>
          <w:lang w:val="en-AU"/>
        </w:rPr>
        <w:t xml:space="preserve">the ten </w:t>
      </w:r>
      <w:r w:rsidR="00513D42">
        <w:rPr>
          <w:lang w:val="en-AU"/>
        </w:rPr>
        <w:t>SDCUs</w:t>
      </w:r>
      <w:r w:rsidR="00596FEF" w:rsidRPr="000420C3">
        <w:rPr>
          <w:lang w:val="en-AU"/>
        </w:rPr>
        <w:t xml:space="preserve"> achieved occupancy rates of at least 80</w:t>
      </w:r>
      <w:r w:rsidR="00281262" w:rsidRPr="000420C3">
        <w:rPr>
          <w:lang w:val="en-AU"/>
        </w:rPr>
        <w:t>%</w:t>
      </w:r>
      <w:r w:rsidR="00596FEF" w:rsidRPr="000420C3">
        <w:rPr>
          <w:lang w:val="en-AU"/>
        </w:rPr>
        <w:t xml:space="preserve">. </w:t>
      </w:r>
      <w:r w:rsidR="00906A7E">
        <w:t xml:space="preserve"> </w:t>
      </w:r>
    </w:p>
    <w:p w14:paraId="2D1DD671" w14:textId="6400C8F0" w:rsidR="00DC2C24" w:rsidRDefault="00DC2C24" w:rsidP="00DC2C24">
      <w:pPr>
        <w:pStyle w:val="Caption"/>
      </w:pPr>
      <w:bookmarkStart w:id="33" w:name="_Ref125368837"/>
      <w:r>
        <w:t xml:space="preserve">Figure </w:t>
      </w:r>
      <w:r>
        <w:fldChar w:fldCharType="begin"/>
      </w:r>
      <w:r>
        <w:instrText xml:space="preserve"> STYLEREF 1 \s </w:instrText>
      </w:r>
      <w:r>
        <w:fldChar w:fldCharType="separate"/>
      </w:r>
      <w:r w:rsidR="00D32536">
        <w:rPr>
          <w:noProof/>
        </w:rPr>
        <w:t>2</w:t>
      </w:r>
      <w:r>
        <w:fldChar w:fldCharType="end"/>
      </w:r>
      <w:r>
        <w:t>.</w:t>
      </w:r>
      <w:r w:rsidR="008875A8">
        <w:fldChar w:fldCharType="begin"/>
      </w:r>
      <w:r w:rsidR="008875A8">
        <w:instrText xml:space="preserve"> SEQ Figure \* ARABIC \s 1 </w:instrText>
      </w:r>
      <w:r w:rsidR="008875A8">
        <w:fldChar w:fldCharType="separate"/>
      </w:r>
      <w:r w:rsidR="00D32536">
        <w:rPr>
          <w:noProof/>
        </w:rPr>
        <w:t>9</w:t>
      </w:r>
      <w:r w:rsidR="008875A8">
        <w:fldChar w:fldCharType="end"/>
      </w:r>
      <w:bookmarkEnd w:id="33"/>
      <w:r>
        <w:t xml:space="preserve"> </w:t>
      </w:r>
      <w:r w:rsidRPr="00B172D8">
        <w:t>Cumulative admissions, discharges and readmissions at each SDCU, by months since opening</w:t>
      </w:r>
    </w:p>
    <w:p w14:paraId="269E6CB3" w14:textId="153D1A36" w:rsidR="00D7492E" w:rsidRPr="00E862F1" w:rsidRDefault="00972D05" w:rsidP="00C57963">
      <w:pPr>
        <w:keepNext/>
        <w:spacing w:after="0"/>
      </w:pPr>
      <w:r w:rsidRPr="00972D05">
        <w:rPr>
          <w:noProof/>
        </w:rPr>
        <w:drawing>
          <wp:inline distT="0" distB="0" distL="0" distR="0" wp14:anchorId="14606644" wp14:editId="7E481EF7">
            <wp:extent cx="6456866" cy="7752522"/>
            <wp:effectExtent l="0" t="0" r="1270" b="0"/>
            <wp:docPr id="1" name="Picture 1" descr="This image shows individual graphs for each specialist dementia care unit around the country. It is a timeline that describes the cumulative number of admissions, discharges and read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individual graphs for each specialist dementia care unit around the country. It is a timeline that describes the cumulative number of admissions, discharges and readmissi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68086" cy="7765994"/>
                    </a:xfrm>
                    <a:prstGeom prst="rect">
                      <a:avLst/>
                    </a:prstGeom>
                    <a:noFill/>
                    <a:ln>
                      <a:noFill/>
                    </a:ln>
                  </pic:spPr>
                </pic:pic>
              </a:graphicData>
            </a:graphic>
          </wp:inline>
        </w:drawing>
      </w:r>
      <w:r w:rsidR="00EA50E9" w:rsidRPr="00EA50E9" w:rsidDel="00CC12CA">
        <w:t xml:space="preserve"> </w:t>
      </w:r>
    </w:p>
    <w:p w14:paraId="6D377454" w14:textId="43B0D513" w:rsidR="008F7A67" w:rsidRPr="008F7A67" w:rsidRDefault="008F7A67" w:rsidP="00F24B41">
      <w:pPr>
        <w:pStyle w:val="SourcetextTableorChart"/>
        <w:spacing w:after="120"/>
      </w:pPr>
      <w:r w:rsidRPr="008F7A67">
        <w:t>S</w:t>
      </w:r>
      <w:r>
        <w:t xml:space="preserve">ource: Deloitte Access Economics calculations, based on </w:t>
      </w:r>
      <w:r w:rsidR="005A5662">
        <w:t>provider performance reports (July 2019 to June 2022).</w:t>
      </w:r>
    </w:p>
    <w:p w14:paraId="20256F48" w14:textId="6D44953C" w:rsidR="00C57963" w:rsidRDefault="00C57963" w:rsidP="0079620C">
      <w:pPr>
        <w:rPr>
          <w:lang w:val="en-AU"/>
        </w:rPr>
      </w:pPr>
      <w:r w:rsidRPr="000420C3">
        <w:rPr>
          <w:lang w:val="en-AU"/>
        </w:rPr>
        <w:t xml:space="preserve">It </w:t>
      </w:r>
      <w:r w:rsidR="00566BC8">
        <w:rPr>
          <w:lang w:val="en-AU"/>
        </w:rPr>
        <w:t>is recognised</w:t>
      </w:r>
      <w:r w:rsidRPr="000420C3">
        <w:rPr>
          <w:lang w:val="en-AU"/>
        </w:rPr>
        <w:t xml:space="preserve"> that </w:t>
      </w:r>
      <w:r w:rsidR="009A504F">
        <w:rPr>
          <w:lang w:val="en-AU"/>
        </w:rPr>
        <w:t>site occupancy may be impacted by</w:t>
      </w:r>
      <w:r w:rsidR="00D928C6">
        <w:rPr>
          <w:lang w:val="en-AU"/>
        </w:rPr>
        <w:t xml:space="preserve"> </w:t>
      </w:r>
      <w:r w:rsidR="004512B0">
        <w:rPr>
          <w:lang w:val="en-AU"/>
        </w:rPr>
        <w:t>situations of complex resident</w:t>
      </w:r>
      <w:r w:rsidR="00D928C6">
        <w:rPr>
          <w:lang w:val="en-AU"/>
        </w:rPr>
        <w:t xml:space="preserve"> dynamics (</w:t>
      </w:r>
      <w:r w:rsidR="0082172C">
        <w:rPr>
          <w:lang w:val="en-AU"/>
        </w:rPr>
        <w:t xml:space="preserve">and the </w:t>
      </w:r>
      <w:r w:rsidR="0049127C">
        <w:rPr>
          <w:lang w:val="en-AU"/>
        </w:rPr>
        <w:t xml:space="preserve">suitability assessment decision to introduce a new resident into the current </w:t>
      </w:r>
      <w:r w:rsidR="000D5B4D">
        <w:rPr>
          <w:lang w:val="en-AU"/>
        </w:rPr>
        <w:t>mix</w:t>
      </w:r>
      <w:r w:rsidR="0049127C">
        <w:rPr>
          <w:lang w:val="en-AU"/>
        </w:rPr>
        <w:t>),</w:t>
      </w:r>
      <w:r w:rsidR="006B2D18">
        <w:rPr>
          <w:lang w:val="en-AU"/>
        </w:rPr>
        <w:t xml:space="preserve"> provider risk appetite for a prospective resident’s behaviours </w:t>
      </w:r>
      <w:r w:rsidR="007E4FEC">
        <w:rPr>
          <w:lang w:val="en-AU"/>
        </w:rPr>
        <w:t xml:space="preserve">at the time of suitability assessment, and </w:t>
      </w:r>
      <w:r w:rsidRPr="000420C3">
        <w:rPr>
          <w:lang w:val="en-AU"/>
        </w:rPr>
        <w:t xml:space="preserve">site-specific views on discharge criteria </w:t>
      </w:r>
      <w:r w:rsidR="007E4FEC">
        <w:rPr>
          <w:lang w:val="en-AU"/>
        </w:rPr>
        <w:t xml:space="preserve">that </w:t>
      </w:r>
      <w:r w:rsidRPr="000420C3">
        <w:rPr>
          <w:lang w:val="en-AU"/>
        </w:rPr>
        <w:t xml:space="preserve">may encourage higher patient flows (e.g., </w:t>
      </w:r>
      <w:r w:rsidR="007E4FEC">
        <w:rPr>
          <w:lang w:val="en-AU"/>
        </w:rPr>
        <w:t>discharging residents whose behaviours escalate</w:t>
      </w:r>
      <w:r w:rsidR="00E013C0">
        <w:rPr>
          <w:lang w:val="en-AU"/>
        </w:rPr>
        <w:t xml:space="preserve"> or</w:t>
      </w:r>
      <w:r w:rsidRPr="000420C3">
        <w:rPr>
          <w:lang w:val="en-AU"/>
        </w:rPr>
        <w:t xml:space="preserve"> discharg</w:t>
      </w:r>
      <w:r w:rsidR="00E013C0">
        <w:rPr>
          <w:lang w:val="en-AU"/>
        </w:rPr>
        <w:t>ing</w:t>
      </w:r>
      <w:r w:rsidRPr="000420C3">
        <w:rPr>
          <w:lang w:val="en-AU"/>
        </w:rPr>
        <w:t xml:space="preserve"> patients who are palliative (see Section </w:t>
      </w:r>
      <w:r w:rsidR="00B00BB1">
        <w:rPr>
          <w:lang w:val="en-AU"/>
        </w:rPr>
        <w:fldChar w:fldCharType="begin"/>
      </w:r>
      <w:r w:rsidR="00B00BB1">
        <w:rPr>
          <w:lang w:val="en-AU"/>
        </w:rPr>
        <w:instrText xml:space="preserve"> REF _Ref123907438 \n \h </w:instrText>
      </w:r>
      <w:r w:rsidR="00B00BB1">
        <w:rPr>
          <w:lang w:val="en-AU"/>
        </w:rPr>
      </w:r>
      <w:r w:rsidR="00B00BB1">
        <w:rPr>
          <w:lang w:val="en-AU"/>
        </w:rPr>
        <w:fldChar w:fldCharType="separate"/>
      </w:r>
      <w:r w:rsidR="00D32536">
        <w:rPr>
          <w:lang w:val="en-AU"/>
        </w:rPr>
        <w:t>4.1</w:t>
      </w:r>
      <w:r w:rsidR="00B00BB1">
        <w:rPr>
          <w:lang w:val="en-AU"/>
        </w:rPr>
        <w:fldChar w:fldCharType="end"/>
      </w:r>
      <w:r w:rsidRPr="000420C3">
        <w:rPr>
          <w:lang w:val="en-AU"/>
        </w:rPr>
        <w:t>)</w:t>
      </w:r>
      <w:r>
        <w:rPr>
          <w:lang w:val="en-AU"/>
        </w:rPr>
        <w:t>)</w:t>
      </w:r>
      <w:r w:rsidRPr="000420C3">
        <w:rPr>
          <w:lang w:val="en-AU"/>
        </w:rPr>
        <w:t xml:space="preserve">. </w:t>
      </w:r>
      <w:r w:rsidR="00EF2980">
        <w:rPr>
          <w:lang w:val="en-AU"/>
        </w:rPr>
        <w:t>However, o</w:t>
      </w:r>
      <w:r w:rsidRPr="000420C3">
        <w:rPr>
          <w:lang w:val="en-AU"/>
        </w:rPr>
        <w:t xml:space="preserve">ccupancy rates </w:t>
      </w:r>
      <w:r w:rsidR="00EF2980">
        <w:rPr>
          <w:lang w:val="en-AU"/>
        </w:rPr>
        <w:t>have a strong</w:t>
      </w:r>
      <w:r w:rsidR="00EF2980" w:rsidRPr="000420C3">
        <w:rPr>
          <w:lang w:val="en-AU"/>
        </w:rPr>
        <w:t xml:space="preserve"> </w:t>
      </w:r>
      <w:r w:rsidR="00EF2980">
        <w:rPr>
          <w:lang w:val="en-AU"/>
        </w:rPr>
        <w:t>impact on</w:t>
      </w:r>
      <w:r w:rsidRPr="000420C3">
        <w:rPr>
          <w:lang w:val="en-AU"/>
        </w:rPr>
        <w:t xml:space="preserve"> the Program’s value for money, as Program benefits can only be achieved if beds are filled. This issue </w:t>
      </w:r>
      <w:r w:rsidR="00AD1F79">
        <w:rPr>
          <w:lang w:val="en-AU"/>
        </w:rPr>
        <w:t>is discussed</w:t>
      </w:r>
      <w:r w:rsidRPr="000420C3">
        <w:rPr>
          <w:lang w:val="en-AU"/>
        </w:rPr>
        <w:t xml:space="preserve"> in Chapter </w:t>
      </w:r>
      <w:r w:rsidR="00B00BB1">
        <w:rPr>
          <w:lang w:val="en-AU"/>
        </w:rPr>
        <w:fldChar w:fldCharType="begin"/>
      </w:r>
      <w:r w:rsidR="00B00BB1">
        <w:rPr>
          <w:lang w:val="en-AU"/>
        </w:rPr>
        <w:instrText xml:space="preserve"> REF _Ref125358641 \n \h </w:instrText>
      </w:r>
      <w:r w:rsidR="00B00BB1">
        <w:rPr>
          <w:lang w:val="en-AU"/>
        </w:rPr>
      </w:r>
      <w:r w:rsidR="00B00BB1">
        <w:rPr>
          <w:lang w:val="en-AU"/>
        </w:rPr>
        <w:fldChar w:fldCharType="separate"/>
      </w:r>
      <w:r w:rsidR="00D32536">
        <w:rPr>
          <w:lang w:val="en-AU"/>
        </w:rPr>
        <w:t>6</w:t>
      </w:r>
      <w:r w:rsidR="00B00BB1">
        <w:rPr>
          <w:lang w:val="en-AU"/>
        </w:rPr>
        <w:fldChar w:fldCharType="end"/>
      </w:r>
      <w:r w:rsidRPr="000420C3">
        <w:rPr>
          <w:lang w:val="en-AU"/>
        </w:rPr>
        <w:t>.</w:t>
      </w:r>
    </w:p>
    <w:p w14:paraId="5E03E1C6" w14:textId="77777777" w:rsidR="00E57F7B" w:rsidRDefault="00E57F7B" w:rsidP="0022542F">
      <w:pPr>
        <w:pStyle w:val="ListBullet"/>
        <w:numPr>
          <w:ilvl w:val="0"/>
          <w:numId w:val="0"/>
        </w:numPr>
        <w:rPr>
          <w:lang w:val="en-AU"/>
        </w:rPr>
      </w:pPr>
    </w:p>
    <w:p w14:paraId="1651B3AB" w14:textId="57A9977D" w:rsidR="007B2E81" w:rsidRPr="00087DA2" w:rsidRDefault="007B2E81" w:rsidP="00281262">
      <w:pPr>
        <w:pStyle w:val="Heading2"/>
        <w:spacing w:after="0"/>
        <w:ind w:left="578" w:hanging="578"/>
        <w:rPr>
          <w:lang w:val="en-AU"/>
        </w:rPr>
      </w:pPr>
      <w:bookmarkStart w:id="34" w:name="_Ref124176048"/>
      <w:bookmarkStart w:id="35" w:name="_Ref124176288"/>
      <w:bookmarkStart w:id="36" w:name="_Ref124176403"/>
      <w:r w:rsidRPr="00087DA2">
        <w:rPr>
          <w:lang w:val="en-AU"/>
        </w:rPr>
        <w:t xml:space="preserve">Timeliness and co-ordination of </w:t>
      </w:r>
      <w:r w:rsidR="00DA12C4" w:rsidRPr="00087DA2">
        <w:rPr>
          <w:lang w:val="en-AU"/>
        </w:rPr>
        <w:t xml:space="preserve">the </w:t>
      </w:r>
      <w:r w:rsidRPr="00087DA2">
        <w:rPr>
          <w:lang w:val="en-AU"/>
        </w:rPr>
        <w:t>referra</w:t>
      </w:r>
      <w:r w:rsidR="00DA12C4" w:rsidRPr="00087DA2">
        <w:rPr>
          <w:lang w:val="en-AU"/>
        </w:rPr>
        <w:t>l and admission process</w:t>
      </w:r>
      <w:bookmarkEnd w:id="34"/>
      <w:bookmarkEnd w:id="35"/>
      <w:bookmarkEnd w:id="36"/>
    </w:p>
    <w:p w14:paraId="7B9675BB" w14:textId="6E833203" w:rsidR="00667275" w:rsidRPr="00281262" w:rsidRDefault="00DB27D6" w:rsidP="00EC5D24">
      <w:pPr>
        <w:rPr>
          <w:rFonts w:asciiTheme="majorHAnsi" w:hAnsiTheme="majorHAnsi" w:cstheme="majorHAnsi"/>
          <w:b/>
          <w:color w:val="012169"/>
          <w:lang w:val="en-AU"/>
        </w:rPr>
      </w:pPr>
      <w:r w:rsidRPr="00281262">
        <w:rPr>
          <w:rFonts w:asciiTheme="majorHAnsi" w:hAnsiTheme="majorHAnsi" w:cstheme="majorHAnsi"/>
          <w:b/>
          <w:color w:val="012169"/>
          <w:lang w:val="en-AU"/>
        </w:rPr>
        <w:t>Stakeholders largely agreed t</w:t>
      </w:r>
      <w:r w:rsidR="00667275" w:rsidRPr="00281262">
        <w:rPr>
          <w:rFonts w:asciiTheme="majorHAnsi" w:hAnsiTheme="majorHAnsi" w:cstheme="majorHAnsi"/>
          <w:b/>
          <w:color w:val="012169"/>
          <w:lang w:val="en-AU"/>
        </w:rPr>
        <w:t>he NBA process is working efficiently</w:t>
      </w:r>
      <w:r w:rsidR="003C23F7" w:rsidRPr="00281262">
        <w:rPr>
          <w:rFonts w:asciiTheme="majorHAnsi" w:hAnsiTheme="majorHAnsi" w:cstheme="majorHAnsi"/>
          <w:b/>
          <w:color w:val="012169"/>
          <w:lang w:val="en-AU"/>
        </w:rPr>
        <w:t xml:space="preserve"> and effectively,</w:t>
      </w:r>
      <w:r w:rsidR="00667275" w:rsidRPr="00281262">
        <w:rPr>
          <w:rFonts w:asciiTheme="majorHAnsi" w:hAnsiTheme="majorHAnsi" w:cstheme="majorHAnsi"/>
          <w:b/>
          <w:color w:val="012169"/>
          <w:lang w:val="en-AU"/>
        </w:rPr>
        <w:t xml:space="preserve"> </w:t>
      </w:r>
      <w:r w:rsidRPr="00281262">
        <w:rPr>
          <w:rFonts w:asciiTheme="majorHAnsi" w:hAnsiTheme="majorHAnsi" w:cstheme="majorHAnsi"/>
          <w:b/>
          <w:color w:val="012169"/>
          <w:lang w:val="en-AU"/>
        </w:rPr>
        <w:t xml:space="preserve">although </w:t>
      </w:r>
      <w:r w:rsidR="00502257" w:rsidRPr="00281262">
        <w:rPr>
          <w:rFonts w:asciiTheme="majorHAnsi" w:hAnsiTheme="majorHAnsi" w:cstheme="majorHAnsi"/>
          <w:b/>
          <w:color w:val="012169"/>
          <w:lang w:val="en-AU"/>
        </w:rPr>
        <w:t>limited data availability and information-sharing</w:t>
      </w:r>
      <w:r w:rsidRPr="00281262">
        <w:rPr>
          <w:rFonts w:asciiTheme="majorHAnsi" w:hAnsiTheme="majorHAnsi" w:cstheme="majorHAnsi"/>
          <w:b/>
          <w:color w:val="012169"/>
          <w:lang w:val="en-AU"/>
        </w:rPr>
        <w:t xml:space="preserve"> across care setting</w:t>
      </w:r>
      <w:r w:rsidR="00502257" w:rsidRPr="00281262">
        <w:rPr>
          <w:rFonts w:asciiTheme="majorHAnsi" w:hAnsiTheme="majorHAnsi" w:cstheme="majorHAnsi"/>
          <w:b/>
          <w:color w:val="012169"/>
          <w:lang w:val="en-AU"/>
        </w:rPr>
        <w:t>s</w:t>
      </w:r>
      <w:r w:rsidR="002C34C3" w:rsidRPr="00281262">
        <w:rPr>
          <w:rFonts w:asciiTheme="majorHAnsi" w:hAnsiTheme="majorHAnsi" w:cstheme="majorHAnsi"/>
          <w:b/>
          <w:color w:val="012169"/>
          <w:lang w:val="en-AU"/>
        </w:rPr>
        <w:t xml:space="preserve"> remain the primary barriers to timely and comprehensive assessments. </w:t>
      </w:r>
    </w:p>
    <w:p w14:paraId="3C5F7E2C" w14:textId="63690B8E" w:rsidR="00252090" w:rsidRDefault="00F40FCE" w:rsidP="005534FF">
      <w:r>
        <w:t>Stakeholders were generally satisfied with the NBA process and there</w:t>
      </w:r>
      <w:r w:rsidR="00BA11C8">
        <w:t xml:space="preserve"> was consensus across all </w:t>
      </w:r>
      <w:r w:rsidR="009C5CAE">
        <w:t>SDCUs</w:t>
      </w:r>
      <w:r w:rsidR="00BA11C8">
        <w:t xml:space="preserve"> that </w:t>
      </w:r>
      <w:r w:rsidR="00601C04">
        <w:t xml:space="preserve">the </w:t>
      </w:r>
      <w:r w:rsidR="00BA20EA">
        <w:t>assessment</w:t>
      </w:r>
      <w:r w:rsidR="00601C04">
        <w:t xml:space="preserve"> </w:t>
      </w:r>
      <w:r w:rsidR="00BA11C8">
        <w:t xml:space="preserve">reports are comprehensive and high-quality. Regarding timeliness of assessment, the NBA service has exceeded all timeliness performance targets </w:t>
      </w:r>
      <w:r w:rsidR="00D44D33">
        <w:t xml:space="preserve">e.g., in the latest reporting period </w:t>
      </w:r>
      <w:r w:rsidR="00776040">
        <w:t>98</w:t>
      </w:r>
      <w:r w:rsidR="002C3559">
        <w:t>%</w:t>
      </w:r>
      <w:r w:rsidR="00776040">
        <w:t xml:space="preserve"> of people referred to the Program </w:t>
      </w:r>
      <w:r w:rsidR="00772687">
        <w:t xml:space="preserve">had an on-site assessment within </w:t>
      </w:r>
      <w:r w:rsidR="002C3559">
        <w:t>2</w:t>
      </w:r>
      <w:r w:rsidR="00772687">
        <w:t xml:space="preserve"> weeks </w:t>
      </w:r>
      <w:r w:rsidR="00BA11C8">
        <w:t>(</w:t>
      </w:r>
      <w:r w:rsidR="000217E8">
        <w:fldChar w:fldCharType="begin"/>
      </w:r>
      <w:r w:rsidR="000217E8">
        <w:instrText xml:space="preserve"> REF _Ref125368853 \h </w:instrText>
      </w:r>
      <w:r w:rsidR="000217E8">
        <w:fldChar w:fldCharType="separate"/>
      </w:r>
      <w:r w:rsidR="00D32536">
        <w:t xml:space="preserve">Table </w:t>
      </w:r>
      <w:r w:rsidR="00D32536">
        <w:rPr>
          <w:noProof/>
        </w:rPr>
        <w:t>2</w:t>
      </w:r>
      <w:r w:rsidR="00D32536">
        <w:t>.</w:t>
      </w:r>
      <w:r w:rsidR="00D32536">
        <w:rPr>
          <w:noProof/>
        </w:rPr>
        <w:t>1</w:t>
      </w:r>
      <w:r w:rsidR="000217E8">
        <w:fldChar w:fldCharType="end"/>
      </w:r>
      <w:r w:rsidR="00C61A6F">
        <w:t>)</w:t>
      </w:r>
      <w:r w:rsidR="00D44D33">
        <w:t xml:space="preserve">. </w:t>
      </w:r>
      <w:r w:rsidR="00252090">
        <w:t>T</w:t>
      </w:r>
      <w:r w:rsidR="00EC411F">
        <w:t xml:space="preserve">he transition from written to verbal consent </w:t>
      </w:r>
      <w:r w:rsidR="00252090">
        <w:t>for the NBA was believed to</w:t>
      </w:r>
      <w:r w:rsidR="00EC411F">
        <w:t xml:space="preserve"> facilitate more timely assessment</w:t>
      </w:r>
      <w:r w:rsidR="00252090">
        <w:t>s</w:t>
      </w:r>
      <w:r w:rsidR="00162FBF">
        <w:t>,</w:t>
      </w:r>
      <w:r w:rsidR="00252090">
        <w:t xml:space="preserve"> however DSA noted difficulties accessing information across care settings can prolong the assessment process. </w:t>
      </w:r>
    </w:p>
    <w:p w14:paraId="19D57AB1" w14:textId="7F07617A" w:rsidR="00AD4F25" w:rsidRPr="00FB1C26" w:rsidRDefault="004528F7" w:rsidP="004528F7">
      <w:pPr>
        <w:pStyle w:val="Caption"/>
        <w:rPr>
          <w:rFonts w:cstheme="minorHAnsi"/>
          <w:sz w:val="19"/>
          <w:szCs w:val="22"/>
        </w:rPr>
      </w:pPr>
      <w:bookmarkStart w:id="37" w:name="_Ref125368853"/>
      <w:r>
        <w:t xml:space="preserve">Table </w:t>
      </w:r>
      <w:r w:rsidR="005B7353">
        <w:fldChar w:fldCharType="begin"/>
      </w:r>
      <w:r w:rsidR="005B7353">
        <w:instrText xml:space="preserve"> STYLEREF 1 \s </w:instrText>
      </w:r>
      <w:r w:rsidR="005B7353">
        <w:fldChar w:fldCharType="separate"/>
      </w:r>
      <w:r w:rsidR="00D32536">
        <w:rPr>
          <w:noProof/>
        </w:rPr>
        <w:t>2</w:t>
      </w:r>
      <w:r w:rsidR="005B7353">
        <w:fldChar w:fldCharType="end"/>
      </w:r>
      <w:r w:rsidR="005B7353">
        <w:t>.</w:t>
      </w:r>
      <w:r w:rsidR="005B7353">
        <w:fldChar w:fldCharType="begin"/>
      </w:r>
      <w:r w:rsidR="005B7353">
        <w:instrText xml:space="preserve"> SEQ Table \* ARABIC \s 1 </w:instrText>
      </w:r>
      <w:r w:rsidR="005B7353">
        <w:fldChar w:fldCharType="separate"/>
      </w:r>
      <w:r w:rsidR="00D32536">
        <w:rPr>
          <w:noProof/>
        </w:rPr>
        <w:t>1</w:t>
      </w:r>
      <w:r w:rsidR="005B7353">
        <w:fldChar w:fldCharType="end"/>
      </w:r>
      <w:bookmarkEnd w:id="37"/>
      <w:r>
        <w:t xml:space="preserve"> </w:t>
      </w:r>
      <w:r w:rsidR="00AD4F25" w:rsidRPr="00FB1C26">
        <w:rPr>
          <w:rFonts w:cstheme="minorHAnsi"/>
          <w:sz w:val="19"/>
          <w:szCs w:val="22"/>
        </w:rPr>
        <w:t>DSA timeliness metrics</w:t>
      </w:r>
    </w:p>
    <w:tbl>
      <w:tblPr>
        <w:tblStyle w:val="Deloittetable"/>
        <w:tblW w:w="10488" w:type="dxa"/>
        <w:tblLook w:val="04A0" w:firstRow="1" w:lastRow="0" w:firstColumn="1" w:lastColumn="0" w:noHBand="0" w:noVBand="1"/>
      </w:tblPr>
      <w:tblGrid>
        <w:gridCol w:w="3631"/>
        <w:gridCol w:w="1614"/>
        <w:gridCol w:w="1276"/>
        <w:gridCol w:w="1276"/>
        <w:gridCol w:w="1294"/>
        <w:gridCol w:w="1397"/>
      </w:tblGrid>
      <w:tr w:rsidR="005F246F" w:rsidRPr="00546DC4" w14:paraId="05F823F2" w14:textId="622F0515" w:rsidTr="006E43D4">
        <w:trPr>
          <w:cnfStyle w:val="100000000000" w:firstRow="1" w:lastRow="0" w:firstColumn="0" w:lastColumn="0" w:oddVBand="0" w:evenVBand="0" w:oddHBand="0" w:evenHBand="0" w:firstRowFirstColumn="0" w:firstRowLastColumn="0" w:lastRowFirstColumn="0" w:lastRowLastColumn="0"/>
          <w:trHeight w:val="333"/>
        </w:trPr>
        <w:tc>
          <w:tcPr>
            <w:tcW w:w="3631" w:type="dxa"/>
          </w:tcPr>
          <w:p w14:paraId="2DD087E2" w14:textId="77777777" w:rsidR="005F246F" w:rsidRPr="00881C69" w:rsidRDefault="005F246F" w:rsidP="00E266D8">
            <w:pPr>
              <w:spacing w:after="0"/>
              <w:rPr>
                <w:rFonts w:asciiTheme="majorHAnsi" w:hAnsiTheme="majorHAnsi" w:cstheme="majorHAnsi"/>
                <w:b/>
                <w:lang w:val="en-AU"/>
              </w:rPr>
            </w:pPr>
            <w:r w:rsidRPr="00881C69">
              <w:rPr>
                <w:rFonts w:asciiTheme="majorHAnsi" w:hAnsiTheme="majorHAnsi" w:cstheme="majorHAnsi"/>
                <w:b/>
                <w:lang w:val="en-AU"/>
              </w:rPr>
              <w:t>Indicator</w:t>
            </w:r>
          </w:p>
        </w:tc>
        <w:tc>
          <w:tcPr>
            <w:tcW w:w="1614" w:type="dxa"/>
          </w:tcPr>
          <w:p w14:paraId="33F9A9B1" w14:textId="77777777" w:rsidR="005F246F" w:rsidRPr="00881C69" w:rsidRDefault="005F246F" w:rsidP="009125E5">
            <w:pPr>
              <w:spacing w:after="0"/>
              <w:ind w:left="147"/>
              <w:jc w:val="right"/>
              <w:rPr>
                <w:rFonts w:asciiTheme="majorHAnsi" w:hAnsiTheme="majorHAnsi" w:cstheme="majorHAnsi"/>
                <w:b/>
                <w:lang w:val="en-AU"/>
              </w:rPr>
            </w:pPr>
            <w:r w:rsidRPr="00881C69">
              <w:rPr>
                <w:rFonts w:asciiTheme="majorHAnsi" w:hAnsiTheme="majorHAnsi" w:cstheme="majorHAnsi"/>
                <w:b/>
                <w:lang w:val="en-AU"/>
              </w:rPr>
              <w:t>Target measure</w:t>
            </w:r>
          </w:p>
        </w:tc>
        <w:tc>
          <w:tcPr>
            <w:tcW w:w="1276" w:type="dxa"/>
          </w:tcPr>
          <w:p w14:paraId="684432D2" w14:textId="796EA3B0" w:rsidR="005F246F" w:rsidRDefault="005F246F" w:rsidP="003A09C3">
            <w:pPr>
              <w:spacing w:after="0"/>
              <w:jc w:val="right"/>
              <w:rPr>
                <w:rFonts w:asciiTheme="majorHAnsi" w:hAnsiTheme="majorHAnsi" w:cstheme="majorHAnsi"/>
                <w:b/>
                <w:lang w:val="en-AU"/>
              </w:rPr>
            </w:pPr>
          </w:p>
        </w:tc>
        <w:tc>
          <w:tcPr>
            <w:tcW w:w="1276" w:type="dxa"/>
          </w:tcPr>
          <w:p w14:paraId="39D449C3" w14:textId="77777777" w:rsidR="005F246F" w:rsidRPr="00881C69" w:rsidRDefault="005F246F" w:rsidP="00AD27FD">
            <w:pPr>
              <w:spacing w:after="0"/>
              <w:jc w:val="right"/>
              <w:rPr>
                <w:rFonts w:asciiTheme="majorHAnsi" w:hAnsiTheme="majorHAnsi" w:cstheme="majorHAnsi"/>
                <w:b/>
                <w:lang w:val="en-AU"/>
              </w:rPr>
            </w:pPr>
            <w:r w:rsidRPr="00881C69">
              <w:rPr>
                <w:rFonts w:asciiTheme="majorHAnsi" w:hAnsiTheme="majorHAnsi" w:cstheme="majorHAnsi"/>
                <w:b/>
                <w:lang w:val="en-AU"/>
              </w:rPr>
              <w:t>Performance</w:t>
            </w:r>
          </w:p>
        </w:tc>
        <w:tc>
          <w:tcPr>
            <w:tcW w:w="1294" w:type="dxa"/>
          </w:tcPr>
          <w:p w14:paraId="0BEFB4CF" w14:textId="01EB4575" w:rsidR="005F246F" w:rsidRPr="00881C69" w:rsidRDefault="005F246F" w:rsidP="003A09C3">
            <w:pPr>
              <w:spacing w:after="0"/>
              <w:jc w:val="right"/>
              <w:rPr>
                <w:rFonts w:asciiTheme="majorHAnsi" w:hAnsiTheme="majorHAnsi" w:cstheme="majorHAnsi"/>
                <w:b/>
                <w:lang w:val="en-AU"/>
              </w:rPr>
            </w:pPr>
          </w:p>
        </w:tc>
        <w:tc>
          <w:tcPr>
            <w:tcW w:w="1397" w:type="dxa"/>
          </w:tcPr>
          <w:p w14:paraId="40E2E9DE" w14:textId="77777777" w:rsidR="005F246F" w:rsidRDefault="005F246F" w:rsidP="003A09C3">
            <w:pPr>
              <w:spacing w:after="0"/>
              <w:jc w:val="right"/>
              <w:rPr>
                <w:rFonts w:asciiTheme="majorHAnsi" w:hAnsiTheme="majorHAnsi" w:cstheme="majorHAnsi"/>
                <w:b/>
                <w:lang w:val="en-AU"/>
              </w:rPr>
            </w:pPr>
          </w:p>
        </w:tc>
      </w:tr>
      <w:tr w:rsidR="006676AF" w:rsidRPr="00546DC4" w14:paraId="3D183433" w14:textId="1E6F42AF" w:rsidTr="006E43D4">
        <w:trPr>
          <w:trHeight w:val="314"/>
        </w:trPr>
        <w:tc>
          <w:tcPr>
            <w:tcW w:w="3631" w:type="dxa"/>
          </w:tcPr>
          <w:p w14:paraId="1B87BDFA" w14:textId="77777777" w:rsidR="00086350" w:rsidRPr="00546DC4" w:rsidRDefault="00086350" w:rsidP="00E266D8">
            <w:pPr>
              <w:spacing w:after="0"/>
              <w:rPr>
                <w:rFonts w:cstheme="minorHAnsi"/>
                <w:b/>
                <w:bCs/>
                <w:lang w:val="en-AU"/>
              </w:rPr>
            </w:pPr>
          </w:p>
        </w:tc>
        <w:tc>
          <w:tcPr>
            <w:tcW w:w="1614" w:type="dxa"/>
          </w:tcPr>
          <w:p w14:paraId="418FE91A" w14:textId="77777777" w:rsidR="00086350" w:rsidRPr="00546DC4" w:rsidRDefault="00086350" w:rsidP="009125E5">
            <w:pPr>
              <w:spacing w:after="0"/>
              <w:ind w:left="147"/>
              <w:jc w:val="right"/>
              <w:rPr>
                <w:rFonts w:cstheme="minorHAnsi"/>
                <w:b/>
                <w:bCs/>
                <w:lang w:val="en-AU"/>
              </w:rPr>
            </w:pPr>
          </w:p>
        </w:tc>
        <w:tc>
          <w:tcPr>
            <w:tcW w:w="1276" w:type="dxa"/>
            <w:shd w:val="clear" w:color="auto" w:fill="F2F2F2" w:themeFill="background1" w:themeFillShade="F2"/>
          </w:tcPr>
          <w:p w14:paraId="48EE56A6" w14:textId="77777777" w:rsidR="00086350" w:rsidRPr="00546DC4" w:rsidRDefault="00086350" w:rsidP="009125E5">
            <w:pPr>
              <w:spacing w:after="0"/>
              <w:jc w:val="right"/>
              <w:rPr>
                <w:rFonts w:cstheme="minorHAnsi"/>
                <w:b/>
                <w:bCs/>
                <w:lang w:val="en-AU"/>
              </w:rPr>
            </w:pPr>
            <w:r w:rsidRPr="00546DC4">
              <w:rPr>
                <w:rFonts w:cstheme="minorHAnsi"/>
                <w:color w:val="000000"/>
                <w:szCs w:val="20"/>
              </w:rPr>
              <w:t>July - Dec '20</w:t>
            </w:r>
          </w:p>
        </w:tc>
        <w:tc>
          <w:tcPr>
            <w:tcW w:w="1276" w:type="dxa"/>
            <w:shd w:val="clear" w:color="auto" w:fill="F2F2F2" w:themeFill="background1" w:themeFillShade="F2"/>
          </w:tcPr>
          <w:p w14:paraId="7A7EEDBA" w14:textId="77777777" w:rsidR="00086350" w:rsidRPr="00546DC4" w:rsidRDefault="00086350" w:rsidP="009125E5">
            <w:pPr>
              <w:spacing w:after="0"/>
              <w:jc w:val="right"/>
              <w:rPr>
                <w:rFonts w:cstheme="minorHAnsi"/>
                <w:b/>
                <w:bCs/>
                <w:lang w:val="en-AU"/>
              </w:rPr>
            </w:pPr>
            <w:r w:rsidRPr="00546DC4">
              <w:rPr>
                <w:rFonts w:cstheme="minorHAnsi"/>
                <w:color w:val="000000"/>
                <w:szCs w:val="20"/>
              </w:rPr>
              <w:t>Jan - June '21</w:t>
            </w:r>
          </w:p>
        </w:tc>
        <w:tc>
          <w:tcPr>
            <w:tcW w:w="1294" w:type="dxa"/>
            <w:shd w:val="clear" w:color="auto" w:fill="F2F2F2" w:themeFill="background1" w:themeFillShade="F2"/>
          </w:tcPr>
          <w:p w14:paraId="7272E716" w14:textId="77777777" w:rsidR="00086350" w:rsidRPr="00546DC4" w:rsidRDefault="00086350" w:rsidP="009125E5">
            <w:pPr>
              <w:spacing w:after="0"/>
              <w:jc w:val="right"/>
              <w:rPr>
                <w:rFonts w:cstheme="minorHAnsi"/>
                <w:b/>
                <w:bCs/>
                <w:lang w:val="en-AU"/>
              </w:rPr>
            </w:pPr>
            <w:r w:rsidRPr="00546DC4">
              <w:rPr>
                <w:rFonts w:cstheme="minorHAnsi"/>
                <w:color w:val="000000"/>
                <w:szCs w:val="20"/>
              </w:rPr>
              <w:t>July - Dec '21</w:t>
            </w:r>
          </w:p>
        </w:tc>
        <w:tc>
          <w:tcPr>
            <w:tcW w:w="1397" w:type="dxa"/>
            <w:shd w:val="clear" w:color="auto" w:fill="F2F2F2" w:themeFill="background1" w:themeFillShade="F2"/>
          </w:tcPr>
          <w:p w14:paraId="2D5DFAC2" w14:textId="4431778B" w:rsidR="00086350" w:rsidRPr="00730BF1" w:rsidRDefault="00086350" w:rsidP="009125E5">
            <w:pPr>
              <w:spacing w:after="0"/>
              <w:jc w:val="right"/>
              <w:rPr>
                <w:rFonts w:cstheme="minorHAnsi"/>
                <w:color w:val="000000"/>
                <w:szCs w:val="20"/>
              </w:rPr>
            </w:pPr>
            <w:r w:rsidRPr="00730BF1">
              <w:rPr>
                <w:rFonts w:cstheme="minorHAnsi"/>
                <w:color w:val="000000"/>
                <w:szCs w:val="20"/>
              </w:rPr>
              <w:t xml:space="preserve">Jan – June </w:t>
            </w:r>
            <w:r w:rsidR="009D3613">
              <w:rPr>
                <w:rFonts w:cstheme="minorHAnsi"/>
                <w:color w:val="000000"/>
                <w:szCs w:val="20"/>
              </w:rPr>
              <w:t>‘</w:t>
            </w:r>
            <w:r w:rsidRPr="00730BF1">
              <w:rPr>
                <w:rFonts w:cstheme="minorHAnsi"/>
                <w:color w:val="000000"/>
                <w:szCs w:val="20"/>
              </w:rPr>
              <w:t>22</w:t>
            </w:r>
          </w:p>
        </w:tc>
      </w:tr>
      <w:tr w:rsidR="00086350" w:rsidRPr="00546DC4" w14:paraId="622B48DB" w14:textId="04A24C30" w:rsidTr="006E43D4">
        <w:trPr>
          <w:trHeight w:val="306"/>
        </w:trPr>
        <w:tc>
          <w:tcPr>
            <w:tcW w:w="3631" w:type="dxa"/>
          </w:tcPr>
          <w:p w14:paraId="64975015" w14:textId="6E26E754" w:rsidR="00086350" w:rsidRPr="00546DC4" w:rsidRDefault="00086350" w:rsidP="00E266D8">
            <w:pPr>
              <w:spacing w:after="0"/>
              <w:rPr>
                <w:rFonts w:cstheme="minorHAnsi"/>
                <w:lang w:val="en-AU"/>
              </w:rPr>
            </w:pPr>
            <w:r w:rsidRPr="00546DC4">
              <w:rPr>
                <w:rFonts w:cstheme="minorHAnsi"/>
                <w:lang w:val="en-AU"/>
              </w:rPr>
              <w:t>Triage referrals within one week</w:t>
            </w:r>
            <w:r>
              <w:rPr>
                <w:rFonts w:cstheme="minorHAnsi"/>
                <w:lang w:val="en-AU"/>
              </w:rPr>
              <w:t xml:space="preserve"> (%)</w:t>
            </w:r>
            <w:r w:rsidR="00535D46">
              <w:rPr>
                <w:rFonts w:cstheme="minorHAnsi"/>
                <w:lang w:val="en-AU"/>
              </w:rPr>
              <w:t xml:space="preserve"> of referral acceptance and consent received</w:t>
            </w:r>
          </w:p>
        </w:tc>
        <w:tc>
          <w:tcPr>
            <w:tcW w:w="1614" w:type="dxa"/>
          </w:tcPr>
          <w:p w14:paraId="1BE82161" w14:textId="77777777" w:rsidR="00086350" w:rsidRPr="00546DC4" w:rsidRDefault="00086350" w:rsidP="009125E5">
            <w:pPr>
              <w:spacing w:after="0"/>
              <w:jc w:val="right"/>
              <w:rPr>
                <w:rFonts w:cstheme="minorHAnsi"/>
                <w:lang w:val="en-AU"/>
              </w:rPr>
            </w:pPr>
            <w:r w:rsidRPr="00546DC4">
              <w:rPr>
                <w:rFonts w:cstheme="minorHAnsi"/>
                <w:lang w:val="en-AU"/>
              </w:rPr>
              <w:t>90</w:t>
            </w:r>
          </w:p>
        </w:tc>
        <w:tc>
          <w:tcPr>
            <w:tcW w:w="1276" w:type="dxa"/>
          </w:tcPr>
          <w:p w14:paraId="3355415C" w14:textId="77777777" w:rsidR="00086350" w:rsidRPr="00546DC4" w:rsidRDefault="00086350" w:rsidP="009125E5">
            <w:pPr>
              <w:spacing w:after="0"/>
              <w:jc w:val="right"/>
              <w:rPr>
                <w:rFonts w:cstheme="minorHAnsi"/>
                <w:lang w:val="en-AU"/>
              </w:rPr>
            </w:pPr>
            <w:r w:rsidRPr="00DD460E">
              <w:t>91.8</w:t>
            </w:r>
          </w:p>
        </w:tc>
        <w:tc>
          <w:tcPr>
            <w:tcW w:w="1276" w:type="dxa"/>
          </w:tcPr>
          <w:p w14:paraId="68B925F5" w14:textId="77777777" w:rsidR="00086350" w:rsidRPr="00546DC4" w:rsidRDefault="00086350" w:rsidP="009125E5">
            <w:pPr>
              <w:spacing w:after="0"/>
              <w:jc w:val="right"/>
              <w:rPr>
                <w:rFonts w:cstheme="minorHAnsi"/>
                <w:lang w:val="en-AU"/>
              </w:rPr>
            </w:pPr>
            <w:r w:rsidRPr="00DD460E">
              <w:t>96.4</w:t>
            </w:r>
          </w:p>
        </w:tc>
        <w:tc>
          <w:tcPr>
            <w:tcW w:w="1294" w:type="dxa"/>
          </w:tcPr>
          <w:p w14:paraId="21F22968" w14:textId="77777777" w:rsidR="00086350" w:rsidRPr="00546DC4" w:rsidRDefault="00086350" w:rsidP="009125E5">
            <w:pPr>
              <w:spacing w:after="0"/>
              <w:jc w:val="right"/>
              <w:rPr>
                <w:rFonts w:cstheme="minorHAnsi"/>
                <w:lang w:val="en-AU"/>
              </w:rPr>
            </w:pPr>
            <w:r w:rsidRPr="00DD460E">
              <w:t>95.9</w:t>
            </w:r>
          </w:p>
        </w:tc>
        <w:tc>
          <w:tcPr>
            <w:tcW w:w="1397" w:type="dxa"/>
          </w:tcPr>
          <w:p w14:paraId="61516D5B" w14:textId="2DD2AEFA" w:rsidR="00086350" w:rsidRPr="007F2655" w:rsidRDefault="006031EA" w:rsidP="009125E5">
            <w:pPr>
              <w:spacing w:after="0"/>
              <w:jc w:val="right"/>
            </w:pPr>
            <w:r w:rsidRPr="0079620C">
              <w:t>97.4</w:t>
            </w:r>
          </w:p>
        </w:tc>
      </w:tr>
      <w:tr w:rsidR="00086350" w:rsidRPr="00546DC4" w14:paraId="25B0A39A" w14:textId="458BCB40" w:rsidTr="006E43D4">
        <w:trPr>
          <w:trHeight w:val="335"/>
        </w:trPr>
        <w:tc>
          <w:tcPr>
            <w:tcW w:w="3631" w:type="dxa"/>
          </w:tcPr>
          <w:p w14:paraId="3196DDBD" w14:textId="666E9138" w:rsidR="00086350" w:rsidRPr="00546DC4" w:rsidRDefault="00086350" w:rsidP="00E266D8">
            <w:pPr>
              <w:spacing w:after="0"/>
              <w:rPr>
                <w:rFonts w:cstheme="minorHAnsi"/>
                <w:lang w:val="en-AU"/>
              </w:rPr>
            </w:pPr>
            <w:r w:rsidRPr="00546DC4">
              <w:rPr>
                <w:rFonts w:cstheme="minorHAnsi"/>
                <w:lang w:val="en-AU"/>
              </w:rPr>
              <w:t>On</w:t>
            </w:r>
            <w:r w:rsidR="00772687">
              <w:rPr>
                <w:rFonts w:cstheme="minorHAnsi"/>
                <w:lang w:val="en-AU"/>
              </w:rPr>
              <w:t>-</w:t>
            </w:r>
            <w:r w:rsidRPr="00546DC4">
              <w:rPr>
                <w:rFonts w:cstheme="minorHAnsi"/>
                <w:lang w:val="en-AU"/>
              </w:rPr>
              <w:t>site assessment delivered within two weeks</w:t>
            </w:r>
            <w:r>
              <w:rPr>
                <w:rFonts w:cstheme="minorHAnsi"/>
                <w:lang w:val="en-AU"/>
              </w:rPr>
              <w:t xml:space="preserve"> </w:t>
            </w:r>
            <w:r w:rsidR="00550D97">
              <w:rPr>
                <w:rFonts w:cstheme="minorHAnsi"/>
                <w:lang w:val="en-AU"/>
              </w:rPr>
              <w:t>of referral being received</w:t>
            </w:r>
            <w:r>
              <w:rPr>
                <w:rFonts w:cstheme="minorHAnsi"/>
                <w:lang w:val="en-AU"/>
              </w:rPr>
              <w:t xml:space="preserve"> (%)</w:t>
            </w:r>
          </w:p>
        </w:tc>
        <w:tc>
          <w:tcPr>
            <w:tcW w:w="1614" w:type="dxa"/>
          </w:tcPr>
          <w:p w14:paraId="03C56FE2" w14:textId="77777777" w:rsidR="00086350" w:rsidRPr="00546DC4" w:rsidRDefault="00086350" w:rsidP="009125E5">
            <w:pPr>
              <w:spacing w:after="0"/>
              <w:jc w:val="right"/>
              <w:rPr>
                <w:rFonts w:cstheme="minorHAnsi"/>
                <w:lang w:val="en-AU"/>
              </w:rPr>
            </w:pPr>
            <w:r>
              <w:rPr>
                <w:rFonts w:cstheme="minorHAnsi"/>
                <w:lang w:val="en-AU"/>
              </w:rPr>
              <w:t>85</w:t>
            </w:r>
          </w:p>
        </w:tc>
        <w:tc>
          <w:tcPr>
            <w:tcW w:w="1276" w:type="dxa"/>
          </w:tcPr>
          <w:p w14:paraId="4861EADF" w14:textId="77777777" w:rsidR="00086350" w:rsidRPr="00546DC4" w:rsidRDefault="00086350" w:rsidP="009125E5">
            <w:pPr>
              <w:spacing w:after="0"/>
              <w:jc w:val="right"/>
              <w:rPr>
                <w:rFonts w:cstheme="minorHAnsi"/>
                <w:lang w:val="en-AU"/>
              </w:rPr>
            </w:pPr>
            <w:r w:rsidRPr="002750E9">
              <w:t>93.2</w:t>
            </w:r>
          </w:p>
        </w:tc>
        <w:tc>
          <w:tcPr>
            <w:tcW w:w="1276" w:type="dxa"/>
          </w:tcPr>
          <w:p w14:paraId="6F7C4892" w14:textId="77777777" w:rsidR="00086350" w:rsidRPr="00546DC4" w:rsidRDefault="00086350" w:rsidP="009125E5">
            <w:pPr>
              <w:spacing w:after="0"/>
              <w:jc w:val="right"/>
              <w:rPr>
                <w:rFonts w:cstheme="minorHAnsi"/>
                <w:lang w:val="en-AU"/>
              </w:rPr>
            </w:pPr>
            <w:r w:rsidRPr="002750E9">
              <w:t>93.7</w:t>
            </w:r>
          </w:p>
        </w:tc>
        <w:tc>
          <w:tcPr>
            <w:tcW w:w="1294" w:type="dxa"/>
          </w:tcPr>
          <w:p w14:paraId="0DF907E5" w14:textId="77777777" w:rsidR="00086350" w:rsidRPr="00546DC4" w:rsidRDefault="00086350" w:rsidP="009125E5">
            <w:pPr>
              <w:spacing w:after="0"/>
              <w:jc w:val="right"/>
              <w:rPr>
                <w:rFonts w:cstheme="minorHAnsi"/>
                <w:lang w:val="en-AU"/>
              </w:rPr>
            </w:pPr>
            <w:r w:rsidRPr="002750E9">
              <w:t>94.6</w:t>
            </w:r>
          </w:p>
        </w:tc>
        <w:tc>
          <w:tcPr>
            <w:tcW w:w="1397" w:type="dxa"/>
          </w:tcPr>
          <w:p w14:paraId="1F01206E" w14:textId="1095BE99" w:rsidR="00086350" w:rsidRPr="007F2655" w:rsidRDefault="006031EA" w:rsidP="009125E5">
            <w:pPr>
              <w:spacing w:after="0"/>
              <w:jc w:val="right"/>
            </w:pPr>
            <w:r w:rsidRPr="0079620C">
              <w:t>98.2</w:t>
            </w:r>
          </w:p>
        </w:tc>
      </w:tr>
      <w:tr w:rsidR="00086350" w:rsidRPr="00546DC4" w14:paraId="1A32A908" w14:textId="646CA9AB" w:rsidTr="006E43D4">
        <w:trPr>
          <w:trHeight w:val="213"/>
        </w:trPr>
        <w:tc>
          <w:tcPr>
            <w:tcW w:w="3631" w:type="dxa"/>
          </w:tcPr>
          <w:p w14:paraId="04810265" w14:textId="683BC3D3" w:rsidR="00086350" w:rsidRPr="00546DC4" w:rsidRDefault="00BF3A35" w:rsidP="00E266D8">
            <w:pPr>
              <w:spacing w:after="0"/>
              <w:rPr>
                <w:rFonts w:cstheme="minorHAnsi"/>
                <w:lang w:val="en-AU"/>
              </w:rPr>
            </w:pPr>
            <w:r>
              <w:rPr>
                <w:rFonts w:cstheme="minorHAnsi"/>
                <w:lang w:val="en-AU"/>
              </w:rPr>
              <w:t xml:space="preserve">Clinical review and recommendation for eligibility for SDCP delivered within 3 weeks of an </w:t>
            </w:r>
            <w:r w:rsidR="000812A8">
              <w:rPr>
                <w:rFonts w:cstheme="minorHAnsi"/>
                <w:lang w:val="en-AU"/>
              </w:rPr>
              <w:t>on</w:t>
            </w:r>
            <w:r w:rsidR="00630ED3">
              <w:rPr>
                <w:rFonts w:cstheme="minorHAnsi"/>
                <w:lang w:val="en-AU"/>
              </w:rPr>
              <w:t xml:space="preserve"> the ground assessment </w:t>
            </w:r>
            <w:r w:rsidR="00086350">
              <w:rPr>
                <w:rFonts w:cstheme="minorHAnsi"/>
                <w:lang w:val="en-AU"/>
              </w:rPr>
              <w:t xml:space="preserve">(%) </w:t>
            </w:r>
          </w:p>
        </w:tc>
        <w:tc>
          <w:tcPr>
            <w:tcW w:w="1614" w:type="dxa"/>
          </w:tcPr>
          <w:p w14:paraId="6445A00D" w14:textId="77777777" w:rsidR="00086350" w:rsidRPr="00546DC4" w:rsidRDefault="00086350" w:rsidP="009125E5">
            <w:pPr>
              <w:spacing w:after="0"/>
              <w:jc w:val="right"/>
              <w:rPr>
                <w:rFonts w:cstheme="minorHAnsi"/>
                <w:lang w:val="en-AU"/>
              </w:rPr>
            </w:pPr>
            <w:r>
              <w:rPr>
                <w:rFonts w:cstheme="minorHAnsi"/>
                <w:lang w:val="en-AU"/>
              </w:rPr>
              <w:t>75</w:t>
            </w:r>
          </w:p>
        </w:tc>
        <w:tc>
          <w:tcPr>
            <w:tcW w:w="1276" w:type="dxa"/>
          </w:tcPr>
          <w:p w14:paraId="5E19F7E0" w14:textId="77777777" w:rsidR="00086350" w:rsidRPr="00546DC4" w:rsidRDefault="00086350" w:rsidP="009125E5">
            <w:pPr>
              <w:spacing w:after="0"/>
              <w:jc w:val="right"/>
              <w:rPr>
                <w:rFonts w:cstheme="minorHAnsi"/>
                <w:lang w:val="en-AU"/>
              </w:rPr>
            </w:pPr>
            <w:r w:rsidRPr="003A2937">
              <w:t>83.5</w:t>
            </w:r>
          </w:p>
        </w:tc>
        <w:tc>
          <w:tcPr>
            <w:tcW w:w="1276" w:type="dxa"/>
          </w:tcPr>
          <w:p w14:paraId="25472E75" w14:textId="77777777" w:rsidR="00086350" w:rsidRPr="00546DC4" w:rsidRDefault="00086350" w:rsidP="009125E5">
            <w:pPr>
              <w:spacing w:after="0"/>
              <w:jc w:val="right"/>
              <w:rPr>
                <w:rFonts w:cstheme="minorHAnsi"/>
                <w:lang w:val="en-AU"/>
              </w:rPr>
            </w:pPr>
            <w:r w:rsidRPr="003A2937">
              <w:t>84.4</w:t>
            </w:r>
          </w:p>
        </w:tc>
        <w:tc>
          <w:tcPr>
            <w:tcW w:w="1294" w:type="dxa"/>
          </w:tcPr>
          <w:p w14:paraId="36CE0F6D" w14:textId="53700E0B" w:rsidR="00086350" w:rsidRPr="00546DC4" w:rsidRDefault="00086350" w:rsidP="009125E5">
            <w:pPr>
              <w:spacing w:after="0"/>
              <w:jc w:val="right"/>
              <w:rPr>
                <w:rFonts w:cstheme="minorHAnsi"/>
                <w:lang w:val="en-AU"/>
              </w:rPr>
            </w:pPr>
            <w:r w:rsidRPr="003A2937">
              <w:t>93.5</w:t>
            </w:r>
          </w:p>
        </w:tc>
        <w:tc>
          <w:tcPr>
            <w:tcW w:w="1397" w:type="dxa"/>
          </w:tcPr>
          <w:p w14:paraId="37B5FE5B" w14:textId="1ED7877F" w:rsidR="00086350" w:rsidRPr="007F2655" w:rsidRDefault="007F2655" w:rsidP="009125E5">
            <w:pPr>
              <w:spacing w:after="0"/>
              <w:jc w:val="right"/>
            </w:pPr>
            <w:r w:rsidRPr="0079620C">
              <w:t>89.0</w:t>
            </w:r>
          </w:p>
        </w:tc>
      </w:tr>
    </w:tbl>
    <w:p w14:paraId="248B68FB" w14:textId="0CF3A1A6" w:rsidR="00AD4F25" w:rsidRDefault="00AD4F25" w:rsidP="00AD4F25">
      <w:pPr>
        <w:pStyle w:val="SourcetextTableorChart"/>
        <w:rPr>
          <w:lang w:val="en-AU"/>
        </w:rPr>
      </w:pPr>
      <w:r>
        <w:rPr>
          <w:lang w:val="en-AU"/>
        </w:rPr>
        <w:t xml:space="preserve">Source: NBA service referral data, </w:t>
      </w:r>
      <w:r w:rsidR="00FD27E4">
        <w:rPr>
          <w:lang w:val="en-AU"/>
        </w:rPr>
        <w:t>July 2020</w:t>
      </w:r>
      <w:r>
        <w:rPr>
          <w:lang w:val="en-AU"/>
        </w:rPr>
        <w:t xml:space="preserve"> to </w:t>
      </w:r>
      <w:r w:rsidR="00FD27E4">
        <w:rPr>
          <w:lang w:val="en-AU"/>
        </w:rPr>
        <w:t>June 2022</w:t>
      </w:r>
      <w:r w:rsidR="000E2D74">
        <w:rPr>
          <w:lang w:val="en-AU"/>
        </w:rPr>
        <w:t>.</w:t>
      </w:r>
    </w:p>
    <w:p w14:paraId="7564CE75" w14:textId="77777777" w:rsidR="005C41E0" w:rsidRDefault="002808C1" w:rsidP="0079620C">
      <w:r>
        <w:t>Overall,</w:t>
      </w:r>
      <w:r w:rsidR="00252090">
        <w:t xml:space="preserve"> stakeholders </w:t>
      </w:r>
      <w:r>
        <w:t>consulted felt</w:t>
      </w:r>
      <w:r w:rsidR="00252090">
        <w:t xml:space="preserve"> the NBA </w:t>
      </w:r>
      <w:r>
        <w:t>assessment</w:t>
      </w:r>
      <w:r w:rsidR="00252090">
        <w:t xml:space="preserve"> timeframe was reasonable, </w:t>
      </w:r>
      <w:r w:rsidR="00252090">
        <w:rPr>
          <w:lang w:val="en-AU"/>
        </w:rPr>
        <w:t xml:space="preserve">given the extent of information </w:t>
      </w:r>
      <w:r>
        <w:rPr>
          <w:lang w:val="en-AU"/>
        </w:rPr>
        <w:t>gathered</w:t>
      </w:r>
      <w:r w:rsidR="00252090">
        <w:rPr>
          <w:lang w:val="en-AU"/>
        </w:rPr>
        <w:t xml:space="preserve">, often from multiple care settings. </w:t>
      </w:r>
      <w:r w:rsidR="00201CC1">
        <w:t xml:space="preserve">Despite this, </w:t>
      </w:r>
      <w:r w:rsidR="00252090">
        <w:t xml:space="preserve">many </w:t>
      </w:r>
      <w:r w:rsidR="00201CC1">
        <w:t>stakeholders reported that</w:t>
      </w:r>
      <w:r w:rsidR="002360BC">
        <w:t xml:space="preserve"> some</w:t>
      </w:r>
      <w:r w:rsidR="00201CC1">
        <w:t xml:space="preserve"> famil</w:t>
      </w:r>
      <w:r w:rsidR="00F5394C">
        <w:t>ies</w:t>
      </w:r>
      <w:r w:rsidR="00201CC1">
        <w:t>/carer</w:t>
      </w:r>
      <w:r w:rsidR="002360BC">
        <w:t xml:space="preserve">s, </w:t>
      </w:r>
      <w:r w:rsidR="00201CC1">
        <w:t xml:space="preserve">referrers </w:t>
      </w:r>
      <w:r w:rsidR="002360BC">
        <w:t xml:space="preserve">and </w:t>
      </w:r>
      <w:r w:rsidR="002360BC" w:rsidRPr="004275B8">
        <w:rPr>
          <w:rFonts w:cstheme="minorHAnsi"/>
        </w:rPr>
        <w:t xml:space="preserve">Program staff </w:t>
      </w:r>
      <w:r w:rsidR="00DD47CE" w:rsidRPr="004275B8">
        <w:rPr>
          <w:rFonts w:cstheme="minorHAnsi"/>
        </w:rPr>
        <w:t xml:space="preserve">can feel that </w:t>
      </w:r>
      <w:r w:rsidR="00201CC1" w:rsidRPr="004275B8">
        <w:rPr>
          <w:rFonts w:cstheme="minorHAnsi"/>
        </w:rPr>
        <w:t>the time from referral to presentation at a CAC meeting is too long.</w:t>
      </w:r>
      <w:r w:rsidR="002360BC" w:rsidRPr="004275B8">
        <w:rPr>
          <w:rFonts w:cstheme="minorHAnsi"/>
        </w:rPr>
        <w:t xml:space="preserve"> </w:t>
      </w:r>
      <w:r w:rsidR="0020228E" w:rsidRPr="004275B8">
        <w:rPr>
          <w:rFonts w:cstheme="minorHAnsi"/>
        </w:rPr>
        <w:t xml:space="preserve">This is consistent with the </w:t>
      </w:r>
      <w:r w:rsidR="0020228E" w:rsidRPr="0079620C">
        <w:rPr>
          <w:rFonts w:cstheme="minorHAnsi"/>
          <w:b/>
        </w:rPr>
        <w:t>Interim Report (2021)</w:t>
      </w:r>
      <w:r w:rsidR="0020228E" w:rsidRPr="004275B8">
        <w:rPr>
          <w:rFonts w:cstheme="minorHAnsi"/>
        </w:rPr>
        <w:t>, which</w:t>
      </w:r>
      <w:r w:rsidR="00AC19E2" w:rsidRPr="004275B8">
        <w:rPr>
          <w:rFonts w:cstheme="minorHAnsi"/>
        </w:rPr>
        <w:t xml:space="preserve"> cited the referral and assessment timeframe as a specific issue in the context of referrals originating from inpatient settings. In inpatient</w:t>
      </w:r>
      <w:r w:rsidR="00AC19E2">
        <w:t xml:space="preserve"> settings, there are significant costs associated with an overnight bed-day. In addition, inpatient staff must rapidly understand if </w:t>
      </w:r>
      <w:r w:rsidR="00DC05C2">
        <w:t xml:space="preserve">the Program </w:t>
      </w:r>
      <w:r w:rsidR="00AC19E2">
        <w:t>is – or is not – a discharge option so they can commence discharge planning to alternative destinations, if needed.</w:t>
      </w:r>
      <w:r w:rsidR="007A6CFA">
        <w:t xml:space="preserve"> </w:t>
      </w:r>
    </w:p>
    <w:p w14:paraId="39A2F7A0" w14:textId="54B10925" w:rsidR="005C41E0" w:rsidRDefault="00205139" w:rsidP="0079620C">
      <w:r>
        <w:t xml:space="preserve">To increase the timeliness of </w:t>
      </w:r>
      <w:r w:rsidR="002F4B5C">
        <w:t>Program access for those currently in hospital</w:t>
      </w:r>
      <w:r>
        <w:t xml:space="preserve">, </w:t>
      </w:r>
      <w:r w:rsidR="0079513B">
        <w:t xml:space="preserve">stakeholder </w:t>
      </w:r>
      <w:r w:rsidR="00553C15">
        <w:t xml:space="preserve">suggestions </w:t>
      </w:r>
      <w:r w:rsidR="00CC2363">
        <w:t xml:space="preserve">across the </w:t>
      </w:r>
      <w:r w:rsidR="00E7358A" w:rsidRPr="00AC631E">
        <w:t>Interim Report</w:t>
      </w:r>
      <w:r w:rsidR="00642E9A">
        <w:t xml:space="preserve"> and this report’s consultation process</w:t>
      </w:r>
      <w:r w:rsidR="008323E9">
        <w:t>es</w:t>
      </w:r>
      <w:r w:rsidR="00642E9A">
        <w:t xml:space="preserve"> </w:t>
      </w:r>
      <w:r w:rsidR="00E7358A">
        <w:t xml:space="preserve">have </w:t>
      </w:r>
      <w:r w:rsidR="002E5CF2">
        <w:t>included</w:t>
      </w:r>
      <w:r w:rsidR="00BE270C">
        <w:t xml:space="preserve"> </w:t>
      </w:r>
      <w:r w:rsidR="00DF3E2C">
        <w:t xml:space="preserve">that </w:t>
      </w:r>
      <w:r w:rsidR="002D400D">
        <w:t>inpatient</w:t>
      </w:r>
      <w:r w:rsidR="00DF3E2C">
        <w:t xml:space="preserve"> clients could be prioritised for </w:t>
      </w:r>
      <w:r w:rsidR="0073243B">
        <w:t xml:space="preserve">NBA </w:t>
      </w:r>
      <w:r w:rsidR="00BE69CF">
        <w:t>assessment</w:t>
      </w:r>
      <w:r w:rsidR="003F07A5">
        <w:t>,</w:t>
      </w:r>
      <w:r w:rsidR="00BE69CF">
        <w:t xml:space="preserve"> </w:t>
      </w:r>
      <w:r w:rsidR="003F07A5">
        <w:t>or</w:t>
      </w:r>
      <w:r w:rsidR="008323E9">
        <w:t xml:space="preserve"> </w:t>
      </w:r>
      <w:r w:rsidR="005E1B28">
        <w:t xml:space="preserve">that </w:t>
      </w:r>
      <w:r w:rsidR="000B07A6">
        <w:t xml:space="preserve">SDCUs </w:t>
      </w:r>
      <w:r w:rsidR="008323E9">
        <w:t xml:space="preserve">could </w:t>
      </w:r>
      <w:r>
        <w:t xml:space="preserve">consider implementing protocols to prioritise these clients for </w:t>
      </w:r>
      <w:r w:rsidR="003F07A5">
        <w:t xml:space="preserve">suitability </w:t>
      </w:r>
      <w:r>
        <w:t xml:space="preserve">assessment ahead of those based in </w:t>
      </w:r>
      <w:r w:rsidR="002C0889">
        <w:t>mainstream RACFs</w:t>
      </w:r>
      <w:r>
        <w:t xml:space="preserve">. </w:t>
      </w:r>
      <w:r w:rsidR="008323E9">
        <w:t xml:space="preserve">However, when presented with these suggestions, other stakeholders held the view that </w:t>
      </w:r>
      <w:r w:rsidR="00E806CA">
        <w:t>fast-tracking the process for</w:t>
      </w:r>
      <w:r w:rsidR="004D4400">
        <w:t xml:space="preserve"> inpatients </w:t>
      </w:r>
      <w:r w:rsidR="007A77F3">
        <w:t xml:space="preserve">(as opposed to those residing in mainstream RACF settings) </w:t>
      </w:r>
      <w:r w:rsidR="004D4400">
        <w:t>would be counter to the</w:t>
      </w:r>
      <w:r w:rsidR="00D5592A">
        <w:t xml:space="preserve"> Program’s goal of equity of access and may create </w:t>
      </w:r>
      <w:r w:rsidR="00CB5D39">
        <w:t xml:space="preserve">adverse incentives. </w:t>
      </w:r>
    </w:p>
    <w:p w14:paraId="4D390D43" w14:textId="2990F8BB" w:rsidR="00205139" w:rsidRDefault="00A017A5" w:rsidP="0079620C">
      <w:r>
        <w:t xml:space="preserve">A </w:t>
      </w:r>
      <w:r w:rsidR="007124AB">
        <w:t>broader observation regarding timeliness of the referral process was that t</w:t>
      </w:r>
      <w:r w:rsidR="003630DE">
        <w:t xml:space="preserve">he frequency of </w:t>
      </w:r>
      <w:r w:rsidR="00205139">
        <w:t xml:space="preserve">CAC meetings </w:t>
      </w:r>
      <w:r w:rsidR="003630DE">
        <w:t>varied across sites, with some SDCUs holding a CAC only</w:t>
      </w:r>
      <w:r w:rsidR="00205139">
        <w:t xml:space="preserve"> once a month</w:t>
      </w:r>
      <w:r w:rsidR="003630DE">
        <w:t xml:space="preserve"> and others weekly or fortnightly to determine the applicant’s suitability with the current resident mix.</w:t>
      </w:r>
      <w:r w:rsidR="00205139">
        <w:t xml:space="preserve"> </w:t>
      </w:r>
      <w:r w:rsidR="007124AB">
        <w:t xml:space="preserve">Thus, there </w:t>
      </w:r>
      <w:r w:rsidR="001B2919">
        <w:t xml:space="preserve">is </w:t>
      </w:r>
      <w:r w:rsidR="00B05E78">
        <w:t xml:space="preserve">an </w:t>
      </w:r>
      <w:r w:rsidR="001B2919">
        <w:t xml:space="preserve">opportunity to provide further </w:t>
      </w:r>
      <w:r w:rsidR="00930BAA">
        <w:t>guidance</w:t>
      </w:r>
      <w:r w:rsidR="001B2919">
        <w:t xml:space="preserve"> </w:t>
      </w:r>
      <w:r w:rsidR="00930BAA">
        <w:t xml:space="preserve">to SDCUs on </w:t>
      </w:r>
      <w:r w:rsidR="005648DB">
        <w:t>the</w:t>
      </w:r>
      <w:r w:rsidR="00AD4F25">
        <w:t xml:space="preserve"> recommended</w:t>
      </w:r>
      <w:r w:rsidR="005648DB">
        <w:t xml:space="preserve"> frequency of CAC</w:t>
      </w:r>
      <w:r w:rsidR="00AD4F25">
        <w:t xml:space="preserve"> meetings</w:t>
      </w:r>
      <w:r w:rsidR="001B2919" w:rsidRPr="001B2919">
        <w:t xml:space="preserve"> </w:t>
      </w:r>
      <w:r w:rsidR="00930BAA">
        <w:t>to create more standardisation across sites and improve the timeliness of suitability assessments</w:t>
      </w:r>
      <w:r w:rsidR="00AD4F25">
        <w:t>.</w:t>
      </w:r>
    </w:p>
    <w:p w14:paraId="0F783518" w14:textId="4DF1E72E" w:rsidR="005444FF" w:rsidRDefault="007D7A7F" w:rsidP="00487409">
      <w:r>
        <w:rPr>
          <w:lang w:val="en-AU"/>
        </w:rPr>
        <w:t xml:space="preserve">Stakeholders </w:t>
      </w:r>
      <w:r w:rsidR="00EC164E" w:rsidRPr="00EC164E">
        <w:rPr>
          <w:lang w:val="en-AU"/>
        </w:rPr>
        <w:t xml:space="preserve">were also largely </w:t>
      </w:r>
      <w:r w:rsidR="007B0597" w:rsidRPr="00EC164E">
        <w:rPr>
          <w:lang w:val="en-AU"/>
        </w:rPr>
        <w:t>satisfied with level of information provided</w:t>
      </w:r>
      <w:r w:rsidR="00EC164E" w:rsidRPr="00EC164E">
        <w:rPr>
          <w:lang w:val="en-AU"/>
        </w:rPr>
        <w:t xml:space="preserve"> by DSA</w:t>
      </w:r>
      <w:r>
        <w:rPr>
          <w:lang w:val="en-AU"/>
        </w:rPr>
        <w:t xml:space="preserve"> throughout the assessment process and contained in the assessment report. </w:t>
      </w:r>
      <w:r w:rsidR="005444FF">
        <w:rPr>
          <w:lang w:val="en-AU"/>
        </w:rPr>
        <w:t xml:space="preserve">They noted </w:t>
      </w:r>
      <w:r w:rsidR="00EC164E" w:rsidRPr="00EC164E">
        <w:rPr>
          <w:lang w:val="en-AU"/>
        </w:rPr>
        <w:t>DSA</w:t>
      </w:r>
      <w:r w:rsidR="00882E38">
        <w:rPr>
          <w:lang w:val="en-AU"/>
        </w:rPr>
        <w:t xml:space="preserve"> is responsive and maintains strong coordination and</w:t>
      </w:r>
      <w:r w:rsidR="00EC164E" w:rsidRPr="00EC164E">
        <w:rPr>
          <w:lang w:val="en-AU"/>
        </w:rPr>
        <w:t xml:space="preserve"> communication with the referring facilities</w:t>
      </w:r>
      <w:r w:rsidR="005444FF">
        <w:rPr>
          <w:lang w:val="en-AU"/>
        </w:rPr>
        <w:t xml:space="preserve">, family/carers </w:t>
      </w:r>
      <w:r w:rsidR="00EC164E" w:rsidRPr="00EC164E">
        <w:rPr>
          <w:lang w:val="en-AU"/>
        </w:rPr>
        <w:t>and CAC member</w:t>
      </w:r>
      <w:r w:rsidR="00882E38">
        <w:rPr>
          <w:lang w:val="en-AU"/>
        </w:rPr>
        <w:t>s.</w:t>
      </w:r>
      <w:r w:rsidR="005444FF">
        <w:rPr>
          <w:lang w:val="en-AU"/>
        </w:rPr>
        <w:t xml:space="preserve"> </w:t>
      </w:r>
      <w:r w:rsidR="001433FE">
        <w:rPr>
          <w:lang w:val="en-AU"/>
        </w:rPr>
        <w:t xml:space="preserve">However, </w:t>
      </w:r>
      <w:r w:rsidR="00C97B14">
        <w:rPr>
          <w:lang w:val="en-AU"/>
        </w:rPr>
        <w:t xml:space="preserve">poor understanding </w:t>
      </w:r>
      <w:r w:rsidR="005444FF">
        <w:rPr>
          <w:lang w:val="en-AU"/>
        </w:rPr>
        <w:t xml:space="preserve">of the assessment </w:t>
      </w:r>
      <w:r w:rsidR="00C97B14">
        <w:rPr>
          <w:lang w:val="en-AU"/>
        </w:rPr>
        <w:t>process</w:t>
      </w:r>
      <w:r w:rsidR="005444FF">
        <w:rPr>
          <w:lang w:val="en-AU"/>
        </w:rPr>
        <w:t xml:space="preserve"> </w:t>
      </w:r>
      <w:r w:rsidR="00C97B14">
        <w:rPr>
          <w:lang w:val="en-AU"/>
        </w:rPr>
        <w:t xml:space="preserve">was a </w:t>
      </w:r>
      <w:r w:rsidR="005444FF">
        <w:rPr>
          <w:lang w:val="en-AU"/>
        </w:rPr>
        <w:t xml:space="preserve">common </w:t>
      </w:r>
      <w:r w:rsidR="00C97B14">
        <w:rPr>
          <w:lang w:val="en-AU"/>
        </w:rPr>
        <w:t xml:space="preserve">issue observed </w:t>
      </w:r>
      <w:r w:rsidR="005444FF">
        <w:rPr>
          <w:lang w:val="en-AU"/>
        </w:rPr>
        <w:t>among new referrers</w:t>
      </w:r>
      <w:r w:rsidR="00487409">
        <w:rPr>
          <w:lang w:val="en-AU"/>
        </w:rPr>
        <w:t xml:space="preserve">. For example, new referrers often do not understand the difference between the NBA and CAC </w:t>
      </w:r>
      <w:r w:rsidR="00BC1A1F">
        <w:rPr>
          <w:lang w:val="en-AU"/>
        </w:rPr>
        <w:t>process,</w:t>
      </w:r>
      <w:r w:rsidR="00487409">
        <w:rPr>
          <w:lang w:val="en-AU"/>
        </w:rPr>
        <w:t xml:space="preserve"> and they assume </w:t>
      </w:r>
      <w:r w:rsidR="002069A8">
        <w:rPr>
          <w:lang w:val="en-AU"/>
        </w:rPr>
        <w:t>that a</w:t>
      </w:r>
      <w:r w:rsidR="003A4F95">
        <w:rPr>
          <w:lang w:val="en-AU"/>
        </w:rPr>
        <w:t xml:space="preserve"> referral assessed by</w:t>
      </w:r>
      <w:r w:rsidR="00487409">
        <w:rPr>
          <w:lang w:val="en-AU"/>
        </w:rPr>
        <w:t xml:space="preserve"> the NBA </w:t>
      </w:r>
      <w:r w:rsidR="003A4F95">
        <w:rPr>
          <w:lang w:val="en-AU"/>
        </w:rPr>
        <w:t>as eligible for placement</w:t>
      </w:r>
      <w:r w:rsidR="00487409">
        <w:rPr>
          <w:lang w:val="en-AU"/>
        </w:rPr>
        <w:t xml:space="preserve"> equates to Program acceptance. </w:t>
      </w:r>
      <w:r w:rsidR="00394D1E">
        <w:t>Accordingly</w:t>
      </w:r>
      <w:r w:rsidR="00487409">
        <w:rPr>
          <w:lang w:val="en-AU"/>
        </w:rPr>
        <w:t xml:space="preserve">, </w:t>
      </w:r>
      <w:r w:rsidR="005444FF">
        <w:rPr>
          <w:lang w:val="en-AU"/>
        </w:rPr>
        <w:t>there is opportunity for promotional activities to better communicate the assessment timeframe</w:t>
      </w:r>
      <w:r w:rsidR="00487409">
        <w:rPr>
          <w:lang w:val="en-AU"/>
        </w:rPr>
        <w:t>s and s</w:t>
      </w:r>
      <w:r w:rsidR="005444FF">
        <w:rPr>
          <w:lang w:val="en-AU"/>
        </w:rPr>
        <w:t>teps required to improve expectation management among referring facilities</w:t>
      </w:r>
      <w:r w:rsidR="00394D1E">
        <w:rPr>
          <w:lang w:val="en-AU"/>
        </w:rPr>
        <w:t xml:space="preserve"> and ensure</w:t>
      </w:r>
      <w:r w:rsidR="00394D1E">
        <w:t xml:space="preserve"> referrers have a good experience with the service to encourage future referrals.</w:t>
      </w:r>
    </w:p>
    <w:p w14:paraId="0B20DB43" w14:textId="2E4F73E9" w:rsidR="009A320B" w:rsidRPr="009A320B" w:rsidRDefault="000217E8" w:rsidP="009A320B">
      <w:pPr>
        <w:pStyle w:val="Caption"/>
        <w:rPr>
          <w:rFonts w:cstheme="minorHAnsi"/>
          <w:color w:val="007CB0" w:themeColor="accent6"/>
          <w:sz w:val="18"/>
          <w:lang w:val="en-AU"/>
        </w:rPr>
      </w:pPr>
      <w:r>
        <w:t xml:space="preserve">Figure </w:t>
      </w:r>
      <w:r w:rsidR="009A320B">
        <w:fldChar w:fldCharType="begin"/>
      </w:r>
      <w:r w:rsidR="009A320B">
        <w:instrText xml:space="preserve"> STYLEREF 1 \s </w:instrText>
      </w:r>
      <w:r w:rsidR="009A320B">
        <w:fldChar w:fldCharType="separate"/>
      </w:r>
      <w:r w:rsidR="00D32536">
        <w:rPr>
          <w:noProof/>
        </w:rPr>
        <w:t>2</w:t>
      </w:r>
      <w:r w:rsidR="009A320B">
        <w:fldChar w:fldCharType="end"/>
      </w:r>
      <w:r w:rsidR="009A320B">
        <w:t>.</w:t>
      </w:r>
      <w:r w:rsidR="008875A8">
        <w:fldChar w:fldCharType="begin"/>
      </w:r>
      <w:r w:rsidR="008875A8">
        <w:instrText xml:space="preserve"> SEQ Figure \* ARABIC \s 1 </w:instrText>
      </w:r>
      <w:r w:rsidR="008875A8">
        <w:fldChar w:fldCharType="separate"/>
      </w:r>
      <w:r w:rsidR="00D32536">
        <w:rPr>
          <w:noProof/>
        </w:rPr>
        <w:t>10</w:t>
      </w:r>
      <w:r w:rsidR="008875A8">
        <w:fldChar w:fldCharType="end"/>
      </w:r>
      <w:r w:rsidR="009A320B">
        <w:t xml:space="preserve"> </w:t>
      </w:r>
      <w:r w:rsidR="009A320B" w:rsidRPr="006C2658">
        <w:t xml:space="preserve">Quotes representing dominant qualitative themes from consultations and the </w:t>
      </w:r>
      <w:r w:rsidR="00DC05C2">
        <w:t>Program</w:t>
      </w:r>
      <w:r w:rsidR="00DC05C2" w:rsidRPr="006C2658">
        <w:t xml:space="preserve"> </w:t>
      </w:r>
      <w:r w:rsidR="009A320B" w:rsidRPr="006C2658">
        <w:t xml:space="preserve">staff survey related to </w:t>
      </w:r>
      <w:r w:rsidR="009A320B">
        <w:t>the timeliness of the NBA process</w:t>
      </w:r>
    </w:p>
    <w:p w14:paraId="7954D0EA" w14:textId="74F19216" w:rsidR="002C34C3" w:rsidRDefault="009A320B" w:rsidP="0076098F">
      <w:pPr>
        <w:rPr>
          <w:i/>
          <w:iCs/>
          <w:color w:val="0076A8"/>
          <w:lang w:val="en-AU"/>
        </w:rPr>
      </w:pPr>
      <w:r w:rsidRPr="009A320B">
        <w:rPr>
          <w:noProof/>
        </w:rPr>
        <w:drawing>
          <wp:inline distT="0" distB="0" distL="0" distR="0" wp14:anchorId="7A7CD5B3" wp14:editId="7839396D">
            <wp:extent cx="6319520" cy="1513840"/>
            <wp:effectExtent l="0" t="0" r="5080" b="0"/>
            <wp:docPr id="7" name="Picture 7" descr="This image is of two quotes from DSA staff. &#10;&#10;Quote 1: “At times it can be challenging to obtain information we require to determine eligibility – information that gives us the full picture. We have had to reassess people because it has been deemed later on that more information is available that was not shared in initial stages. So access to the most comprehensive information on eligibility can be a barrier.”&#10;&#10;Quote 2: “Access to information [is a barrier], particularly in acute care settings as they have quite difficult CRMs to navigate… It can be difficult to get information and it is time consuming for them to provide us with that access to the information to be able to determine eligibility... That’s probably the biggest disabler from an NBA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is of two quotes from DSA staff. &#10;&#10;Quote 1: “At times it can be challenging to obtain information we require to determine eligibility – information that gives us the full picture. We have had to reassess people because it has been deemed later on that more information is available that was not shared in initial stages. So access to the most comprehensive information on eligibility can be a barrier.”&#10;&#10;Quote 2: “Access to information [is a barrier], particularly in acute care settings as they have quite difficult CRMs to navigate… It can be difficult to get information and it is time consuming for them to provide us with that access to the information to be able to determine eligibility... That’s probably the biggest disabler from an NBA perspecti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19520" cy="1513840"/>
                    </a:xfrm>
                    <a:prstGeom prst="rect">
                      <a:avLst/>
                    </a:prstGeom>
                    <a:noFill/>
                    <a:ln>
                      <a:noFill/>
                    </a:ln>
                  </pic:spPr>
                </pic:pic>
              </a:graphicData>
            </a:graphic>
          </wp:inline>
        </w:drawing>
      </w:r>
    </w:p>
    <w:p w14:paraId="6C2EAA53" w14:textId="77777777" w:rsidR="009A320B" w:rsidRPr="00BB1EF3" w:rsidRDefault="009A320B" w:rsidP="009A320B">
      <w:pPr>
        <w:rPr>
          <w:color w:val="53565A" w:themeColor="background2"/>
          <w:sz w:val="16"/>
          <w:szCs w:val="18"/>
        </w:rPr>
      </w:pPr>
      <w:r w:rsidRPr="009847EB">
        <w:rPr>
          <w:color w:val="53565A" w:themeColor="background2"/>
          <w:sz w:val="16"/>
          <w:szCs w:val="18"/>
        </w:rPr>
        <w:t>Source: Deloitte Access Economics analysis of stakeholder consultation transcriptions, 2022</w:t>
      </w:r>
    </w:p>
    <w:p w14:paraId="011A72E6" w14:textId="52215301" w:rsidR="00B43C77" w:rsidRPr="00E21FD4" w:rsidRDefault="00EF289C" w:rsidP="00EC5D24">
      <w:pPr>
        <w:rPr>
          <w:rFonts w:asciiTheme="majorHAnsi" w:hAnsiTheme="majorHAnsi" w:cstheme="majorHAnsi"/>
          <w:b/>
          <w:color w:val="012169"/>
          <w:lang w:val="en-AU"/>
        </w:rPr>
      </w:pPr>
      <w:r w:rsidRPr="00E21FD4">
        <w:rPr>
          <w:rFonts w:asciiTheme="majorHAnsi" w:hAnsiTheme="majorHAnsi" w:cstheme="majorHAnsi"/>
          <w:b/>
          <w:color w:val="012169"/>
          <w:lang w:val="en-AU"/>
        </w:rPr>
        <w:t>P</w:t>
      </w:r>
      <w:r w:rsidR="00641086" w:rsidRPr="00E21FD4">
        <w:rPr>
          <w:rFonts w:asciiTheme="majorHAnsi" w:hAnsiTheme="majorHAnsi" w:cstheme="majorHAnsi"/>
          <w:b/>
          <w:color w:val="012169"/>
          <w:lang w:val="en-AU"/>
        </w:rPr>
        <w:t>eople in r</w:t>
      </w:r>
      <w:r w:rsidR="00B43C77" w:rsidRPr="00E21FD4">
        <w:rPr>
          <w:rFonts w:asciiTheme="majorHAnsi" w:hAnsiTheme="majorHAnsi" w:cstheme="majorHAnsi"/>
          <w:b/>
          <w:color w:val="012169"/>
          <w:lang w:val="en-AU"/>
        </w:rPr>
        <w:t xml:space="preserve">egional and rural </w:t>
      </w:r>
      <w:r w:rsidR="00641086" w:rsidRPr="00E21FD4">
        <w:rPr>
          <w:rFonts w:asciiTheme="majorHAnsi" w:hAnsiTheme="majorHAnsi" w:cstheme="majorHAnsi"/>
          <w:b/>
          <w:color w:val="012169"/>
          <w:lang w:val="en-AU"/>
        </w:rPr>
        <w:t xml:space="preserve">areas </w:t>
      </w:r>
      <w:r w:rsidRPr="00E21FD4">
        <w:rPr>
          <w:rFonts w:asciiTheme="majorHAnsi" w:hAnsiTheme="majorHAnsi" w:cstheme="majorHAnsi"/>
          <w:b/>
          <w:color w:val="012169"/>
          <w:lang w:val="en-AU"/>
        </w:rPr>
        <w:t xml:space="preserve">face </w:t>
      </w:r>
      <w:r w:rsidR="00065F61">
        <w:rPr>
          <w:rFonts w:asciiTheme="majorHAnsi" w:hAnsiTheme="majorHAnsi" w:cstheme="majorHAnsi"/>
          <w:b/>
          <w:bCs/>
          <w:color w:val="012169"/>
          <w:lang w:val="en-AU"/>
        </w:rPr>
        <w:t>uni</w:t>
      </w:r>
      <w:r w:rsidR="005667C6">
        <w:rPr>
          <w:rFonts w:asciiTheme="majorHAnsi" w:hAnsiTheme="majorHAnsi" w:cstheme="majorHAnsi"/>
          <w:b/>
          <w:bCs/>
          <w:color w:val="012169"/>
          <w:lang w:val="en-AU"/>
        </w:rPr>
        <w:t>que</w:t>
      </w:r>
      <w:r w:rsidRPr="00E21FD4">
        <w:rPr>
          <w:rFonts w:asciiTheme="majorHAnsi" w:hAnsiTheme="majorHAnsi" w:cstheme="majorHAnsi"/>
          <w:b/>
          <w:bCs/>
          <w:color w:val="012169"/>
          <w:lang w:val="en-AU"/>
        </w:rPr>
        <w:t xml:space="preserve"> </w:t>
      </w:r>
      <w:r w:rsidRPr="00E21FD4">
        <w:rPr>
          <w:rFonts w:asciiTheme="majorHAnsi" w:hAnsiTheme="majorHAnsi" w:cstheme="majorHAnsi"/>
          <w:b/>
          <w:color w:val="012169"/>
          <w:lang w:val="en-AU"/>
        </w:rPr>
        <w:t>barriers to accessing the Program</w:t>
      </w:r>
      <w:r w:rsidR="009B5569">
        <w:rPr>
          <w:rFonts w:asciiTheme="majorHAnsi" w:hAnsiTheme="majorHAnsi" w:cstheme="majorHAnsi"/>
          <w:b/>
          <w:bCs/>
          <w:color w:val="012169"/>
          <w:lang w:val="en-AU"/>
        </w:rPr>
        <w:t>. This is</w:t>
      </w:r>
      <w:r w:rsidRPr="00E21FD4">
        <w:rPr>
          <w:rFonts w:asciiTheme="majorHAnsi" w:hAnsiTheme="majorHAnsi" w:cstheme="majorHAnsi"/>
          <w:b/>
          <w:color w:val="012169"/>
          <w:lang w:val="en-AU"/>
        </w:rPr>
        <w:t xml:space="preserve"> </w:t>
      </w:r>
      <w:r w:rsidR="003D00C1">
        <w:rPr>
          <w:rFonts w:asciiTheme="majorHAnsi" w:hAnsiTheme="majorHAnsi" w:cstheme="majorHAnsi"/>
          <w:b/>
          <w:bCs/>
          <w:color w:val="012169"/>
          <w:lang w:val="en-AU"/>
        </w:rPr>
        <w:t>due to the</w:t>
      </w:r>
      <w:r w:rsidR="00D64C38" w:rsidRPr="00E21FD4">
        <w:rPr>
          <w:rFonts w:asciiTheme="majorHAnsi" w:hAnsiTheme="majorHAnsi" w:cstheme="majorHAnsi"/>
          <w:b/>
          <w:bCs/>
          <w:color w:val="012169"/>
          <w:lang w:val="en-AU"/>
        </w:rPr>
        <w:t xml:space="preserve"> </w:t>
      </w:r>
      <w:r w:rsidRPr="00E21FD4">
        <w:rPr>
          <w:rFonts w:asciiTheme="majorHAnsi" w:hAnsiTheme="majorHAnsi" w:cstheme="majorHAnsi"/>
          <w:b/>
          <w:color w:val="012169"/>
          <w:lang w:val="en-AU"/>
        </w:rPr>
        <w:t xml:space="preserve">lack of specialist input in their </w:t>
      </w:r>
      <w:r w:rsidR="00D64C38" w:rsidRPr="00E21FD4">
        <w:rPr>
          <w:rFonts w:asciiTheme="majorHAnsi" w:hAnsiTheme="majorHAnsi" w:cstheme="majorHAnsi"/>
          <w:b/>
          <w:color w:val="012169"/>
          <w:lang w:val="en-AU"/>
        </w:rPr>
        <w:t>region</w:t>
      </w:r>
      <w:r w:rsidR="003D00C1">
        <w:rPr>
          <w:rFonts w:asciiTheme="majorHAnsi" w:hAnsiTheme="majorHAnsi" w:cstheme="majorHAnsi"/>
          <w:b/>
          <w:bCs/>
          <w:color w:val="012169"/>
          <w:lang w:val="en-AU"/>
        </w:rPr>
        <w:t xml:space="preserve"> (required </w:t>
      </w:r>
      <w:r w:rsidR="00D316D0">
        <w:rPr>
          <w:rFonts w:asciiTheme="majorHAnsi" w:hAnsiTheme="majorHAnsi" w:cstheme="majorHAnsi"/>
          <w:b/>
          <w:bCs/>
          <w:color w:val="012169"/>
          <w:lang w:val="en-AU"/>
        </w:rPr>
        <w:t>for a referral to be considered eligible for NBA assessment)</w:t>
      </w:r>
      <w:r w:rsidR="00D64C38" w:rsidRPr="00E21FD4">
        <w:rPr>
          <w:rFonts w:asciiTheme="majorHAnsi" w:hAnsiTheme="majorHAnsi" w:cstheme="majorHAnsi"/>
          <w:b/>
          <w:bCs/>
          <w:color w:val="012169"/>
          <w:lang w:val="en-AU"/>
        </w:rPr>
        <w:t>,</w:t>
      </w:r>
      <w:r w:rsidR="00D64C38" w:rsidRPr="00E21FD4">
        <w:rPr>
          <w:rFonts w:asciiTheme="majorHAnsi" w:hAnsiTheme="majorHAnsi" w:cstheme="majorHAnsi"/>
          <w:b/>
          <w:color w:val="012169"/>
          <w:lang w:val="en-AU"/>
        </w:rPr>
        <w:t xml:space="preserve"> as well as</w:t>
      </w:r>
      <w:r w:rsidRPr="00E21FD4">
        <w:rPr>
          <w:rFonts w:asciiTheme="majorHAnsi" w:hAnsiTheme="majorHAnsi" w:cstheme="majorHAnsi"/>
          <w:b/>
          <w:color w:val="012169"/>
          <w:lang w:val="en-AU"/>
        </w:rPr>
        <w:t xml:space="preserve"> </w:t>
      </w:r>
      <w:r w:rsidR="00374CC5">
        <w:rPr>
          <w:rFonts w:asciiTheme="majorHAnsi" w:hAnsiTheme="majorHAnsi" w:cstheme="majorHAnsi"/>
          <w:b/>
          <w:color w:val="012169"/>
          <w:lang w:val="en-AU"/>
        </w:rPr>
        <w:t>staff shortages and the</w:t>
      </w:r>
      <w:r w:rsidR="00374CC5" w:rsidRPr="00E21FD4">
        <w:rPr>
          <w:rFonts w:asciiTheme="majorHAnsi" w:hAnsiTheme="majorHAnsi" w:cstheme="majorHAnsi"/>
          <w:b/>
          <w:color w:val="012169"/>
          <w:lang w:val="en-AU"/>
        </w:rPr>
        <w:t xml:space="preserve"> </w:t>
      </w:r>
      <w:r w:rsidRPr="00E21FD4">
        <w:rPr>
          <w:rFonts w:asciiTheme="majorHAnsi" w:hAnsiTheme="majorHAnsi" w:cstheme="majorHAnsi"/>
          <w:b/>
          <w:color w:val="012169"/>
          <w:lang w:val="en-AU"/>
        </w:rPr>
        <w:t>long-distance transport journeys required for admission.</w:t>
      </w:r>
      <w:r w:rsidR="00D7261E" w:rsidRPr="00E21FD4">
        <w:rPr>
          <w:rFonts w:asciiTheme="majorHAnsi" w:hAnsiTheme="majorHAnsi" w:cstheme="majorHAnsi"/>
          <w:b/>
          <w:color w:val="012169"/>
          <w:lang w:val="en-AU"/>
        </w:rPr>
        <w:t xml:space="preserve"> </w:t>
      </w:r>
    </w:p>
    <w:p w14:paraId="41BE8D02" w14:textId="62EE3052" w:rsidR="00F5463F" w:rsidRDefault="00C95DFF" w:rsidP="002F68FD">
      <w:pPr>
        <w:rPr>
          <w:lang w:val="en-AU"/>
        </w:rPr>
      </w:pPr>
      <w:r>
        <w:rPr>
          <w:lang w:val="en-AU"/>
        </w:rPr>
        <w:t xml:space="preserve">In addition to the challenges sourcing specialist input </w:t>
      </w:r>
      <w:r w:rsidR="008154A7">
        <w:rPr>
          <w:lang w:val="en-AU"/>
        </w:rPr>
        <w:t xml:space="preserve">described in Section </w:t>
      </w:r>
      <w:r w:rsidR="008154A7">
        <w:rPr>
          <w:lang w:val="en-AU"/>
        </w:rPr>
        <w:fldChar w:fldCharType="begin"/>
      </w:r>
      <w:r w:rsidR="008154A7">
        <w:rPr>
          <w:lang w:val="en-AU"/>
        </w:rPr>
        <w:instrText xml:space="preserve"> REF _Ref124148594 \r \h </w:instrText>
      </w:r>
      <w:r w:rsidR="008154A7">
        <w:rPr>
          <w:lang w:val="en-AU"/>
        </w:rPr>
      </w:r>
      <w:r w:rsidR="008154A7">
        <w:rPr>
          <w:lang w:val="en-AU"/>
        </w:rPr>
        <w:fldChar w:fldCharType="separate"/>
      </w:r>
      <w:r w:rsidR="00D32536">
        <w:rPr>
          <w:lang w:val="en-AU"/>
        </w:rPr>
        <w:t>2.2</w:t>
      </w:r>
      <w:r w:rsidR="008154A7">
        <w:rPr>
          <w:lang w:val="en-AU"/>
        </w:rPr>
        <w:fldChar w:fldCharType="end"/>
      </w:r>
      <w:r w:rsidR="008154A7">
        <w:rPr>
          <w:lang w:val="en-AU"/>
        </w:rPr>
        <w:t>, s</w:t>
      </w:r>
      <w:r>
        <w:rPr>
          <w:lang w:val="en-AU"/>
        </w:rPr>
        <w:t xml:space="preserve">takeholders </w:t>
      </w:r>
      <w:r w:rsidR="0001114C">
        <w:rPr>
          <w:lang w:val="en-AU"/>
        </w:rPr>
        <w:t>highlighted</w:t>
      </w:r>
      <w:r w:rsidR="00EF289C">
        <w:rPr>
          <w:lang w:val="en-AU"/>
        </w:rPr>
        <w:t xml:space="preserve"> several </w:t>
      </w:r>
      <w:r w:rsidR="00984CB1">
        <w:rPr>
          <w:lang w:val="en-AU"/>
        </w:rPr>
        <w:t xml:space="preserve">other </w:t>
      </w:r>
      <w:r w:rsidR="0001114C">
        <w:rPr>
          <w:lang w:val="en-AU"/>
        </w:rPr>
        <w:t>Program</w:t>
      </w:r>
      <w:r w:rsidR="00EF289C">
        <w:rPr>
          <w:lang w:val="en-AU"/>
        </w:rPr>
        <w:t xml:space="preserve"> </w:t>
      </w:r>
      <w:r w:rsidR="0001114C">
        <w:rPr>
          <w:lang w:val="en-AU"/>
        </w:rPr>
        <w:t>access</w:t>
      </w:r>
      <w:r w:rsidR="00EF289C">
        <w:rPr>
          <w:lang w:val="en-AU"/>
        </w:rPr>
        <w:t xml:space="preserve"> barriers </w:t>
      </w:r>
      <w:r w:rsidR="00AA269E">
        <w:rPr>
          <w:lang w:val="en-AU"/>
        </w:rPr>
        <w:t>for</w:t>
      </w:r>
      <w:r w:rsidR="00EF289C">
        <w:rPr>
          <w:lang w:val="en-AU"/>
        </w:rPr>
        <w:t xml:space="preserve"> people living in regional and rural areas:</w:t>
      </w:r>
    </w:p>
    <w:p w14:paraId="3B1CA999" w14:textId="6B855F5A" w:rsidR="009C4BBD" w:rsidRDefault="00984CB1" w:rsidP="00C063DC">
      <w:pPr>
        <w:pStyle w:val="ListParagraph"/>
        <w:numPr>
          <w:ilvl w:val="0"/>
          <w:numId w:val="9"/>
        </w:numPr>
        <w:spacing w:after="170"/>
        <w:ind w:left="284" w:hanging="284"/>
        <w:contextualSpacing w:val="0"/>
        <w:rPr>
          <w:lang w:val="en-AU"/>
        </w:rPr>
      </w:pPr>
      <w:r>
        <w:rPr>
          <w:rFonts w:asciiTheme="majorHAnsi" w:hAnsiTheme="majorHAnsi" w:cstheme="majorHAnsi"/>
          <w:b/>
        </w:rPr>
        <w:t xml:space="preserve">Staff shortages. </w:t>
      </w:r>
      <w:r w:rsidRPr="0079620C">
        <w:rPr>
          <w:lang w:val="en-AU"/>
        </w:rPr>
        <w:t>Stakeholders observed</w:t>
      </w:r>
      <w:r>
        <w:rPr>
          <w:rFonts w:asciiTheme="majorHAnsi" w:hAnsiTheme="majorHAnsi" w:cstheme="majorHAnsi"/>
          <w:b/>
        </w:rPr>
        <w:t xml:space="preserve"> </w:t>
      </w:r>
      <w:r w:rsidRPr="0079620C">
        <w:rPr>
          <w:lang w:val="en-AU"/>
        </w:rPr>
        <w:t>staff shortages had contributed to the sole regional SDCU having to manage their Program occupancy in line with staff-patient ratios. It is noted however that labour shortages are not</w:t>
      </w:r>
      <w:r>
        <w:rPr>
          <w:rFonts w:asciiTheme="majorHAnsi" w:hAnsiTheme="majorHAnsi" w:cstheme="majorHAnsi"/>
          <w:b/>
        </w:rPr>
        <w:t xml:space="preserve"> </w:t>
      </w:r>
      <w:r w:rsidR="007D3EC5" w:rsidRPr="0079620C">
        <w:rPr>
          <w:lang w:val="en-AU"/>
        </w:rPr>
        <w:t>unique to the sole</w:t>
      </w:r>
      <w:r w:rsidR="007D3EC5">
        <w:rPr>
          <w:lang w:val="en-AU"/>
        </w:rPr>
        <w:t xml:space="preserve"> regional</w:t>
      </w:r>
      <w:r w:rsidR="007D3EC5" w:rsidRPr="0079620C">
        <w:rPr>
          <w:lang w:val="en-AU"/>
        </w:rPr>
        <w:t xml:space="preserve"> SDCU, and have been experienced more broadly across the aged care sector, particularly over the last several years.</w:t>
      </w:r>
      <w:r w:rsidR="007D3EC5">
        <w:rPr>
          <w:rFonts w:asciiTheme="majorHAnsi" w:hAnsiTheme="majorHAnsi" w:cstheme="majorHAnsi"/>
          <w:b/>
        </w:rPr>
        <w:t xml:space="preserve"> </w:t>
      </w:r>
    </w:p>
    <w:p w14:paraId="2335FF38" w14:textId="4D2AB468" w:rsidR="00D3556D" w:rsidRPr="0019336B" w:rsidRDefault="00143FC3" w:rsidP="00C063DC">
      <w:pPr>
        <w:pStyle w:val="ListParagraph"/>
        <w:numPr>
          <w:ilvl w:val="0"/>
          <w:numId w:val="9"/>
        </w:numPr>
        <w:spacing w:after="170"/>
        <w:ind w:left="284" w:hanging="284"/>
        <w:contextualSpacing w:val="0"/>
        <w:rPr>
          <w:lang w:val="en-AU"/>
        </w:rPr>
      </w:pPr>
      <w:r w:rsidRPr="0001114C">
        <w:rPr>
          <w:rFonts w:asciiTheme="majorHAnsi" w:hAnsiTheme="majorHAnsi" w:cstheme="majorHAnsi"/>
          <w:b/>
          <w:lang w:val="en-AU"/>
        </w:rPr>
        <w:t>Additional resources required for long-distance transport</w:t>
      </w:r>
      <w:r w:rsidR="005A0A46" w:rsidRPr="0001114C">
        <w:rPr>
          <w:rFonts w:asciiTheme="majorHAnsi" w:hAnsiTheme="majorHAnsi" w:cstheme="majorHAnsi"/>
          <w:b/>
          <w:lang w:val="en-AU"/>
        </w:rPr>
        <w:t>.</w:t>
      </w:r>
      <w:r w:rsidR="005A0A46">
        <w:rPr>
          <w:lang w:val="en-AU"/>
        </w:rPr>
        <w:t xml:space="preserve"> </w:t>
      </w:r>
      <w:r w:rsidR="008B5E93">
        <w:rPr>
          <w:lang w:val="en-AU"/>
        </w:rPr>
        <w:t xml:space="preserve">The </w:t>
      </w:r>
      <w:r w:rsidR="006A088A">
        <w:rPr>
          <w:lang w:val="en-AU"/>
        </w:rPr>
        <w:t>l</w:t>
      </w:r>
      <w:r w:rsidR="00D3556D" w:rsidRPr="005A0A46">
        <w:rPr>
          <w:lang w:val="en-AU"/>
        </w:rPr>
        <w:t>ong</w:t>
      </w:r>
      <w:r w:rsidR="006A088A">
        <w:rPr>
          <w:lang w:val="en-AU"/>
        </w:rPr>
        <w:t>er</w:t>
      </w:r>
      <w:r w:rsidR="00D3556D" w:rsidRPr="005A0A46">
        <w:rPr>
          <w:lang w:val="en-AU"/>
        </w:rPr>
        <w:t xml:space="preserve"> journeys </w:t>
      </w:r>
      <w:r w:rsidR="008B5E93">
        <w:rPr>
          <w:lang w:val="en-AU"/>
        </w:rPr>
        <w:t>to</w:t>
      </w:r>
      <w:r w:rsidR="006A088A">
        <w:rPr>
          <w:lang w:val="en-AU"/>
        </w:rPr>
        <w:t xml:space="preserve"> the SDCU</w:t>
      </w:r>
      <w:r w:rsidR="008B5E93">
        <w:rPr>
          <w:lang w:val="en-AU"/>
        </w:rPr>
        <w:t xml:space="preserve"> from regional and rural areas </w:t>
      </w:r>
      <w:r w:rsidR="006A088A">
        <w:rPr>
          <w:lang w:val="en-AU"/>
        </w:rPr>
        <w:t xml:space="preserve">can be </w:t>
      </w:r>
      <w:r w:rsidR="0019336B">
        <w:rPr>
          <w:lang w:val="en-AU"/>
        </w:rPr>
        <w:t>more</w:t>
      </w:r>
      <w:r w:rsidR="006A088A">
        <w:rPr>
          <w:lang w:val="en-AU"/>
        </w:rPr>
        <w:t xml:space="preserve"> </w:t>
      </w:r>
      <w:r w:rsidR="00BF7297" w:rsidRPr="005A0A46">
        <w:rPr>
          <w:lang w:val="en-AU"/>
        </w:rPr>
        <w:t>r</w:t>
      </w:r>
      <w:r w:rsidR="00D3556D" w:rsidRPr="005A0A46">
        <w:rPr>
          <w:lang w:val="en-AU"/>
        </w:rPr>
        <w:t>esource</w:t>
      </w:r>
      <w:r w:rsidR="0019336B">
        <w:rPr>
          <w:lang w:val="en-AU"/>
        </w:rPr>
        <w:t>-</w:t>
      </w:r>
      <w:r w:rsidR="00D3556D" w:rsidRPr="005A0A46">
        <w:rPr>
          <w:lang w:val="en-AU"/>
        </w:rPr>
        <w:t>intensive</w:t>
      </w:r>
      <w:r w:rsidR="003750EF">
        <w:rPr>
          <w:lang w:val="en-AU"/>
        </w:rPr>
        <w:t xml:space="preserve">, </w:t>
      </w:r>
      <w:r w:rsidR="00A40968">
        <w:rPr>
          <w:lang w:val="en-AU"/>
        </w:rPr>
        <w:t xml:space="preserve">as they are </w:t>
      </w:r>
      <w:r w:rsidR="003750EF">
        <w:rPr>
          <w:lang w:val="en-AU"/>
        </w:rPr>
        <w:t>expensive and</w:t>
      </w:r>
      <w:r w:rsidR="00014949" w:rsidRPr="00D3556D">
        <w:rPr>
          <w:lang w:val="en-AU"/>
        </w:rPr>
        <w:t xml:space="preserve"> difficult to coordinate</w:t>
      </w:r>
      <w:r w:rsidR="003750EF">
        <w:rPr>
          <w:lang w:val="en-AU"/>
        </w:rPr>
        <w:t xml:space="preserve">. </w:t>
      </w:r>
      <w:r w:rsidR="000F2B80">
        <w:rPr>
          <w:lang w:val="en-AU"/>
        </w:rPr>
        <w:t>Anecdotally, t</w:t>
      </w:r>
      <w:r w:rsidR="00C4067F">
        <w:rPr>
          <w:lang w:val="en-AU"/>
        </w:rPr>
        <w:t xml:space="preserve">he </w:t>
      </w:r>
      <w:r w:rsidR="00C4067F" w:rsidRPr="00D3556D">
        <w:rPr>
          <w:lang w:val="en-AU"/>
        </w:rPr>
        <w:t xml:space="preserve">ease of transition </w:t>
      </w:r>
      <w:r w:rsidR="00C4067F">
        <w:rPr>
          <w:lang w:val="en-AU"/>
        </w:rPr>
        <w:t xml:space="preserve">often </w:t>
      </w:r>
      <w:r w:rsidR="00C4067F" w:rsidRPr="00D3556D">
        <w:rPr>
          <w:lang w:val="en-AU"/>
        </w:rPr>
        <w:t>depend</w:t>
      </w:r>
      <w:r w:rsidR="00C4067F">
        <w:rPr>
          <w:lang w:val="en-AU"/>
        </w:rPr>
        <w:t>ed</w:t>
      </w:r>
      <w:r w:rsidR="00C4067F" w:rsidRPr="00D3556D">
        <w:rPr>
          <w:lang w:val="en-AU"/>
        </w:rPr>
        <w:t xml:space="preserve"> on the </w:t>
      </w:r>
      <w:r w:rsidR="003B04E8">
        <w:rPr>
          <w:lang w:val="en-AU"/>
        </w:rPr>
        <w:t>location of the referring facility</w:t>
      </w:r>
      <w:r w:rsidR="003750EF">
        <w:rPr>
          <w:lang w:val="en-AU"/>
        </w:rPr>
        <w:t>, the mode of appropriate transport given the residents’ needs,</w:t>
      </w:r>
      <w:r w:rsidR="003B04E8">
        <w:rPr>
          <w:lang w:val="en-AU"/>
        </w:rPr>
        <w:t xml:space="preserve"> and </w:t>
      </w:r>
      <w:r w:rsidR="003750EF">
        <w:rPr>
          <w:lang w:val="en-AU"/>
        </w:rPr>
        <w:t>the</w:t>
      </w:r>
      <w:r w:rsidR="003B04E8">
        <w:rPr>
          <w:lang w:val="en-AU"/>
        </w:rPr>
        <w:t xml:space="preserve"> </w:t>
      </w:r>
      <w:r w:rsidR="00C4067F">
        <w:rPr>
          <w:lang w:val="en-AU"/>
        </w:rPr>
        <w:t xml:space="preserve">level of </w:t>
      </w:r>
      <w:r w:rsidR="00C4067F" w:rsidRPr="00D3556D">
        <w:rPr>
          <w:lang w:val="en-AU"/>
        </w:rPr>
        <w:t xml:space="preserve">coordination </w:t>
      </w:r>
      <w:r w:rsidR="003750EF">
        <w:rPr>
          <w:lang w:val="en-AU"/>
        </w:rPr>
        <w:t xml:space="preserve">between the referring facility and </w:t>
      </w:r>
      <w:r w:rsidR="00C4067F">
        <w:rPr>
          <w:lang w:val="en-AU"/>
        </w:rPr>
        <w:t>the SDCU</w:t>
      </w:r>
      <w:r w:rsidR="003B04E8">
        <w:rPr>
          <w:lang w:val="en-AU"/>
        </w:rPr>
        <w:t xml:space="preserve">. </w:t>
      </w:r>
      <w:r w:rsidR="004B04B8">
        <w:rPr>
          <w:lang w:val="en-AU"/>
        </w:rPr>
        <w:t>For example, transport options</w:t>
      </w:r>
      <w:r w:rsidR="003750EF">
        <w:rPr>
          <w:lang w:val="en-AU"/>
        </w:rPr>
        <w:t xml:space="preserve"> </w:t>
      </w:r>
      <w:r w:rsidR="004B04B8">
        <w:rPr>
          <w:lang w:val="en-AU"/>
        </w:rPr>
        <w:t xml:space="preserve">often </w:t>
      </w:r>
      <w:r w:rsidR="003750EF">
        <w:rPr>
          <w:lang w:val="en-AU"/>
        </w:rPr>
        <w:t xml:space="preserve">considered </w:t>
      </w:r>
      <w:r w:rsidR="004B04B8">
        <w:rPr>
          <w:lang w:val="en-AU"/>
        </w:rPr>
        <w:t xml:space="preserve">include </w:t>
      </w:r>
      <w:r w:rsidR="00014949" w:rsidRPr="00D3556D">
        <w:rPr>
          <w:lang w:val="en-AU"/>
        </w:rPr>
        <w:t>car, Flying Doctor</w:t>
      </w:r>
      <w:r w:rsidR="00014949">
        <w:rPr>
          <w:lang w:val="en-AU"/>
        </w:rPr>
        <w:t xml:space="preserve"> </w:t>
      </w:r>
      <w:r w:rsidR="003750EF">
        <w:rPr>
          <w:lang w:val="en-AU"/>
        </w:rPr>
        <w:t>and</w:t>
      </w:r>
      <w:r w:rsidR="00014949" w:rsidRPr="00D3556D">
        <w:rPr>
          <w:lang w:val="en-AU"/>
        </w:rPr>
        <w:t xml:space="preserve"> private jet</w:t>
      </w:r>
      <w:r w:rsidR="004B04B8">
        <w:rPr>
          <w:lang w:val="en-AU"/>
        </w:rPr>
        <w:t xml:space="preserve"> service</w:t>
      </w:r>
      <w:r w:rsidR="003750EF">
        <w:rPr>
          <w:lang w:val="en-AU"/>
        </w:rPr>
        <w:t xml:space="preserve">, </w:t>
      </w:r>
      <w:r w:rsidR="004B04B8">
        <w:rPr>
          <w:lang w:val="en-AU"/>
        </w:rPr>
        <w:t xml:space="preserve">all of which stakeholders noted can be </w:t>
      </w:r>
      <w:r w:rsidR="003750EF">
        <w:rPr>
          <w:lang w:val="en-AU"/>
        </w:rPr>
        <w:t>expensive even where referring facilities split the costs with the resident. Du</w:t>
      </w:r>
      <w:r w:rsidR="0019336B">
        <w:rPr>
          <w:lang w:val="en-AU"/>
        </w:rPr>
        <w:t>e to severity of BPSD,</w:t>
      </w:r>
      <w:r w:rsidR="003750EF">
        <w:rPr>
          <w:lang w:val="en-AU"/>
        </w:rPr>
        <w:t xml:space="preserve"> residents can</w:t>
      </w:r>
      <w:r w:rsidR="004B04B8">
        <w:rPr>
          <w:lang w:val="en-AU"/>
        </w:rPr>
        <w:t xml:space="preserve"> also</w:t>
      </w:r>
      <w:r w:rsidR="003750EF">
        <w:rPr>
          <w:lang w:val="en-AU"/>
        </w:rPr>
        <w:t xml:space="preserve"> find</w:t>
      </w:r>
      <w:r w:rsidR="0019336B">
        <w:rPr>
          <w:lang w:val="en-AU"/>
        </w:rPr>
        <w:t xml:space="preserve"> </w:t>
      </w:r>
      <w:r w:rsidR="003750EF">
        <w:rPr>
          <w:lang w:val="en-AU"/>
        </w:rPr>
        <w:t>long journeys distressing and</w:t>
      </w:r>
      <w:r w:rsidR="0019336B">
        <w:rPr>
          <w:lang w:val="en-AU"/>
        </w:rPr>
        <w:t xml:space="preserve"> may require </w:t>
      </w:r>
      <w:r w:rsidR="00BF7297" w:rsidRPr="0019336B">
        <w:rPr>
          <w:lang w:val="en-AU"/>
        </w:rPr>
        <w:t xml:space="preserve">sedation </w:t>
      </w:r>
      <w:r w:rsidR="00AD5AC2">
        <w:rPr>
          <w:lang w:val="en-AU"/>
        </w:rPr>
        <w:t>to ensure staff and resident saf</w:t>
      </w:r>
      <w:r w:rsidR="005958B2">
        <w:rPr>
          <w:lang w:val="en-AU"/>
        </w:rPr>
        <w:t>ety</w:t>
      </w:r>
      <w:r w:rsidR="007464DE">
        <w:rPr>
          <w:lang w:val="en-AU"/>
        </w:rPr>
        <w:t xml:space="preserve">, creating additional </w:t>
      </w:r>
      <w:r w:rsidR="00D92975">
        <w:rPr>
          <w:lang w:val="en-AU"/>
        </w:rPr>
        <w:t xml:space="preserve">clinical </w:t>
      </w:r>
      <w:r w:rsidR="007464DE">
        <w:rPr>
          <w:lang w:val="en-AU"/>
        </w:rPr>
        <w:t>considerations</w:t>
      </w:r>
      <w:r w:rsidR="00AD5AC2">
        <w:rPr>
          <w:lang w:val="en-AU"/>
        </w:rPr>
        <w:t>. In one case,</w:t>
      </w:r>
      <w:r w:rsidR="00D3556D" w:rsidRPr="0019336B">
        <w:rPr>
          <w:lang w:val="en-AU"/>
        </w:rPr>
        <w:t xml:space="preserve"> transport delays resulted in</w:t>
      </w:r>
      <w:r w:rsidR="000B0366">
        <w:rPr>
          <w:lang w:val="en-AU"/>
        </w:rPr>
        <w:t xml:space="preserve"> prolonged sedation and</w:t>
      </w:r>
      <w:r w:rsidR="00D3556D" w:rsidRPr="0019336B">
        <w:rPr>
          <w:lang w:val="en-AU"/>
        </w:rPr>
        <w:t xml:space="preserve"> </w:t>
      </w:r>
      <w:r w:rsidR="00C4067F" w:rsidRPr="0019336B">
        <w:rPr>
          <w:lang w:val="en-AU"/>
        </w:rPr>
        <w:t xml:space="preserve">health complications </w:t>
      </w:r>
      <w:r w:rsidR="00C4067F">
        <w:rPr>
          <w:lang w:val="en-AU"/>
        </w:rPr>
        <w:t>for the resident, which required the transition to be deferred until the resident recovered</w:t>
      </w:r>
      <w:r w:rsidR="00D3556D" w:rsidRPr="0019336B">
        <w:rPr>
          <w:lang w:val="en-AU"/>
        </w:rPr>
        <w:t xml:space="preserve">. </w:t>
      </w:r>
    </w:p>
    <w:p w14:paraId="508805CD" w14:textId="05042B04" w:rsidR="0016612F" w:rsidRPr="0016612F" w:rsidRDefault="007464DE" w:rsidP="0016612F">
      <w:pPr>
        <w:rPr>
          <w:lang w:val="en-AU"/>
        </w:rPr>
      </w:pPr>
      <w:r>
        <w:t xml:space="preserve">Accordingly, there is opportunity for the Department to </w:t>
      </w:r>
      <w:r w:rsidR="00413C39">
        <w:t xml:space="preserve">work </w:t>
      </w:r>
      <w:r w:rsidR="00582E15">
        <w:t xml:space="preserve">collaboratively </w:t>
      </w:r>
      <w:r w:rsidR="00413C39">
        <w:t xml:space="preserve">with regional </w:t>
      </w:r>
      <w:r w:rsidR="00582E15">
        <w:t>SDCUs</w:t>
      </w:r>
      <w:r w:rsidR="00C639F1">
        <w:t xml:space="preserve">, the aged care sector (with input from DSA) and the </w:t>
      </w:r>
      <w:r w:rsidR="008512DC">
        <w:t>relevant state/territory government</w:t>
      </w:r>
      <w:r w:rsidR="00C639F1">
        <w:t xml:space="preserve"> </w:t>
      </w:r>
      <w:r w:rsidR="008512DC">
        <w:t>to find solutions to barriers faced in regional areas.</w:t>
      </w:r>
    </w:p>
    <w:p w14:paraId="0651450F" w14:textId="0FC3FC5F" w:rsidR="003E0CBA" w:rsidRPr="00082590" w:rsidRDefault="00092BC0" w:rsidP="00EC5D24">
      <w:pPr>
        <w:rPr>
          <w:rFonts w:asciiTheme="majorHAnsi" w:hAnsiTheme="majorHAnsi" w:cstheme="majorHAnsi"/>
          <w:b/>
          <w:color w:val="012169"/>
          <w:lang w:val="en-AU"/>
        </w:rPr>
      </w:pPr>
      <w:r w:rsidRPr="00082590">
        <w:rPr>
          <w:rFonts w:asciiTheme="majorHAnsi" w:hAnsiTheme="majorHAnsi" w:cstheme="majorHAnsi"/>
          <w:b/>
          <w:color w:val="012169"/>
          <w:lang w:val="en-AU"/>
        </w:rPr>
        <w:t>The feedback loops</w:t>
      </w:r>
      <w:r w:rsidR="00886BD8" w:rsidRPr="00082590">
        <w:rPr>
          <w:rFonts w:asciiTheme="majorHAnsi" w:hAnsiTheme="majorHAnsi" w:cstheme="majorHAnsi"/>
          <w:b/>
          <w:color w:val="012169"/>
          <w:lang w:val="en-AU"/>
        </w:rPr>
        <w:t xml:space="preserve"> </w:t>
      </w:r>
      <w:r w:rsidR="003A56DF" w:rsidRPr="00082590">
        <w:rPr>
          <w:rFonts w:asciiTheme="majorHAnsi" w:hAnsiTheme="majorHAnsi" w:cstheme="majorHAnsi"/>
          <w:b/>
          <w:color w:val="012169"/>
          <w:lang w:val="en-AU"/>
        </w:rPr>
        <w:t>with referrers and familie</w:t>
      </w:r>
      <w:r w:rsidR="003E0CBA" w:rsidRPr="00082590">
        <w:rPr>
          <w:rFonts w:asciiTheme="majorHAnsi" w:hAnsiTheme="majorHAnsi" w:cstheme="majorHAnsi"/>
          <w:b/>
          <w:color w:val="012169"/>
          <w:lang w:val="en-AU"/>
        </w:rPr>
        <w:t xml:space="preserve">s </w:t>
      </w:r>
      <w:r w:rsidRPr="00082590">
        <w:rPr>
          <w:rFonts w:asciiTheme="majorHAnsi" w:hAnsiTheme="majorHAnsi" w:cstheme="majorHAnsi"/>
          <w:b/>
          <w:color w:val="012169"/>
          <w:lang w:val="en-AU"/>
        </w:rPr>
        <w:t xml:space="preserve">have strengthened over time which has </w:t>
      </w:r>
      <w:r w:rsidR="003E0CBA" w:rsidRPr="00082590">
        <w:rPr>
          <w:rFonts w:asciiTheme="majorHAnsi" w:hAnsiTheme="majorHAnsi" w:cstheme="majorHAnsi"/>
          <w:b/>
          <w:color w:val="012169"/>
          <w:lang w:val="en-AU"/>
        </w:rPr>
        <w:t>increase</w:t>
      </w:r>
      <w:r w:rsidRPr="00082590">
        <w:rPr>
          <w:rFonts w:asciiTheme="majorHAnsi" w:hAnsiTheme="majorHAnsi" w:cstheme="majorHAnsi"/>
          <w:b/>
          <w:color w:val="012169"/>
          <w:lang w:val="en-AU"/>
        </w:rPr>
        <w:t>d</w:t>
      </w:r>
      <w:r w:rsidR="003E0CBA" w:rsidRPr="00082590">
        <w:rPr>
          <w:rFonts w:asciiTheme="majorHAnsi" w:hAnsiTheme="majorHAnsi" w:cstheme="majorHAnsi"/>
          <w:b/>
          <w:color w:val="012169"/>
          <w:lang w:val="en-AU"/>
        </w:rPr>
        <w:t xml:space="preserve"> transparency and understanding of assessment outcomes</w:t>
      </w:r>
      <w:r w:rsidR="00524364" w:rsidRPr="00082590">
        <w:rPr>
          <w:rFonts w:asciiTheme="majorHAnsi" w:hAnsiTheme="majorHAnsi" w:cstheme="majorHAnsi"/>
          <w:b/>
          <w:color w:val="012169"/>
          <w:lang w:val="en-AU"/>
        </w:rPr>
        <w:t xml:space="preserve"> and the Program’s eligibility criteria</w:t>
      </w:r>
      <w:r w:rsidR="004D631C" w:rsidRPr="00082590">
        <w:rPr>
          <w:rFonts w:asciiTheme="majorHAnsi" w:hAnsiTheme="majorHAnsi" w:cstheme="majorHAnsi"/>
          <w:b/>
          <w:color w:val="012169"/>
          <w:lang w:val="en-AU"/>
        </w:rPr>
        <w:t xml:space="preserve">. </w:t>
      </w:r>
    </w:p>
    <w:p w14:paraId="77296F4D" w14:textId="50FE1FE1" w:rsidR="00913FBC" w:rsidRDefault="0012782E" w:rsidP="00913FBC">
      <w:r>
        <w:t>T</w:t>
      </w:r>
      <w:r w:rsidR="00913FBC">
        <w:t xml:space="preserve">he </w:t>
      </w:r>
      <w:r w:rsidR="00913FBC" w:rsidRPr="00C954F0">
        <w:rPr>
          <w:rFonts w:asciiTheme="majorHAnsi" w:hAnsiTheme="majorHAnsi" w:cstheme="majorHAnsi"/>
          <w:b/>
        </w:rPr>
        <w:t>Interim Report (2021)</w:t>
      </w:r>
      <w:r>
        <w:t xml:space="preserve"> identified a need </w:t>
      </w:r>
      <w:r w:rsidR="00913FBC">
        <w:t xml:space="preserve">to improve the visibility of referral outcomes (both triage decisions and assessment outcomes) through better feedback loops with referrers. Stakeholders commented that transparent feedback is important for increasing the rate of eligible referrals and for ensuring referrers have a good experience with the service, to encourage future referrals. </w:t>
      </w:r>
    </w:p>
    <w:p w14:paraId="633BB234" w14:textId="0BF2F287" w:rsidR="007C63F9" w:rsidRDefault="00463695" w:rsidP="00215473">
      <w:r>
        <w:t xml:space="preserve">Since this time, </w:t>
      </w:r>
      <w:r w:rsidR="0012782E">
        <w:t>DSA and</w:t>
      </w:r>
      <w:r w:rsidR="0012782E" w:rsidDel="00DC05C2">
        <w:t xml:space="preserve"> </w:t>
      </w:r>
      <w:r w:rsidR="00DC05C2">
        <w:t>SDCU</w:t>
      </w:r>
      <w:r w:rsidR="0012782E">
        <w:t xml:space="preserve"> staff across multiple sites </w:t>
      </w:r>
      <w:r w:rsidR="0095237E">
        <w:t>reported that</w:t>
      </w:r>
      <w:r w:rsidR="0012782E">
        <w:t xml:space="preserve"> stronger </w:t>
      </w:r>
      <w:r w:rsidR="00215473">
        <w:t xml:space="preserve">feedback loops </w:t>
      </w:r>
      <w:r w:rsidR="0095237E">
        <w:t xml:space="preserve">now </w:t>
      </w:r>
      <w:r w:rsidR="00215473">
        <w:t xml:space="preserve">exist to share triage, NBA and CAC assessment outcomes with </w:t>
      </w:r>
      <w:r w:rsidR="0012782E">
        <w:t>referrers</w:t>
      </w:r>
      <w:r w:rsidR="00215473">
        <w:t xml:space="preserve">. This was facilitated through the provision of written feedback which provides referrers with more detail on </w:t>
      </w:r>
      <w:r w:rsidR="001360FA">
        <w:t>reasons</w:t>
      </w:r>
      <w:r w:rsidR="00215473">
        <w:t xml:space="preserve"> </w:t>
      </w:r>
      <w:r w:rsidR="007F0597">
        <w:t>for placement decisions and</w:t>
      </w:r>
      <w:r w:rsidR="00215473">
        <w:t xml:space="preserve"> next steps</w:t>
      </w:r>
      <w:r w:rsidR="007C63F9">
        <w:t xml:space="preserve"> associated with placement on a waitlist (</w:t>
      </w:r>
      <w:r w:rsidR="00BC1A1F">
        <w:t>i.e.,</w:t>
      </w:r>
      <w:r w:rsidR="007C63F9">
        <w:t xml:space="preserve"> presentation at another </w:t>
      </w:r>
      <w:r w:rsidR="00513D42">
        <w:t>SDCU’s</w:t>
      </w:r>
      <w:r w:rsidR="007C63F9">
        <w:t xml:space="preserve"> CAC, wait to re-present at the same CAC to reassess ‘fit’ following a discharge, additional external support options available to the applicant, etc.)</w:t>
      </w:r>
    </w:p>
    <w:p w14:paraId="5B86AA68" w14:textId="280CBC15" w:rsidR="00913FBC" w:rsidRPr="00913FBC" w:rsidRDefault="00215473" w:rsidP="00913FBC">
      <w:pPr>
        <w:rPr>
          <w:lang w:val="en-AU"/>
        </w:rPr>
      </w:pPr>
      <w:r>
        <w:rPr>
          <w:lang w:val="en-AU"/>
        </w:rPr>
        <w:t>However, s</w:t>
      </w:r>
      <w:r w:rsidRPr="00215473">
        <w:rPr>
          <w:lang w:val="en-AU"/>
        </w:rPr>
        <w:t xml:space="preserve">takeholders across some </w:t>
      </w:r>
      <w:r>
        <w:rPr>
          <w:lang w:val="en-AU"/>
        </w:rPr>
        <w:t>SDCUs</w:t>
      </w:r>
      <w:r w:rsidRPr="00215473">
        <w:rPr>
          <w:lang w:val="en-AU"/>
        </w:rPr>
        <w:t xml:space="preserve"> </w:t>
      </w:r>
      <w:r>
        <w:rPr>
          <w:lang w:val="en-AU"/>
        </w:rPr>
        <w:t xml:space="preserve">again identified </w:t>
      </w:r>
      <w:r w:rsidRPr="00215473">
        <w:rPr>
          <w:lang w:val="en-AU"/>
        </w:rPr>
        <w:t>a need for increased information-sharing from CACs to referring facilities and families</w:t>
      </w:r>
      <w:r w:rsidR="00E86D92">
        <w:rPr>
          <w:lang w:val="en-AU"/>
        </w:rPr>
        <w:t>/carers</w:t>
      </w:r>
      <w:r w:rsidRPr="00215473">
        <w:rPr>
          <w:lang w:val="en-AU"/>
        </w:rPr>
        <w:t xml:space="preserve"> to improve understanding of suitability assessment outcomes. </w:t>
      </w:r>
      <w:r w:rsidR="007C63F9">
        <w:rPr>
          <w:lang w:val="en-AU"/>
        </w:rPr>
        <w:t>S</w:t>
      </w:r>
      <w:r w:rsidR="00A03A34">
        <w:rPr>
          <w:lang w:val="en-AU"/>
        </w:rPr>
        <w:t>ome stakeholders also noted that assessment f</w:t>
      </w:r>
      <w:r w:rsidRPr="002349C7">
        <w:rPr>
          <w:lang w:val="en-AU"/>
        </w:rPr>
        <w:t>eedback is only provided to th</w:t>
      </w:r>
      <w:r w:rsidR="00A03A34">
        <w:rPr>
          <w:lang w:val="en-AU"/>
        </w:rPr>
        <w:t>e referrer</w:t>
      </w:r>
      <w:r w:rsidR="00726413">
        <w:rPr>
          <w:lang w:val="en-AU"/>
        </w:rPr>
        <w:t xml:space="preserve"> as opposed to the applicant’s family</w:t>
      </w:r>
      <w:r w:rsidR="00A87BEA">
        <w:rPr>
          <w:lang w:val="en-AU"/>
        </w:rPr>
        <w:t>/carer</w:t>
      </w:r>
      <w:r w:rsidR="00726413">
        <w:rPr>
          <w:lang w:val="en-AU"/>
        </w:rPr>
        <w:t xml:space="preserve"> and previous care setting (</w:t>
      </w:r>
      <w:r w:rsidR="00B20DAA">
        <w:rPr>
          <w:lang w:val="en-AU"/>
        </w:rPr>
        <w:t>e.g.</w:t>
      </w:r>
      <w:r w:rsidR="00DE32D3">
        <w:rPr>
          <w:lang w:val="en-AU"/>
        </w:rPr>
        <w:t>,</w:t>
      </w:r>
      <w:r w:rsidR="00B20DAA">
        <w:rPr>
          <w:lang w:val="en-AU"/>
        </w:rPr>
        <w:t xml:space="preserve"> the original mainstream RACF</w:t>
      </w:r>
      <w:r w:rsidR="00367E3F">
        <w:rPr>
          <w:lang w:val="en-AU"/>
        </w:rPr>
        <w:t xml:space="preserve"> prior to an applicant’s admission into acute care). </w:t>
      </w:r>
      <w:r w:rsidR="00913FBC">
        <w:t xml:space="preserve">To streamline these feedback loops, it was suggested </w:t>
      </w:r>
      <w:r w:rsidR="007F1E2C">
        <w:t xml:space="preserve">in the </w:t>
      </w:r>
      <w:r w:rsidR="007F1E2C" w:rsidRPr="00AC631E">
        <w:rPr>
          <w:b/>
          <w:bCs/>
        </w:rPr>
        <w:t>Interim Report (2021)</w:t>
      </w:r>
      <w:r w:rsidR="007F1E2C">
        <w:t xml:space="preserve"> </w:t>
      </w:r>
      <w:r w:rsidR="00913FBC">
        <w:t xml:space="preserve">that a centralised platform accessible to referrers </w:t>
      </w:r>
      <w:r w:rsidR="004E0AD5">
        <w:t xml:space="preserve">or families/carers </w:t>
      </w:r>
      <w:r w:rsidR="00913FBC">
        <w:t>could be used as an enabling mechanism.</w:t>
      </w:r>
      <w:r w:rsidR="007F1E2C">
        <w:t xml:space="preserve"> An alternative option may be to incorporate a requirement into </w:t>
      </w:r>
      <w:r w:rsidR="001A28C4">
        <w:t xml:space="preserve">the </w:t>
      </w:r>
      <w:r w:rsidR="009C2D35">
        <w:t xml:space="preserve">SDCP Framework </w:t>
      </w:r>
      <w:r w:rsidR="007F1E2C">
        <w:t>that C</w:t>
      </w:r>
      <w:r w:rsidR="009C2D35">
        <w:t xml:space="preserve">ACs provide feedback directly to family/carers during and after the referral and assessment process. </w:t>
      </w:r>
    </w:p>
    <w:p w14:paraId="7ADF7A70" w14:textId="0B717ABF" w:rsidR="007C63EC" w:rsidRPr="00C71CEE" w:rsidRDefault="007C63EC" w:rsidP="00EC5D24">
      <w:pPr>
        <w:rPr>
          <w:rFonts w:asciiTheme="majorHAnsi" w:hAnsiTheme="majorHAnsi" w:cstheme="majorHAnsi"/>
          <w:b/>
          <w:color w:val="012169"/>
          <w:lang w:val="en-AU"/>
        </w:rPr>
      </w:pPr>
      <w:r w:rsidRPr="00C71CEE">
        <w:rPr>
          <w:rFonts w:asciiTheme="majorHAnsi" w:hAnsiTheme="majorHAnsi" w:cstheme="majorHAnsi"/>
          <w:b/>
          <w:color w:val="012169"/>
          <w:lang w:val="en-AU"/>
        </w:rPr>
        <w:t>Transitions</w:t>
      </w:r>
      <w:r w:rsidR="00011D69">
        <w:rPr>
          <w:rFonts w:asciiTheme="majorHAnsi" w:hAnsiTheme="majorHAnsi" w:cstheme="majorHAnsi"/>
          <w:b/>
          <w:bCs/>
          <w:color w:val="012169"/>
          <w:lang w:val="en-AU"/>
        </w:rPr>
        <w:t xml:space="preserve"> </w:t>
      </w:r>
      <w:r w:rsidRPr="00C71CEE">
        <w:rPr>
          <w:rFonts w:asciiTheme="majorHAnsi" w:hAnsiTheme="majorHAnsi" w:cstheme="majorHAnsi"/>
          <w:b/>
          <w:color w:val="012169"/>
          <w:lang w:val="en-AU"/>
        </w:rPr>
        <w:t xml:space="preserve">in were generally viewed </w:t>
      </w:r>
      <w:r w:rsidR="00DF4517">
        <w:rPr>
          <w:rFonts w:asciiTheme="majorHAnsi" w:hAnsiTheme="majorHAnsi" w:cstheme="majorHAnsi"/>
          <w:b/>
          <w:color w:val="012169"/>
          <w:lang w:val="en-AU"/>
        </w:rPr>
        <w:t>as</w:t>
      </w:r>
      <w:r w:rsidRPr="00C71CEE">
        <w:rPr>
          <w:rFonts w:asciiTheme="majorHAnsi" w:hAnsiTheme="majorHAnsi" w:cstheme="majorHAnsi"/>
          <w:b/>
          <w:color w:val="012169"/>
          <w:lang w:val="en-AU"/>
        </w:rPr>
        <w:t xml:space="preserve"> </w:t>
      </w:r>
      <w:r w:rsidR="003878A5" w:rsidRPr="00C71CEE">
        <w:rPr>
          <w:rFonts w:asciiTheme="majorHAnsi" w:hAnsiTheme="majorHAnsi" w:cstheme="majorHAnsi"/>
          <w:b/>
          <w:color w:val="012169"/>
          <w:lang w:val="en-AU"/>
        </w:rPr>
        <w:t xml:space="preserve">timelier and </w:t>
      </w:r>
      <w:r w:rsidRPr="00C71CEE">
        <w:rPr>
          <w:rFonts w:asciiTheme="majorHAnsi" w:hAnsiTheme="majorHAnsi" w:cstheme="majorHAnsi"/>
          <w:b/>
          <w:color w:val="012169"/>
          <w:lang w:val="en-AU"/>
        </w:rPr>
        <w:t xml:space="preserve">more coordinated as sites </w:t>
      </w:r>
      <w:r w:rsidRPr="00C71CEE">
        <w:rPr>
          <w:rFonts w:asciiTheme="majorHAnsi" w:hAnsiTheme="majorHAnsi" w:cstheme="majorHAnsi"/>
          <w:b/>
          <w:bCs/>
          <w:color w:val="012169"/>
          <w:lang w:val="en-AU"/>
        </w:rPr>
        <w:t>mature</w:t>
      </w:r>
      <w:r w:rsidR="00635834">
        <w:rPr>
          <w:rFonts w:asciiTheme="majorHAnsi" w:hAnsiTheme="majorHAnsi" w:cstheme="majorHAnsi"/>
          <w:b/>
          <w:bCs/>
          <w:color w:val="012169"/>
          <w:lang w:val="en-AU"/>
        </w:rPr>
        <w:t>d.</w:t>
      </w:r>
      <w:r w:rsidRPr="00C71CEE">
        <w:rPr>
          <w:rFonts w:asciiTheme="majorHAnsi" w:hAnsiTheme="majorHAnsi" w:cstheme="majorHAnsi"/>
          <w:b/>
          <w:bCs/>
          <w:color w:val="012169"/>
          <w:lang w:val="en-AU"/>
        </w:rPr>
        <w:t xml:space="preserve"> </w:t>
      </w:r>
      <w:r w:rsidR="00635834">
        <w:rPr>
          <w:rFonts w:asciiTheme="majorHAnsi" w:hAnsiTheme="majorHAnsi" w:cstheme="majorHAnsi"/>
          <w:b/>
          <w:bCs/>
          <w:color w:val="012169"/>
          <w:lang w:val="en-AU"/>
        </w:rPr>
        <w:t>K</w:t>
      </w:r>
      <w:r w:rsidRPr="00C71CEE">
        <w:rPr>
          <w:rFonts w:asciiTheme="majorHAnsi" w:hAnsiTheme="majorHAnsi" w:cstheme="majorHAnsi"/>
          <w:b/>
          <w:bCs/>
          <w:color w:val="012169"/>
          <w:lang w:val="en-AU"/>
        </w:rPr>
        <w:t>ey</w:t>
      </w:r>
      <w:r w:rsidRPr="00C71CEE">
        <w:rPr>
          <w:rFonts w:asciiTheme="majorHAnsi" w:hAnsiTheme="majorHAnsi" w:cstheme="majorHAnsi"/>
          <w:b/>
          <w:color w:val="012169"/>
          <w:lang w:val="en-AU"/>
        </w:rPr>
        <w:t xml:space="preserve"> enablers </w:t>
      </w:r>
      <w:r w:rsidR="00635834">
        <w:rPr>
          <w:rFonts w:asciiTheme="majorHAnsi" w:hAnsiTheme="majorHAnsi" w:cstheme="majorHAnsi"/>
          <w:b/>
          <w:bCs/>
          <w:color w:val="012169"/>
          <w:lang w:val="en-AU"/>
        </w:rPr>
        <w:t>included</w:t>
      </w:r>
      <w:r w:rsidR="00D3556D" w:rsidRPr="00C71CEE">
        <w:rPr>
          <w:rFonts w:asciiTheme="majorHAnsi" w:hAnsiTheme="majorHAnsi" w:cstheme="majorHAnsi"/>
          <w:b/>
          <w:color w:val="012169"/>
          <w:lang w:val="en-AU"/>
        </w:rPr>
        <w:t xml:space="preserve"> flexible </w:t>
      </w:r>
      <w:r w:rsidR="007E6C8A" w:rsidRPr="00C71CEE">
        <w:rPr>
          <w:rFonts w:asciiTheme="majorHAnsi" w:hAnsiTheme="majorHAnsi" w:cstheme="majorHAnsi"/>
          <w:b/>
          <w:color w:val="012169"/>
          <w:lang w:val="en-AU"/>
        </w:rPr>
        <w:t>resourcing</w:t>
      </w:r>
      <w:r w:rsidR="00D3556D" w:rsidRPr="00C71CEE">
        <w:rPr>
          <w:rFonts w:asciiTheme="majorHAnsi" w:hAnsiTheme="majorHAnsi" w:cstheme="majorHAnsi"/>
          <w:b/>
          <w:color w:val="012169"/>
          <w:lang w:val="en-AU"/>
        </w:rPr>
        <w:t xml:space="preserve"> arrangements </w:t>
      </w:r>
      <w:r w:rsidR="00943B37" w:rsidRPr="00C71CEE">
        <w:rPr>
          <w:rFonts w:asciiTheme="majorHAnsi" w:hAnsiTheme="majorHAnsi" w:cstheme="majorHAnsi"/>
          <w:b/>
          <w:color w:val="012169"/>
          <w:lang w:val="en-AU"/>
        </w:rPr>
        <w:t>as well as</w:t>
      </w:r>
      <w:r w:rsidR="00D3556D" w:rsidRPr="00C71CEE">
        <w:rPr>
          <w:rFonts w:asciiTheme="majorHAnsi" w:hAnsiTheme="majorHAnsi" w:cstheme="majorHAnsi"/>
          <w:b/>
          <w:color w:val="012169"/>
          <w:lang w:val="en-AU"/>
        </w:rPr>
        <w:t xml:space="preserve"> strong communication and information-sharing between </w:t>
      </w:r>
      <w:r w:rsidR="006A55F1">
        <w:rPr>
          <w:rFonts w:asciiTheme="majorHAnsi" w:hAnsiTheme="majorHAnsi" w:cstheme="majorHAnsi"/>
          <w:b/>
          <w:color w:val="012169"/>
          <w:lang w:val="en-AU"/>
        </w:rPr>
        <w:t>SDCUs</w:t>
      </w:r>
      <w:r w:rsidR="00D3556D" w:rsidRPr="00C71CEE">
        <w:rPr>
          <w:rFonts w:asciiTheme="majorHAnsi" w:hAnsiTheme="majorHAnsi" w:cstheme="majorHAnsi"/>
          <w:b/>
          <w:color w:val="012169"/>
          <w:lang w:val="en-AU"/>
        </w:rPr>
        <w:t>, DSA, famil</w:t>
      </w:r>
      <w:r w:rsidR="00170310">
        <w:rPr>
          <w:rFonts w:asciiTheme="majorHAnsi" w:hAnsiTheme="majorHAnsi" w:cstheme="majorHAnsi"/>
          <w:b/>
          <w:color w:val="012169"/>
          <w:lang w:val="en-AU"/>
        </w:rPr>
        <w:t>ies/carers</w:t>
      </w:r>
      <w:r w:rsidR="00D3556D" w:rsidRPr="00C71CEE">
        <w:rPr>
          <w:rFonts w:asciiTheme="majorHAnsi" w:hAnsiTheme="majorHAnsi" w:cstheme="majorHAnsi"/>
          <w:b/>
          <w:color w:val="012169"/>
          <w:lang w:val="en-AU"/>
        </w:rPr>
        <w:t xml:space="preserve"> and the referring facility</w:t>
      </w:r>
      <w:r w:rsidR="003878A5">
        <w:rPr>
          <w:rFonts w:asciiTheme="majorHAnsi" w:hAnsiTheme="majorHAnsi" w:cstheme="majorHAnsi"/>
          <w:b/>
          <w:color w:val="012169"/>
          <w:lang w:val="en-AU"/>
        </w:rPr>
        <w:t>.</w:t>
      </w:r>
    </w:p>
    <w:p w14:paraId="19CE7995" w14:textId="42477757" w:rsidR="006F4806" w:rsidRPr="006F4806" w:rsidRDefault="006F4806" w:rsidP="006F4806">
      <w:pPr>
        <w:spacing w:after="170"/>
      </w:pPr>
      <w:r>
        <w:t xml:space="preserve">Consistent with the </w:t>
      </w:r>
      <w:r w:rsidRPr="00BF67EF">
        <w:rPr>
          <w:rFonts w:asciiTheme="majorHAnsi" w:hAnsiTheme="majorHAnsi" w:cstheme="majorHAnsi"/>
          <w:b/>
        </w:rPr>
        <w:t>Interim Report (2021)</w:t>
      </w:r>
      <w:r w:rsidRPr="00BF67EF">
        <w:rPr>
          <w:rFonts w:asciiTheme="majorHAnsi" w:hAnsiTheme="majorHAnsi" w:cstheme="majorHAnsi"/>
        </w:rPr>
        <w:t>,</w:t>
      </w:r>
      <w:r>
        <w:t xml:space="preserve"> stakeholders across all SDCUs broadly agreed that following client acceptance, the process for transition-in is working well. For most sites, the success of the transition-in process has evolved and matured over time. Key enablers to the success of these transitions include:</w:t>
      </w:r>
    </w:p>
    <w:p w14:paraId="41AA5822" w14:textId="2484E71F" w:rsidR="00E70BD9" w:rsidRPr="00434FAA" w:rsidRDefault="00E70BD9" w:rsidP="00C063DC">
      <w:pPr>
        <w:pStyle w:val="ListParagraph"/>
        <w:numPr>
          <w:ilvl w:val="0"/>
          <w:numId w:val="26"/>
        </w:numPr>
        <w:spacing w:after="170"/>
        <w:ind w:left="284" w:hanging="284"/>
        <w:contextualSpacing w:val="0"/>
      </w:pPr>
      <w:r w:rsidRPr="00015A60">
        <w:rPr>
          <w:rFonts w:asciiTheme="majorHAnsi" w:hAnsiTheme="majorHAnsi" w:cstheme="majorHAnsi"/>
          <w:b/>
        </w:rPr>
        <w:t>In-person provider assessments.</w:t>
      </w:r>
      <w:r w:rsidRPr="00434FAA">
        <w:t xml:space="preserve"> In-person assessments conducted by clinical representatives from the SDCU (following </w:t>
      </w:r>
      <w:r w:rsidR="0071284E">
        <w:t>an NBA process</w:t>
      </w:r>
      <w:r w:rsidRPr="00434FAA">
        <w:t>) are helpful in informing ‘fit’ discussions at CAC meetings. However, it was acknowledged that this can sometimes add to the delays associated with timely placement decisions and it is important to ensure these assessments occur in the period between a</w:t>
      </w:r>
      <w:r w:rsidR="00671B7F">
        <w:t xml:space="preserve">n NBA process </w:t>
      </w:r>
      <w:r w:rsidRPr="00434FAA">
        <w:t xml:space="preserve">and before the next CAC meeting. </w:t>
      </w:r>
    </w:p>
    <w:p w14:paraId="4C6CE4A1" w14:textId="2BBF4B20" w:rsidR="00E70BD9" w:rsidRPr="00434FAA" w:rsidRDefault="00E70BD9" w:rsidP="00C063DC">
      <w:pPr>
        <w:pStyle w:val="ListParagraph"/>
        <w:numPr>
          <w:ilvl w:val="0"/>
          <w:numId w:val="26"/>
        </w:numPr>
        <w:spacing w:after="170"/>
        <w:ind w:left="284" w:hanging="284"/>
        <w:contextualSpacing w:val="0"/>
      </w:pPr>
      <w:r w:rsidRPr="00015A60">
        <w:rPr>
          <w:rFonts w:asciiTheme="majorHAnsi" w:hAnsiTheme="majorHAnsi" w:cstheme="majorHAnsi"/>
          <w:b/>
        </w:rPr>
        <w:t>Early communication and expectation-setting with families/carers.</w:t>
      </w:r>
      <w:r w:rsidRPr="00434FAA">
        <w:t xml:space="preserve"> Stakeholders observed that family/carer buy-in at the outset is critical, with in-person site visits prior to placement a key enabling factor. </w:t>
      </w:r>
      <w:r w:rsidR="00087DA2" w:rsidRPr="00087DA2">
        <w:t>The was high variation in family</w:t>
      </w:r>
      <w:r w:rsidR="00087DA2">
        <w:t>/</w:t>
      </w:r>
      <w:r w:rsidR="00087DA2" w:rsidRPr="00087DA2">
        <w:t xml:space="preserve">carers’ satisfaction with the SDCUs’ communication </w:t>
      </w:r>
      <w:r w:rsidR="00087DA2">
        <w:t>pre-admission</w:t>
      </w:r>
      <w:r w:rsidR="00041164">
        <w:t xml:space="preserve">, with </w:t>
      </w:r>
      <w:r w:rsidR="00087DA2">
        <w:t xml:space="preserve">some stakeholders </w:t>
      </w:r>
      <w:r w:rsidR="00041164">
        <w:t>reporting</w:t>
      </w:r>
      <w:r w:rsidR="00087DA2">
        <w:t xml:space="preserve"> instances of miscommunication between SDCUs, referring facilities and family/carers, leading to confusion as to who will </w:t>
      </w:r>
      <w:r w:rsidR="00BF21CC">
        <w:t>support</w:t>
      </w:r>
      <w:r w:rsidR="00087DA2">
        <w:t xml:space="preserve"> the resident </w:t>
      </w:r>
      <w:r w:rsidR="00BF21CC">
        <w:t>through the</w:t>
      </w:r>
      <w:r w:rsidR="00087DA2">
        <w:t xml:space="preserve"> admission process. </w:t>
      </w:r>
      <w:r w:rsidRPr="00434FAA">
        <w:t xml:space="preserve">Stakeholders also commented on the importance of setting pre-admission expectations with families/carers relating to the 12-month nature of the service model, what can realistically be achieved for residents, and the gradual nature of de-prescribing current medication. </w:t>
      </w:r>
    </w:p>
    <w:p w14:paraId="63CE6907" w14:textId="19A35919" w:rsidR="00D16C34" w:rsidRPr="00434FAA" w:rsidRDefault="00E70BD9" w:rsidP="00C063DC">
      <w:pPr>
        <w:pStyle w:val="ListParagraph"/>
        <w:numPr>
          <w:ilvl w:val="0"/>
          <w:numId w:val="26"/>
        </w:numPr>
        <w:spacing w:after="170"/>
        <w:ind w:left="284" w:hanging="284"/>
        <w:contextualSpacing w:val="0"/>
      </w:pPr>
      <w:r w:rsidRPr="00015A60">
        <w:rPr>
          <w:rFonts w:asciiTheme="majorHAnsi" w:hAnsiTheme="majorHAnsi" w:cstheme="majorHAnsi"/>
          <w:b/>
        </w:rPr>
        <w:t>Socialising client information with staff pre-admission.</w:t>
      </w:r>
      <w:r w:rsidRPr="00434FAA">
        <w:t xml:space="preserve"> Routine discussion among care staff of a resident’s unique needs and preferences prior to their placement (informed by </w:t>
      </w:r>
      <w:r w:rsidR="003753E5">
        <w:t xml:space="preserve">NBA </w:t>
      </w:r>
      <w:r w:rsidRPr="00434FAA">
        <w:t>reports, observations from the provider’s in-person assessment, and handover documentation from the referring facility) was noted as an enabling factor. Stakeholders commented on the importance of these early discussions in increasing staff confidence in their ability to manage the resident and their behaviours.</w:t>
      </w:r>
    </w:p>
    <w:p w14:paraId="4F5D237E" w14:textId="09812466" w:rsidR="001419FB" w:rsidRPr="00434FAA" w:rsidRDefault="00D16C34" w:rsidP="00C063DC">
      <w:pPr>
        <w:pStyle w:val="ListParagraph"/>
        <w:numPr>
          <w:ilvl w:val="0"/>
          <w:numId w:val="27"/>
        </w:numPr>
        <w:spacing w:after="170"/>
        <w:ind w:left="284" w:hanging="284"/>
        <w:contextualSpacing w:val="0"/>
      </w:pPr>
      <w:r w:rsidRPr="00015A60">
        <w:rPr>
          <w:rFonts w:asciiTheme="majorHAnsi" w:hAnsiTheme="majorHAnsi" w:cstheme="majorHAnsi"/>
          <w:b/>
        </w:rPr>
        <w:t>Flexible resourcing to support admissions</w:t>
      </w:r>
      <w:r w:rsidRPr="00015A60">
        <w:rPr>
          <w:rFonts w:asciiTheme="majorHAnsi" w:hAnsiTheme="majorHAnsi" w:cstheme="majorHAnsi"/>
        </w:rPr>
        <w:t xml:space="preserve">. </w:t>
      </w:r>
      <w:r w:rsidRPr="00434FAA">
        <w:rPr>
          <w:lang w:val="en-AU"/>
        </w:rPr>
        <w:t>Sites consistently reported that new admissions can be highly disruptive to new and existing residents</w:t>
      </w:r>
      <w:r w:rsidR="00A52D16">
        <w:rPr>
          <w:lang w:val="en-AU"/>
        </w:rPr>
        <w:t xml:space="preserve">. It can </w:t>
      </w:r>
      <w:r w:rsidRPr="00434FAA">
        <w:rPr>
          <w:lang w:val="en-AU"/>
        </w:rPr>
        <w:t xml:space="preserve">disrupt the existing patient dynamic and </w:t>
      </w:r>
      <w:r w:rsidR="00A52D16">
        <w:rPr>
          <w:lang w:val="en-AU"/>
        </w:rPr>
        <w:t xml:space="preserve">require </w:t>
      </w:r>
      <w:r w:rsidRPr="00434FAA">
        <w:rPr>
          <w:lang w:val="en-AU"/>
        </w:rPr>
        <w:t xml:space="preserve">a higher level of </w:t>
      </w:r>
      <w:r w:rsidR="00A52D16">
        <w:rPr>
          <w:lang w:val="en-AU"/>
        </w:rPr>
        <w:t xml:space="preserve">staff </w:t>
      </w:r>
      <w:r w:rsidRPr="00434FAA">
        <w:rPr>
          <w:lang w:val="en-AU"/>
        </w:rPr>
        <w:t xml:space="preserve">supervision. </w:t>
      </w:r>
      <w:r w:rsidRPr="00434FAA">
        <w:t>Many SDCUs identified a need for extra resources on admission days, as newly admitted residents typically require closer supervision as they adapt to the new environment (</w:t>
      </w:r>
      <w:r w:rsidR="00FD19FE">
        <w:t>described</w:t>
      </w:r>
      <w:r w:rsidR="008224C4">
        <w:t xml:space="preserve"> in</w:t>
      </w:r>
      <w:r w:rsidRPr="00434FAA">
        <w:t xml:space="preserve"> Section </w:t>
      </w:r>
      <w:r w:rsidR="003E23E6">
        <w:fldChar w:fldCharType="begin"/>
      </w:r>
      <w:r w:rsidR="003E23E6">
        <w:instrText xml:space="preserve"> REF _Ref123897179 \n \h </w:instrText>
      </w:r>
      <w:r w:rsidR="003E23E6">
        <w:fldChar w:fldCharType="separate"/>
      </w:r>
      <w:r w:rsidR="00D32536">
        <w:t>3.1</w:t>
      </w:r>
      <w:r w:rsidR="003E23E6">
        <w:fldChar w:fldCharType="end"/>
      </w:r>
      <w:r w:rsidRPr="00434FAA">
        <w:t>).</w:t>
      </w:r>
      <w:r w:rsidRPr="00434FAA">
        <w:rPr>
          <w:lang w:val="en-AU"/>
        </w:rPr>
        <w:t xml:space="preserve"> </w:t>
      </w:r>
    </w:p>
    <w:p w14:paraId="2137A2C3" w14:textId="6FCC50FA" w:rsidR="00210B00" w:rsidRDefault="000217E8" w:rsidP="000217E8">
      <w:pPr>
        <w:pStyle w:val="Caption"/>
      </w:pPr>
      <w:r>
        <w:t>Figure</w:t>
      </w:r>
      <w:r w:rsidR="00BF2BF9">
        <w:t xml:space="preserve"> </w:t>
      </w:r>
      <w:r w:rsidR="00210B00">
        <w:fldChar w:fldCharType="begin"/>
      </w:r>
      <w:r w:rsidR="00210B00">
        <w:instrText xml:space="preserve"> STYLEREF 1 \s </w:instrText>
      </w:r>
      <w:r w:rsidR="00210B00">
        <w:fldChar w:fldCharType="separate"/>
      </w:r>
      <w:r w:rsidR="00D32536">
        <w:rPr>
          <w:noProof/>
        </w:rPr>
        <w:t>2</w:t>
      </w:r>
      <w:r w:rsidR="00210B00">
        <w:fldChar w:fldCharType="end"/>
      </w:r>
      <w:r w:rsidR="00210B00">
        <w:t>.</w:t>
      </w:r>
      <w:r w:rsidR="008875A8">
        <w:fldChar w:fldCharType="begin"/>
      </w:r>
      <w:r w:rsidR="008875A8">
        <w:instrText xml:space="preserve"> SEQ Figure \* ARABIC \s 1 </w:instrText>
      </w:r>
      <w:r w:rsidR="008875A8">
        <w:fldChar w:fldCharType="separate"/>
      </w:r>
      <w:r w:rsidR="00D32536">
        <w:rPr>
          <w:noProof/>
        </w:rPr>
        <w:t>11</w:t>
      </w:r>
      <w:r w:rsidR="008875A8">
        <w:fldChar w:fldCharType="end"/>
      </w:r>
      <w:r w:rsidR="00210B00">
        <w:t xml:space="preserve"> </w:t>
      </w:r>
      <w:r w:rsidR="00210B00" w:rsidRPr="006C2658">
        <w:t xml:space="preserve">Quotes representing dominant qualitative themes from consultations and the </w:t>
      </w:r>
      <w:r w:rsidR="006A55F1">
        <w:t>Program</w:t>
      </w:r>
      <w:r w:rsidR="006A55F1" w:rsidRPr="006C2658">
        <w:t xml:space="preserve"> </w:t>
      </w:r>
      <w:r w:rsidR="00210B00" w:rsidRPr="006C2658">
        <w:t xml:space="preserve">staff survey related to </w:t>
      </w:r>
      <w:r w:rsidR="00210B00">
        <w:t>the transition in process</w:t>
      </w:r>
    </w:p>
    <w:p w14:paraId="6E6BCAA9" w14:textId="25B91B2E" w:rsidR="00210B00" w:rsidRDefault="00C71D22" w:rsidP="00087DA2">
      <w:pPr>
        <w:spacing w:after="0"/>
      </w:pPr>
      <w:r w:rsidRPr="00C71D22">
        <w:rPr>
          <w:noProof/>
        </w:rPr>
        <w:drawing>
          <wp:inline distT="0" distB="0" distL="0" distR="0" wp14:anchorId="01A9796E" wp14:editId="4F47FDA8">
            <wp:extent cx="5259121" cy="2934475"/>
            <wp:effectExtent l="0" t="0" r="0" b="0"/>
            <wp:docPr id="15" name="Picture 15" descr="This is an image of quotes from stakeholder consultation in relation to the transition-i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n image of quotes from stakeholder consultation in relation to the transition-in proces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7995" cy="2939426"/>
                    </a:xfrm>
                    <a:prstGeom prst="rect">
                      <a:avLst/>
                    </a:prstGeom>
                    <a:noFill/>
                    <a:ln>
                      <a:noFill/>
                    </a:ln>
                  </pic:spPr>
                </pic:pic>
              </a:graphicData>
            </a:graphic>
          </wp:inline>
        </w:drawing>
      </w:r>
    </w:p>
    <w:p w14:paraId="4A076695" w14:textId="18D041CD" w:rsidR="00EA222D" w:rsidRPr="002E5244" w:rsidRDefault="00210B00" w:rsidP="00EA222D">
      <w:pPr>
        <w:rPr>
          <w:color w:val="53565A" w:themeColor="background2"/>
          <w:sz w:val="16"/>
          <w:szCs w:val="18"/>
        </w:rPr>
      </w:pPr>
      <w:r w:rsidRPr="009847EB">
        <w:rPr>
          <w:color w:val="53565A" w:themeColor="background2"/>
          <w:sz w:val="16"/>
          <w:szCs w:val="18"/>
        </w:rPr>
        <w:t>Source: Deloitte Access Economics analysis of stakeholder consultation transcriptions, 2022</w:t>
      </w:r>
    </w:p>
    <w:p w14:paraId="2E07B1D0" w14:textId="6DE480CD" w:rsidR="003F2224" w:rsidRPr="0059330F" w:rsidRDefault="009D2440" w:rsidP="00B6656E">
      <w:pPr>
        <w:pStyle w:val="Heading1"/>
      </w:pPr>
      <w:bookmarkStart w:id="38" w:name="_Ref124163520"/>
      <w:r>
        <w:t xml:space="preserve"> </w:t>
      </w:r>
      <w:bookmarkStart w:id="39" w:name="_Toc141714791"/>
      <w:r w:rsidR="00B6656E" w:rsidRPr="0059330F">
        <w:t>Delivery of care</w:t>
      </w:r>
      <w:bookmarkEnd w:id="38"/>
      <w:bookmarkEnd w:id="39"/>
    </w:p>
    <w:p w14:paraId="7AD388AD" w14:textId="7CAC7B25" w:rsidR="00D62FE8" w:rsidRDefault="0089407F" w:rsidP="0089407F">
      <w:pPr>
        <w:pStyle w:val="Sectionintro"/>
      </w:pPr>
      <w:r>
        <w:t>This chapter presents key findings as they relate to</w:t>
      </w:r>
      <w:r w:rsidR="00D62FE8">
        <w:t xml:space="preserve"> the delivery of care part of the </w:t>
      </w:r>
      <w:r w:rsidR="006A55F1">
        <w:t xml:space="preserve">Program’s </w:t>
      </w:r>
      <w:r w:rsidR="00D62FE8">
        <w:t>care continuum.</w:t>
      </w:r>
    </w:p>
    <w:p w14:paraId="68D725AA" w14:textId="138D8C3E" w:rsidR="00262715" w:rsidRDefault="000217E8" w:rsidP="00262715">
      <w:pPr>
        <w:pStyle w:val="Caption"/>
      </w:pPr>
      <w:r>
        <w:t>Figure</w:t>
      </w:r>
      <w:r w:rsidR="00262715">
        <w:t xml:space="preserve"> </w:t>
      </w:r>
      <w:r w:rsidR="00915F8B">
        <w:fldChar w:fldCharType="begin"/>
      </w:r>
      <w:r w:rsidR="00915F8B">
        <w:instrText xml:space="preserve"> STYLEREF 1 \s </w:instrText>
      </w:r>
      <w:r w:rsidR="00915F8B">
        <w:fldChar w:fldCharType="separate"/>
      </w:r>
      <w:r w:rsidR="00D32536">
        <w:rPr>
          <w:noProof/>
        </w:rPr>
        <w:t>3</w:t>
      </w:r>
      <w:r w:rsidR="00915F8B">
        <w:fldChar w:fldCharType="end"/>
      </w:r>
      <w:r w:rsidR="0019382D">
        <w:t>.</w:t>
      </w:r>
      <w:r w:rsidR="008875A8">
        <w:fldChar w:fldCharType="begin"/>
      </w:r>
      <w:r w:rsidR="008875A8">
        <w:instrText xml:space="preserve"> SEQ Figure \* ARABIC \s 1 </w:instrText>
      </w:r>
      <w:r w:rsidR="008875A8">
        <w:fldChar w:fldCharType="separate"/>
      </w:r>
      <w:r w:rsidR="00D32536">
        <w:rPr>
          <w:noProof/>
        </w:rPr>
        <w:t>1</w:t>
      </w:r>
      <w:r w:rsidR="008875A8">
        <w:fldChar w:fldCharType="end"/>
      </w:r>
      <w:r w:rsidR="00262715">
        <w:t xml:space="preserve"> Delivery of care component of the care continuum</w:t>
      </w:r>
    </w:p>
    <w:p w14:paraId="3E32C9BB" w14:textId="6B02E34E" w:rsidR="0089407F" w:rsidRDefault="00DE1ACE" w:rsidP="003E23E6">
      <w:pPr>
        <w:pStyle w:val="Caption"/>
      </w:pPr>
      <w:r w:rsidRPr="00DE1ACE">
        <w:rPr>
          <w:noProof/>
        </w:rPr>
        <w:drawing>
          <wp:inline distT="0" distB="0" distL="0" distR="0" wp14:anchorId="790DE96A" wp14:editId="5A134C53">
            <wp:extent cx="6486144" cy="2861151"/>
            <wp:effectExtent l="0" t="0" r="0" b="0"/>
            <wp:docPr id="31" name="Picture 31" descr="This diagram is the specialist dementia care program care pathway, as described ear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diagram is the specialist dementia care program care pathway, as described earlier.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03664" cy="2868879"/>
                    </a:xfrm>
                    <a:prstGeom prst="rect">
                      <a:avLst/>
                    </a:prstGeom>
                    <a:noFill/>
                    <a:ln>
                      <a:noFill/>
                    </a:ln>
                  </pic:spPr>
                </pic:pic>
              </a:graphicData>
            </a:graphic>
          </wp:inline>
        </w:drawing>
      </w:r>
    </w:p>
    <w:p w14:paraId="56A14962" w14:textId="77777777" w:rsidR="00262715" w:rsidRDefault="00262715" w:rsidP="00262715">
      <w:pPr>
        <w:pStyle w:val="SourcetextTableorChart"/>
        <w:rPr>
          <w:lang w:val="en-AU"/>
        </w:rPr>
      </w:pPr>
      <w:r>
        <w:rPr>
          <w:lang w:val="en-AU"/>
        </w:rPr>
        <w:t>Source: Deloitte Access Economics based on Department of Health information.</w:t>
      </w:r>
    </w:p>
    <w:p w14:paraId="1BB5E73F" w14:textId="70926006" w:rsidR="00262715" w:rsidRDefault="00884C81" w:rsidP="00DE1ACE">
      <w:r>
        <w:t>An assessment of the care delivery process is explored through the following sub-sections of this chapter:</w:t>
      </w:r>
    </w:p>
    <w:p w14:paraId="37AE26C5" w14:textId="0ABF0BDC" w:rsidR="0070373F" w:rsidRDefault="00491D1B" w:rsidP="000063C5">
      <w:pPr>
        <w:pStyle w:val="ListBullet"/>
      </w:pPr>
      <w:r>
        <w:t>p</w:t>
      </w:r>
      <w:r w:rsidR="000063C5">
        <w:t>rogram resourcing and staffing</w:t>
      </w:r>
    </w:p>
    <w:p w14:paraId="3CF776EC" w14:textId="1E2E083C" w:rsidR="000063C5" w:rsidRDefault="00491D1B" w:rsidP="000063C5">
      <w:pPr>
        <w:pStyle w:val="ListBullet"/>
      </w:pPr>
      <w:r>
        <w:t>c</w:t>
      </w:r>
      <w:r w:rsidR="000063C5">
        <w:t>are service model</w:t>
      </w:r>
    </w:p>
    <w:p w14:paraId="7A1DB910" w14:textId="755D47F8" w:rsidR="000063C5" w:rsidRDefault="00491D1B" w:rsidP="000063C5">
      <w:pPr>
        <w:pStyle w:val="ListBullet"/>
      </w:pPr>
      <w:r>
        <w:t>c</w:t>
      </w:r>
      <w:r w:rsidR="000063C5">
        <w:t>linical governance</w:t>
      </w:r>
      <w:r w:rsidR="00A30FCC">
        <w:t>.</w:t>
      </w:r>
    </w:p>
    <w:p w14:paraId="5CC19BF3" w14:textId="77777777" w:rsidR="00884C81" w:rsidRDefault="00884C81" w:rsidP="00473087">
      <w:pPr>
        <w:pStyle w:val="ListBullet"/>
        <w:numPr>
          <w:ilvl w:val="0"/>
          <w:numId w:val="0"/>
        </w:numPr>
        <w:ind w:left="284"/>
      </w:pPr>
    </w:p>
    <w:p w14:paraId="68E286FE" w14:textId="1517923A" w:rsidR="00A755B9" w:rsidRPr="00A755B9" w:rsidRDefault="00584F5D" w:rsidP="00A755B9">
      <w:pPr>
        <w:pStyle w:val="Heading2"/>
        <w:spacing w:after="0"/>
        <w:ind w:left="578" w:hanging="578"/>
      </w:pPr>
      <w:bookmarkStart w:id="40" w:name="_Ref123897179"/>
      <w:bookmarkStart w:id="41" w:name="_Ref123910972"/>
      <w:r w:rsidRPr="00690A92">
        <w:t>Program resourcing and staffing</w:t>
      </w:r>
      <w:bookmarkEnd w:id="40"/>
      <w:bookmarkEnd w:id="41"/>
    </w:p>
    <w:p w14:paraId="732D8FE6" w14:textId="238FFB97" w:rsidR="00A5568F" w:rsidRPr="00473087" w:rsidRDefault="00A5568F" w:rsidP="00A5568F">
      <w:pPr>
        <w:rPr>
          <w:rFonts w:asciiTheme="majorHAnsi" w:hAnsiTheme="majorHAnsi" w:cstheme="majorHAnsi"/>
          <w:b/>
          <w:color w:val="012169"/>
        </w:rPr>
      </w:pPr>
      <w:r w:rsidRPr="00473087">
        <w:rPr>
          <w:rFonts w:asciiTheme="majorHAnsi" w:hAnsiTheme="majorHAnsi" w:cstheme="majorHAnsi"/>
          <w:b/>
          <w:color w:val="012169"/>
        </w:rPr>
        <w:t xml:space="preserve">High staff/resident ratios are considered a key enabler to Program success. Strong RN presence was also cited as critical to Program success, however </w:t>
      </w:r>
      <w:r w:rsidRPr="00473087">
        <w:rPr>
          <w:rFonts w:asciiTheme="majorHAnsi" w:hAnsiTheme="majorHAnsi" w:cstheme="majorHAnsi"/>
          <w:b/>
          <w:bCs/>
          <w:color w:val="012169"/>
        </w:rPr>
        <w:t>t</w:t>
      </w:r>
      <w:r w:rsidR="00A15D9E">
        <w:rPr>
          <w:rFonts w:asciiTheme="majorHAnsi" w:hAnsiTheme="majorHAnsi" w:cstheme="majorHAnsi"/>
          <w:b/>
          <w:bCs/>
          <w:color w:val="012169"/>
        </w:rPr>
        <w:t xml:space="preserve">he presence of a dedicated RN </w:t>
      </w:r>
      <w:r w:rsidR="009B4811">
        <w:rPr>
          <w:rFonts w:asciiTheme="majorHAnsi" w:hAnsiTheme="majorHAnsi" w:cstheme="majorHAnsi"/>
          <w:b/>
          <w:bCs/>
          <w:color w:val="012169"/>
        </w:rPr>
        <w:t>at each SDCU</w:t>
      </w:r>
      <w:r w:rsidRPr="00473087">
        <w:rPr>
          <w:rFonts w:asciiTheme="majorHAnsi" w:hAnsiTheme="majorHAnsi" w:cstheme="majorHAnsi"/>
          <w:b/>
          <w:color w:val="012169"/>
        </w:rPr>
        <w:t xml:space="preserve"> varied across sites.</w:t>
      </w:r>
      <w:r w:rsidR="00B479A6">
        <w:rPr>
          <w:rFonts w:asciiTheme="majorHAnsi" w:hAnsiTheme="majorHAnsi" w:cstheme="majorHAnsi"/>
          <w:b/>
          <w:color w:val="012169"/>
        </w:rPr>
        <w:t xml:space="preserve"> </w:t>
      </w:r>
      <w:r w:rsidR="00B479A6" w:rsidRPr="006E38FE">
        <w:rPr>
          <w:rFonts w:asciiTheme="majorHAnsi" w:hAnsiTheme="majorHAnsi" w:cstheme="majorHAnsi"/>
          <w:b/>
          <w:color w:val="012169"/>
        </w:rPr>
        <w:t xml:space="preserve">The model of clinical in-reach is relatively standardised across SDCUs in metropolitan </w:t>
      </w:r>
      <w:r w:rsidR="00B479A6">
        <w:rPr>
          <w:rFonts w:asciiTheme="majorHAnsi" w:hAnsiTheme="majorHAnsi" w:cstheme="majorHAnsi"/>
          <w:b/>
          <w:color w:val="012169"/>
        </w:rPr>
        <w:t>locations</w:t>
      </w:r>
      <w:r w:rsidR="00B479A6" w:rsidRPr="006E38FE">
        <w:rPr>
          <w:rFonts w:asciiTheme="majorHAnsi" w:hAnsiTheme="majorHAnsi" w:cstheme="majorHAnsi"/>
          <w:b/>
          <w:color w:val="012169"/>
        </w:rPr>
        <w:t xml:space="preserve">, however unique barriers exist in </w:t>
      </w:r>
      <w:r w:rsidR="00B479A6">
        <w:rPr>
          <w:rFonts w:asciiTheme="majorHAnsi" w:hAnsiTheme="majorHAnsi" w:cstheme="majorHAnsi"/>
          <w:b/>
          <w:color w:val="012169"/>
        </w:rPr>
        <w:t>regional areas</w:t>
      </w:r>
      <w:r w:rsidR="00B479A6" w:rsidRPr="006E38FE">
        <w:rPr>
          <w:rFonts w:asciiTheme="majorHAnsi" w:hAnsiTheme="majorHAnsi" w:cstheme="majorHAnsi"/>
          <w:b/>
          <w:color w:val="012169"/>
        </w:rPr>
        <w:t xml:space="preserve">.  </w:t>
      </w:r>
    </w:p>
    <w:p w14:paraId="35F65ED8" w14:textId="77777777" w:rsidR="00A5568F" w:rsidRPr="00551DC6" w:rsidRDefault="00A5568F" w:rsidP="00A5568F">
      <w:pPr>
        <w:spacing w:after="0"/>
        <w:rPr>
          <w:u w:val="single"/>
        </w:rPr>
      </w:pPr>
      <w:r w:rsidRPr="00551DC6">
        <w:rPr>
          <w:u w:val="single"/>
        </w:rPr>
        <w:t>Staffing levels</w:t>
      </w:r>
    </w:p>
    <w:p w14:paraId="47A15AB6" w14:textId="222E855E" w:rsidR="00A5568F" w:rsidRDefault="000B27F8" w:rsidP="00A5568F">
      <w:r>
        <w:t>SDCU</w:t>
      </w:r>
      <w:r w:rsidR="00A5568F">
        <w:t xml:space="preserve"> staff, in-reach clinicians and family members reported high levels of satisfaction with staffing ratios. These stakeholders observed that compared to mainstream RACFs, the </w:t>
      </w:r>
      <w:r w:rsidR="006A55F1">
        <w:t xml:space="preserve">Program </w:t>
      </w:r>
      <w:r w:rsidR="00A5568F">
        <w:t xml:space="preserve">ratios allowed for: </w:t>
      </w:r>
    </w:p>
    <w:p w14:paraId="1421D495" w14:textId="77777777" w:rsidR="00A5568F" w:rsidRDefault="00A5568F" w:rsidP="00C063DC">
      <w:pPr>
        <w:pStyle w:val="ListParagraph"/>
        <w:numPr>
          <w:ilvl w:val="0"/>
          <w:numId w:val="14"/>
        </w:numPr>
        <w:spacing w:after="170"/>
      </w:pPr>
      <w:r>
        <w:t>greater levels of supervision</w:t>
      </w:r>
    </w:p>
    <w:p w14:paraId="70E51126" w14:textId="43B14E0B" w:rsidR="00A5568F" w:rsidRDefault="00A5568F" w:rsidP="00C063DC">
      <w:pPr>
        <w:pStyle w:val="ListParagraph"/>
        <w:numPr>
          <w:ilvl w:val="0"/>
          <w:numId w:val="14"/>
        </w:numPr>
        <w:spacing w:after="170"/>
      </w:pPr>
      <w:r>
        <w:t>more time for staff to engage in person-</w:t>
      </w:r>
      <w:r w:rsidR="009B4811">
        <w:t>centered</w:t>
      </w:r>
      <w:r>
        <w:t xml:space="preserve"> care</w:t>
      </w:r>
    </w:p>
    <w:p w14:paraId="1ECFC16A" w14:textId="77777777" w:rsidR="00A5568F" w:rsidRDefault="00A5568F" w:rsidP="00C063DC">
      <w:pPr>
        <w:pStyle w:val="ListParagraph"/>
        <w:numPr>
          <w:ilvl w:val="0"/>
          <w:numId w:val="14"/>
        </w:numPr>
        <w:spacing w:after="170"/>
      </w:pPr>
      <w:r>
        <w:t>more time to develop a better understanding of residents’ needs and triggers</w:t>
      </w:r>
    </w:p>
    <w:p w14:paraId="233BB47C" w14:textId="77777777" w:rsidR="00A5568F" w:rsidRDefault="00A5568F" w:rsidP="00C063DC">
      <w:pPr>
        <w:pStyle w:val="ListParagraph"/>
        <w:numPr>
          <w:ilvl w:val="0"/>
          <w:numId w:val="14"/>
        </w:numPr>
        <w:spacing w:after="170"/>
      </w:pPr>
      <w:r>
        <w:t>an increase in continuity of staffing, supporting residents’ progress as they feel more familiar and comfortable with the staff delivering care.</w:t>
      </w:r>
    </w:p>
    <w:p w14:paraId="4A4EB063" w14:textId="77777777" w:rsidR="00E15FD9" w:rsidRDefault="00E15FD9" w:rsidP="00E15FD9">
      <w:pPr>
        <w:spacing w:after="170"/>
      </w:pPr>
    </w:p>
    <w:p w14:paraId="10E22208" w14:textId="77777777" w:rsidR="00E15FD9" w:rsidRDefault="00E15FD9" w:rsidP="00E15FD9">
      <w:pPr>
        <w:spacing w:after="170"/>
      </w:pPr>
    </w:p>
    <w:p w14:paraId="4487BCA2" w14:textId="77777777" w:rsidR="00A5568F" w:rsidRDefault="00A5568F" w:rsidP="00A5568F">
      <w:r>
        <w:t>Several units have evolved their approach to staff rostering in response to Program learnings. For example:</w:t>
      </w:r>
    </w:p>
    <w:p w14:paraId="265C668C" w14:textId="77777777" w:rsidR="00A5568F" w:rsidRDefault="00A5568F" w:rsidP="00C063DC">
      <w:pPr>
        <w:pStyle w:val="ListParagraph"/>
        <w:numPr>
          <w:ilvl w:val="0"/>
          <w:numId w:val="15"/>
        </w:numPr>
        <w:spacing w:after="170"/>
        <w:ind w:left="357" w:hanging="357"/>
        <w:contextualSpacing w:val="0"/>
      </w:pPr>
      <w:r w:rsidRPr="002F1E60">
        <w:rPr>
          <w:rFonts w:asciiTheme="majorHAnsi" w:hAnsiTheme="majorHAnsi" w:cstheme="majorHAnsi"/>
          <w:b/>
        </w:rPr>
        <w:t>Flexible resourcing to support admissions</w:t>
      </w:r>
      <w:r w:rsidRPr="002F1E60">
        <w:rPr>
          <w:rFonts w:asciiTheme="majorHAnsi" w:hAnsiTheme="majorHAnsi" w:cstheme="majorHAnsi"/>
        </w:rPr>
        <w:t>.</w:t>
      </w:r>
      <w:r>
        <w:t xml:space="preserve"> Many SDCUs identified a need for extra resources on admission days, as newly admitted residents typically require closer supervision as they adapt to the new environment. </w:t>
      </w:r>
    </w:p>
    <w:p w14:paraId="41D6DE94" w14:textId="77777777" w:rsidR="00A5568F" w:rsidRDefault="00A5568F" w:rsidP="00C063DC">
      <w:pPr>
        <w:pStyle w:val="ListParagraph"/>
        <w:numPr>
          <w:ilvl w:val="0"/>
          <w:numId w:val="15"/>
        </w:numPr>
        <w:spacing w:after="170"/>
        <w:ind w:left="357" w:hanging="357"/>
        <w:contextualSpacing w:val="0"/>
      </w:pPr>
      <w:r w:rsidRPr="002F1E60">
        <w:rPr>
          <w:rFonts w:asciiTheme="majorHAnsi" w:hAnsiTheme="majorHAnsi" w:cstheme="majorHAnsi"/>
          <w:b/>
        </w:rPr>
        <w:t>Recreational support for afternoons.</w:t>
      </w:r>
      <w:r>
        <w:t xml:space="preserve"> At most sites, afternoon shifts have fewer staff than morning shifts, however the afternoon is when behaviours are most likely to escalate, and when recreational activities – which are critical to managing behaviours – typically occur. To address this issue, some sites have found it effective to recruit a dedicated recreational staff member for afternoon shifts.</w:t>
      </w:r>
    </w:p>
    <w:p w14:paraId="6B25A5CF" w14:textId="77777777" w:rsidR="00A5568F" w:rsidRPr="00551DC6" w:rsidRDefault="00A5568F" w:rsidP="00A5568F">
      <w:pPr>
        <w:spacing w:after="0"/>
        <w:rPr>
          <w:u w:val="single"/>
        </w:rPr>
      </w:pPr>
      <w:r w:rsidRPr="00551DC6">
        <w:rPr>
          <w:u w:val="single"/>
        </w:rPr>
        <w:t>Staffing mix</w:t>
      </w:r>
    </w:p>
    <w:p w14:paraId="28CAC7B1" w14:textId="56513862" w:rsidR="00157D2F" w:rsidRDefault="00F8491F" w:rsidP="001C766F">
      <w:r>
        <w:t xml:space="preserve">The </w:t>
      </w:r>
      <w:r w:rsidR="009E486D">
        <w:t xml:space="preserve">SDCP Framework </w:t>
      </w:r>
      <w:r w:rsidR="003C1BEB">
        <w:t xml:space="preserve">states specific requirements for </w:t>
      </w:r>
      <w:r w:rsidR="000E7E4C">
        <w:t>SDCU</w:t>
      </w:r>
      <w:r w:rsidR="00163701">
        <w:t xml:space="preserve">s of the </w:t>
      </w:r>
      <w:r w:rsidR="003C1BEB">
        <w:t>“</w:t>
      </w:r>
      <w:r w:rsidR="003C1BEB" w:rsidRPr="0079620C">
        <w:rPr>
          <w:i/>
          <w:iCs/>
        </w:rPr>
        <w:t>availability of a registered nurse</w:t>
      </w:r>
      <w:r w:rsidR="00F75F79">
        <w:rPr>
          <w:i/>
          <w:iCs/>
        </w:rPr>
        <w:t xml:space="preserve"> (RN)</w:t>
      </w:r>
      <w:r w:rsidR="003C1BEB" w:rsidRPr="0079620C">
        <w:rPr>
          <w:i/>
          <w:iCs/>
        </w:rPr>
        <w:t xml:space="preserve"> on-site 24 hours a day</w:t>
      </w:r>
      <w:r w:rsidR="003C1BEB">
        <w:t>”</w:t>
      </w:r>
      <w:r w:rsidR="002502FF">
        <w:t>.</w:t>
      </w:r>
      <w:r w:rsidR="002502FF">
        <w:rPr>
          <w:rStyle w:val="FootnoteReference"/>
        </w:rPr>
        <w:footnoteReference w:id="10"/>
      </w:r>
      <w:r w:rsidR="000E7E4C">
        <w:t xml:space="preserve"> </w:t>
      </w:r>
      <w:r w:rsidR="002502FF">
        <w:t>H</w:t>
      </w:r>
      <w:r w:rsidR="000E7E4C">
        <w:t>owever</w:t>
      </w:r>
      <w:r w:rsidR="002502FF">
        <w:t>,</w:t>
      </w:r>
      <w:r w:rsidR="000E7E4C">
        <w:t xml:space="preserve"> it </w:t>
      </w:r>
      <w:r w:rsidR="009E486D">
        <w:t xml:space="preserve">does not </w:t>
      </w:r>
      <w:r w:rsidR="006852CD">
        <w:t>prescribe</w:t>
      </w:r>
      <w:r w:rsidR="00981CE6">
        <w:t xml:space="preserve"> set</w:t>
      </w:r>
      <w:r w:rsidR="00CB0856">
        <w:t xml:space="preserve"> </w:t>
      </w:r>
      <w:r w:rsidR="00765ACB">
        <w:t>staffing ratio</w:t>
      </w:r>
      <w:r w:rsidR="00981CE6">
        <w:t>s/staff</w:t>
      </w:r>
      <w:r w:rsidR="00F75F79">
        <w:t xml:space="preserve"> mix</w:t>
      </w:r>
      <w:r w:rsidR="006852CD">
        <w:t>,</w:t>
      </w:r>
      <w:r w:rsidR="00F75F79">
        <w:t xml:space="preserve"> and thus considerable variation is seen across sites</w:t>
      </w:r>
      <w:r w:rsidR="00A5568F">
        <w:t>.</w:t>
      </w:r>
      <w:r w:rsidR="00157D2F" w:rsidRPr="00157D2F">
        <w:t xml:space="preserve"> </w:t>
      </w:r>
      <w:r w:rsidR="00157D2F">
        <w:t>Information on staffing ratios, staffing mix and recruitment is requested by the Department as part of six-monthly provider performance reports.</w:t>
      </w:r>
    </w:p>
    <w:p w14:paraId="03515881" w14:textId="15219884" w:rsidR="00A1190C" w:rsidRDefault="001C1419" w:rsidP="00A1190C">
      <w:r>
        <w:t xml:space="preserve">The </w:t>
      </w:r>
      <w:r w:rsidR="00B4560E">
        <w:t xml:space="preserve">main observation regarding staffing mix across SDCUs related </w:t>
      </w:r>
      <w:r>
        <w:t xml:space="preserve">to </w:t>
      </w:r>
      <w:r w:rsidR="00B4560E">
        <w:t>variation in the</w:t>
      </w:r>
      <w:r>
        <w:t xml:space="preserve"> level</w:t>
      </w:r>
      <w:r w:rsidR="00B4560E">
        <w:t>s</w:t>
      </w:r>
      <w:r>
        <w:t xml:space="preserve"> of RN presence. </w:t>
      </w:r>
      <w:r w:rsidR="00A1190C">
        <w:t xml:space="preserve">Some sites have a SDCU-dedicated RN available during morning and afternoon shifts working in a unit leadership or clinical coordinator role. However, other units have reduced RN presence, with one SDCU led by an Enrolled Nurse (EN) with support from an on-call RN working across the broader facility. </w:t>
      </w:r>
      <w:r w:rsidR="00DC264B">
        <w:t>It is noted that</w:t>
      </w:r>
      <w:r>
        <w:t xml:space="preserve"> ambiguity in the Framework </w:t>
      </w:r>
      <w:r w:rsidR="00DC264B">
        <w:t xml:space="preserve">wording is </w:t>
      </w:r>
      <w:r>
        <w:t>likely contributing factor for the observed variation.</w:t>
      </w:r>
    </w:p>
    <w:p w14:paraId="7705BCA5" w14:textId="66101351" w:rsidR="00A5568F" w:rsidRDefault="001C766F" w:rsidP="00E05B6F">
      <w:r>
        <w:t xml:space="preserve">Almost all in-reach clinicians emphasised that the specialist nature of the Program imposes an obligation on SDCUs to ensure an appropriate staffing mix. These stakeholders felt the Framework should thus be more prescriptive on staffing mix requirements, with a view to ensuring standardisation and equity in the care experience. </w:t>
      </w:r>
      <w:r w:rsidR="00A5568F">
        <w:t xml:space="preserve">Stakeholders across all sites felt that a dedicated SDCU RN was important for the success of the Program, with the RN playing an important role in care quality and safety, the security of residents and staff, </w:t>
      </w:r>
      <w:r w:rsidR="00372068">
        <w:t xml:space="preserve">maintenance of detailed clinical documentation, </w:t>
      </w:r>
      <w:r w:rsidR="00A5568F">
        <w:t xml:space="preserve">and in upskilling ENs and </w:t>
      </w:r>
      <w:r w:rsidR="00B0163F">
        <w:t>care staff</w:t>
      </w:r>
      <w:r w:rsidR="00A5568F">
        <w:t>. Where SDCUs had limited access to an RN, stakeholders cited examples of</w:t>
      </w:r>
      <w:r w:rsidR="00E05B6F">
        <w:t xml:space="preserve"> </w:t>
      </w:r>
      <w:r w:rsidR="00A5568F">
        <w:t>delayed in-person medical assessments (due to wait-times for the on-call RN)</w:t>
      </w:r>
      <w:r w:rsidR="00BC1A1F">
        <w:t>,</w:t>
      </w:r>
      <w:r w:rsidR="00E05B6F">
        <w:t xml:space="preserve"> and </w:t>
      </w:r>
      <w:r w:rsidR="00B0163F">
        <w:t>care staff</w:t>
      </w:r>
      <w:r w:rsidR="00A5568F">
        <w:t xml:space="preserve"> being concerned for their safety when a resident’s behaviours escalate. </w:t>
      </w:r>
    </w:p>
    <w:p w14:paraId="3222F3A3" w14:textId="04066622" w:rsidR="00A5568F" w:rsidRDefault="00A5568F" w:rsidP="00A5568F">
      <w:r>
        <w:t xml:space="preserve">In addition, as described in </w:t>
      </w:r>
      <w:r w:rsidR="0045789E">
        <w:t xml:space="preserve">Section </w:t>
      </w:r>
      <w:r w:rsidR="00103FA5">
        <w:fldChar w:fldCharType="begin"/>
      </w:r>
      <w:r w:rsidR="00103FA5">
        <w:instrText xml:space="preserve"> REF _Ref122254502 \n \h </w:instrText>
      </w:r>
      <w:r w:rsidR="00103FA5">
        <w:fldChar w:fldCharType="separate"/>
      </w:r>
      <w:r w:rsidR="00D32536">
        <w:t>3.2</w:t>
      </w:r>
      <w:r w:rsidR="00103FA5">
        <w:fldChar w:fldCharType="end"/>
      </w:r>
      <w:r>
        <w:t xml:space="preserve">, informal on-the-job learning is a key driver of enhancing EN and </w:t>
      </w:r>
      <w:r w:rsidR="00B0163F">
        <w:t>care staff</w:t>
      </w:r>
      <w:r>
        <w:t xml:space="preserve"> competence and confidence in resident behavioural management. SDCUs with a dedicated RN are able to use the role in a care educator capacity, where the RN uses day-to-day activities and incidents as an informal way to upskill ENs and </w:t>
      </w:r>
      <w:r w:rsidR="00B0163F">
        <w:t>care staff</w:t>
      </w:r>
      <w:r>
        <w:t>.</w:t>
      </w:r>
    </w:p>
    <w:p w14:paraId="778885EE" w14:textId="77777777" w:rsidR="00A5568F" w:rsidRDefault="00A5568F" w:rsidP="00A5568F">
      <w:pPr>
        <w:spacing w:after="0"/>
        <w:rPr>
          <w:u w:val="single"/>
        </w:rPr>
      </w:pPr>
      <w:r w:rsidRPr="006B5191">
        <w:rPr>
          <w:u w:val="single"/>
        </w:rPr>
        <w:t>Care staff attrition</w:t>
      </w:r>
    </w:p>
    <w:p w14:paraId="4B86E03E" w14:textId="7E1EEF65" w:rsidR="00A5568F" w:rsidRPr="00403177" w:rsidRDefault="00A5568F" w:rsidP="00A5568F">
      <w:r>
        <w:t xml:space="preserve">Attrition of care staff was cited as a challenge faced by many sites. This appeared to be driven by an unfavourable risk-pay trade-off, when compared to working at mainstream RACFs. </w:t>
      </w:r>
      <w:r w:rsidR="00DD0BCF" w:rsidRPr="00DD0BCF">
        <w:t>Remuneration for care staff is determined by providers rather than set by the Program</w:t>
      </w:r>
      <w:r w:rsidR="00881300">
        <w:t xml:space="preserve">. </w:t>
      </w:r>
      <w:r w:rsidR="001549F7">
        <w:t xml:space="preserve">As a result, </w:t>
      </w:r>
      <w:r w:rsidR="00066ED1">
        <w:t xml:space="preserve">for providers </w:t>
      </w:r>
      <w:r w:rsidR="0016505E">
        <w:t xml:space="preserve">to avoid </w:t>
      </w:r>
      <w:r w:rsidR="00A8035D">
        <w:t xml:space="preserve">administrative costs associated with high staff turnover, </w:t>
      </w:r>
      <w:r>
        <w:t>additional monetary incentives for care staff may be required.</w:t>
      </w:r>
    </w:p>
    <w:p w14:paraId="6A070C8B" w14:textId="77777777" w:rsidR="00A11E0B" w:rsidRDefault="00A11E0B" w:rsidP="00A11E0B">
      <w:pPr>
        <w:spacing w:after="0"/>
        <w:rPr>
          <w:color w:val="000000" w:themeColor="text1"/>
          <w:u w:val="single"/>
        </w:rPr>
      </w:pPr>
      <w:r w:rsidRPr="006822D4">
        <w:rPr>
          <w:color w:val="000000" w:themeColor="text1"/>
          <w:u w:val="single"/>
        </w:rPr>
        <w:t>Clinician support types</w:t>
      </w:r>
      <w:r>
        <w:rPr>
          <w:color w:val="000000" w:themeColor="text1"/>
          <w:u w:val="single"/>
        </w:rPr>
        <w:t xml:space="preserve"> and SDCU attendance</w:t>
      </w:r>
    </w:p>
    <w:p w14:paraId="5F37C3C6" w14:textId="2C44BE4A" w:rsidR="00A11E0B" w:rsidRPr="00952BE7" w:rsidRDefault="00A11E0B" w:rsidP="00A11E0B">
      <w:pPr>
        <w:rPr>
          <w:color w:val="000000" w:themeColor="text1"/>
        </w:rPr>
      </w:pPr>
      <w:r w:rsidRPr="00FF11B8">
        <w:rPr>
          <w:color w:val="000000" w:themeColor="text1"/>
        </w:rPr>
        <w:t xml:space="preserve">Across most SDCUs, stakeholders reported employing a psychogeriatrician, geriatrician or psychiatrist who attends the </w:t>
      </w:r>
      <w:r w:rsidR="00FF4D30">
        <w:rPr>
          <w:color w:val="000000" w:themeColor="text1"/>
        </w:rPr>
        <w:t>SDCU</w:t>
      </w:r>
      <w:r w:rsidRPr="00FF11B8">
        <w:rPr>
          <w:color w:val="000000" w:themeColor="text1"/>
        </w:rPr>
        <w:t xml:space="preserve"> one day per week to review each resident’s care plan, participate in CRT meetings and provide consultation and education to </w:t>
      </w:r>
      <w:r w:rsidR="00B0163F">
        <w:rPr>
          <w:color w:val="000000" w:themeColor="text1"/>
        </w:rPr>
        <w:t>care staff</w:t>
      </w:r>
      <w:r w:rsidRPr="00FF11B8">
        <w:rPr>
          <w:color w:val="000000" w:themeColor="text1"/>
        </w:rPr>
        <w:t>.</w:t>
      </w:r>
      <w:r w:rsidR="00B479A6">
        <w:rPr>
          <w:color w:val="000000" w:themeColor="text1"/>
        </w:rPr>
        <w:t xml:space="preserve"> </w:t>
      </w:r>
      <w:r w:rsidRPr="00952BE7">
        <w:rPr>
          <w:color w:val="000000" w:themeColor="text1"/>
        </w:rPr>
        <w:t>Most units also employed a Clinical Nurse Consultant (CNC) as part of their clinical in-reach who attended the SDCU one to three days per week</w:t>
      </w:r>
      <w:r>
        <w:rPr>
          <w:color w:val="000000" w:themeColor="text1"/>
        </w:rPr>
        <w:t>. The CNC typically also attended the CRT</w:t>
      </w:r>
      <w:r w:rsidRPr="00952BE7">
        <w:rPr>
          <w:color w:val="000000" w:themeColor="text1"/>
        </w:rPr>
        <w:t>. Stakeholders highlighted the important role of the CNC for the following reasons: provision of specialist expertise to support care planning</w:t>
      </w:r>
      <w:r>
        <w:rPr>
          <w:color w:val="000000" w:themeColor="text1"/>
        </w:rPr>
        <w:t>;</w:t>
      </w:r>
      <w:r w:rsidRPr="00952BE7">
        <w:rPr>
          <w:color w:val="000000" w:themeColor="text1"/>
        </w:rPr>
        <w:t xml:space="preserve"> family consultation</w:t>
      </w:r>
      <w:r>
        <w:rPr>
          <w:color w:val="000000" w:themeColor="text1"/>
        </w:rPr>
        <w:t>;</w:t>
      </w:r>
      <w:r w:rsidRPr="00952BE7">
        <w:rPr>
          <w:color w:val="000000" w:themeColor="text1"/>
        </w:rPr>
        <w:t xml:space="preserve"> and upskilling </w:t>
      </w:r>
      <w:r>
        <w:rPr>
          <w:color w:val="000000" w:themeColor="text1"/>
        </w:rPr>
        <w:t xml:space="preserve">ENs and </w:t>
      </w:r>
      <w:r w:rsidR="00B0163F">
        <w:rPr>
          <w:color w:val="000000" w:themeColor="text1"/>
        </w:rPr>
        <w:t>care staff</w:t>
      </w:r>
      <w:r w:rsidRPr="00952BE7">
        <w:rPr>
          <w:color w:val="000000" w:themeColor="text1"/>
        </w:rPr>
        <w:t xml:space="preserve"> </w:t>
      </w:r>
      <w:r>
        <w:rPr>
          <w:color w:val="000000" w:themeColor="text1"/>
        </w:rPr>
        <w:t>with day-to-day care tasks and behavioural management strategies</w:t>
      </w:r>
      <w:r w:rsidRPr="00952BE7">
        <w:rPr>
          <w:color w:val="000000" w:themeColor="text1"/>
        </w:rPr>
        <w:t>. Units that did not have a CNC available acknowledged the role would be beneficial</w:t>
      </w:r>
      <w:r>
        <w:rPr>
          <w:color w:val="000000" w:themeColor="text1"/>
        </w:rPr>
        <w:t xml:space="preserve">, </w:t>
      </w:r>
      <w:r w:rsidRPr="00952BE7">
        <w:rPr>
          <w:color w:val="000000" w:themeColor="text1"/>
        </w:rPr>
        <w:t xml:space="preserve">but noted they were struggling to recruit the role in their region. </w:t>
      </w:r>
    </w:p>
    <w:p w14:paraId="795E6036" w14:textId="60A43178" w:rsidR="00A11E0B" w:rsidRPr="00BA3B2A" w:rsidRDefault="00A11E0B" w:rsidP="00A11E0B">
      <w:pPr>
        <w:rPr>
          <w:color w:val="000000" w:themeColor="text1"/>
        </w:rPr>
      </w:pPr>
      <w:r>
        <w:rPr>
          <w:color w:val="000000" w:themeColor="text1"/>
        </w:rPr>
        <w:t xml:space="preserve">The clinical in-reach for </w:t>
      </w:r>
      <w:r w:rsidR="00A90E97">
        <w:rPr>
          <w:color w:val="000000" w:themeColor="text1"/>
        </w:rPr>
        <w:t>the sole</w:t>
      </w:r>
      <w:r w:rsidR="00A90E97" w:rsidRPr="00BA3B2A">
        <w:rPr>
          <w:color w:val="000000" w:themeColor="text1"/>
        </w:rPr>
        <w:t xml:space="preserve"> </w:t>
      </w:r>
      <w:r w:rsidRPr="00BA3B2A">
        <w:rPr>
          <w:color w:val="000000" w:themeColor="text1"/>
        </w:rPr>
        <w:t>SDCU</w:t>
      </w:r>
      <w:r>
        <w:rPr>
          <w:color w:val="000000" w:themeColor="text1"/>
        </w:rPr>
        <w:t xml:space="preserve"> located</w:t>
      </w:r>
      <w:r w:rsidRPr="00BA3B2A">
        <w:rPr>
          <w:color w:val="000000" w:themeColor="text1"/>
        </w:rPr>
        <w:t xml:space="preserve"> in a </w:t>
      </w:r>
      <w:r w:rsidR="001B53BD">
        <w:rPr>
          <w:color w:val="000000" w:themeColor="text1"/>
        </w:rPr>
        <w:t>regional area</w:t>
      </w:r>
      <w:r w:rsidRPr="00BA3B2A">
        <w:rPr>
          <w:color w:val="000000" w:themeColor="text1"/>
        </w:rPr>
        <w:t xml:space="preserve"> </w:t>
      </w:r>
      <w:r>
        <w:rPr>
          <w:color w:val="000000" w:themeColor="text1"/>
        </w:rPr>
        <w:t>was limited to one</w:t>
      </w:r>
      <w:r w:rsidRPr="00BA3B2A">
        <w:rPr>
          <w:color w:val="000000" w:themeColor="text1"/>
        </w:rPr>
        <w:t xml:space="preserve"> psychologist</w:t>
      </w:r>
      <w:r>
        <w:rPr>
          <w:color w:val="000000" w:themeColor="text1"/>
        </w:rPr>
        <w:t xml:space="preserve">, </w:t>
      </w:r>
      <w:r w:rsidRPr="00BA3B2A">
        <w:rPr>
          <w:color w:val="000000" w:themeColor="text1"/>
        </w:rPr>
        <w:t xml:space="preserve">as </w:t>
      </w:r>
      <w:r>
        <w:rPr>
          <w:color w:val="000000" w:themeColor="text1"/>
        </w:rPr>
        <w:t xml:space="preserve">the local hospital did not have a funded </w:t>
      </w:r>
      <w:r w:rsidRPr="00BA3B2A">
        <w:rPr>
          <w:color w:val="000000" w:themeColor="text1"/>
        </w:rPr>
        <w:t>psychogeriatric service</w:t>
      </w:r>
      <w:r>
        <w:rPr>
          <w:color w:val="000000" w:themeColor="text1"/>
        </w:rPr>
        <w:t>. At this site, an external psychiatrist is available in advisory on-call capacity, and a GP plays a more active role in clinical decisions, but neither is part of the contracted clinical in-reach team. G</w:t>
      </w:r>
      <w:r w:rsidRPr="00BA3B2A">
        <w:rPr>
          <w:color w:val="000000" w:themeColor="text1"/>
        </w:rPr>
        <w:t>iven the</w:t>
      </w:r>
      <w:r>
        <w:rPr>
          <w:color w:val="000000" w:themeColor="text1"/>
        </w:rPr>
        <w:t xml:space="preserve"> acute and</w:t>
      </w:r>
      <w:r w:rsidRPr="00BA3B2A">
        <w:rPr>
          <w:color w:val="000000" w:themeColor="text1"/>
        </w:rPr>
        <w:t xml:space="preserve"> </w:t>
      </w:r>
      <w:r>
        <w:rPr>
          <w:color w:val="000000" w:themeColor="text1"/>
        </w:rPr>
        <w:t xml:space="preserve">rapidly evolving needs of the </w:t>
      </w:r>
      <w:r w:rsidRPr="00BA3B2A">
        <w:rPr>
          <w:color w:val="000000" w:themeColor="text1"/>
        </w:rPr>
        <w:t>resident</w:t>
      </w:r>
      <w:r>
        <w:rPr>
          <w:color w:val="000000" w:themeColor="text1"/>
        </w:rPr>
        <w:t>s, stakeholders felt the absence of in-person specialist was a barrier to meeting resident needs in a timely and proactive manner</w:t>
      </w:r>
      <w:r w:rsidRPr="00BA3B2A">
        <w:rPr>
          <w:color w:val="000000" w:themeColor="text1"/>
        </w:rPr>
        <w:t xml:space="preserve">. </w:t>
      </w:r>
    </w:p>
    <w:p w14:paraId="349DFD4A" w14:textId="77777777" w:rsidR="00A11E0B" w:rsidRDefault="00A11E0B" w:rsidP="00A11E0B">
      <w:pPr>
        <w:spacing w:after="0"/>
        <w:rPr>
          <w:color w:val="000000" w:themeColor="text1"/>
          <w:u w:val="single"/>
        </w:rPr>
      </w:pPr>
      <w:r>
        <w:rPr>
          <w:color w:val="000000" w:themeColor="text1"/>
          <w:u w:val="single"/>
        </w:rPr>
        <w:t>24/7 support</w:t>
      </w:r>
    </w:p>
    <w:p w14:paraId="2C0ADB86" w14:textId="77777777" w:rsidR="00A11E0B" w:rsidRDefault="00A11E0B" w:rsidP="00A11E0B">
      <w:pPr>
        <w:rPr>
          <w:color w:val="000000" w:themeColor="text1"/>
        </w:rPr>
      </w:pPr>
      <w:r w:rsidRPr="000B396F">
        <w:rPr>
          <w:color w:val="000000" w:themeColor="text1"/>
        </w:rPr>
        <w:t xml:space="preserve">Stakeholders across </w:t>
      </w:r>
      <w:r>
        <w:rPr>
          <w:color w:val="000000" w:themeColor="text1"/>
        </w:rPr>
        <w:t xml:space="preserve">all SDCUs </w:t>
      </w:r>
      <w:r w:rsidRPr="000B396F">
        <w:rPr>
          <w:color w:val="000000" w:themeColor="text1"/>
        </w:rPr>
        <w:t xml:space="preserve">noted the clinical in-reach team were available </w:t>
      </w:r>
      <w:r>
        <w:rPr>
          <w:color w:val="000000" w:themeColor="text1"/>
        </w:rPr>
        <w:t>on-site during their agreed days, with on-call support provided during other business hours</w:t>
      </w:r>
      <w:r w:rsidRPr="000B396F">
        <w:rPr>
          <w:color w:val="000000" w:themeColor="text1"/>
        </w:rPr>
        <w:t xml:space="preserve">. </w:t>
      </w:r>
    </w:p>
    <w:p w14:paraId="37945CC7" w14:textId="77777777" w:rsidR="00A11E0B" w:rsidRDefault="00A11E0B" w:rsidP="00A11E0B">
      <w:pPr>
        <w:rPr>
          <w:color w:val="000000" w:themeColor="text1"/>
        </w:rPr>
      </w:pPr>
      <w:r w:rsidRPr="000B396F">
        <w:rPr>
          <w:color w:val="000000" w:themeColor="text1"/>
        </w:rPr>
        <w:t xml:space="preserve">Stakeholders at some </w:t>
      </w:r>
      <w:r>
        <w:rPr>
          <w:color w:val="000000" w:themeColor="text1"/>
        </w:rPr>
        <w:t>SDCUs</w:t>
      </w:r>
      <w:r w:rsidRPr="000B396F">
        <w:rPr>
          <w:color w:val="000000" w:themeColor="text1"/>
        </w:rPr>
        <w:t xml:space="preserve"> </w:t>
      </w:r>
      <w:r>
        <w:rPr>
          <w:color w:val="000000" w:themeColor="text1"/>
        </w:rPr>
        <w:t xml:space="preserve">noted informal agreements to </w:t>
      </w:r>
      <w:r w:rsidRPr="000B396F">
        <w:rPr>
          <w:color w:val="000000" w:themeColor="text1"/>
        </w:rPr>
        <w:t xml:space="preserve">contact the </w:t>
      </w:r>
      <w:r w:rsidRPr="00FF11B8">
        <w:rPr>
          <w:color w:val="000000" w:themeColor="text1"/>
        </w:rPr>
        <w:t>psycho-geriatrician</w:t>
      </w:r>
      <w:r>
        <w:rPr>
          <w:color w:val="000000" w:themeColor="text1"/>
        </w:rPr>
        <w:t xml:space="preserve"> (or their equivalent)</w:t>
      </w:r>
      <w:r w:rsidRPr="000B396F">
        <w:rPr>
          <w:color w:val="000000" w:themeColor="text1"/>
        </w:rPr>
        <w:t xml:space="preserve"> for support after standard business hours</w:t>
      </w:r>
      <w:r>
        <w:rPr>
          <w:color w:val="000000" w:themeColor="text1"/>
        </w:rPr>
        <w:t xml:space="preserve"> in the event of escalated incidents. Consultations with these clinical specialists indicated willingness to offer in-kind on-call support because of the lower staffing ratios and the absence of an RN during night shifts. However, no SDCU had formalised contracted 24/7 levels of support from clinical in-reach teams.</w:t>
      </w:r>
    </w:p>
    <w:p w14:paraId="51B80181" w14:textId="77777777" w:rsidR="00A11E0B" w:rsidRPr="000B396F" w:rsidRDefault="00A11E0B" w:rsidP="00A11E0B">
      <w:pPr>
        <w:rPr>
          <w:color w:val="000000" w:themeColor="text1"/>
        </w:rPr>
      </w:pPr>
      <w:r w:rsidRPr="000B396F">
        <w:rPr>
          <w:color w:val="000000" w:themeColor="text1"/>
        </w:rPr>
        <w:t xml:space="preserve">Where medical support is required during night or weekend shifts, </w:t>
      </w:r>
      <w:r>
        <w:rPr>
          <w:color w:val="000000" w:themeColor="text1"/>
        </w:rPr>
        <w:t>SDCU staff</w:t>
      </w:r>
      <w:r w:rsidRPr="000B396F">
        <w:rPr>
          <w:color w:val="000000" w:themeColor="text1"/>
        </w:rPr>
        <w:t xml:space="preserve"> </w:t>
      </w:r>
      <w:r>
        <w:rPr>
          <w:color w:val="000000" w:themeColor="text1"/>
        </w:rPr>
        <w:t>typically</w:t>
      </w:r>
      <w:r w:rsidRPr="000B396F">
        <w:rPr>
          <w:color w:val="000000" w:themeColor="text1"/>
        </w:rPr>
        <w:t xml:space="preserve"> contact the on-call geriatrician at the local hospital or </w:t>
      </w:r>
      <w:r>
        <w:rPr>
          <w:color w:val="000000" w:themeColor="text1"/>
        </w:rPr>
        <w:t>transfer to the Emergency Department</w:t>
      </w:r>
      <w:r w:rsidRPr="000B396F">
        <w:rPr>
          <w:color w:val="000000" w:themeColor="text1"/>
        </w:rPr>
        <w:t xml:space="preserve">. </w:t>
      </w:r>
    </w:p>
    <w:p w14:paraId="5A0CD7DB" w14:textId="453AA90E" w:rsidR="00877034" w:rsidRDefault="00877034" w:rsidP="00877034">
      <w:pPr>
        <w:rPr>
          <w:rFonts w:asciiTheme="majorHAnsi" w:hAnsiTheme="majorHAnsi" w:cstheme="majorHAnsi"/>
          <w:b/>
          <w:color w:val="012169"/>
        </w:rPr>
      </w:pPr>
      <w:r w:rsidRPr="00805B23">
        <w:rPr>
          <w:rFonts w:asciiTheme="majorHAnsi" w:hAnsiTheme="majorHAnsi" w:cstheme="majorHAnsi"/>
          <w:b/>
          <w:bCs/>
          <w:color w:val="012169"/>
        </w:rPr>
        <w:t>GP</w:t>
      </w:r>
      <w:r w:rsidR="00215A78">
        <w:rPr>
          <w:rFonts w:asciiTheme="majorHAnsi" w:hAnsiTheme="majorHAnsi" w:cstheme="majorHAnsi"/>
          <w:b/>
          <w:bCs/>
          <w:color w:val="012169"/>
        </w:rPr>
        <w:t xml:space="preserve"> </w:t>
      </w:r>
      <w:r w:rsidR="00A11E0B">
        <w:rPr>
          <w:rFonts w:asciiTheme="majorHAnsi" w:hAnsiTheme="majorHAnsi" w:cstheme="majorHAnsi"/>
          <w:b/>
          <w:color w:val="012169"/>
        </w:rPr>
        <w:t xml:space="preserve">and </w:t>
      </w:r>
      <w:r w:rsidR="00215A78">
        <w:rPr>
          <w:rFonts w:asciiTheme="majorHAnsi" w:hAnsiTheme="majorHAnsi" w:cstheme="majorHAnsi"/>
          <w:b/>
          <w:bCs/>
          <w:color w:val="012169"/>
        </w:rPr>
        <w:t>allied health</w:t>
      </w:r>
      <w:r w:rsidRPr="00805B23">
        <w:rPr>
          <w:rFonts w:asciiTheme="majorHAnsi" w:hAnsiTheme="majorHAnsi" w:cstheme="majorHAnsi"/>
          <w:b/>
          <w:color w:val="012169"/>
        </w:rPr>
        <w:t xml:space="preserve"> involvement at SDCUs broadly reflects the level of GP </w:t>
      </w:r>
      <w:r w:rsidR="005C5765">
        <w:rPr>
          <w:rFonts w:asciiTheme="majorHAnsi" w:hAnsiTheme="majorHAnsi" w:cstheme="majorHAnsi"/>
          <w:b/>
          <w:bCs/>
          <w:color w:val="012169"/>
        </w:rPr>
        <w:t xml:space="preserve">and allied health </w:t>
      </w:r>
      <w:r w:rsidRPr="00805B23">
        <w:rPr>
          <w:rFonts w:asciiTheme="majorHAnsi" w:hAnsiTheme="majorHAnsi" w:cstheme="majorHAnsi"/>
          <w:b/>
          <w:color w:val="012169"/>
        </w:rPr>
        <w:t xml:space="preserve">involvement at each provider’s co-located mainstream RACF. </w:t>
      </w:r>
    </w:p>
    <w:p w14:paraId="56B074C9" w14:textId="66D5D008" w:rsidR="00877034" w:rsidRPr="00194FEF" w:rsidRDefault="00877034" w:rsidP="00877034">
      <w:pPr>
        <w:spacing w:after="0"/>
        <w:rPr>
          <w:color w:val="000000" w:themeColor="text1"/>
          <w:u w:val="single"/>
        </w:rPr>
      </w:pPr>
      <w:r>
        <w:rPr>
          <w:color w:val="000000" w:themeColor="text1"/>
          <w:u w:val="single"/>
        </w:rPr>
        <w:t>GP</w:t>
      </w:r>
      <w:r w:rsidRPr="00A5441A">
        <w:rPr>
          <w:color w:val="000000" w:themeColor="text1"/>
          <w:u w:val="single"/>
        </w:rPr>
        <w:t xml:space="preserve"> involvement</w:t>
      </w:r>
    </w:p>
    <w:p w14:paraId="5DAADD46" w14:textId="49C5C80D" w:rsidR="00877034" w:rsidRDefault="00877034" w:rsidP="00877034">
      <w:r>
        <w:t xml:space="preserve">All SDCUs reported regular access to a GP to oversee day-to-day medical care for residents. Most SDCUs used the same GP who services their broader facility one or two days per week. However, it was observed that the in-reach clinicians provide most of the clinical advice to SDCUs (rather than the GP), including decisions related to psychotropic medications, arranging ED transfers, any other business hours clinical support needs (via on-call availability). </w:t>
      </w:r>
      <w:r w:rsidR="0077135E">
        <w:t xml:space="preserve">A small number of stakeholders </w:t>
      </w:r>
      <w:r w:rsidR="009D065B">
        <w:t>felt that</w:t>
      </w:r>
      <w:r w:rsidR="00CB683E">
        <w:t xml:space="preserve"> this was not always appropriate,</w:t>
      </w:r>
      <w:r w:rsidR="009D065B">
        <w:t xml:space="preserve"> </w:t>
      </w:r>
      <w:r w:rsidR="00CB683E">
        <w:t>as it could sometimes</w:t>
      </w:r>
      <w:r w:rsidR="009D065B">
        <w:t xml:space="preserve"> result in the in-reach clinician performing tasks which fell </w:t>
      </w:r>
      <w:r w:rsidR="00CB683E">
        <w:t xml:space="preserve">more </w:t>
      </w:r>
      <w:r w:rsidR="0026042A">
        <w:t>under</w:t>
      </w:r>
      <w:r w:rsidR="009D065B">
        <w:t xml:space="preserve"> the GP’s scope </w:t>
      </w:r>
      <w:r w:rsidR="0026042A">
        <w:t>of work</w:t>
      </w:r>
      <w:r w:rsidR="00304E6F">
        <w:t>, simply because the GP was not available to the SDCU at the time.</w:t>
      </w:r>
    </w:p>
    <w:p w14:paraId="7C310FB8" w14:textId="0D084C46" w:rsidR="00877034" w:rsidRDefault="00877034" w:rsidP="00877034">
      <w:r>
        <w:t xml:space="preserve">A small number </w:t>
      </w:r>
      <w:r w:rsidR="006C3038">
        <w:t xml:space="preserve">of </w:t>
      </w:r>
      <w:r>
        <w:t>SDCUs felt that GP involvement was too infrequent at the SDCU given the higher-support needs of the residents relative to the mainstream RACF. They felt this occasionally impeded the timeliness of medical reviews and the ability to proactively manage resident needs.</w:t>
      </w:r>
      <w:r w:rsidR="00DD23AB">
        <w:t xml:space="preserve"> </w:t>
      </w:r>
      <w:r>
        <w:t xml:space="preserve">Relative to metropolitan SDCUs, the GP was more heavily involved in clinical decisions and discussions at the </w:t>
      </w:r>
      <w:r w:rsidR="00096391">
        <w:t xml:space="preserve">regional </w:t>
      </w:r>
      <w:r>
        <w:t>SDCU, often on an in-kind basis. In this case, the GP played more active role because there was no psycho-geriatrician (or equivalent) in the clinical in-reach team.</w:t>
      </w:r>
    </w:p>
    <w:p w14:paraId="27C4FDA9" w14:textId="77777777" w:rsidR="00950322" w:rsidRPr="00A5441A" w:rsidRDefault="00950322" w:rsidP="00950322">
      <w:pPr>
        <w:spacing w:after="0"/>
        <w:rPr>
          <w:color w:val="000000" w:themeColor="text1"/>
          <w:u w:val="single"/>
        </w:rPr>
      </w:pPr>
      <w:r w:rsidRPr="00A5441A">
        <w:rPr>
          <w:color w:val="000000" w:themeColor="text1"/>
          <w:u w:val="single"/>
        </w:rPr>
        <w:t>Level of allied health involvement</w:t>
      </w:r>
    </w:p>
    <w:p w14:paraId="4B4402E7" w14:textId="21E1B403" w:rsidR="00950322" w:rsidRDefault="00950322" w:rsidP="00950322">
      <w:r>
        <w:t xml:space="preserve">A principle of the SDCP Framework is to use “a multidisciplinary approach with formalised arrangements for access to specialist </w:t>
      </w:r>
      <w:r w:rsidDel="00551142">
        <w:t>services</w:t>
      </w:r>
      <w:r w:rsidR="00551142">
        <w:t>,</w:t>
      </w:r>
      <w:r>
        <w:t xml:space="preserve"> including clinical and allied health”. The Framework also states that providers are responsible for directly sourcing and funding allied health services. </w:t>
      </w:r>
    </w:p>
    <w:p w14:paraId="0B302ED7" w14:textId="77777777" w:rsidR="00950322" w:rsidRDefault="00950322" w:rsidP="00950322">
      <w:r>
        <w:t xml:space="preserve">Certain stakeholders observed minimal and sporadic involvement from allied health staff over the duration of the Program. This was raised in the context of the specialist nature of the Program. Only a small number of SDCUs described regular attendance from allied health staff rostered at the SDCU one or two days per week, with most other units accessing allied health support on an as-needs basis from allied health staff who service the broader facility. </w:t>
      </w:r>
    </w:p>
    <w:p w14:paraId="3BF45022" w14:textId="3D85370F" w:rsidR="005407F2" w:rsidRPr="00B70015" w:rsidRDefault="00950322" w:rsidP="00950322">
      <w:pPr>
        <w:spacing w:after="0"/>
        <w:rPr>
          <w:color w:val="000000" w:themeColor="text1"/>
          <w:u w:val="single"/>
        </w:rPr>
      </w:pPr>
      <w:r w:rsidRPr="00B70015">
        <w:rPr>
          <w:color w:val="000000" w:themeColor="text1"/>
          <w:u w:val="single"/>
        </w:rPr>
        <w:t>Use of a social worker</w:t>
      </w:r>
    </w:p>
    <w:p w14:paraId="7BB64A4A" w14:textId="3A9E05E7" w:rsidR="000D3A23" w:rsidRDefault="00EE56AA" w:rsidP="005407F2">
      <w:pPr>
        <w:spacing w:after="0"/>
      </w:pPr>
      <w:r>
        <w:t xml:space="preserve">Across the SDCUs, </w:t>
      </w:r>
      <w:r w:rsidR="002435BF">
        <w:t xml:space="preserve">sites were also observed to have differing levels of access to </w:t>
      </w:r>
      <w:r w:rsidR="00931549">
        <w:t xml:space="preserve">a </w:t>
      </w:r>
      <w:r w:rsidR="002435BF">
        <w:t>social worker</w:t>
      </w:r>
      <w:r w:rsidR="00931549">
        <w:t>. This could range from a</w:t>
      </w:r>
      <w:r w:rsidR="00A67C15">
        <w:t xml:space="preserve"> social worker employed across the SDCU and co-located mainstream RACF, </w:t>
      </w:r>
      <w:r w:rsidR="002435BF">
        <w:t xml:space="preserve">to </w:t>
      </w:r>
      <w:r w:rsidR="004C52C2">
        <w:t xml:space="preserve">an SDCU-dedicated social worker. </w:t>
      </w:r>
      <w:r w:rsidR="00D27AD2">
        <w:t>Various</w:t>
      </w:r>
      <w:r w:rsidR="0054336E">
        <w:t xml:space="preserve"> roles that stakeholders descr</w:t>
      </w:r>
      <w:r w:rsidR="005524FA">
        <w:t>i</w:t>
      </w:r>
      <w:r w:rsidR="0054336E">
        <w:t>bed the social worker undertaking included</w:t>
      </w:r>
      <w:r w:rsidR="00D27AD2">
        <w:t>:</w:t>
      </w:r>
    </w:p>
    <w:p w14:paraId="694014F9" w14:textId="74D38217" w:rsidR="000D3A23" w:rsidRDefault="005524FA" w:rsidP="000D3A23">
      <w:pPr>
        <w:pStyle w:val="ListBullet"/>
      </w:pPr>
      <w:r>
        <w:t>resident</w:t>
      </w:r>
      <w:r w:rsidR="0054336E">
        <w:t xml:space="preserve"> engagemen</w:t>
      </w:r>
      <w:r w:rsidR="000D3A23">
        <w:t>t</w:t>
      </w:r>
      <w:r w:rsidR="00074AA1">
        <w:t xml:space="preserve"> </w:t>
      </w:r>
      <w:r w:rsidR="001B35F1">
        <w:t>(</w:t>
      </w:r>
      <w:r w:rsidR="00074AA1">
        <w:t>emotional and social support</w:t>
      </w:r>
      <w:r w:rsidR="001B35F1">
        <w:t>)</w:t>
      </w:r>
    </w:p>
    <w:p w14:paraId="77C152A7" w14:textId="77777777" w:rsidR="00951719" w:rsidRDefault="00D27AD2" w:rsidP="000D3A23">
      <w:pPr>
        <w:pStyle w:val="ListBullet"/>
      </w:pPr>
      <w:r>
        <w:t xml:space="preserve">family engagement </w:t>
      </w:r>
      <w:r w:rsidR="00951719">
        <w:t>(education and counselling support to families to build trust, gather important information about the resident, and prepare families for the transitional nature of the Program)</w:t>
      </w:r>
    </w:p>
    <w:p w14:paraId="66D224E6" w14:textId="77777777" w:rsidR="001B35F1" w:rsidRDefault="00951719" w:rsidP="000D3A23">
      <w:pPr>
        <w:pStyle w:val="ListBullet"/>
      </w:pPr>
      <w:r>
        <w:t>staff engagement (</w:t>
      </w:r>
      <w:r w:rsidR="001B35F1">
        <w:t xml:space="preserve">staff wellbeing and debriefing after incidents). </w:t>
      </w:r>
    </w:p>
    <w:p w14:paraId="670D8D3A" w14:textId="77777777" w:rsidR="00500FEF" w:rsidRDefault="00500FEF" w:rsidP="00500FEF">
      <w:pPr>
        <w:pStyle w:val="ListBullet"/>
        <w:numPr>
          <w:ilvl w:val="0"/>
          <w:numId w:val="0"/>
        </w:numPr>
      </w:pPr>
    </w:p>
    <w:p w14:paraId="031E95A0" w14:textId="6AA1AC28" w:rsidR="003D0356" w:rsidRDefault="00500FEF" w:rsidP="00D10AF9">
      <w:pPr>
        <w:pStyle w:val="ListBullet"/>
        <w:numPr>
          <w:ilvl w:val="0"/>
          <w:numId w:val="0"/>
        </w:numPr>
      </w:pPr>
      <w:r>
        <w:t>Overall, stakeho</w:t>
      </w:r>
      <w:r w:rsidR="005D5F83">
        <w:t>lders</w:t>
      </w:r>
      <w:r w:rsidR="00950322">
        <w:t xml:space="preserve"> </w:t>
      </w:r>
      <w:r w:rsidR="0050318D">
        <w:t>recognised that given t</w:t>
      </w:r>
      <w:r w:rsidR="005524FA">
        <w:t xml:space="preserve">he difficult circumstances that residents and their families/carers have </w:t>
      </w:r>
      <w:r w:rsidR="00883153">
        <w:t>experienced prior to placement in an SDC</w:t>
      </w:r>
      <w:r w:rsidR="00054735">
        <w:t xml:space="preserve">U, and the unique challenges associated with </w:t>
      </w:r>
      <w:r w:rsidR="003D0356">
        <w:t xml:space="preserve">staff </w:t>
      </w:r>
      <w:r w:rsidR="00054735">
        <w:t xml:space="preserve">caring for this cohort, having a social worker that is focused on </w:t>
      </w:r>
      <w:r w:rsidR="00E26FF7">
        <w:t xml:space="preserve">engagement and wellbeing is a valuable addition to the model of care. </w:t>
      </w:r>
    </w:p>
    <w:p w14:paraId="54377D71" w14:textId="77777777" w:rsidR="003D0356" w:rsidRDefault="003D0356" w:rsidP="00D10AF9">
      <w:pPr>
        <w:pStyle w:val="ListBullet"/>
        <w:numPr>
          <w:ilvl w:val="0"/>
          <w:numId w:val="0"/>
        </w:numPr>
      </w:pPr>
    </w:p>
    <w:p w14:paraId="23BC8446" w14:textId="642FDF64" w:rsidR="00D10AF9" w:rsidRDefault="00D10AF9" w:rsidP="0079620C">
      <w:pPr>
        <w:pStyle w:val="ListBullet"/>
        <w:numPr>
          <w:ilvl w:val="0"/>
          <w:numId w:val="0"/>
        </w:numPr>
      </w:pPr>
      <w:r>
        <w:t>It was also</w:t>
      </w:r>
      <w:r w:rsidR="00950322">
        <w:t xml:space="preserve"> observed that where an external transition is required, it can take time to identify a suitable discharge facility. </w:t>
      </w:r>
      <w:r w:rsidR="003B4BF7">
        <w:t xml:space="preserve">In the </w:t>
      </w:r>
      <w:r w:rsidR="003B4BF7" w:rsidRPr="00AC631E">
        <w:rPr>
          <w:b/>
          <w:bCs/>
        </w:rPr>
        <w:t>Interim Report (2021)</w:t>
      </w:r>
      <w:r w:rsidR="003B4BF7">
        <w:t>, i</w:t>
      </w:r>
      <w:r w:rsidR="00950322">
        <w:t xml:space="preserve">n-reach clinicians noted that in inpatient psychogeriatric settings, a social worker is tasked with identifying a suitable discharge location, which ensures a timely discharge. It was suggested that, as the Program grows, </w:t>
      </w:r>
      <w:r w:rsidR="00A14694">
        <w:t xml:space="preserve">depending on the existing level of access to a social worker at an SDCU level, </w:t>
      </w:r>
      <w:r w:rsidR="00950322">
        <w:t>there may be an opportunity to consider use of a social worker at a jurisdictional level to support SDCUs with external transitions.</w:t>
      </w:r>
    </w:p>
    <w:p w14:paraId="438EEB78" w14:textId="77777777" w:rsidR="00754E54" w:rsidRDefault="00754E54" w:rsidP="0079620C">
      <w:pPr>
        <w:pStyle w:val="ListBullet"/>
        <w:numPr>
          <w:ilvl w:val="0"/>
          <w:numId w:val="0"/>
        </w:numPr>
      </w:pPr>
    </w:p>
    <w:p w14:paraId="1489DCDC" w14:textId="2CFC6267" w:rsidR="007F57AC" w:rsidRPr="00676B12" w:rsidRDefault="00584F5D" w:rsidP="00C31032">
      <w:pPr>
        <w:pStyle w:val="Heading2"/>
        <w:spacing w:after="0"/>
        <w:ind w:left="578" w:hanging="578"/>
      </w:pPr>
      <w:bookmarkStart w:id="42" w:name="_Ref122254502"/>
      <w:bookmarkStart w:id="43" w:name="_Ref123897106"/>
      <w:bookmarkStart w:id="44" w:name="_Ref123897146"/>
      <w:bookmarkStart w:id="45" w:name="_Ref123897153"/>
      <w:bookmarkStart w:id="46" w:name="_Ref123897161"/>
      <w:bookmarkStart w:id="47" w:name="_Ref123897171"/>
      <w:bookmarkStart w:id="48" w:name="_Ref123912226"/>
      <w:r w:rsidRPr="00CC0751">
        <w:t>Care service model</w:t>
      </w:r>
      <w:bookmarkEnd w:id="42"/>
      <w:bookmarkEnd w:id="43"/>
      <w:bookmarkEnd w:id="44"/>
      <w:bookmarkEnd w:id="45"/>
      <w:bookmarkEnd w:id="46"/>
      <w:bookmarkEnd w:id="47"/>
      <w:bookmarkEnd w:id="48"/>
    </w:p>
    <w:p w14:paraId="0DB94B20" w14:textId="5053F465" w:rsidR="007F57AC" w:rsidRPr="002A7403" w:rsidRDefault="007F57AC" w:rsidP="002A7403">
      <w:pPr>
        <w:rPr>
          <w:rFonts w:asciiTheme="majorHAnsi" w:hAnsiTheme="majorHAnsi" w:cstheme="majorHAnsi"/>
          <w:b/>
          <w:bCs/>
          <w:color w:val="012169"/>
        </w:rPr>
      </w:pPr>
      <w:r w:rsidRPr="002A7403">
        <w:rPr>
          <w:rFonts w:asciiTheme="majorHAnsi" w:hAnsiTheme="majorHAnsi" w:cstheme="majorHAnsi"/>
          <w:b/>
          <w:bCs/>
          <w:color w:val="012169"/>
        </w:rPr>
        <w:t>Support from in-reach clinicians is considered a major strength of the model.</w:t>
      </w:r>
    </w:p>
    <w:p w14:paraId="28FC8E73" w14:textId="77777777" w:rsidR="00177123" w:rsidRDefault="002A7403" w:rsidP="00C31032">
      <w:pPr>
        <w:pStyle w:val="Heading3un-numbered"/>
        <w:rPr>
          <w:rFonts w:asciiTheme="minorHAnsi" w:hAnsiTheme="minorHAnsi"/>
          <w:b w:val="0"/>
          <w:color w:val="000000" w:themeColor="text1"/>
          <w:sz w:val="20"/>
        </w:rPr>
      </w:pPr>
      <w:r w:rsidRPr="002A7403">
        <w:rPr>
          <w:rFonts w:asciiTheme="minorHAnsi" w:hAnsiTheme="minorHAnsi"/>
          <w:b w:val="0"/>
          <w:color w:val="000000" w:themeColor="text1"/>
          <w:sz w:val="20"/>
        </w:rPr>
        <w:t>Stakeholders across all SDCUs</w:t>
      </w:r>
      <w:r w:rsidR="00177123">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commented on the in-reach clinician model as a major strength of the Program. The support provided by the in-reach model was cited as a strength for the following reasons:</w:t>
      </w:r>
    </w:p>
    <w:p w14:paraId="34FA709C" w14:textId="5D0CA2FF" w:rsidR="00177123" w:rsidRDefault="002A7403" w:rsidP="00C063DC">
      <w:pPr>
        <w:pStyle w:val="Heading3un-numbered"/>
        <w:numPr>
          <w:ilvl w:val="0"/>
          <w:numId w:val="25"/>
        </w:numPr>
        <w:rPr>
          <w:rFonts w:asciiTheme="minorHAnsi" w:hAnsiTheme="minorHAnsi"/>
          <w:b w:val="0"/>
          <w:color w:val="000000" w:themeColor="text1"/>
          <w:sz w:val="20"/>
        </w:rPr>
      </w:pPr>
      <w:r w:rsidRPr="00F811DA">
        <w:rPr>
          <w:rFonts w:cstheme="majorHAnsi"/>
          <w:color w:val="000000" w:themeColor="text1"/>
          <w:sz w:val="20"/>
        </w:rPr>
        <w:t>Transitions</w:t>
      </w:r>
      <w:r w:rsidR="00011D69">
        <w:rPr>
          <w:rFonts w:cstheme="majorHAnsi"/>
          <w:color w:val="000000" w:themeColor="text1"/>
          <w:sz w:val="20"/>
        </w:rPr>
        <w:t xml:space="preserve"> </w:t>
      </w:r>
      <w:r w:rsidRPr="00F811DA">
        <w:rPr>
          <w:rFonts w:cstheme="majorHAnsi"/>
          <w:color w:val="000000" w:themeColor="text1"/>
          <w:sz w:val="20"/>
        </w:rPr>
        <w:t>in.</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Ability to support a seamless transition-in, particularly when the transition is from an inpatient facility</w:t>
      </w:r>
      <w:r w:rsidR="00177123">
        <w:rPr>
          <w:rFonts w:asciiTheme="minorHAnsi" w:hAnsiTheme="minorHAnsi"/>
          <w:b w:val="0"/>
          <w:color w:val="000000" w:themeColor="text1"/>
          <w:sz w:val="20"/>
        </w:rPr>
        <w:t>.</w:t>
      </w:r>
    </w:p>
    <w:p w14:paraId="1396E6F3" w14:textId="114489C0" w:rsidR="00F811DA" w:rsidRDefault="002A7403" w:rsidP="00C063DC">
      <w:pPr>
        <w:pStyle w:val="Heading3un-numbered"/>
        <w:numPr>
          <w:ilvl w:val="0"/>
          <w:numId w:val="25"/>
        </w:numPr>
        <w:rPr>
          <w:rFonts w:asciiTheme="minorHAnsi" w:hAnsiTheme="minorHAnsi"/>
          <w:b w:val="0"/>
          <w:color w:val="000000" w:themeColor="text1"/>
          <w:sz w:val="20"/>
        </w:rPr>
      </w:pPr>
      <w:r w:rsidRPr="00F811DA">
        <w:rPr>
          <w:rFonts w:cstheme="majorHAnsi"/>
          <w:bCs/>
          <w:color w:val="000000" w:themeColor="text1"/>
          <w:sz w:val="20"/>
        </w:rPr>
        <w:t>Upskilling staff in behavioural management.</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 xml:space="preserve">Ability to upskill care staff in behavioural management approaches, both formally and informally (as described </w:t>
      </w:r>
      <w:r w:rsidR="003A7F62">
        <w:rPr>
          <w:rFonts w:asciiTheme="minorHAnsi" w:hAnsiTheme="minorHAnsi"/>
          <w:b w:val="0"/>
          <w:color w:val="000000" w:themeColor="text1"/>
          <w:sz w:val="20"/>
        </w:rPr>
        <w:t xml:space="preserve">in Section </w:t>
      </w:r>
      <w:r w:rsidR="003A7F62">
        <w:rPr>
          <w:rFonts w:asciiTheme="minorHAnsi" w:hAnsiTheme="minorHAnsi"/>
          <w:b w:val="0"/>
          <w:color w:val="000000" w:themeColor="text1"/>
          <w:sz w:val="20"/>
        </w:rPr>
        <w:fldChar w:fldCharType="begin"/>
      </w:r>
      <w:r w:rsidR="003A7F62">
        <w:rPr>
          <w:rFonts w:asciiTheme="minorHAnsi" w:hAnsiTheme="minorHAnsi"/>
          <w:b w:val="0"/>
          <w:color w:val="000000" w:themeColor="text1"/>
          <w:sz w:val="20"/>
        </w:rPr>
        <w:instrText xml:space="preserve"> REF _Ref122254502 \n \h </w:instrText>
      </w:r>
      <w:r w:rsidR="003A7F62">
        <w:rPr>
          <w:rFonts w:asciiTheme="minorHAnsi" w:hAnsiTheme="minorHAnsi"/>
          <w:b w:val="0"/>
          <w:color w:val="000000" w:themeColor="text1"/>
          <w:sz w:val="20"/>
        </w:rPr>
      </w:r>
      <w:r w:rsidR="003A7F62">
        <w:rPr>
          <w:rFonts w:asciiTheme="minorHAnsi" w:hAnsiTheme="minorHAnsi"/>
          <w:b w:val="0"/>
          <w:color w:val="000000" w:themeColor="text1"/>
          <w:sz w:val="20"/>
        </w:rPr>
        <w:fldChar w:fldCharType="separate"/>
      </w:r>
      <w:r w:rsidR="00D32536">
        <w:rPr>
          <w:rFonts w:asciiTheme="minorHAnsi" w:hAnsiTheme="minorHAnsi"/>
          <w:b w:val="0"/>
          <w:color w:val="000000" w:themeColor="text1"/>
          <w:sz w:val="20"/>
        </w:rPr>
        <w:t>3.2</w:t>
      </w:r>
      <w:r w:rsidR="003A7F62">
        <w:rPr>
          <w:rFonts w:asciiTheme="minorHAnsi" w:hAnsiTheme="minorHAnsi"/>
          <w:b w:val="0"/>
          <w:color w:val="000000" w:themeColor="text1"/>
          <w:sz w:val="20"/>
        </w:rPr>
        <w:fldChar w:fldCharType="end"/>
      </w:r>
      <w:r w:rsidRPr="002A7403">
        <w:rPr>
          <w:rFonts w:asciiTheme="minorHAnsi" w:hAnsiTheme="minorHAnsi"/>
          <w:b w:val="0"/>
          <w:color w:val="000000" w:themeColor="text1"/>
          <w:sz w:val="20"/>
        </w:rPr>
        <w:t>).</w:t>
      </w:r>
    </w:p>
    <w:p w14:paraId="4D2A969E" w14:textId="4FEF86C1" w:rsidR="00F811DA" w:rsidRDefault="002A7403" w:rsidP="00C063DC">
      <w:pPr>
        <w:pStyle w:val="Heading3un-numbered"/>
        <w:numPr>
          <w:ilvl w:val="0"/>
          <w:numId w:val="25"/>
        </w:numPr>
        <w:rPr>
          <w:rFonts w:asciiTheme="minorHAnsi" w:hAnsiTheme="minorHAnsi"/>
          <w:b w:val="0"/>
          <w:color w:val="000000" w:themeColor="text1"/>
          <w:sz w:val="20"/>
        </w:rPr>
      </w:pPr>
      <w:r w:rsidRPr="00F811DA">
        <w:rPr>
          <w:rFonts w:cstheme="majorHAnsi"/>
          <w:color w:val="000000" w:themeColor="text1"/>
          <w:sz w:val="20"/>
        </w:rPr>
        <w:t>Instilling confidence in families/carers.</w:t>
      </w:r>
      <w:r w:rsidR="00F811DA">
        <w:rPr>
          <w:rFonts w:cstheme="majorHAnsi"/>
          <w:bCs/>
          <w:color w:val="000000" w:themeColor="text1"/>
          <w:sz w:val="20"/>
        </w:rPr>
        <w:t xml:space="preserve"> </w:t>
      </w:r>
      <w:r w:rsidRPr="002A7403">
        <w:rPr>
          <w:rFonts w:asciiTheme="minorHAnsi" w:hAnsiTheme="minorHAnsi"/>
          <w:b w:val="0"/>
          <w:color w:val="000000" w:themeColor="text1"/>
          <w:sz w:val="20"/>
        </w:rPr>
        <w:t>The in-reach instils confidence in</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families/carers</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on the specialised tertiary-level</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support provided</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 xml:space="preserve">in the SDCU, despite being in a </w:t>
      </w:r>
      <w:r w:rsidR="002C0889">
        <w:rPr>
          <w:rFonts w:asciiTheme="minorHAnsi" w:hAnsiTheme="minorHAnsi"/>
          <w:b w:val="0"/>
          <w:color w:val="000000" w:themeColor="text1"/>
          <w:sz w:val="20"/>
        </w:rPr>
        <w:t>mainstream RACF.</w:t>
      </w:r>
    </w:p>
    <w:p w14:paraId="7FE1819D" w14:textId="48D5F7D0" w:rsidR="002A7403" w:rsidRPr="002A7403" w:rsidRDefault="002A7403" w:rsidP="00C063DC">
      <w:pPr>
        <w:pStyle w:val="Heading3un-numbered"/>
        <w:numPr>
          <w:ilvl w:val="0"/>
          <w:numId w:val="25"/>
        </w:numPr>
        <w:spacing w:after="240"/>
        <w:ind w:left="357" w:hanging="357"/>
        <w:rPr>
          <w:rFonts w:asciiTheme="minorHAnsi" w:hAnsiTheme="minorHAnsi"/>
          <w:b w:val="0"/>
          <w:color w:val="000000" w:themeColor="text1"/>
          <w:sz w:val="20"/>
        </w:rPr>
      </w:pPr>
      <w:r w:rsidRPr="00F811DA">
        <w:rPr>
          <w:rFonts w:cstheme="majorHAnsi"/>
          <w:color w:val="000000" w:themeColor="text1"/>
          <w:sz w:val="20"/>
        </w:rPr>
        <w:t>Transitions</w:t>
      </w:r>
      <w:r w:rsidR="00011D69">
        <w:rPr>
          <w:rFonts w:cstheme="majorHAnsi"/>
          <w:color w:val="000000" w:themeColor="text1"/>
          <w:sz w:val="20"/>
        </w:rPr>
        <w:t xml:space="preserve"> </w:t>
      </w:r>
      <w:r w:rsidRPr="00F811DA">
        <w:rPr>
          <w:rFonts w:cstheme="majorHAnsi"/>
          <w:color w:val="000000" w:themeColor="text1"/>
          <w:sz w:val="20"/>
        </w:rPr>
        <w:t>out.</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Knowledge of appropriate</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external</w:t>
      </w:r>
      <w:r w:rsidR="00F811DA">
        <w:rPr>
          <w:rFonts w:asciiTheme="minorHAnsi" w:hAnsiTheme="minorHAnsi"/>
          <w:b w:val="0"/>
          <w:color w:val="000000" w:themeColor="text1"/>
          <w:sz w:val="20"/>
        </w:rPr>
        <w:t xml:space="preserve"> </w:t>
      </w:r>
      <w:r w:rsidRPr="002A7403">
        <w:rPr>
          <w:rFonts w:asciiTheme="minorHAnsi" w:hAnsiTheme="minorHAnsi"/>
          <w:b w:val="0"/>
          <w:color w:val="000000" w:themeColor="text1"/>
          <w:sz w:val="20"/>
        </w:rPr>
        <w:t>transfer-out options, and the ability to support appropriate discharge planning early.</w:t>
      </w:r>
    </w:p>
    <w:p w14:paraId="2134081B" w14:textId="4E3D2616" w:rsidR="00C31032" w:rsidRPr="00F811DA" w:rsidRDefault="00C31032" w:rsidP="00F811DA">
      <w:pPr>
        <w:rPr>
          <w:rFonts w:asciiTheme="majorHAnsi" w:hAnsiTheme="majorHAnsi" w:cstheme="majorHAnsi"/>
          <w:b/>
          <w:color w:val="012169"/>
        </w:rPr>
      </w:pPr>
      <w:r w:rsidRPr="002A7403">
        <w:rPr>
          <w:rFonts w:asciiTheme="majorHAnsi" w:hAnsiTheme="majorHAnsi" w:cstheme="majorHAnsi"/>
          <w:b/>
          <w:color w:val="012169"/>
        </w:rPr>
        <w:t xml:space="preserve">Competence and confidence of care staff appears to have improved over the duration of the Program, however many stakeholders highlighted training of care staff in </w:t>
      </w:r>
      <w:r w:rsidR="000135B4">
        <w:rPr>
          <w:rFonts w:asciiTheme="majorHAnsi" w:hAnsiTheme="majorHAnsi" w:cstheme="majorHAnsi"/>
          <w:b/>
          <w:color w:val="012169"/>
        </w:rPr>
        <w:t xml:space="preserve">the </w:t>
      </w:r>
      <w:r w:rsidRPr="002A7403">
        <w:rPr>
          <w:rFonts w:asciiTheme="majorHAnsi" w:hAnsiTheme="majorHAnsi" w:cstheme="majorHAnsi"/>
          <w:b/>
          <w:color w:val="012169"/>
        </w:rPr>
        <w:t xml:space="preserve">management </w:t>
      </w:r>
      <w:r w:rsidR="000135B4">
        <w:rPr>
          <w:rFonts w:asciiTheme="majorHAnsi" w:hAnsiTheme="majorHAnsi" w:cstheme="majorHAnsi"/>
          <w:b/>
          <w:color w:val="012169"/>
        </w:rPr>
        <w:t xml:space="preserve">of </w:t>
      </w:r>
      <w:r w:rsidR="001C3C7A">
        <w:rPr>
          <w:rFonts w:asciiTheme="majorHAnsi" w:hAnsiTheme="majorHAnsi" w:cstheme="majorHAnsi"/>
          <w:b/>
          <w:color w:val="012169"/>
        </w:rPr>
        <w:t xml:space="preserve">moderate to </w:t>
      </w:r>
      <w:r w:rsidR="00CE21B6">
        <w:rPr>
          <w:rFonts w:asciiTheme="majorHAnsi" w:hAnsiTheme="majorHAnsi" w:cstheme="majorHAnsi"/>
          <w:b/>
          <w:color w:val="012169"/>
        </w:rPr>
        <w:t xml:space="preserve">very </w:t>
      </w:r>
      <w:r w:rsidR="001C3C7A">
        <w:rPr>
          <w:rFonts w:asciiTheme="majorHAnsi" w:hAnsiTheme="majorHAnsi" w:cstheme="majorHAnsi"/>
          <w:b/>
          <w:color w:val="012169"/>
        </w:rPr>
        <w:t xml:space="preserve">severe BPSD </w:t>
      </w:r>
      <w:r w:rsidRPr="002A7403">
        <w:rPr>
          <w:rFonts w:asciiTheme="majorHAnsi" w:hAnsiTheme="majorHAnsi" w:cstheme="majorHAnsi"/>
          <w:b/>
          <w:color w:val="012169"/>
        </w:rPr>
        <w:t xml:space="preserve">as an </w:t>
      </w:r>
      <w:r w:rsidR="007B7DC4">
        <w:rPr>
          <w:rFonts w:asciiTheme="majorHAnsi" w:hAnsiTheme="majorHAnsi" w:cstheme="majorHAnsi"/>
          <w:b/>
          <w:color w:val="012169"/>
        </w:rPr>
        <w:t>opportunity</w:t>
      </w:r>
      <w:r w:rsidRPr="002A7403">
        <w:rPr>
          <w:rFonts w:asciiTheme="majorHAnsi" w:hAnsiTheme="majorHAnsi" w:cstheme="majorHAnsi"/>
          <w:b/>
          <w:color w:val="012169"/>
        </w:rPr>
        <w:t xml:space="preserve"> for </w:t>
      </w:r>
      <w:r w:rsidRPr="00F811DA">
        <w:rPr>
          <w:rFonts w:asciiTheme="majorHAnsi" w:hAnsiTheme="majorHAnsi" w:cstheme="majorHAnsi"/>
          <w:b/>
          <w:color w:val="012169"/>
        </w:rPr>
        <w:t>improvement.</w:t>
      </w:r>
    </w:p>
    <w:p w14:paraId="6427B3DF" w14:textId="77777777" w:rsidR="00C31032" w:rsidRPr="00200689" w:rsidRDefault="00C31032" w:rsidP="00C31032">
      <w:pPr>
        <w:spacing w:after="0"/>
        <w:rPr>
          <w:u w:val="single"/>
        </w:rPr>
      </w:pPr>
      <w:r w:rsidRPr="00200689">
        <w:rPr>
          <w:u w:val="single"/>
        </w:rPr>
        <w:t>Care staff competence and confidence</w:t>
      </w:r>
    </w:p>
    <w:p w14:paraId="622C5776" w14:textId="4C31F94E" w:rsidR="00C31032" w:rsidRDefault="00C31032" w:rsidP="00C31032">
      <w:r w:rsidRPr="00F07197">
        <w:t xml:space="preserve">The </w:t>
      </w:r>
      <w:r>
        <w:t>F</w:t>
      </w:r>
      <w:r w:rsidRPr="00F07197">
        <w:t xml:space="preserve">ramework </w:t>
      </w:r>
      <w:r>
        <w:t>states</w:t>
      </w:r>
      <w:r w:rsidRPr="00F07197">
        <w:t xml:space="preserve"> </w:t>
      </w:r>
      <w:r>
        <w:t>“</w:t>
      </w:r>
      <w:r w:rsidRPr="00F07197">
        <w:t>an expectation of higher staffing levels and expertise in dementia and behaviour management staffing</w:t>
      </w:r>
      <w:r>
        <w:t>”</w:t>
      </w:r>
      <w:r w:rsidRPr="00F07197">
        <w:t xml:space="preserve">. </w:t>
      </w:r>
      <w:r>
        <w:t xml:space="preserve">However, previous </w:t>
      </w:r>
      <w:r w:rsidRPr="0092553A">
        <w:rPr>
          <w:rFonts w:asciiTheme="majorHAnsi" w:hAnsiTheme="majorHAnsi" w:cstheme="majorHAnsi"/>
          <w:b/>
        </w:rPr>
        <w:t>Interim Reports (2020 and 2021)</w:t>
      </w:r>
      <w:r>
        <w:t xml:space="preserve"> found that some providers do not offer care staff specialised training outside of what is already offered as part of onboarding staff to their mainstream RACFs. In addition, most care staff did not have experience working with behavioural management </w:t>
      </w:r>
      <w:r w:rsidR="001C3C7A">
        <w:t xml:space="preserve">relating to moderate to </w:t>
      </w:r>
      <w:r w:rsidR="00CE21B6">
        <w:t xml:space="preserve">very </w:t>
      </w:r>
      <w:r w:rsidR="001C3C7A">
        <w:t xml:space="preserve">severe BPSD </w:t>
      </w:r>
      <w:r w:rsidR="00CE21B6">
        <w:t xml:space="preserve">or experience </w:t>
      </w:r>
      <w:r>
        <w:t xml:space="preserve">working with people with </w:t>
      </w:r>
      <w:r w:rsidR="00CE21B6">
        <w:t>v</w:t>
      </w:r>
      <w:r>
        <w:t>ery severe BPSD</w:t>
      </w:r>
      <w:r w:rsidR="00CE21B6">
        <w:t xml:space="preserve"> specifically</w:t>
      </w:r>
      <w:r>
        <w:t xml:space="preserve">. A key takeaway </w:t>
      </w:r>
      <w:r w:rsidR="009E5B39">
        <w:t>related to</w:t>
      </w:r>
      <w:r>
        <w:t xml:space="preserve"> care staff</w:t>
      </w:r>
      <w:r w:rsidR="009E5B39">
        <w:t>’s</w:t>
      </w:r>
      <w:r>
        <w:t xml:space="preserve"> </w:t>
      </w:r>
      <w:r w:rsidR="009E5B39">
        <w:t>lack of confidence</w:t>
      </w:r>
      <w:r>
        <w:t xml:space="preserve"> in their ability to their prevent and manage very severe behaviours and there was a need to strengthen training in this area. </w:t>
      </w:r>
    </w:p>
    <w:p w14:paraId="0F5FD753" w14:textId="7283B7E0" w:rsidR="008B5D2D" w:rsidRPr="00F07197" w:rsidRDefault="00C31032" w:rsidP="00C31032">
      <w:r>
        <w:t xml:space="preserve">Stakeholder consultations as part of the Final Summative Report indicated an uplift in confidence and skill level across the length of the Program, however it remains an area for improvement. </w:t>
      </w:r>
      <w:r w:rsidDel="008F2296">
        <w:t>Again</w:t>
      </w:r>
      <w:r w:rsidR="008F2296">
        <w:t>,</w:t>
      </w:r>
      <w:r>
        <w:t xml:space="preserve"> in this round of consultations, many </w:t>
      </w:r>
      <w:r w:rsidR="00ED3356">
        <w:t>in-reach clin</w:t>
      </w:r>
      <w:r w:rsidR="003D7A08">
        <w:t>icians</w:t>
      </w:r>
      <w:r w:rsidRPr="00F07197">
        <w:t xml:space="preserve"> </w:t>
      </w:r>
      <w:r>
        <w:t>felt care staff</w:t>
      </w:r>
      <w:r w:rsidRPr="00F07197">
        <w:t xml:space="preserve"> </w:t>
      </w:r>
      <w:r>
        <w:t>were</w:t>
      </w:r>
      <w:r w:rsidRPr="00F07197">
        <w:t xml:space="preserve"> excellent in providing a high standard of basic personal care</w:t>
      </w:r>
      <w:r>
        <w:t>,</w:t>
      </w:r>
      <w:r w:rsidRPr="00F07197">
        <w:t xml:space="preserve"> </w:t>
      </w:r>
      <w:r>
        <w:t xml:space="preserve">however they generally did not have the </w:t>
      </w:r>
      <w:r w:rsidRPr="00F07197">
        <w:t>specialist expertise to recognise triggers, pre-emptively manage</w:t>
      </w:r>
      <w:r>
        <w:t xml:space="preserve"> behaviours of concern,</w:t>
      </w:r>
      <w:r w:rsidRPr="00F07197">
        <w:t xml:space="preserve"> </w:t>
      </w:r>
      <w:r>
        <w:t>or</w:t>
      </w:r>
      <w:r w:rsidRPr="00F07197">
        <w:t xml:space="preserve"> respond to behaviour</w:t>
      </w:r>
      <w:r>
        <w:t>al incidents</w:t>
      </w:r>
      <w:r w:rsidRPr="00F07197">
        <w:t>.</w:t>
      </w:r>
      <w:r>
        <w:t xml:space="preserve"> Some stakeholders felt that low confidence with </w:t>
      </w:r>
      <w:r w:rsidR="00CA4A58">
        <w:t>very severe BPSD</w:t>
      </w:r>
      <w:r>
        <w:t xml:space="preserve"> behavioural management among care staff </w:t>
      </w:r>
      <w:r w:rsidR="009E5B39">
        <w:t>can lead to</w:t>
      </w:r>
      <w:r>
        <w:t xml:space="preserve"> personal safety concerns, which has contributed to high rates of care staff attrition</w:t>
      </w:r>
      <w:r w:rsidR="00326167">
        <w:t>.</w:t>
      </w:r>
    </w:p>
    <w:p w14:paraId="7C7B9880" w14:textId="2F221B45" w:rsidR="00945876" w:rsidRDefault="00472B7D" w:rsidP="00945876">
      <w:pPr>
        <w:pStyle w:val="ListBullet"/>
        <w:numPr>
          <w:ilvl w:val="0"/>
          <w:numId w:val="0"/>
        </w:numPr>
        <w:ind w:left="284" w:hanging="284"/>
        <w:rPr>
          <w:rFonts w:cs="Verdana"/>
          <w:i/>
          <w:color w:val="007CB0" w:themeColor="accent6"/>
          <w:szCs w:val="18"/>
        </w:rPr>
      </w:pPr>
      <w:r w:rsidRPr="00472B7D">
        <w:rPr>
          <w:noProof/>
        </w:rPr>
        <w:drawing>
          <wp:inline distT="0" distB="0" distL="0" distR="0" wp14:anchorId="0F76341E" wp14:editId="1710F1BE">
            <wp:extent cx="6319520" cy="747395"/>
            <wp:effectExtent l="0" t="0" r="5080" b="0"/>
            <wp:docPr id="16" name="Picture 16" descr="This image is a quote from unit leadership. It says: “We have found that the staff do have a need to be upskilled in particular areas for particular residents’ needs. The cookie cutter approach they have been taught in training is not necessarily going to work for that person even though it seems to be a cookie cutter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is a quote from unit leadership. It says: “We have found that the staff do have a need to be upskilled in particular areas for particular residents’ needs. The cookie cutter approach they have been taught in training is not necessarily going to work for that person even though it seems to be a cookie cutter proble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19520" cy="747395"/>
                    </a:xfrm>
                    <a:prstGeom prst="rect">
                      <a:avLst/>
                    </a:prstGeom>
                    <a:noFill/>
                    <a:ln>
                      <a:noFill/>
                    </a:ln>
                  </pic:spPr>
                </pic:pic>
              </a:graphicData>
            </a:graphic>
          </wp:inline>
        </w:drawing>
      </w:r>
    </w:p>
    <w:p w14:paraId="74A557DE" w14:textId="77777777" w:rsidR="00C31032" w:rsidRPr="00F07197" w:rsidRDefault="00C31032" w:rsidP="00C31032">
      <w:pPr>
        <w:pStyle w:val="ListParagraph"/>
        <w:ind w:left="0"/>
      </w:pPr>
    </w:p>
    <w:p w14:paraId="43FFA3B1" w14:textId="77777777" w:rsidR="006B210E" w:rsidRDefault="006B210E" w:rsidP="00C31032">
      <w:pPr>
        <w:pStyle w:val="ListParagraph"/>
        <w:ind w:left="0"/>
        <w:rPr>
          <w:u w:val="single"/>
        </w:rPr>
      </w:pPr>
    </w:p>
    <w:p w14:paraId="0628C854" w14:textId="56E5ABE0" w:rsidR="00C31032" w:rsidRDefault="00C31032" w:rsidP="00C31032">
      <w:pPr>
        <w:pStyle w:val="ListParagraph"/>
        <w:ind w:left="0"/>
        <w:rPr>
          <w:u w:val="single"/>
        </w:rPr>
      </w:pPr>
      <w:r>
        <w:rPr>
          <w:u w:val="single"/>
        </w:rPr>
        <w:t>The importance of informal capacity building</w:t>
      </w:r>
    </w:p>
    <w:p w14:paraId="6599E88C" w14:textId="0C8A1703" w:rsidR="00C31032" w:rsidRDefault="00C31032" w:rsidP="00C31032">
      <w:pPr>
        <w:pStyle w:val="ListParagraph"/>
        <w:ind w:left="0"/>
        <w:contextualSpacing w:val="0"/>
      </w:pPr>
      <w:r>
        <w:t>A handful of SDCUs reported high levels of care staff confidence and competence in management</w:t>
      </w:r>
      <w:r w:rsidR="00CA4A58">
        <w:t xml:space="preserve"> of very severe BPSD</w:t>
      </w:r>
      <w:r>
        <w:t xml:space="preserve">, which was validated by in-reach clinicians and DSA representatives. Effective methods for upskilling staff at these SDCUs mostly related to informal capacity building and on-the-ground mentoring. Approaches </w:t>
      </w:r>
      <w:r w:rsidR="00186B48">
        <w:t>found to be effective</w:t>
      </w:r>
      <w:r>
        <w:t xml:space="preserve"> included:</w:t>
      </w:r>
    </w:p>
    <w:p w14:paraId="5C7B3F3D" w14:textId="38B66E9D" w:rsidR="00C31032" w:rsidRDefault="00C31032" w:rsidP="00C063DC">
      <w:pPr>
        <w:pStyle w:val="ListParagraph"/>
        <w:numPr>
          <w:ilvl w:val="0"/>
          <w:numId w:val="17"/>
        </w:numPr>
        <w:spacing w:after="170"/>
        <w:ind w:left="357" w:hanging="357"/>
        <w:contextualSpacing w:val="0"/>
        <w:rPr>
          <w:b/>
          <w:bCs/>
        </w:rPr>
      </w:pPr>
      <w:r w:rsidRPr="00C31EAB">
        <w:rPr>
          <w:rFonts w:asciiTheme="majorHAnsi" w:hAnsiTheme="majorHAnsi" w:cstheme="majorHAnsi"/>
          <w:b/>
        </w:rPr>
        <w:t>Routine processes for debriefing with care staff.</w:t>
      </w:r>
      <w:r>
        <w:rPr>
          <w:b/>
          <w:bCs/>
        </w:rPr>
        <w:t xml:space="preserve"> </w:t>
      </w:r>
      <w:r>
        <w:t>S</w:t>
      </w:r>
      <w:r w:rsidR="005A7462">
        <w:t>urvey respondents and s</w:t>
      </w:r>
      <w:r>
        <w:t xml:space="preserve">takeholders at some SDCUs reported embedding debrief opportunities into regular team processes (e.g., post incident or as part of CRTs) to enable care staff to learn through reflective </w:t>
      </w:r>
      <w:r w:rsidR="005C0D46">
        <w:t xml:space="preserve">practice </w:t>
      </w:r>
      <w:r>
        <w:t xml:space="preserve">and real-life </w:t>
      </w:r>
      <w:r w:rsidR="005C0D46">
        <w:t>case-based discussions</w:t>
      </w:r>
      <w:r>
        <w:t xml:space="preserve">. </w:t>
      </w:r>
    </w:p>
    <w:p w14:paraId="7F35F514" w14:textId="77777777" w:rsidR="00C31032" w:rsidRPr="001F07D3" w:rsidRDefault="00C31032" w:rsidP="00C063DC">
      <w:pPr>
        <w:pStyle w:val="ListParagraph"/>
        <w:numPr>
          <w:ilvl w:val="0"/>
          <w:numId w:val="17"/>
        </w:numPr>
        <w:spacing w:after="170"/>
        <w:ind w:left="357" w:hanging="357"/>
        <w:contextualSpacing w:val="0"/>
      </w:pPr>
      <w:r w:rsidRPr="00C31EAB">
        <w:rPr>
          <w:rFonts w:asciiTheme="majorHAnsi" w:hAnsiTheme="majorHAnsi" w:cstheme="majorHAnsi"/>
          <w:b/>
        </w:rPr>
        <w:t>Employing a dedicated nurse educator role.</w:t>
      </w:r>
      <w:r>
        <w:rPr>
          <w:b/>
          <w:bCs/>
        </w:rPr>
        <w:t xml:space="preserve"> </w:t>
      </w:r>
      <w:r>
        <w:t xml:space="preserve">Clinical in-reach stakeholders at these SDCUs observed the role has helped facilitate more proactive, timely and coordinated care. </w:t>
      </w:r>
    </w:p>
    <w:p w14:paraId="5407EC03" w14:textId="6E0400E7" w:rsidR="00C31032" w:rsidRPr="00DD56A8" w:rsidRDefault="00C31032" w:rsidP="00C063DC">
      <w:pPr>
        <w:pStyle w:val="ListParagraph"/>
        <w:numPr>
          <w:ilvl w:val="0"/>
          <w:numId w:val="17"/>
        </w:numPr>
        <w:spacing w:after="170"/>
        <w:ind w:left="357" w:hanging="357"/>
        <w:contextualSpacing w:val="0"/>
        <w:rPr>
          <w:b/>
        </w:rPr>
      </w:pPr>
      <w:r w:rsidRPr="00C31EAB">
        <w:rPr>
          <w:rFonts w:asciiTheme="majorHAnsi" w:hAnsiTheme="majorHAnsi" w:cstheme="majorHAnsi"/>
          <w:b/>
        </w:rPr>
        <w:t>Using the CNC in an educator capacity.</w:t>
      </w:r>
      <w:r>
        <w:t xml:space="preserve"> Several sites highlighted the important role of the in-reach CNC in the provision of ad-hoc advice to nursing staff on best-practice behavioural management techniques. </w:t>
      </w:r>
      <w:r w:rsidR="0063470D">
        <w:t xml:space="preserve">Stakeholders at one site also noted the CNC provides valuable support in identifying and coordinating additional </w:t>
      </w:r>
      <w:r w:rsidR="00A55092">
        <w:t>training</w:t>
      </w:r>
      <w:r w:rsidR="0063470D">
        <w:t xml:space="preserve"> opportunities. </w:t>
      </w:r>
      <w:r>
        <w:t>However, there appeared to be variation in the extent to which this occurred across SDCUs, with some CNCs perceiving their role to be more clinical than educational. Clarity in MoUs on the educator function of the CNC may help mitigate this challenge.</w:t>
      </w:r>
    </w:p>
    <w:p w14:paraId="15C64A5F" w14:textId="648D3B27" w:rsidR="00C31032" w:rsidRDefault="00FB0312" w:rsidP="00FB0312">
      <w:pPr>
        <w:pStyle w:val="ListNumber"/>
        <w:numPr>
          <w:ilvl w:val="0"/>
          <w:numId w:val="0"/>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ind w:left="360" w:hanging="360"/>
        <w:rPr>
          <w:color w:val="007CB0" w:themeColor="accent6"/>
          <w:szCs w:val="18"/>
        </w:rPr>
      </w:pPr>
      <w:r w:rsidRPr="00FB0312">
        <w:rPr>
          <w:noProof/>
        </w:rPr>
        <w:drawing>
          <wp:inline distT="0" distB="0" distL="0" distR="0" wp14:anchorId="5C222A32" wp14:editId="0A0F48F4">
            <wp:extent cx="6319520" cy="583565"/>
            <wp:effectExtent l="0" t="0" r="5080" b="6985"/>
            <wp:docPr id="17" name="Picture 17" descr="This image is a quote from clinical in-reach. It says “Where they succeeded was the hands-on leadership on the ground; the modelling, mentoring, and I guess [encouraging] the confidence to give it a go and see what would happen for the best outcome of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is a quote from clinical in-reach. It says “Where they succeeded was the hands-on leadership on the ground; the modelling, mentoring, and I guess [encouraging] the confidence to give it a go and see what would happen for the best outcome of the cli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19520" cy="583565"/>
                    </a:xfrm>
                    <a:prstGeom prst="rect">
                      <a:avLst/>
                    </a:prstGeom>
                    <a:noFill/>
                    <a:ln>
                      <a:noFill/>
                    </a:ln>
                  </pic:spPr>
                </pic:pic>
              </a:graphicData>
            </a:graphic>
          </wp:inline>
        </w:drawing>
      </w:r>
    </w:p>
    <w:p w14:paraId="755EC9EF" w14:textId="77777777" w:rsidR="00675131" w:rsidRDefault="00675131" w:rsidP="00C31032">
      <w:pPr>
        <w:spacing w:after="0"/>
        <w:rPr>
          <w:u w:val="single"/>
        </w:rPr>
      </w:pPr>
    </w:p>
    <w:p w14:paraId="731FED55" w14:textId="505F5C25" w:rsidR="00C31032" w:rsidRPr="00385B35" w:rsidRDefault="00C31032" w:rsidP="00C31032">
      <w:pPr>
        <w:spacing w:after="0"/>
        <w:rPr>
          <w:u w:val="single"/>
        </w:rPr>
      </w:pPr>
      <w:r w:rsidRPr="00385B35">
        <w:rPr>
          <w:u w:val="single"/>
        </w:rPr>
        <w:t>Formalised training</w:t>
      </w:r>
    </w:p>
    <w:p w14:paraId="0BF6CB6C" w14:textId="5B67E306" w:rsidR="00395573" w:rsidRDefault="00C31032" w:rsidP="00395573">
      <w:pPr>
        <w:spacing w:after="170"/>
      </w:pPr>
      <w:r>
        <w:t>Most SDCUs have implemented some form of formalis</w:t>
      </w:r>
      <w:r w:rsidR="00A60D59">
        <w:t>ed</w:t>
      </w:r>
      <w:r>
        <w:t xml:space="preserve"> training in </w:t>
      </w:r>
      <w:r w:rsidR="00CA4A58">
        <w:t xml:space="preserve">the management of very severe BPSD </w:t>
      </w:r>
      <w:r>
        <w:t>since the delivery of the Interim Reports. This was generally delivered on a one-off basis by the CNC or by DSA</w:t>
      </w:r>
      <w:r w:rsidR="004D2641">
        <w:t xml:space="preserve"> representatives</w:t>
      </w:r>
      <w:r>
        <w:t xml:space="preserve"> using a workshop style format. However, some stakeholders raised concerns about variation in the quality and frequency of formal training across SDCUs and the duplication of effort. </w:t>
      </w:r>
      <w:r w:rsidR="00395573">
        <w:t xml:space="preserve">In addition, due to staff turnover and varied frequency of training delivery, several stakeholders reported some care staff have receiving limited to no formal specialised training outside of what is offered in providers’ mainstream onboarding process. Through consultations and survey responses, stakeholders reported a desire for further formal training for Program staff </w:t>
      </w:r>
      <w:r w:rsidR="005C14E2">
        <w:t xml:space="preserve">in </w:t>
      </w:r>
      <w:r w:rsidR="005C618B">
        <w:t>the following areas</w:t>
      </w:r>
      <w:r w:rsidR="00395573">
        <w:t>:</w:t>
      </w:r>
    </w:p>
    <w:p w14:paraId="15E69952" w14:textId="77777777" w:rsidR="00395573" w:rsidRPr="00FD2E3E" w:rsidRDefault="00395573" w:rsidP="00C063DC">
      <w:pPr>
        <w:pStyle w:val="ListParagraph"/>
        <w:numPr>
          <w:ilvl w:val="0"/>
          <w:numId w:val="21"/>
        </w:numPr>
        <w:rPr>
          <w:rFonts w:eastAsia="Times New Roman" w:cstheme="minorHAnsi"/>
          <w:color w:val="000000"/>
          <w:szCs w:val="20"/>
          <w:lang w:val="en-AU" w:eastAsia="en-AU"/>
        </w:rPr>
      </w:pPr>
      <w:r w:rsidRPr="00FD2E3E">
        <w:rPr>
          <w:rFonts w:eastAsia="Times New Roman" w:cstheme="minorHAnsi"/>
          <w:color w:val="000000"/>
          <w:szCs w:val="20"/>
          <w:lang w:val="en-AU" w:eastAsia="en-AU"/>
        </w:rPr>
        <w:t xml:space="preserve">risk management and escalation processes </w:t>
      </w:r>
    </w:p>
    <w:p w14:paraId="4A94A346" w14:textId="77777777" w:rsidR="00395573" w:rsidRPr="00FD2E3E" w:rsidRDefault="00395573" w:rsidP="00C063DC">
      <w:pPr>
        <w:pStyle w:val="ListParagraph"/>
        <w:numPr>
          <w:ilvl w:val="0"/>
          <w:numId w:val="21"/>
        </w:numPr>
        <w:rPr>
          <w:rFonts w:eastAsia="Times New Roman" w:cstheme="minorHAnsi"/>
          <w:color w:val="000000"/>
          <w:szCs w:val="20"/>
          <w:lang w:val="en-AU" w:eastAsia="en-AU"/>
        </w:rPr>
      </w:pPr>
      <w:r>
        <w:rPr>
          <w:rFonts w:eastAsia="Times New Roman" w:cstheme="minorHAnsi"/>
          <w:color w:val="000000"/>
          <w:szCs w:val="20"/>
          <w:lang w:val="en-AU" w:eastAsia="en-AU"/>
        </w:rPr>
        <w:t xml:space="preserve">delivery of </w:t>
      </w:r>
      <w:r w:rsidRPr="00FD2E3E">
        <w:rPr>
          <w:rFonts w:eastAsia="Times New Roman" w:cstheme="minorHAnsi"/>
          <w:color w:val="000000"/>
          <w:szCs w:val="20"/>
          <w:lang w:val="en-AU" w:eastAsia="en-AU"/>
        </w:rPr>
        <w:t xml:space="preserve">person-centred care </w:t>
      </w:r>
    </w:p>
    <w:p w14:paraId="43488F05" w14:textId="6F29C8D0" w:rsidR="00395573" w:rsidRDefault="00395573" w:rsidP="00C063DC">
      <w:pPr>
        <w:pStyle w:val="ListParagraph"/>
        <w:numPr>
          <w:ilvl w:val="0"/>
          <w:numId w:val="21"/>
        </w:numPr>
        <w:rPr>
          <w:rFonts w:eastAsia="Times New Roman" w:cstheme="minorHAnsi"/>
          <w:color w:val="000000"/>
          <w:szCs w:val="20"/>
          <w:lang w:val="en-AU" w:eastAsia="en-AU"/>
        </w:rPr>
      </w:pPr>
      <w:r w:rsidRPr="00FD2E3E">
        <w:rPr>
          <w:rFonts w:eastAsia="Times New Roman" w:cstheme="minorHAnsi"/>
          <w:color w:val="000000"/>
          <w:szCs w:val="20"/>
          <w:lang w:val="en-AU" w:eastAsia="en-AU"/>
        </w:rPr>
        <w:t xml:space="preserve">the </w:t>
      </w:r>
      <w:r w:rsidR="005A6759">
        <w:rPr>
          <w:rFonts w:eastAsia="Times New Roman" w:cstheme="minorHAnsi"/>
          <w:color w:val="000000"/>
          <w:szCs w:val="20"/>
          <w:lang w:val="en-AU" w:eastAsia="en-AU"/>
        </w:rPr>
        <w:t>non-pharmacological and pharmacological</w:t>
      </w:r>
      <w:r w:rsidR="00CA4A58">
        <w:rPr>
          <w:rFonts w:eastAsia="Times New Roman" w:cstheme="minorHAnsi"/>
          <w:color w:val="000000"/>
          <w:szCs w:val="20"/>
          <w:lang w:val="en-AU" w:eastAsia="en-AU"/>
        </w:rPr>
        <w:t xml:space="preserve"> strategies to </w:t>
      </w:r>
      <w:r w:rsidR="00CA4A58">
        <w:t xml:space="preserve">manage very severe BPSD </w:t>
      </w:r>
    </w:p>
    <w:p w14:paraId="7333EF0D" w14:textId="654019DA" w:rsidR="005D0250" w:rsidRPr="00FD2E3E" w:rsidRDefault="005D0250" w:rsidP="00C063DC">
      <w:pPr>
        <w:pStyle w:val="ListParagraph"/>
        <w:numPr>
          <w:ilvl w:val="0"/>
          <w:numId w:val="21"/>
        </w:numPr>
        <w:rPr>
          <w:rFonts w:eastAsia="Times New Roman" w:cstheme="minorHAnsi"/>
          <w:color w:val="000000"/>
          <w:szCs w:val="20"/>
          <w:lang w:val="en-AU" w:eastAsia="en-AU"/>
        </w:rPr>
      </w:pPr>
      <w:r>
        <w:rPr>
          <w:rFonts w:eastAsia="Times New Roman" w:cstheme="minorHAnsi"/>
          <w:color w:val="000000"/>
          <w:szCs w:val="20"/>
          <w:lang w:val="en-AU" w:eastAsia="en-AU"/>
        </w:rPr>
        <w:t>clinical care</w:t>
      </w:r>
      <w:r w:rsidR="000A46F2">
        <w:rPr>
          <w:rFonts w:eastAsia="Times New Roman" w:cstheme="minorHAnsi"/>
          <w:color w:val="000000"/>
          <w:szCs w:val="20"/>
          <w:lang w:val="en-AU" w:eastAsia="en-AU"/>
        </w:rPr>
        <w:t xml:space="preserve">, </w:t>
      </w:r>
      <w:r>
        <w:rPr>
          <w:rFonts w:eastAsia="Times New Roman" w:cstheme="minorHAnsi"/>
          <w:color w:val="000000"/>
          <w:szCs w:val="20"/>
          <w:lang w:val="en-AU" w:eastAsia="en-AU"/>
        </w:rPr>
        <w:t xml:space="preserve">assessment </w:t>
      </w:r>
      <w:r w:rsidR="000A46F2">
        <w:rPr>
          <w:rFonts w:eastAsia="Times New Roman" w:cstheme="minorHAnsi"/>
          <w:color w:val="000000"/>
          <w:szCs w:val="20"/>
          <w:lang w:val="en-AU" w:eastAsia="en-AU"/>
        </w:rPr>
        <w:t xml:space="preserve">and documentation </w:t>
      </w:r>
      <w:r>
        <w:rPr>
          <w:rFonts w:eastAsia="Times New Roman" w:cstheme="minorHAnsi"/>
          <w:color w:val="000000"/>
          <w:szCs w:val="20"/>
          <w:lang w:val="en-AU" w:eastAsia="en-AU"/>
        </w:rPr>
        <w:t>(e.g. pain assessment and management</w:t>
      </w:r>
      <w:r w:rsidR="001A1FA6">
        <w:rPr>
          <w:rFonts w:eastAsia="Times New Roman" w:cstheme="minorHAnsi"/>
          <w:color w:val="000000"/>
          <w:szCs w:val="20"/>
          <w:lang w:val="en-AU" w:eastAsia="en-AU"/>
        </w:rPr>
        <w:t>, clinical handover and information-sharing</w:t>
      </w:r>
      <w:r>
        <w:rPr>
          <w:rFonts w:eastAsia="Times New Roman" w:cstheme="minorHAnsi"/>
          <w:color w:val="000000"/>
          <w:szCs w:val="20"/>
          <w:lang w:val="en-AU" w:eastAsia="en-AU"/>
        </w:rPr>
        <w:t>)</w:t>
      </w:r>
    </w:p>
    <w:p w14:paraId="51A37D72" w14:textId="77777777" w:rsidR="00395573" w:rsidRPr="005D0250" w:rsidRDefault="00395573" w:rsidP="00C063DC">
      <w:pPr>
        <w:pStyle w:val="ListParagraph"/>
        <w:numPr>
          <w:ilvl w:val="0"/>
          <w:numId w:val="21"/>
        </w:numPr>
        <w:rPr>
          <w:rFonts w:cstheme="minorHAnsi"/>
          <w:sz w:val="22"/>
          <w:szCs w:val="24"/>
        </w:rPr>
      </w:pPr>
      <w:r w:rsidRPr="00FD2E3E">
        <w:rPr>
          <w:rFonts w:eastAsia="Times New Roman" w:cstheme="minorHAnsi"/>
          <w:color w:val="000000"/>
          <w:szCs w:val="20"/>
          <w:lang w:val="en-AU" w:eastAsia="en-AU"/>
        </w:rPr>
        <w:t>emotional and empathetic care</w:t>
      </w:r>
      <w:r>
        <w:rPr>
          <w:rFonts w:eastAsia="Times New Roman" w:cstheme="minorHAnsi"/>
          <w:color w:val="000000"/>
          <w:szCs w:val="20"/>
          <w:lang w:val="en-AU" w:eastAsia="en-AU"/>
        </w:rPr>
        <w:t>.</w:t>
      </w:r>
    </w:p>
    <w:p w14:paraId="5781F6EE" w14:textId="77F16FAB" w:rsidR="00326167" w:rsidRDefault="00C31032" w:rsidP="00C31032">
      <w:r>
        <w:t>It was suggested that the SDCP Framework could be clearer in setting expectations on training standards and processes. In addition, the Department should consider centralising training in behavioural management and offering it a national level.</w:t>
      </w:r>
    </w:p>
    <w:p w14:paraId="0F002FB0" w14:textId="77777777" w:rsidR="00C31032" w:rsidRDefault="00C31032" w:rsidP="00C31032">
      <w:pPr>
        <w:spacing w:after="0"/>
        <w:rPr>
          <w:u w:val="single"/>
        </w:rPr>
      </w:pPr>
      <w:r>
        <w:rPr>
          <w:u w:val="single"/>
        </w:rPr>
        <w:t>Care s</w:t>
      </w:r>
      <w:r w:rsidRPr="008C384E">
        <w:rPr>
          <w:u w:val="single"/>
        </w:rPr>
        <w:t>taff recruitment and retention</w:t>
      </w:r>
    </w:p>
    <w:p w14:paraId="1532376D" w14:textId="634B7150" w:rsidR="00C31032" w:rsidRDefault="00C31032" w:rsidP="00C31032">
      <w:pPr>
        <w:spacing w:after="0"/>
      </w:pPr>
      <w:r>
        <w:t xml:space="preserve">As highlighted by the learnings listed above, effective methods for upskilling staff takes time, as staff ‘learn from doing’ which increases with time in role. </w:t>
      </w:r>
      <w:r w:rsidRPr="00711584">
        <w:t>Many of the challenges associated with care staff competence and confidence</w:t>
      </w:r>
      <w:r>
        <w:t xml:space="preserve"> are thus compounded by high attrition rates. Attrition rates are attributable to the perceived risk-pay trade off </w:t>
      </w:r>
      <w:r w:rsidR="00F041E1">
        <w:t xml:space="preserve">related to </w:t>
      </w:r>
      <w:r>
        <w:t xml:space="preserve">working in an SDCU compared to a mainstream RACF and the more general workforce shortages across the broader aged care sector. </w:t>
      </w:r>
    </w:p>
    <w:p w14:paraId="428504D3" w14:textId="77777777" w:rsidR="00C31032" w:rsidRDefault="00C31032" w:rsidP="00C31032">
      <w:pPr>
        <w:spacing w:after="0"/>
      </w:pPr>
    </w:p>
    <w:p w14:paraId="0416DD49" w14:textId="6047035F" w:rsidR="00C31032" w:rsidRDefault="00C31032" w:rsidP="00C31032">
      <w:pPr>
        <w:spacing w:after="0"/>
      </w:pPr>
      <w:r>
        <w:t xml:space="preserve">Some SDCUs noted that to address recruitment challenges they will rotate care staff through their co-located mainstream RACF and the SDCU. However, they acknowledged this was not the ideal solution, with many stakeholders commenting on the importance of recruiting the right care staff for the </w:t>
      </w:r>
      <w:r w:rsidR="005468B7">
        <w:t>Program</w:t>
      </w:r>
      <w:r>
        <w:t xml:space="preserve">. It was noted that SDCU care staff should be individuals who find working with people living with </w:t>
      </w:r>
      <w:r w:rsidR="004967BB">
        <w:t xml:space="preserve">very severe BPSD </w:t>
      </w:r>
      <w:r>
        <w:t>rewarding and be able to maintain empathetic support in cases of agitative behaviours. This was generally cited as more important than formal qualifications. In support of this finding, there is evidence in the aged care literature to show that satisfaction in role is highly correlated with provision of person-</w:t>
      </w:r>
      <w:r w:rsidR="00B10420">
        <w:t>centered</w:t>
      </w:r>
      <w:r>
        <w:t xml:space="preserve"> care.</w:t>
      </w:r>
    </w:p>
    <w:p w14:paraId="514F8BC5" w14:textId="77777777" w:rsidR="00241E54" w:rsidRDefault="00241E54" w:rsidP="00C31032">
      <w:pPr>
        <w:spacing w:after="0"/>
      </w:pPr>
    </w:p>
    <w:p w14:paraId="09B8B10E" w14:textId="1916DD5F" w:rsidR="00C31032" w:rsidRPr="00C31032" w:rsidRDefault="00C31032" w:rsidP="00B10420">
      <w:pPr>
        <w:rPr>
          <w:rFonts w:cstheme="minorHAnsi"/>
          <w:color w:val="012169"/>
          <w:szCs w:val="18"/>
        </w:rPr>
      </w:pPr>
      <w:r w:rsidRPr="00B10420">
        <w:rPr>
          <w:rFonts w:asciiTheme="majorHAnsi" w:hAnsiTheme="majorHAnsi" w:cstheme="majorHAnsi"/>
          <w:b/>
          <w:color w:val="012169"/>
        </w:rPr>
        <w:t>Overall, stakeholders felt SDCUs provided person-</w:t>
      </w:r>
      <w:r w:rsidR="00B9749A" w:rsidRPr="00B10420">
        <w:rPr>
          <w:rFonts w:asciiTheme="majorHAnsi" w:hAnsiTheme="majorHAnsi" w:cstheme="majorHAnsi"/>
          <w:b/>
          <w:bCs/>
          <w:color w:val="012169"/>
        </w:rPr>
        <w:t>centered</w:t>
      </w:r>
      <w:r w:rsidRPr="00B10420">
        <w:rPr>
          <w:rFonts w:asciiTheme="majorHAnsi" w:hAnsiTheme="majorHAnsi" w:cstheme="majorHAnsi"/>
          <w:b/>
          <w:color w:val="012169"/>
        </w:rPr>
        <w:t xml:space="preserve"> care, tailored to individualised</w:t>
      </w:r>
      <w:r w:rsidRPr="00C31032">
        <w:rPr>
          <w:rFonts w:cstheme="minorHAnsi"/>
          <w:color w:val="012169"/>
          <w:szCs w:val="18"/>
        </w:rPr>
        <w:t xml:space="preserve"> </w:t>
      </w:r>
      <w:r w:rsidRPr="0042708B">
        <w:rPr>
          <w:rFonts w:asciiTheme="majorHAnsi" w:hAnsiTheme="majorHAnsi" w:cstheme="majorHAnsi"/>
          <w:b/>
          <w:color w:val="012169"/>
        </w:rPr>
        <w:t>needs and preferences. However, there are opportunities for improvement at some SDCUs.</w:t>
      </w:r>
    </w:p>
    <w:p w14:paraId="2B5E134D" w14:textId="77777777" w:rsidR="00C31032" w:rsidRPr="00773499" w:rsidRDefault="00C31032" w:rsidP="00C31032">
      <w:pPr>
        <w:spacing w:after="0"/>
        <w:rPr>
          <w:u w:val="single"/>
        </w:rPr>
      </w:pPr>
      <w:r w:rsidRPr="00773499">
        <w:rPr>
          <w:u w:val="single"/>
        </w:rPr>
        <w:t>Delivery of personalised care</w:t>
      </w:r>
    </w:p>
    <w:p w14:paraId="53172B7E" w14:textId="56E4E9A7" w:rsidR="00C31032" w:rsidRDefault="00C31032" w:rsidP="00C3103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pPr>
      <w:r>
        <w:t>The Framework states that SDCUs must adopt “an inclusive, person-</w:t>
      </w:r>
      <w:r w:rsidR="00B10420">
        <w:t>centered</w:t>
      </w:r>
      <w:r>
        <w:t xml:space="preserve"> and goal-oriented philosophy and approach to care that builds on the strengths and capacity of individuals”. There was broad agreement across stakeholders consulted that SDCUs a deliver a more person-</w:t>
      </w:r>
      <w:r w:rsidR="00B10420">
        <w:t>centered</w:t>
      </w:r>
      <w:r>
        <w:t xml:space="preserve"> approach to care relative to mainstream RACFs. This was largely attributed to the staffing ratios which allow care staff to spend more one-on-one time with each resident. Anecdotal examples of individualised care included:</w:t>
      </w:r>
    </w:p>
    <w:p w14:paraId="3AEC554B" w14:textId="07E0CBB3" w:rsidR="00C31032" w:rsidRDefault="00C31032" w:rsidP="00C31032">
      <w:pPr>
        <w:pStyle w:val="ListBullet"/>
        <w:ind w:left="340" w:hanging="340"/>
      </w:pPr>
      <w:r>
        <w:t xml:space="preserve">placing </w:t>
      </w:r>
      <w:r w:rsidR="00120E26">
        <w:t xml:space="preserve">favourite objects </w:t>
      </w:r>
      <w:r>
        <w:t>in each resident’s room</w:t>
      </w:r>
      <w:r w:rsidR="00120E26">
        <w:t xml:space="preserve"> (e.g.,</w:t>
      </w:r>
      <w:r>
        <w:t xml:space="preserve"> photographs and preferred crafts, music playlists, television shows and movies</w:t>
      </w:r>
      <w:r w:rsidR="00120E26">
        <w:t>)</w:t>
      </w:r>
    </w:p>
    <w:p w14:paraId="1790F3E4" w14:textId="77777777" w:rsidR="00C31032" w:rsidRDefault="00C31032" w:rsidP="00C31032">
      <w:pPr>
        <w:pStyle w:val="ListBullet"/>
        <w:ind w:left="340" w:hanging="340"/>
        <w:contextualSpacing w:val="0"/>
      </w:pPr>
      <w:r>
        <w:t>using residents’ interest areas to better engage in conversation about those topics (e.g., history, travel, sport)</w:t>
      </w:r>
    </w:p>
    <w:p w14:paraId="2EE93CE8" w14:textId="5E5ED8B7" w:rsidR="00C31032" w:rsidRDefault="00C31032" w:rsidP="00C31032">
      <w:pPr>
        <w:pStyle w:val="ListBullet"/>
        <w:spacing w:after="170"/>
        <w:ind w:left="340" w:hanging="340"/>
        <w:contextualSpacing w:val="0"/>
      </w:pPr>
      <w:r>
        <w:t>placing a list of five ‘likes’ next to a resident’s bed, which care staff care use as behavioural management strategies (e.g., bring a cup of tea, turn on jazz music, take outside for lunch)</w:t>
      </w:r>
      <w:r w:rsidR="00E95932">
        <w:t>.</w:t>
      </w:r>
    </w:p>
    <w:p w14:paraId="2AF57D85" w14:textId="06DE9692" w:rsidR="00C31032" w:rsidRDefault="005D4F5E" w:rsidP="00C31032">
      <w:r w:rsidRPr="005D4F5E">
        <w:t xml:space="preserve"> </w:t>
      </w:r>
      <w:r w:rsidR="00882A71" w:rsidRPr="00882A71">
        <w:rPr>
          <w:noProof/>
        </w:rPr>
        <w:drawing>
          <wp:inline distT="0" distB="0" distL="0" distR="0" wp14:anchorId="6DFBF95F" wp14:editId="21BFE65E">
            <wp:extent cx="6319520" cy="1075055"/>
            <wp:effectExtent l="0" t="0" r="5080" b="0"/>
            <wp:docPr id="14" name="Picture 14" descr="This image has two quotes from stakeholder consultation in relation to person-centred care.&#10;Quote 1 from a family member: “My brother has a love of pizzas. The unit and myself have an agreement that at least once or twice a month they were ordering pizzas for [client] and his fellow colleagues.”&#10;Quote 2 from unit staff: “We set rooms up to suit the residents. Some residents have the bathroom fully equipped, their clothes are on the bed and all their stuff is in there already, whereas others we let them set it up how they like. Other people we have different shower chairs based on their needs. Lots of things to adj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has two quotes from stakeholder consultation in relation to person-centred care.&#10;Quote 1 from a family member: “My brother has a love of pizzas. The unit and myself have an agreement that at least once or twice a month they were ordering pizzas for [client] and his fellow colleagues.”&#10;Quote 2 from unit staff: “We set rooms up to suit the residents. Some residents have the bathroom fully equipped, their clothes are on the bed and all their stuff is in there already, whereas others we let them set it up how they like. Other people we have different shower chairs based on their needs. Lots of things to adju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19520" cy="1075055"/>
                    </a:xfrm>
                    <a:prstGeom prst="rect">
                      <a:avLst/>
                    </a:prstGeom>
                    <a:noFill/>
                    <a:ln>
                      <a:noFill/>
                    </a:ln>
                  </pic:spPr>
                </pic:pic>
              </a:graphicData>
            </a:graphic>
          </wp:inline>
        </w:drawing>
      </w:r>
    </w:p>
    <w:p w14:paraId="26DD1595" w14:textId="394010B1" w:rsidR="00C31032" w:rsidRDefault="00C31032" w:rsidP="00C31032">
      <w:r>
        <w:t>The garden and open home-like SDCU design was commended as an effective setup to enable person-</w:t>
      </w:r>
      <w:r w:rsidR="00620E14">
        <w:t>centered</w:t>
      </w:r>
      <w:r>
        <w:t xml:space="preserve"> care. It was noted that the design allows residents to go for a walk, engage in a range of desired activities (e.g., cleaning, cooking, gardening), while also providing enough space to distance themselves from others which helps to manage behaviours of concern.</w:t>
      </w:r>
    </w:p>
    <w:p w14:paraId="6CCBCF68" w14:textId="2B8475D4" w:rsidR="001C6F1F" w:rsidRDefault="0045789E" w:rsidP="00C31032">
      <w:r>
        <w:t>Although SDCUs were largely perceived to provide a higher level of person-</w:t>
      </w:r>
      <w:r w:rsidR="00620E14">
        <w:t>centered</w:t>
      </w:r>
      <w:r>
        <w:t xml:space="preserve"> care than mainstream </w:t>
      </w:r>
      <w:r w:rsidR="003C7C2F">
        <w:t>RACFs</w:t>
      </w:r>
      <w:r>
        <w:t xml:space="preserve">, there are opportunities for improvement. For example, some stakeholders identified the need to better navigate cultural differences and language barriers with </w:t>
      </w:r>
      <w:r w:rsidR="000F0C44">
        <w:t xml:space="preserve">culturally and linguistically diverse (CALD) </w:t>
      </w:r>
      <w:r>
        <w:t xml:space="preserve">residents to determine strategies for behaviour management and enrichment activities. </w:t>
      </w:r>
      <w:r w:rsidR="00437F57">
        <w:t>A</w:t>
      </w:r>
      <w:r w:rsidR="002643B4">
        <w:t xml:space="preserve"> small number of stakeholders noted residents can often revert to their native language as their dementia progresses and their communication declines, making it more difficult for staff to complete daily tasks</w:t>
      </w:r>
      <w:r w:rsidR="00437F57">
        <w:t xml:space="preserve">, understand </w:t>
      </w:r>
      <w:r w:rsidR="007E16C9">
        <w:t>resident</w:t>
      </w:r>
      <w:r w:rsidR="00437F57">
        <w:t xml:space="preserve"> needs and identify effective</w:t>
      </w:r>
      <w:r w:rsidR="002643B4">
        <w:t xml:space="preserve"> non-pharmacological interventions. In such cases, </w:t>
      </w:r>
      <w:r w:rsidR="00437F57">
        <w:t xml:space="preserve">some SDCUs reported their staff </w:t>
      </w:r>
      <w:r w:rsidR="009A30A9">
        <w:t>need</w:t>
      </w:r>
      <w:r w:rsidR="00637CC4">
        <w:t>ed</w:t>
      </w:r>
      <w:r w:rsidR="009A30A9">
        <w:t xml:space="preserve"> to </w:t>
      </w:r>
      <w:r w:rsidR="00437F57">
        <w:t xml:space="preserve">undertake additional research and problem-solving to identify strategies to improve engagement and communication with </w:t>
      </w:r>
      <w:r w:rsidR="009A30A9">
        <w:t xml:space="preserve">these </w:t>
      </w:r>
      <w:r w:rsidR="00437F57">
        <w:t>residents. For example, staff may learn common phrases in different languages, read</w:t>
      </w:r>
      <w:r w:rsidR="0024174C">
        <w:t xml:space="preserve"> </w:t>
      </w:r>
      <w:r w:rsidR="00437F57">
        <w:t>about a residents’ culture to better understand their needs</w:t>
      </w:r>
      <w:r w:rsidR="0024174C">
        <w:t>,</w:t>
      </w:r>
      <w:r w:rsidR="00437F57">
        <w:t xml:space="preserve"> or </w:t>
      </w:r>
      <w:r w:rsidR="005539B5">
        <w:t>seek</w:t>
      </w:r>
      <w:r w:rsidR="002643B4">
        <w:t xml:space="preserve"> staff members </w:t>
      </w:r>
      <w:r w:rsidR="00437F57">
        <w:t>or family members w</w:t>
      </w:r>
      <w:r w:rsidR="002643B4">
        <w:t>ho speak the same language to overcome communication barriers when completing daily tasks (e.g., showers or administering medication).</w:t>
      </w:r>
      <w:r w:rsidR="00482D8D">
        <w:t xml:space="preserve"> </w:t>
      </w:r>
      <w:r w:rsidR="00D236E7">
        <w:t>While a</w:t>
      </w:r>
      <w:r w:rsidR="00437F57">
        <w:t xml:space="preserve"> small number of stakeholders</w:t>
      </w:r>
      <w:r w:rsidR="006C3C3B">
        <w:t xml:space="preserve"> noted </w:t>
      </w:r>
      <w:r w:rsidR="00EF0179">
        <w:t>these</w:t>
      </w:r>
      <w:r w:rsidR="00437F57">
        <w:t xml:space="preserve"> communication barriers </w:t>
      </w:r>
      <w:r w:rsidR="00EF0179">
        <w:t>are an</w:t>
      </w:r>
      <w:r w:rsidR="006C3C3B">
        <w:t xml:space="preserve"> ongoing challenge to providing person-centred care</w:t>
      </w:r>
      <w:r w:rsidR="00EF0179">
        <w:t xml:space="preserve">, this issue is considered </w:t>
      </w:r>
      <w:r w:rsidR="00743AA6">
        <w:t xml:space="preserve">likely </w:t>
      </w:r>
      <w:r w:rsidR="00EF0179">
        <w:t xml:space="preserve">to be reflective of </w:t>
      </w:r>
      <w:r w:rsidR="00266314">
        <w:t>similar challenges faced across the age care sector more broadly as an increasing</w:t>
      </w:r>
      <w:r w:rsidR="006360A3">
        <w:t>ly</w:t>
      </w:r>
      <w:r w:rsidR="00266314">
        <w:t xml:space="preserve"> culturally diverse cohort </w:t>
      </w:r>
      <w:r w:rsidR="002838D9">
        <w:t xml:space="preserve">enters care. </w:t>
      </w:r>
    </w:p>
    <w:p w14:paraId="0A91CCCC" w14:textId="77777777" w:rsidR="00C31032" w:rsidRPr="008D745E" w:rsidRDefault="00C31032" w:rsidP="00B10420">
      <w:pPr>
        <w:rPr>
          <w:rFonts w:asciiTheme="majorHAnsi" w:hAnsiTheme="majorHAnsi" w:cstheme="majorHAnsi"/>
          <w:b/>
          <w:color w:val="012169"/>
        </w:rPr>
      </w:pPr>
      <w:r w:rsidRPr="00B10420">
        <w:rPr>
          <w:rFonts w:asciiTheme="majorHAnsi" w:hAnsiTheme="majorHAnsi" w:cstheme="majorHAnsi"/>
          <w:b/>
          <w:color w:val="012169"/>
        </w:rPr>
        <w:t>Stakeholders generally felt SDCUs needed additional enrichment activities. This was hi</w:t>
      </w:r>
      <w:r w:rsidRPr="008D745E">
        <w:rPr>
          <w:rFonts w:asciiTheme="majorHAnsi" w:hAnsiTheme="majorHAnsi" w:cstheme="majorHAnsi"/>
          <w:b/>
          <w:color w:val="012169"/>
        </w:rPr>
        <w:t>ghlighted in the context of its important role in behavioural management.</w:t>
      </w:r>
    </w:p>
    <w:p w14:paraId="0D2B26C4" w14:textId="77777777" w:rsidR="00C31032" w:rsidRDefault="00C31032" w:rsidP="00C31032">
      <w:pPr>
        <w:spacing w:after="0"/>
        <w:rPr>
          <w:u w:val="single"/>
        </w:rPr>
      </w:pPr>
      <w:r w:rsidRPr="0023343A">
        <w:rPr>
          <w:u w:val="single"/>
        </w:rPr>
        <w:t xml:space="preserve">Need for additional enrichment activities </w:t>
      </w:r>
    </w:p>
    <w:p w14:paraId="4B7AF090" w14:textId="77777777" w:rsidR="00C31032" w:rsidRDefault="00C31032" w:rsidP="00C31032">
      <w:r>
        <w:t xml:space="preserve">Several in-reach clinicians and allied health staff highlighted that boredom is detrimental to residents’ cognitive and physical functioning. They noted that enrichment activities play an important role in diverting behaviours of concern for people with very severe BPSD. They also noted that while most SDCU staff have experience working in aged care roles with a focus on personal and clinical care, the SDCU requires a more holistic approach that should include a recreational focus. </w:t>
      </w:r>
    </w:p>
    <w:p w14:paraId="466BA977" w14:textId="77777777" w:rsidR="00C31032" w:rsidRDefault="00C31032" w:rsidP="00C31032">
      <w:pPr>
        <w:spacing w:after="0"/>
      </w:pPr>
      <w:r>
        <w:t>The overall sentiment was that SDCUs could improve the availability of enrichment activities, particularly in the afternoons. Some in-reach clinicians observed that because of the cognitive impairment of some residents, SDCUs were reluctant to offer social and stimulation activities. In-reach clinicians felt SDCUs could better work with families/carers to identify appropriate activities aligned with capabilities, particularly given the staffing ratios. Activities could be as simple as reading or using sensory items.</w:t>
      </w:r>
    </w:p>
    <w:p w14:paraId="2B511C50" w14:textId="77777777" w:rsidR="00C31032" w:rsidRDefault="00C31032" w:rsidP="00C31032">
      <w:pPr>
        <w:spacing w:after="0"/>
      </w:pPr>
    </w:p>
    <w:p w14:paraId="61B7F9FC" w14:textId="77777777" w:rsidR="00C31032" w:rsidRDefault="00C31032" w:rsidP="00C31032">
      <w:pPr>
        <w:spacing w:after="0"/>
        <w:rPr>
          <w:u w:val="single"/>
        </w:rPr>
      </w:pPr>
      <w:r>
        <w:t>Some SDCUs identified the need for more enrichment activities early on the Program. One SDCU has now employed an enrichment coordinator for afternoon shifts. Another SDCU uses their social worker in this same capacity. Both SDCUs felt these roles were critical to the success of their model and a driver of family/carer satisfaction.</w:t>
      </w:r>
    </w:p>
    <w:p w14:paraId="69FE18FA" w14:textId="77777777" w:rsidR="00C31032" w:rsidRPr="0023343A" w:rsidRDefault="00C31032" w:rsidP="00C31032">
      <w:pPr>
        <w:spacing w:after="0"/>
        <w:rPr>
          <w:u w:val="single"/>
        </w:rPr>
      </w:pPr>
    </w:p>
    <w:p w14:paraId="6CFD5C2C" w14:textId="77777777" w:rsidR="00E518B3" w:rsidRPr="00B10420" w:rsidRDefault="00E518B3" w:rsidP="00E518B3">
      <w:pPr>
        <w:rPr>
          <w:rFonts w:asciiTheme="majorHAnsi" w:hAnsiTheme="majorHAnsi" w:cstheme="majorHAnsi"/>
          <w:b/>
          <w:color w:val="012169"/>
        </w:rPr>
      </w:pPr>
      <w:r w:rsidRPr="00B10420">
        <w:rPr>
          <w:rFonts w:asciiTheme="majorHAnsi" w:hAnsiTheme="majorHAnsi" w:cstheme="majorHAnsi"/>
          <w:b/>
          <w:color w:val="012169"/>
        </w:rPr>
        <w:t>Families/carers were broadly satisfied with their involvement in care decisions, however there is an opportunity to improve the timeliness of family/carer input into the initial care plan.</w:t>
      </w:r>
    </w:p>
    <w:p w14:paraId="4EC5FE6B" w14:textId="77777777" w:rsidR="00E518B3" w:rsidRPr="00E42FC7" w:rsidRDefault="00E518B3" w:rsidP="00E518B3">
      <w:pPr>
        <w:spacing w:after="0"/>
        <w:rPr>
          <w:color w:val="000000" w:themeColor="text1"/>
          <w:u w:val="single"/>
        </w:rPr>
      </w:pPr>
      <w:r>
        <w:rPr>
          <w:color w:val="000000" w:themeColor="text1"/>
          <w:u w:val="single"/>
        </w:rPr>
        <w:t>Communication p</w:t>
      </w:r>
      <w:r w:rsidRPr="00E42FC7">
        <w:rPr>
          <w:color w:val="000000" w:themeColor="text1"/>
          <w:u w:val="single"/>
        </w:rPr>
        <w:t>readmission/early post admission</w:t>
      </w:r>
    </w:p>
    <w:p w14:paraId="1CBE2138" w14:textId="77777777" w:rsidR="00E518B3" w:rsidRDefault="00E518B3" w:rsidP="00E518B3">
      <w:r>
        <w:t xml:space="preserve">In relation to the transition-in process, most families/carers were satisfied with the level of communication from the SDCU. Many noted the Program Manager reached out, prior to, or shortly after, admission, to gather information on the patient’s history, interests, likes and dislikes. In many cases, they were provided with a tour of the SDCU prior to agreeing to placement, which helped to build their confidence in the Program and the decision to transfer their loved one. This was particularly effective in cases where the family/carer had reservations about the Program due to its transitional nature. </w:t>
      </w:r>
    </w:p>
    <w:p w14:paraId="04E0A463" w14:textId="643075E2" w:rsidR="00E518B3" w:rsidRPr="00E37612" w:rsidRDefault="00E518B3" w:rsidP="004A02A9">
      <w:pPr>
        <w:rPr>
          <w:rFonts w:cs="Verdana"/>
        </w:rPr>
      </w:pPr>
      <w:r>
        <w:t xml:space="preserve">However, some families/carers felt communication from the SDCU could be improved, particularly in the initial care planning stage (i.e., post admission). Some families/carers were only invited to inform care planning (i.e., provide input into care approaches, recreational activities, food preferences etc.) several months post admission. </w:t>
      </w:r>
      <w:r w:rsidR="00746442">
        <w:t xml:space="preserve">Accordingly, there may opportunity </w:t>
      </w:r>
      <w:r w:rsidR="00C25DA0">
        <w:t xml:space="preserve">for some SDCUs to review </w:t>
      </w:r>
      <w:r w:rsidR="008D2DA3">
        <w:t xml:space="preserve">their existing </w:t>
      </w:r>
      <w:r w:rsidR="00C25DA0">
        <w:t xml:space="preserve">admission processes to ensure </w:t>
      </w:r>
      <w:r w:rsidR="008D2DA3">
        <w:t xml:space="preserve">a consistent and structured approach is taken to information-sharing with </w:t>
      </w:r>
      <w:r w:rsidR="00746442" w:rsidRPr="00746442">
        <w:rPr>
          <w:lang w:val="en-AU"/>
        </w:rPr>
        <w:t>family</w:t>
      </w:r>
      <w:r w:rsidR="00C25DA0">
        <w:rPr>
          <w:lang w:val="en-AU"/>
        </w:rPr>
        <w:t>/carers</w:t>
      </w:r>
      <w:r w:rsidR="005D4BFA">
        <w:rPr>
          <w:lang w:val="en-AU"/>
        </w:rPr>
        <w:t xml:space="preserve"> during the initial care planning stage</w:t>
      </w:r>
      <w:r w:rsidR="008D2DA3">
        <w:rPr>
          <w:lang w:val="en-AU"/>
        </w:rPr>
        <w:t>.</w:t>
      </w:r>
    </w:p>
    <w:p w14:paraId="735ABE64" w14:textId="08D7A456" w:rsidR="004A02A9" w:rsidRPr="004A02A9" w:rsidRDefault="005D0203" w:rsidP="004A02A9">
      <w:r w:rsidRPr="005D0203">
        <w:rPr>
          <w:noProof/>
        </w:rPr>
        <w:drawing>
          <wp:inline distT="0" distB="0" distL="0" distR="0" wp14:anchorId="1CCFB484" wp14:editId="5DB26F00">
            <wp:extent cx="6319520" cy="890905"/>
            <wp:effectExtent l="0" t="0" r="5080" b="4445"/>
            <wp:docPr id="24" name="Picture 24" descr="This image is a quote from a family member. It reads: “I got two emails – one from a random person asking if he has any spiritual needs and another from the team leader asking if he celebrates any cultural events. So I reached out asking if they wanted any information about his likes, dislikes, etc. and they thought they had already sent me a form about that but I had not received it. Only a few weeks ago I received a care plan where [lifestyle] information was integrated into it. It was an email [but] there were no meetings or opportunities to discuss it with them in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mage is a quote from a family member. It reads: “I got two emails – one from a random person asking if he has any spiritual needs and another from the team leader asking if he celebrates any cultural events. So I reached out asking if they wanted any information about his likes, dislikes, etc. and they thought they had already sent me a form about that but I had not received it. Only a few weeks ago I received a care plan where [lifestyle] information was integrated into it. It was an email [but] there were no meetings or opportunities to discuss it with them in detail.”&#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19520" cy="890905"/>
                    </a:xfrm>
                    <a:prstGeom prst="rect">
                      <a:avLst/>
                    </a:prstGeom>
                    <a:noFill/>
                    <a:ln>
                      <a:noFill/>
                    </a:ln>
                  </pic:spPr>
                </pic:pic>
              </a:graphicData>
            </a:graphic>
          </wp:inline>
        </w:drawing>
      </w:r>
    </w:p>
    <w:p w14:paraId="390F2ADA" w14:textId="77777777" w:rsidR="00E518B3" w:rsidRPr="00E42FC7" w:rsidRDefault="00E518B3" w:rsidP="00E518B3">
      <w:pPr>
        <w:spacing w:after="0"/>
        <w:rPr>
          <w:u w:val="single"/>
        </w:rPr>
      </w:pPr>
      <w:r>
        <w:rPr>
          <w:u w:val="single"/>
        </w:rPr>
        <w:t>Communication as part of o</w:t>
      </w:r>
      <w:r w:rsidRPr="00E42FC7">
        <w:rPr>
          <w:u w:val="single"/>
        </w:rPr>
        <w:t>ngoing care</w:t>
      </w:r>
    </w:p>
    <w:p w14:paraId="15EBD294" w14:textId="77777777" w:rsidR="00E518B3" w:rsidRDefault="00E518B3" w:rsidP="00E518B3">
      <w:r>
        <w:t xml:space="preserve">In relation to ongoing care and decision-making, the majority of families/carers were highly satisfied with the level of communication from SDCUs. Most families/carers reported participating in care plan review discussions with the multidisciplinary team every few months. They also noted the SDCU will contact for consent before initiating prescription changes or a chemical or physical restraints. The majority of families/carers felt they were able to contact the SDCU at any time to discuss the resident care and felt their opinions were genuinely valued by Program staff. </w:t>
      </w:r>
    </w:p>
    <w:p w14:paraId="12FA2207" w14:textId="023BCFC9" w:rsidR="00E518B3" w:rsidRDefault="007D35AE" w:rsidP="00E518B3">
      <w:r>
        <w:t>S</w:t>
      </w:r>
      <w:r w:rsidR="00E518B3">
        <w:t>ome families/carers reported provision of conflicting information regarding a resident’s care, which may be attributable to communication barriers between SDCU staff and in-reach clinicians at some sites</w:t>
      </w:r>
      <w:r>
        <w:t xml:space="preserve"> (discussed in Section </w:t>
      </w:r>
      <w:r>
        <w:fldChar w:fldCharType="begin"/>
      </w:r>
      <w:r>
        <w:instrText xml:space="preserve"> REF _Ref123917114 \n \h </w:instrText>
      </w:r>
      <w:r>
        <w:fldChar w:fldCharType="separate"/>
      </w:r>
      <w:r w:rsidR="00D32536">
        <w:t>3.3</w:t>
      </w:r>
      <w:r>
        <w:fldChar w:fldCharType="end"/>
      </w:r>
      <w:r>
        <w:t>)</w:t>
      </w:r>
      <w:r w:rsidR="00E518B3">
        <w:t>.</w:t>
      </w:r>
    </w:p>
    <w:p w14:paraId="17C25EF5" w14:textId="4CF3270D" w:rsidR="00E518B3" w:rsidRPr="00333933" w:rsidRDefault="00C7625A" w:rsidP="00C834D7">
      <w:r w:rsidRPr="00C7625A">
        <w:rPr>
          <w:noProof/>
        </w:rPr>
        <w:drawing>
          <wp:inline distT="0" distB="0" distL="0" distR="0" wp14:anchorId="60945DE6" wp14:editId="7FA4CBFA">
            <wp:extent cx="6319520" cy="747395"/>
            <wp:effectExtent l="0" t="0" r="5080" b="0"/>
            <wp:docPr id="32" name="Picture 32" descr="This image is a quote from a family member. It reads: “[They are] so incredibly good at communication. The unit themselves were very good at updating us, sharing photos of what had happened that day or raising any concerns or potentially concerns. [They shared] the good things as well as the bad things so we knew what [the resident] was up to and how he was d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mage is a quote from a family member. It reads: “[They are] so incredibly good at communication. The unit themselves were very good at updating us, sharing photos of what had happened that day or raising any concerns or potentially concerns. [They shared] the good things as well as the bad things so we knew what [the resident] was up to and how he was do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19520" cy="747395"/>
                    </a:xfrm>
                    <a:prstGeom prst="rect">
                      <a:avLst/>
                    </a:prstGeom>
                    <a:noFill/>
                    <a:ln>
                      <a:noFill/>
                    </a:ln>
                  </pic:spPr>
                </pic:pic>
              </a:graphicData>
            </a:graphic>
          </wp:inline>
        </w:drawing>
      </w:r>
    </w:p>
    <w:p w14:paraId="5C65F395" w14:textId="7CCDF9F1" w:rsidR="00584F5D" w:rsidRPr="00690A92" w:rsidRDefault="00584F5D" w:rsidP="00676B12">
      <w:pPr>
        <w:pStyle w:val="Heading2"/>
        <w:spacing w:after="0"/>
        <w:ind w:left="578" w:hanging="578"/>
      </w:pPr>
      <w:bookmarkStart w:id="49" w:name="_Ref123917114"/>
      <w:r w:rsidRPr="00690A92">
        <w:t>Clinical governance</w:t>
      </w:r>
      <w:bookmarkEnd w:id="49"/>
    </w:p>
    <w:p w14:paraId="7348FE2F" w14:textId="77777777" w:rsidR="00397D10" w:rsidRPr="00676B12" w:rsidRDefault="00397D10" w:rsidP="008C497E">
      <w:pPr>
        <w:rPr>
          <w:rFonts w:asciiTheme="majorHAnsi" w:hAnsiTheme="majorHAnsi" w:cstheme="majorHAnsi"/>
          <w:b/>
          <w:color w:val="012169"/>
        </w:rPr>
      </w:pPr>
      <w:bookmarkStart w:id="50" w:name="_Ref117256713"/>
      <w:r w:rsidRPr="00676B12">
        <w:rPr>
          <w:rFonts w:asciiTheme="majorHAnsi" w:hAnsiTheme="majorHAnsi" w:cstheme="majorHAnsi"/>
          <w:b/>
          <w:color w:val="012169"/>
        </w:rPr>
        <w:t>CACs and CRTs are largely working well across most units</w:t>
      </w:r>
      <w:bookmarkEnd w:id="50"/>
      <w:r w:rsidRPr="00676B12">
        <w:rPr>
          <w:rFonts w:asciiTheme="majorHAnsi" w:hAnsiTheme="majorHAnsi" w:cstheme="majorHAnsi"/>
          <w:b/>
          <w:color w:val="012169"/>
        </w:rPr>
        <w:t>. Strong working relationships with in-reach clinicians are key to the success of these governance mechanisms.</w:t>
      </w:r>
    </w:p>
    <w:p w14:paraId="5466C782" w14:textId="278621D4" w:rsidR="00397D10" w:rsidRPr="00397D10" w:rsidRDefault="00397D10" w:rsidP="00397D10">
      <w:pPr>
        <w:spacing w:after="170"/>
        <w:rPr>
          <w:rFonts w:eastAsia="Verdana" w:cstheme="minorHAnsi"/>
          <w:szCs w:val="20"/>
          <w:lang w:val="en-AU"/>
        </w:rPr>
      </w:pPr>
      <w:r w:rsidRPr="00397D10">
        <w:rPr>
          <w:rFonts w:eastAsia="Verdana" w:cstheme="minorHAnsi"/>
          <w:szCs w:val="20"/>
          <w:lang w:val="en-AU"/>
        </w:rPr>
        <w:t>Across the majority of units, stakeholders generally agreed that clinical governance mechanisms are working well. Overall, it was agreed that CRTs and CACs broadly occur as intended, with CRTs typically occurring weekly and CACs monthly. Stakeholders felt that clinical governance mechanisms are appropriate and responsive to the Program model of care, with CRTs providing an opportunity to discuss client progress and clinical decisions (e.g.</w:t>
      </w:r>
      <w:r w:rsidR="003918E9">
        <w:rPr>
          <w:rFonts w:eastAsia="Verdana" w:cstheme="minorHAnsi"/>
          <w:szCs w:val="20"/>
          <w:lang w:val="en-AU"/>
        </w:rPr>
        <w:t>,</w:t>
      </w:r>
      <w:r w:rsidRPr="00397D10">
        <w:rPr>
          <w:rFonts w:eastAsia="Verdana" w:cstheme="minorHAnsi"/>
          <w:szCs w:val="20"/>
          <w:lang w:val="en-AU"/>
        </w:rPr>
        <w:t xml:space="preserve"> deprescribing), while CACs provide a forum to discuss placement decisions.</w:t>
      </w:r>
    </w:p>
    <w:p w14:paraId="0600A6E3" w14:textId="77777777" w:rsidR="00397D10" w:rsidRPr="00397D10" w:rsidRDefault="00397D10" w:rsidP="00397D10">
      <w:pPr>
        <w:spacing w:after="0"/>
        <w:rPr>
          <w:rFonts w:eastAsia="Verdana" w:cstheme="minorHAnsi"/>
          <w:szCs w:val="20"/>
          <w:lang w:val="en-AU"/>
        </w:rPr>
      </w:pPr>
      <w:r w:rsidRPr="00397D10">
        <w:rPr>
          <w:rFonts w:eastAsia="Verdana" w:cstheme="minorHAnsi"/>
          <w:szCs w:val="20"/>
          <w:lang w:val="en-AU"/>
        </w:rPr>
        <w:t xml:space="preserve">The following factors were cited as important success factors for strong clinical governance: </w:t>
      </w:r>
    </w:p>
    <w:p w14:paraId="620F1214" w14:textId="77777777" w:rsidR="00397D10" w:rsidRPr="00397D10" w:rsidRDefault="00397D10" w:rsidP="00C063DC">
      <w:pPr>
        <w:numPr>
          <w:ilvl w:val="0"/>
          <w:numId w:val="13"/>
        </w:numPr>
        <w:spacing w:after="170"/>
        <w:contextualSpacing/>
        <w:rPr>
          <w:rFonts w:eastAsia="Verdana" w:cstheme="minorHAnsi"/>
          <w:szCs w:val="20"/>
          <w:lang w:val="en-AU"/>
        </w:rPr>
      </w:pPr>
      <w:r w:rsidRPr="00397D10">
        <w:rPr>
          <w:rFonts w:eastAsia="Verdana" w:cstheme="minorHAnsi"/>
          <w:szCs w:val="20"/>
          <w:lang w:val="en-AU"/>
        </w:rPr>
        <w:t>buy-in from the provider’s Executive management</w:t>
      </w:r>
    </w:p>
    <w:p w14:paraId="77356B45" w14:textId="1B0CA4BB" w:rsidR="00397D10" w:rsidRPr="00397D10" w:rsidRDefault="00397D10" w:rsidP="00C063DC">
      <w:pPr>
        <w:numPr>
          <w:ilvl w:val="0"/>
          <w:numId w:val="13"/>
        </w:numPr>
        <w:spacing w:after="170"/>
        <w:contextualSpacing/>
        <w:rPr>
          <w:rFonts w:eastAsia="Verdana" w:cstheme="minorHAnsi"/>
          <w:szCs w:val="20"/>
          <w:lang w:val="en-AU"/>
        </w:rPr>
      </w:pPr>
      <w:r w:rsidRPr="00397D10">
        <w:rPr>
          <w:rFonts w:eastAsia="Verdana" w:cstheme="minorHAnsi"/>
          <w:szCs w:val="20"/>
          <w:lang w:val="en-AU"/>
        </w:rPr>
        <w:t xml:space="preserve">positive and collaborative relationships between </w:t>
      </w:r>
      <w:r w:rsidR="001857F9">
        <w:rPr>
          <w:rFonts w:eastAsia="Verdana" w:cstheme="minorHAnsi"/>
          <w:szCs w:val="20"/>
          <w:lang w:val="en-AU"/>
        </w:rPr>
        <w:t>SDCU</w:t>
      </w:r>
      <w:r w:rsidRPr="00397D10">
        <w:rPr>
          <w:rFonts w:eastAsia="Verdana" w:cstheme="minorHAnsi"/>
          <w:szCs w:val="20"/>
          <w:lang w:val="en-AU"/>
        </w:rPr>
        <w:t xml:space="preserve"> staff and in-reach clinicians, with a commitment to openness and information sharing</w:t>
      </w:r>
    </w:p>
    <w:p w14:paraId="57612662" w14:textId="7CA4A219" w:rsidR="00397D10" w:rsidRPr="00397D10" w:rsidRDefault="00397D10" w:rsidP="00C063DC">
      <w:pPr>
        <w:numPr>
          <w:ilvl w:val="0"/>
          <w:numId w:val="13"/>
        </w:numPr>
        <w:spacing w:after="170"/>
        <w:ind w:left="357" w:hanging="357"/>
        <w:rPr>
          <w:rFonts w:eastAsia="Verdana" w:cstheme="minorHAnsi"/>
          <w:szCs w:val="20"/>
          <w:lang w:val="en-AU"/>
        </w:rPr>
      </w:pPr>
      <w:r w:rsidRPr="00397D10">
        <w:rPr>
          <w:rFonts w:eastAsia="Verdana" w:cstheme="minorHAnsi"/>
          <w:szCs w:val="20"/>
          <w:lang w:val="en-AU"/>
        </w:rPr>
        <w:t xml:space="preserve">buy-in from all </w:t>
      </w:r>
      <w:r w:rsidR="001857F9">
        <w:rPr>
          <w:rFonts w:eastAsia="Verdana" w:cstheme="minorHAnsi"/>
          <w:szCs w:val="20"/>
          <w:lang w:val="en-AU"/>
        </w:rPr>
        <w:t>Program</w:t>
      </w:r>
      <w:r w:rsidRPr="00397D10">
        <w:rPr>
          <w:rFonts w:eastAsia="Verdana" w:cstheme="minorHAnsi"/>
          <w:szCs w:val="20"/>
          <w:lang w:val="en-AU"/>
        </w:rPr>
        <w:t xml:space="preserve"> staff, who each recognised the value of the Program and shared a genuine commitment to ensuring its success. </w:t>
      </w:r>
    </w:p>
    <w:p w14:paraId="450A623B" w14:textId="77777777" w:rsidR="00397D10" w:rsidRPr="00397D10" w:rsidRDefault="00397D10" w:rsidP="00397D10">
      <w:pPr>
        <w:spacing w:after="0"/>
        <w:contextualSpacing/>
        <w:rPr>
          <w:rFonts w:eastAsia="Verdana" w:cstheme="minorHAnsi"/>
          <w:szCs w:val="18"/>
          <w:u w:val="single"/>
          <w:lang w:val="en-AU"/>
        </w:rPr>
      </w:pPr>
      <w:r w:rsidRPr="00397D10">
        <w:rPr>
          <w:rFonts w:eastAsia="Verdana" w:cstheme="minorHAnsi"/>
          <w:szCs w:val="18"/>
          <w:u w:val="single"/>
          <w:lang w:val="en-AU"/>
        </w:rPr>
        <w:t>The role of the CAC in placement decisions</w:t>
      </w:r>
    </w:p>
    <w:p w14:paraId="3A67491A" w14:textId="311136C1" w:rsidR="00397D10" w:rsidRPr="00397D10" w:rsidRDefault="007E1B65" w:rsidP="00397D10">
      <w:pPr>
        <w:spacing w:after="0"/>
        <w:contextualSpacing/>
        <w:rPr>
          <w:rFonts w:eastAsia="Verdana" w:cstheme="minorHAnsi"/>
          <w:szCs w:val="18"/>
          <w:lang w:val="en-AU"/>
        </w:rPr>
      </w:pPr>
      <w:r>
        <w:rPr>
          <w:rFonts w:eastAsia="Verdana" w:cstheme="minorHAnsi"/>
          <w:szCs w:val="18"/>
          <w:lang w:val="en-AU"/>
        </w:rPr>
        <w:t>At</w:t>
      </w:r>
      <w:r w:rsidR="00397D10" w:rsidRPr="00397D10">
        <w:rPr>
          <w:rFonts w:eastAsia="Verdana" w:cstheme="minorHAnsi"/>
          <w:szCs w:val="18"/>
          <w:lang w:val="en-AU"/>
        </w:rPr>
        <w:t xml:space="preserve"> some SDCU</w:t>
      </w:r>
      <w:r>
        <w:rPr>
          <w:rFonts w:eastAsia="Verdana" w:cstheme="minorHAnsi"/>
          <w:szCs w:val="18"/>
          <w:lang w:val="en-AU"/>
        </w:rPr>
        <w:t>s</w:t>
      </w:r>
      <w:r w:rsidR="00397D10" w:rsidRPr="00397D10">
        <w:rPr>
          <w:rFonts w:eastAsia="Verdana" w:cstheme="minorHAnsi"/>
          <w:szCs w:val="18"/>
          <w:lang w:val="en-AU"/>
        </w:rPr>
        <w:t>, stakeholders observed challenges in achieving consensus on the suitability of referrals during the CAC. The SDCP Framework states all CAC members are responsible for “advising on the placement assessments and admission of people to the specialist dementia care unit”, however stakeholders highlighted that the provider has the ultimate power to accept a referral. Some in-reach clinicians felt that some providers make placement decisions based on the provider’s risk appetite rather than resident suitability, which has contributed to slow uptake rates at certain sites.</w:t>
      </w:r>
    </w:p>
    <w:p w14:paraId="276C31DB" w14:textId="77777777" w:rsidR="00397D10" w:rsidRPr="00397D10" w:rsidRDefault="00397D10" w:rsidP="00397D10">
      <w:pPr>
        <w:spacing w:after="0"/>
        <w:contextualSpacing/>
        <w:rPr>
          <w:rFonts w:eastAsia="Verdana" w:cstheme="minorHAnsi"/>
          <w:szCs w:val="18"/>
          <w:lang w:val="en-AU"/>
        </w:rPr>
      </w:pPr>
    </w:p>
    <w:p w14:paraId="7CC15601" w14:textId="77777777" w:rsidR="00397D10" w:rsidRPr="00397D10" w:rsidRDefault="00397D10" w:rsidP="00397D10">
      <w:pPr>
        <w:spacing w:after="0"/>
        <w:contextualSpacing/>
        <w:rPr>
          <w:rFonts w:eastAsia="Verdana" w:cstheme="minorHAnsi"/>
          <w:szCs w:val="18"/>
          <w:u w:val="single"/>
          <w:lang w:val="en-AU"/>
        </w:rPr>
      </w:pPr>
      <w:r w:rsidRPr="00397D10">
        <w:rPr>
          <w:rFonts w:eastAsia="Verdana" w:cstheme="minorHAnsi"/>
          <w:szCs w:val="18"/>
          <w:u w:val="single"/>
          <w:lang w:val="en-AU"/>
        </w:rPr>
        <w:t>Working relationships within CRTs</w:t>
      </w:r>
    </w:p>
    <w:p w14:paraId="200D4E17" w14:textId="13A91478" w:rsidR="00397D10" w:rsidRPr="00397D10" w:rsidRDefault="00397D10" w:rsidP="00135E59">
      <w:pPr>
        <w:rPr>
          <w:rFonts w:eastAsia="Verdana" w:cstheme="minorHAnsi"/>
          <w:szCs w:val="18"/>
          <w:lang w:val="en-AU"/>
        </w:rPr>
      </w:pPr>
      <w:r w:rsidRPr="00397D10">
        <w:rPr>
          <w:rFonts w:eastAsia="Verdana" w:cstheme="minorHAnsi"/>
          <w:szCs w:val="18"/>
          <w:lang w:val="en-AU"/>
        </w:rPr>
        <w:t xml:space="preserve">Tailoring care to the needs and preferences of each resident is critical to the Program’s success. Stakeholders highlighted that weekly CRT discussions are important in enabling this type of individualised care by providing a forum to share insights and learnings on each resident, including reactions to different activities and food, their triggers, and their responses to different types of behavioural management strategies. Some sites reported stronger working relationships with in-reach clinicians than others, which appeared to correlate with levels of satisfaction with CRT meetings. The </w:t>
      </w:r>
      <w:r w:rsidR="002D4007">
        <w:rPr>
          <w:rFonts w:eastAsia="Verdana" w:cstheme="minorHAnsi"/>
          <w:szCs w:val="18"/>
          <w:lang w:val="en-AU"/>
        </w:rPr>
        <w:t>subset</w:t>
      </w:r>
      <w:r w:rsidR="002D4007" w:rsidRPr="00397D10">
        <w:rPr>
          <w:rFonts w:eastAsia="Verdana" w:cstheme="minorHAnsi"/>
          <w:szCs w:val="18"/>
          <w:lang w:val="en-AU"/>
        </w:rPr>
        <w:t xml:space="preserve"> </w:t>
      </w:r>
      <w:r w:rsidRPr="00397D10">
        <w:rPr>
          <w:rFonts w:eastAsia="Verdana" w:cstheme="minorHAnsi"/>
          <w:szCs w:val="18"/>
          <w:lang w:val="en-AU"/>
        </w:rPr>
        <w:t xml:space="preserve">of sites who </w:t>
      </w:r>
      <w:r w:rsidRPr="00135E59">
        <w:t>felt that CRT meetings could be improved, highlighted the following issues related to information sharing and coordination:</w:t>
      </w:r>
      <w:r w:rsidRPr="00397D10">
        <w:rPr>
          <w:rFonts w:eastAsia="Verdana" w:cstheme="minorHAnsi"/>
          <w:szCs w:val="18"/>
          <w:lang w:val="en-AU"/>
        </w:rPr>
        <w:t xml:space="preserve"> </w:t>
      </w:r>
    </w:p>
    <w:p w14:paraId="39798739" w14:textId="77777777" w:rsidR="00397D10" w:rsidRPr="00135E59" w:rsidRDefault="00397D10" w:rsidP="00C063DC">
      <w:pPr>
        <w:pStyle w:val="ListParagraph"/>
        <w:numPr>
          <w:ilvl w:val="0"/>
          <w:numId w:val="16"/>
        </w:numPr>
        <w:spacing w:after="170"/>
      </w:pPr>
      <w:r w:rsidRPr="00135E59">
        <w:t>lack of clarity in role responsibilities between in-reach clinicians, provider staff, and provider-staffed clinicians (e.g., GPs)</w:t>
      </w:r>
    </w:p>
    <w:p w14:paraId="06455866" w14:textId="77777777" w:rsidR="00397D10" w:rsidRPr="00135E59" w:rsidRDefault="00397D10" w:rsidP="00C063DC">
      <w:pPr>
        <w:pStyle w:val="ListParagraph"/>
        <w:numPr>
          <w:ilvl w:val="0"/>
          <w:numId w:val="16"/>
        </w:numPr>
        <w:spacing w:after="170"/>
      </w:pPr>
      <w:r w:rsidRPr="00135E59">
        <w:t>lack of clarity in the frequency and processes for reporting as part of the CRT meetings</w:t>
      </w:r>
    </w:p>
    <w:p w14:paraId="2D5CE77F" w14:textId="77777777" w:rsidR="00397D10" w:rsidRPr="00135E59" w:rsidRDefault="00397D10" w:rsidP="00C063DC">
      <w:pPr>
        <w:pStyle w:val="ListParagraph"/>
        <w:numPr>
          <w:ilvl w:val="0"/>
          <w:numId w:val="16"/>
        </w:numPr>
        <w:spacing w:after="170"/>
      </w:pPr>
      <w:r w:rsidRPr="00135E59">
        <w:t>approaches to family communication where pertinent information is raised during CRTs.</w:t>
      </w:r>
    </w:p>
    <w:p w14:paraId="304BF136" w14:textId="77777777" w:rsidR="00025ACD" w:rsidRPr="00033931" w:rsidRDefault="00025ACD" w:rsidP="00025ACD">
      <w:pPr>
        <w:rPr>
          <w:rFonts w:asciiTheme="majorHAnsi" w:hAnsiTheme="majorHAnsi" w:cstheme="majorHAnsi"/>
          <w:b/>
          <w:color w:val="012169"/>
        </w:rPr>
      </w:pPr>
      <w:r w:rsidRPr="00033931">
        <w:rPr>
          <w:rFonts w:asciiTheme="majorHAnsi" w:hAnsiTheme="majorHAnsi" w:cstheme="majorHAnsi"/>
          <w:b/>
          <w:color w:val="012169"/>
        </w:rPr>
        <w:t xml:space="preserve">Care staff input into client progress discussions is an important for ensuring care is tailored to individualised needs and preferences. This has improved over time. </w:t>
      </w:r>
    </w:p>
    <w:p w14:paraId="6C716EA5" w14:textId="77777777" w:rsidR="00025ACD" w:rsidRPr="001514C9" w:rsidRDefault="00025ACD" w:rsidP="00025ACD">
      <w:pPr>
        <w:spacing w:after="0"/>
        <w:rPr>
          <w:u w:val="single"/>
        </w:rPr>
      </w:pPr>
      <w:r w:rsidRPr="001514C9">
        <w:rPr>
          <w:u w:val="single"/>
        </w:rPr>
        <w:t>Care staff input</w:t>
      </w:r>
    </w:p>
    <w:p w14:paraId="56AE9B76" w14:textId="232101F8" w:rsidR="00025ACD" w:rsidRDefault="00025ACD" w:rsidP="00025ACD">
      <w:r>
        <w:t xml:space="preserve">The </w:t>
      </w:r>
      <w:r w:rsidRPr="00616605">
        <w:rPr>
          <w:rFonts w:asciiTheme="majorHAnsi" w:hAnsiTheme="majorHAnsi" w:cstheme="majorHAnsi"/>
          <w:b/>
        </w:rPr>
        <w:t>Interim Report (2021)</w:t>
      </w:r>
      <w:r>
        <w:t xml:space="preserve"> identified an opportunity for sites to better involve care staff (i.e., ENs and </w:t>
      </w:r>
      <w:r w:rsidR="00B0163F">
        <w:t>care staff</w:t>
      </w:r>
      <w:r>
        <w:t xml:space="preserve">) in CRT discussions related to client progress. It was noted that the benefits of this are two-fold: </w:t>
      </w:r>
    </w:p>
    <w:p w14:paraId="038EF0E3" w14:textId="77777777" w:rsidR="00025ACD" w:rsidRDefault="00025ACD" w:rsidP="00C063DC">
      <w:pPr>
        <w:pStyle w:val="ListParagraph"/>
        <w:numPr>
          <w:ilvl w:val="0"/>
          <w:numId w:val="16"/>
        </w:numPr>
        <w:spacing w:after="170"/>
      </w:pPr>
      <w:r>
        <w:t xml:space="preserve">first, care staff are involved in day-to-day care provision and have important and valuable insights to share regarding symptoms, and what behavioural management strategies are working </w:t>
      </w:r>
    </w:p>
    <w:p w14:paraId="1DBBE0FA" w14:textId="5882F9E3" w:rsidR="00025ACD" w:rsidRDefault="00025ACD" w:rsidP="00C063DC">
      <w:pPr>
        <w:pStyle w:val="ListParagraph"/>
        <w:numPr>
          <w:ilvl w:val="0"/>
          <w:numId w:val="16"/>
        </w:numPr>
        <w:spacing w:after="170"/>
      </w:pPr>
      <w:r>
        <w:t>second, involvement in these discussions provides an important capacity building opportunity for care staff that would better enable them to care for a client cohort (</w:t>
      </w:r>
      <w:r w:rsidR="00BC1A1F">
        <w:t>i.e.,</w:t>
      </w:r>
      <w:r>
        <w:t xml:space="preserve"> people with </w:t>
      </w:r>
      <w:r w:rsidR="003C47EB">
        <w:t xml:space="preserve">very </w:t>
      </w:r>
      <w:r>
        <w:t>severe BPSD) with whom they typically have limited experience.</w:t>
      </w:r>
    </w:p>
    <w:p w14:paraId="4BB28640" w14:textId="09B37B60" w:rsidR="00025ACD" w:rsidRDefault="00025ACD" w:rsidP="00025ACD">
      <w:r>
        <w:t xml:space="preserve">Two units interviewed for the Final Summative Report noted they now included </w:t>
      </w:r>
      <w:r w:rsidR="00B0163F">
        <w:t>care staff</w:t>
      </w:r>
      <w:r>
        <w:t xml:space="preserve"> in weekly CRT meetings. However, most SDCUs do not include care staff in CRT meetings due to capacity constraints and the need for care staff to remain “on the floor”. One SDCU noted they hold a debrief session for care staff on the floor following the meeting to ensure the relevant information is shared. Outside of CRTs, most in-reach clinicians acknowledged the importance of regularly engaging with care staff as part of their work to obtain insight and feedback on resident progress.</w:t>
      </w:r>
    </w:p>
    <w:p w14:paraId="1AD51E44" w14:textId="77777777" w:rsidR="00025ACD" w:rsidRPr="00893407" w:rsidRDefault="00025ACD" w:rsidP="00033931">
      <w:pPr>
        <w:rPr>
          <w:rFonts w:asciiTheme="majorHAnsi" w:hAnsiTheme="majorHAnsi" w:cstheme="majorHAnsi"/>
          <w:b/>
          <w:color w:val="012169"/>
        </w:rPr>
      </w:pPr>
      <w:r w:rsidRPr="00033931">
        <w:rPr>
          <w:rFonts w:asciiTheme="majorHAnsi" w:hAnsiTheme="majorHAnsi" w:cstheme="majorHAnsi"/>
          <w:b/>
          <w:color w:val="012169"/>
        </w:rPr>
        <w:t xml:space="preserve">Some sites reported communication barriers across in-reach clinicians, GPs and </w:t>
      </w:r>
      <w:r w:rsidRPr="00893407">
        <w:rPr>
          <w:rFonts w:asciiTheme="majorHAnsi" w:hAnsiTheme="majorHAnsi" w:cstheme="majorHAnsi"/>
          <w:b/>
          <w:color w:val="012169"/>
        </w:rPr>
        <w:t>allied health staff.</w:t>
      </w:r>
    </w:p>
    <w:p w14:paraId="7CF6E872" w14:textId="77777777" w:rsidR="00025ACD" w:rsidRPr="0007620E" w:rsidRDefault="00025ACD" w:rsidP="00025ACD">
      <w:pPr>
        <w:spacing w:after="0"/>
        <w:rPr>
          <w:u w:val="single"/>
        </w:rPr>
      </w:pPr>
      <w:r w:rsidRPr="0007620E">
        <w:rPr>
          <w:u w:val="single"/>
        </w:rPr>
        <w:t>Communication across the multi</w:t>
      </w:r>
      <w:r>
        <w:rPr>
          <w:u w:val="single"/>
        </w:rPr>
        <w:t xml:space="preserve">disciplinary </w:t>
      </w:r>
      <w:r w:rsidRPr="0007620E">
        <w:rPr>
          <w:u w:val="single"/>
        </w:rPr>
        <w:t>team</w:t>
      </w:r>
    </w:p>
    <w:p w14:paraId="27406423" w14:textId="77777777" w:rsidR="00025ACD" w:rsidRDefault="00025ACD" w:rsidP="00025ACD">
      <w:r>
        <w:t xml:space="preserve">Overall, most SDCUs reported strong working relationships with in-reach clinicians. However, a handful of SDCUs reported barriers to an effective partnership. The main barrier related to fractured communication and information sharing across practitioners (in-reach clinicians, GPs and allied health staff), owing to differences in rostered days at the SDCU. </w:t>
      </w:r>
    </w:p>
    <w:p w14:paraId="6C4E5CF7" w14:textId="77777777" w:rsidR="00025ACD" w:rsidRDefault="00025ACD" w:rsidP="00025ACD">
      <w:r>
        <w:t xml:space="preserve">In some cases, this has affected the ability to ensure care is proactive and timely. For example, a stakeholder at one SDCU reported that the GP no longer attends CRT meetings, which limits the effectiveness of the meeting in assessing residents’ behavioural and medical progress. In addition, in some cases, it has contributed to provision of conflicting information to families/carers regarding the resident’s care needs and readiness for discharge. </w:t>
      </w:r>
    </w:p>
    <w:p w14:paraId="218C1C09" w14:textId="33B95F71" w:rsidR="0067390D" w:rsidRPr="00893407" w:rsidRDefault="005A6706" w:rsidP="0067390D">
      <w:pPr>
        <w:rPr>
          <w:rFonts w:asciiTheme="majorHAnsi" w:hAnsiTheme="majorHAnsi" w:cstheme="majorHAnsi"/>
          <w:b/>
          <w:color w:val="012169"/>
        </w:rPr>
      </w:pPr>
      <w:r>
        <w:rPr>
          <w:rFonts w:asciiTheme="majorHAnsi" w:hAnsiTheme="majorHAnsi" w:cstheme="majorHAnsi"/>
          <w:b/>
          <w:color w:val="012169"/>
        </w:rPr>
        <w:t>S</w:t>
      </w:r>
      <w:r w:rsidR="001555D9">
        <w:rPr>
          <w:rFonts w:asciiTheme="majorHAnsi" w:hAnsiTheme="majorHAnsi" w:cstheme="majorHAnsi"/>
          <w:b/>
          <w:color w:val="012169"/>
        </w:rPr>
        <w:t>takeholder commentary regarding the Program’s interaction with the NDIS was limited</w:t>
      </w:r>
      <w:r>
        <w:rPr>
          <w:rFonts w:asciiTheme="majorHAnsi" w:hAnsiTheme="majorHAnsi" w:cstheme="majorHAnsi"/>
          <w:b/>
          <w:color w:val="012169"/>
        </w:rPr>
        <w:t>. However, o</w:t>
      </w:r>
      <w:r w:rsidR="00882E3B">
        <w:rPr>
          <w:rFonts w:asciiTheme="majorHAnsi" w:hAnsiTheme="majorHAnsi" w:cstheme="majorHAnsi"/>
          <w:b/>
          <w:color w:val="012169"/>
        </w:rPr>
        <w:t>ne</w:t>
      </w:r>
      <w:r w:rsidR="0067390D">
        <w:rPr>
          <w:rFonts w:asciiTheme="majorHAnsi" w:hAnsiTheme="majorHAnsi" w:cstheme="majorHAnsi"/>
          <w:b/>
          <w:color w:val="012169"/>
        </w:rPr>
        <w:t xml:space="preserve"> site reported challenges in navigating SDCP care planning</w:t>
      </w:r>
      <w:r w:rsidR="00882E3B">
        <w:rPr>
          <w:rFonts w:asciiTheme="majorHAnsi" w:hAnsiTheme="majorHAnsi" w:cstheme="majorHAnsi"/>
          <w:b/>
          <w:color w:val="012169"/>
        </w:rPr>
        <w:t xml:space="preserve"> for NDIS</w:t>
      </w:r>
      <w:r w:rsidR="009B721E">
        <w:rPr>
          <w:rFonts w:asciiTheme="majorHAnsi" w:hAnsiTheme="majorHAnsi" w:cstheme="majorHAnsi"/>
          <w:b/>
          <w:color w:val="012169"/>
        </w:rPr>
        <w:t>-supported</w:t>
      </w:r>
      <w:r w:rsidR="00882E3B">
        <w:rPr>
          <w:rFonts w:asciiTheme="majorHAnsi" w:hAnsiTheme="majorHAnsi" w:cstheme="majorHAnsi"/>
          <w:b/>
          <w:color w:val="012169"/>
        </w:rPr>
        <w:t xml:space="preserve"> residents</w:t>
      </w:r>
      <w:r w:rsidR="0067390D" w:rsidRPr="00893407">
        <w:rPr>
          <w:rFonts w:asciiTheme="majorHAnsi" w:hAnsiTheme="majorHAnsi" w:cstheme="majorHAnsi"/>
          <w:b/>
          <w:color w:val="012169"/>
        </w:rPr>
        <w:t>.</w:t>
      </w:r>
    </w:p>
    <w:p w14:paraId="7079736A" w14:textId="671FCA7B" w:rsidR="0067390D" w:rsidRPr="0067390D" w:rsidRDefault="0019123C" w:rsidP="0067390D">
      <w:r>
        <w:t>O</w:t>
      </w:r>
      <w:r w:rsidR="0067390D">
        <w:t>ne SDC</w:t>
      </w:r>
      <w:r>
        <w:t xml:space="preserve">U reported caring for residents who received support through the NDIS in addition to the SDCP. A small number of stakeholders at this SDCU </w:t>
      </w:r>
      <w:r w:rsidR="008D6056">
        <w:t xml:space="preserve">felt </w:t>
      </w:r>
      <w:r w:rsidR="000E1040">
        <w:t>that</w:t>
      </w:r>
      <w:r w:rsidR="008D6056">
        <w:t xml:space="preserve"> care planning and goal setting for these residents </w:t>
      </w:r>
      <w:r w:rsidR="00A568BE">
        <w:t>could</w:t>
      </w:r>
      <w:r w:rsidR="000E1040">
        <w:t xml:space="preserve"> </w:t>
      </w:r>
      <w:r w:rsidR="00A568BE">
        <w:t>sometimes</w:t>
      </w:r>
      <w:r w:rsidR="000E1040">
        <w:t xml:space="preserve"> </w:t>
      </w:r>
      <w:r w:rsidR="00A568BE">
        <w:t>be</w:t>
      </w:r>
      <w:r w:rsidR="000E1040">
        <w:t xml:space="preserve"> m</w:t>
      </w:r>
      <w:r w:rsidR="008D6056">
        <w:t>ore difficult</w:t>
      </w:r>
      <w:r w:rsidR="00457798">
        <w:t xml:space="preserve"> </w:t>
      </w:r>
      <w:r w:rsidR="000E1040">
        <w:t xml:space="preserve">than other residents </w:t>
      </w:r>
      <w:r w:rsidR="00457798">
        <w:t xml:space="preserve">due to the need to </w:t>
      </w:r>
      <w:r w:rsidR="00A568BE">
        <w:t>incorporate</w:t>
      </w:r>
      <w:r w:rsidR="00457798">
        <w:t xml:space="preserve"> </w:t>
      </w:r>
      <w:r w:rsidR="000E1040">
        <w:t>additional</w:t>
      </w:r>
      <w:r w:rsidR="008D6056">
        <w:t xml:space="preserve"> </w:t>
      </w:r>
      <w:r w:rsidR="00A568BE">
        <w:t>care goals</w:t>
      </w:r>
      <w:r w:rsidR="008D6056">
        <w:t xml:space="preserve"> </w:t>
      </w:r>
      <w:r w:rsidR="00A568BE">
        <w:t>under the NDIS</w:t>
      </w:r>
      <w:r w:rsidR="001A37E9">
        <w:t xml:space="preserve"> </w:t>
      </w:r>
      <w:r w:rsidR="008D6056">
        <w:t xml:space="preserve">and </w:t>
      </w:r>
      <w:r w:rsidR="001A37E9">
        <w:t>misaligned expectations between the NDIS and aged care staff</w:t>
      </w:r>
      <w:r w:rsidR="00457798">
        <w:t xml:space="preserve">. </w:t>
      </w:r>
      <w:r w:rsidR="007A2C1E" w:rsidRPr="00BC6E44">
        <w:t xml:space="preserve">For example, </w:t>
      </w:r>
      <w:r w:rsidR="00A568BE" w:rsidRPr="0079620C">
        <w:t>o</w:t>
      </w:r>
      <w:r w:rsidR="00457798" w:rsidRPr="00BC6E44">
        <w:t>ne</w:t>
      </w:r>
      <w:r w:rsidR="00457798">
        <w:t xml:space="preserve"> stakeholder felt the goals set under the </w:t>
      </w:r>
      <w:r w:rsidR="00446D9A">
        <w:t>NDIS</w:t>
      </w:r>
      <w:r w:rsidR="00DA173E">
        <w:t xml:space="preserve"> </w:t>
      </w:r>
      <w:r w:rsidR="00AE1010">
        <w:t>did not sufficiently take into account limitations associated with the residents’ dementia</w:t>
      </w:r>
      <w:r w:rsidR="00A568BE">
        <w:t>,</w:t>
      </w:r>
      <w:r w:rsidR="00AE1010">
        <w:t xml:space="preserve"> which </w:t>
      </w:r>
      <w:r w:rsidR="00A568BE">
        <w:t xml:space="preserve">they noted </w:t>
      </w:r>
      <w:r w:rsidR="00AE1010">
        <w:t xml:space="preserve">resulted in </w:t>
      </w:r>
      <w:r w:rsidR="00F53276">
        <w:t xml:space="preserve">ambitious </w:t>
      </w:r>
      <w:r w:rsidR="00AE1010">
        <w:t>care goals</w:t>
      </w:r>
      <w:r w:rsidR="00F53276">
        <w:t xml:space="preserve"> </w:t>
      </w:r>
      <w:r w:rsidR="00A568BE">
        <w:t>that</w:t>
      </w:r>
      <w:r w:rsidR="00F53276">
        <w:t xml:space="preserve"> could not </w:t>
      </w:r>
      <w:r w:rsidR="00153677">
        <w:t xml:space="preserve">always </w:t>
      </w:r>
      <w:r w:rsidR="00F53276">
        <w:t>be met in practice</w:t>
      </w:r>
      <w:r w:rsidR="00AE1010">
        <w:t xml:space="preserve">. </w:t>
      </w:r>
    </w:p>
    <w:p w14:paraId="15517029" w14:textId="04993491" w:rsidR="00025ACD" w:rsidRPr="00893407" w:rsidRDefault="00025ACD" w:rsidP="00033931">
      <w:pPr>
        <w:rPr>
          <w:rFonts w:asciiTheme="majorHAnsi" w:hAnsiTheme="majorHAnsi" w:cstheme="majorHAnsi"/>
          <w:b/>
          <w:color w:val="012169"/>
        </w:rPr>
      </w:pPr>
      <w:r w:rsidRPr="00033931">
        <w:rPr>
          <w:rFonts w:asciiTheme="majorHAnsi" w:hAnsiTheme="majorHAnsi" w:cstheme="majorHAnsi"/>
          <w:b/>
          <w:color w:val="012169"/>
        </w:rPr>
        <w:t xml:space="preserve">Prioritising the establishment of a Clinical In-reach Community of Practice would support </w:t>
      </w:r>
      <w:r w:rsidR="00245B06">
        <w:rPr>
          <w:rFonts w:asciiTheme="majorHAnsi" w:hAnsiTheme="majorHAnsi" w:cstheme="majorHAnsi"/>
          <w:b/>
          <w:color w:val="012169"/>
        </w:rPr>
        <w:t xml:space="preserve">specialist clinical </w:t>
      </w:r>
      <w:r w:rsidRPr="00893407">
        <w:rPr>
          <w:rFonts w:asciiTheme="majorHAnsi" w:hAnsiTheme="majorHAnsi" w:cstheme="majorHAnsi"/>
          <w:b/>
          <w:color w:val="012169"/>
        </w:rPr>
        <w:t>knowledge exchange.</w:t>
      </w:r>
    </w:p>
    <w:p w14:paraId="70489541" w14:textId="77777777" w:rsidR="00025ACD" w:rsidRPr="006D5642" w:rsidRDefault="00025ACD" w:rsidP="00025ACD">
      <w:pPr>
        <w:spacing w:after="0"/>
        <w:rPr>
          <w:u w:val="single"/>
        </w:rPr>
      </w:pPr>
      <w:r w:rsidRPr="006D5642">
        <w:rPr>
          <w:u w:val="single"/>
        </w:rPr>
        <w:t>Peer connections for in-reach clinicians</w:t>
      </w:r>
    </w:p>
    <w:p w14:paraId="2B92DFF1" w14:textId="77777777" w:rsidR="00025ACD" w:rsidRDefault="00025ACD" w:rsidP="00025ACD">
      <w:r w:rsidRPr="00164180">
        <w:t xml:space="preserve">Several </w:t>
      </w:r>
      <w:r>
        <w:t>in-reach clinicians</w:t>
      </w:r>
      <w:r w:rsidRPr="00164180">
        <w:t xml:space="preserve"> observed </w:t>
      </w:r>
      <w:r>
        <w:t>a</w:t>
      </w:r>
      <w:r w:rsidRPr="00164180">
        <w:t xml:space="preserve"> need for a regular </w:t>
      </w:r>
      <w:r>
        <w:t xml:space="preserve">Clinical-In-reach </w:t>
      </w:r>
      <w:r w:rsidRPr="00164180">
        <w:t>Community of Practice</w:t>
      </w:r>
      <w:r>
        <w:t>, given the target cohort</w:t>
      </w:r>
      <w:r w:rsidRPr="00164180">
        <w:t xml:space="preserve"> require</w:t>
      </w:r>
      <w:r>
        <w:t>s</w:t>
      </w:r>
      <w:r w:rsidRPr="00164180">
        <w:t xml:space="preserve"> specialist expertise</w:t>
      </w:r>
      <w:r>
        <w:t>,</w:t>
      </w:r>
      <w:r w:rsidRPr="00164180">
        <w:t xml:space="preserve"> and</w:t>
      </w:r>
      <w:r>
        <w:t xml:space="preserve"> in some cases,</w:t>
      </w:r>
      <w:r w:rsidRPr="00164180">
        <w:t xml:space="preserve"> peer review </w:t>
      </w:r>
      <w:r>
        <w:t>to support</w:t>
      </w:r>
      <w:r w:rsidRPr="00164180">
        <w:t xml:space="preserve"> clinical decision making. </w:t>
      </w:r>
      <w:r>
        <w:t>These stakeholders felt that</w:t>
      </w:r>
      <w:r w:rsidRPr="00164180">
        <w:t xml:space="preserve"> clinical care in the dementia field, and the aged care sector more broadly, </w:t>
      </w:r>
      <w:r>
        <w:t>is</w:t>
      </w:r>
      <w:r w:rsidRPr="00164180">
        <w:t xml:space="preserve"> siloed, </w:t>
      </w:r>
      <w:r>
        <w:t>with few</w:t>
      </w:r>
      <w:r w:rsidRPr="00164180">
        <w:t xml:space="preserve"> opportunit</w:t>
      </w:r>
      <w:r>
        <w:t>ies</w:t>
      </w:r>
      <w:r w:rsidRPr="00164180">
        <w:t xml:space="preserve"> </w:t>
      </w:r>
      <w:r>
        <w:t>for</w:t>
      </w:r>
      <w:r w:rsidRPr="00164180">
        <w:t xml:space="preserve"> knowledge-sharing and consultation with </w:t>
      </w:r>
      <w:r>
        <w:t xml:space="preserve">peer </w:t>
      </w:r>
      <w:r w:rsidRPr="00164180">
        <w:t xml:space="preserve">practitioners. One stakeholder </w:t>
      </w:r>
      <w:r>
        <w:t>provided an example of where they had</w:t>
      </w:r>
      <w:r w:rsidRPr="00164180">
        <w:t xml:space="preserve"> </w:t>
      </w:r>
      <w:r>
        <w:t>sought</w:t>
      </w:r>
      <w:r w:rsidRPr="00164180">
        <w:t xml:space="preserve"> advice from a DSA </w:t>
      </w:r>
      <w:r>
        <w:t>clinician on the use</w:t>
      </w:r>
      <w:r w:rsidRPr="00164180">
        <w:t xml:space="preserve"> of medications</w:t>
      </w:r>
      <w:r>
        <w:t xml:space="preserve">, which strengthened their confidence and ability to implement legal and evidence-based practices. </w:t>
      </w:r>
    </w:p>
    <w:p w14:paraId="6029AD94" w14:textId="136E5CB6" w:rsidR="00397D10" w:rsidRDefault="00025ACD" w:rsidP="00025ACD">
      <w:pPr>
        <w:spacing w:after="0"/>
      </w:pPr>
      <w:r w:rsidRPr="002F68A8">
        <w:t xml:space="preserve">It is noted that since stakeholders were interviewed for this Report, the Department has commenced facilitating a regular </w:t>
      </w:r>
      <w:r>
        <w:t xml:space="preserve">Clinical-In-reach </w:t>
      </w:r>
      <w:r w:rsidRPr="002F68A8">
        <w:t xml:space="preserve">Community of Practice. </w:t>
      </w:r>
    </w:p>
    <w:p w14:paraId="184C25E4" w14:textId="77777777" w:rsidR="00920302" w:rsidRDefault="00920302" w:rsidP="00025ACD">
      <w:pPr>
        <w:spacing w:after="0"/>
      </w:pPr>
    </w:p>
    <w:p w14:paraId="0641BEFB" w14:textId="5BA6E926" w:rsidR="00397D10" w:rsidRPr="00241E54" w:rsidRDefault="00832259" w:rsidP="00920302">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autoSpaceDE w:val="0"/>
        <w:autoSpaceDN w:val="0"/>
        <w:adjustRightInd w:val="0"/>
        <w:spacing w:after="0"/>
        <w:rPr>
          <w:rFonts w:eastAsia="Verdana" w:cstheme="minorHAnsi"/>
          <w:color w:val="007CB0" w:themeColor="accent6"/>
          <w:szCs w:val="20"/>
          <w:lang w:val="en-AU"/>
        </w:rPr>
      </w:pPr>
      <w:r w:rsidRPr="00832259">
        <w:rPr>
          <w:noProof/>
        </w:rPr>
        <w:drawing>
          <wp:inline distT="0" distB="0" distL="0" distR="0" wp14:anchorId="59325411" wp14:editId="08313095">
            <wp:extent cx="6319520" cy="662940"/>
            <wp:effectExtent l="0" t="0" r="5080" b="3810"/>
            <wp:docPr id="18" name="Picture 18" descr="This image is a quote from clinician in-reach. It says &quot;It was definitely always going to be a tricky balance to maintain between medical governance from hospital and site government from a RACF. But over the two years, there have been inroads about what is possible about reasonable expectations on [different] sta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is a quote from clinician in-reach. It says &quot;It was definitely always going to be a tricky balance to maintain between medical governance from hospital and site government from a RACF. But over the two years, there have been inroads about what is possible about reasonable expectations on [different] staff.&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19520" cy="662940"/>
                    </a:xfrm>
                    <a:prstGeom prst="rect">
                      <a:avLst/>
                    </a:prstGeom>
                    <a:noFill/>
                    <a:ln>
                      <a:noFill/>
                    </a:ln>
                  </pic:spPr>
                </pic:pic>
              </a:graphicData>
            </a:graphic>
          </wp:inline>
        </w:drawing>
      </w:r>
    </w:p>
    <w:p w14:paraId="39B10300" w14:textId="77777777" w:rsidR="00584F5D" w:rsidRPr="0089407F" w:rsidRDefault="00584F5D" w:rsidP="00DE1ACE"/>
    <w:p w14:paraId="6925F7B2" w14:textId="2727E414" w:rsidR="00260744" w:rsidRDefault="0081024B" w:rsidP="00260744">
      <w:pPr>
        <w:pStyle w:val="Heading1"/>
      </w:pPr>
      <w:bookmarkStart w:id="51" w:name="_Ref123917856"/>
      <w:bookmarkStart w:id="52" w:name="_Ref123918872"/>
      <w:bookmarkStart w:id="53" w:name="_Ref123919177"/>
      <w:r>
        <w:t xml:space="preserve"> </w:t>
      </w:r>
      <w:bookmarkStart w:id="54" w:name="_Ref124236683"/>
      <w:bookmarkStart w:id="55" w:name="_Toc141714792"/>
      <w:r w:rsidR="00260744">
        <w:t>Transitions</w:t>
      </w:r>
      <w:r w:rsidR="00011D69">
        <w:t xml:space="preserve"> </w:t>
      </w:r>
      <w:r w:rsidR="00260744">
        <w:t>out</w:t>
      </w:r>
      <w:bookmarkEnd w:id="51"/>
      <w:bookmarkEnd w:id="52"/>
      <w:bookmarkEnd w:id="53"/>
      <w:bookmarkEnd w:id="54"/>
      <w:bookmarkEnd w:id="55"/>
    </w:p>
    <w:p w14:paraId="709C5728" w14:textId="5D0BACD9" w:rsidR="00260744" w:rsidRDefault="00260744" w:rsidP="00260744">
      <w:pPr>
        <w:pStyle w:val="Sectionintro"/>
      </w:pPr>
      <w:r>
        <w:t xml:space="preserve">This chapter presents key findings as they relate to </w:t>
      </w:r>
      <w:r w:rsidR="00584F5D">
        <w:t>discharge and transition</w:t>
      </w:r>
      <w:r w:rsidR="00E47980">
        <w:t xml:space="preserve"> </w:t>
      </w:r>
      <w:r w:rsidR="00584F5D">
        <w:t>out phase of the care continuum</w:t>
      </w:r>
      <w:r>
        <w:t>.</w:t>
      </w:r>
    </w:p>
    <w:p w14:paraId="407449E8" w14:textId="23C7BA93" w:rsidR="000217E8" w:rsidRPr="000217E8" w:rsidRDefault="000217E8" w:rsidP="000217E8">
      <w:pPr>
        <w:pStyle w:val="Caption"/>
      </w:pPr>
      <w:r>
        <w:t xml:space="preserve">Figure </w:t>
      </w:r>
      <w:r w:rsidR="00990867">
        <w:fldChar w:fldCharType="begin"/>
      </w:r>
      <w:r w:rsidR="00990867">
        <w:instrText xml:space="preserve"> STYLEREF 1 \s </w:instrText>
      </w:r>
      <w:r w:rsidR="00990867">
        <w:fldChar w:fldCharType="separate"/>
      </w:r>
      <w:r w:rsidR="00D32536">
        <w:rPr>
          <w:noProof/>
        </w:rPr>
        <w:t>4</w:t>
      </w:r>
      <w:r w:rsidR="00990867">
        <w:fldChar w:fldCharType="end"/>
      </w:r>
      <w:r>
        <w:t>.</w:t>
      </w:r>
      <w:r w:rsidR="008875A8">
        <w:fldChar w:fldCharType="begin"/>
      </w:r>
      <w:r w:rsidR="008875A8">
        <w:instrText xml:space="preserve"> SEQ Figure \* ARABIC \s 1 </w:instrText>
      </w:r>
      <w:r w:rsidR="008875A8">
        <w:fldChar w:fldCharType="separate"/>
      </w:r>
      <w:r w:rsidR="00D32536">
        <w:rPr>
          <w:noProof/>
        </w:rPr>
        <w:t>1</w:t>
      </w:r>
      <w:r w:rsidR="008875A8">
        <w:fldChar w:fldCharType="end"/>
      </w:r>
      <w:r>
        <w:t xml:space="preserve"> Transition out component of the care continuum</w:t>
      </w:r>
    </w:p>
    <w:p w14:paraId="7E9CC2A2" w14:textId="41851184" w:rsidR="00260744" w:rsidRDefault="007A1AAF" w:rsidP="00260744">
      <w:r w:rsidRPr="007A1AAF">
        <w:rPr>
          <w:noProof/>
        </w:rPr>
        <w:drawing>
          <wp:inline distT="0" distB="0" distL="0" distR="0" wp14:anchorId="6E5CD546" wp14:editId="72753F48">
            <wp:extent cx="6364224" cy="2849577"/>
            <wp:effectExtent l="0" t="0" r="0" b="0"/>
            <wp:docPr id="33" name="Picture 33" descr="This diagram is the specialist dementia care program care pathway, as described ear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diagram is the specialist dementia care program care pathway, as described earlier.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80427" cy="2856832"/>
                    </a:xfrm>
                    <a:prstGeom prst="rect">
                      <a:avLst/>
                    </a:prstGeom>
                    <a:noFill/>
                    <a:ln>
                      <a:noFill/>
                    </a:ln>
                  </pic:spPr>
                </pic:pic>
              </a:graphicData>
            </a:graphic>
          </wp:inline>
        </w:drawing>
      </w:r>
    </w:p>
    <w:p w14:paraId="5EE3B597" w14:textId="77777777" w:rsidR="00260744" w:rsidRDefault="00260744" w:rsidP="00260744">
      <w:pPr>
        <w:pStyle w:val="SourcetextTableorChart"/>
        <w:rPr>
          <w:lang w:val="en-AU"/>
        </w:rPr>
      </w:pPr>
      <w:r>
        <w:rPr>
          <w:lang w:val="en-AU"/>
        </w:rPr>
        <w:t>Source: Deloitte Access Economics based on Department of Health information.</w:t>
      </w:r>
    </w:p>
    <w:p w14:paraId="7C13BC44" w14:textId="1AD3228A" w:rsidR="00584F5D" w:rsidRDefault="00584F5D" w:rsidP="00584F5D">
      <w:r>
        <w:t>An assessment of the discharge and transition-out process is explored through the following sub-sections of this chapter:</w:t>
      </w:r>
    </w:p>
    <w:p w14:paraId="4B37FEB8" w14:textId="1C9DFD11" w:rsidR="00584F5D" w:rsidRDefault="00584F5D" w:rsidP="00584F5D">
      <w:pPr>
        <w:pStyle w:val="ListBullet"/>
      </w:pPr>
      <w:r>
        <w:t>timeliness and co-ordination of discharge</w:t>
      </w:r>
    </w:p>
    <w:p w14:paraId="7F9AFF87" w14:textId="3065F28E" w:rsidR="006C39AB" w:rsidRDefault="0066545E" w:rsidP="00584F5D">
      <w:pPr>
        <w:pStyle w:val="ListBullet"/>
      </w:pPr>
      <w:r>
        <w:t>bounce-back of clients to an SDCU.</w:t>
      </w:r>
    </w:p>
    <w:p w14:paraId="1A3EACBB" w14:textId="77777777" w:rsidR="0066545E" w:rsidRDefault="0066545E" w:rsidP="0066545E">
      <w:pPr>
        <w:pStyle w:val="ListBullet"/>
        <w:numPr>
          <w:ilvl w:val="0"/>
          <w:numId w:val="0"/>
        </w:numPr>
      </w:pPr>
    </w:p>
    <w:p w14:paraId="55437E7E" w14:textId="64592FC8" w:rsidR="00584F5D" w:rsidRPr="00F0161D" w:rsidRDefault="00E204AC" w:rsidP="00BF0048">
      <w:pPr>
        <w:pStyle w:val="Heading2"/>
        <w:spacing w:after="0"/>
        <w:ind w:left="578" w:hanging="578"/>
        <w:rPr>
          <w:lang w:val="en-AU"/>
        </w:rPr>
      </w:pPr>
      <w:bookmarkStart w:id="56" w:name="_Ref123907438"/>
      <w:r w:rsidRPr="00F0161D">
        <w:rPr>
          <w:lang w:val="en-AU"/>
        </w:rPr>
        <w:t>Timeliness and coordination of discharg</w:t>
      </w:r>
      <w:r w:rsidR="00F0161D" w:rsidRPr="00F0161D">
        <w:rPr>
          <w:lang w:val="en-AU"/>
        </w:rPr>
        <w:t>e</w:t>
      </w:r>
      <w:bookmarkEnd w:id="56"/>
    </w:p>
    <w:p w14:paraId="01BEC4D2" w14:textId="5CDA12A7" w:rsidR="00F17F23" w:rsidRDefault="003D0F75" w:rsidP="00F17F23">
      <w:pPr>
        <w:rPr>
          <w:rFonts w:asciiTheme="majorHAnsi" w:hAnsiTheme="majorHAnsi" w:cstheme="majorHAnsi"/>
          <w:b/>
          <w:color w:val="012169"/>
          <w:lang w:val="en-AU"/>
        </w:rPr>
      </w:pPr>
      <w:r w:rsidRPr="00D132FC">
        <w:rPr>
          <w:rFonts w:asciiTheme="majorHAnsi" w:hAnsiTheme="majorHAnsi" w:cstheme="majorHAnsi"/>
          <w:b/>
          <w:color w:val="012169"/>
          <w:lang w:val="en-AU"/>
        </w:rPr>
        <w:t>According to client-level data</w:t>
      </w:r>
      <w:r w:rsidR="00E7625E" w:rsidRPr="00D132FC">
        <w:rPr>
          <w:rFonts w:asciiTheme="majorHAnsi" w:hAnsiTheme="majorHAnsi" w:cstheme="majorHAnsi"/>
          <w:b/>
          <w:color w:val="012169"/>
          <w:lang w:val="en-AU"/>
        </w:rPr>
        <w:t xml:space="preserve">, the </w:t>
      </w:r>
      <w:r w:rsidR="005468B7">
        <w:rPr>
          <w:rFonts w:asciiTheme="majorHAnsi" w:hAnsiTheme="majorHAnsi" w:cstheme="majorHAnsi"/>
          <w:b/>
          <w:color w:val="012169"/>
          <w:lang w:val="en-AU"/>
        </w:rPr>
        <w:t>Program</w:t>
      </w:r>
      <w:r w:rsidR="005468B7" w:rsidRPr="00D132FC">
        <w:rPr>
          <w:rFonts w:asciiTheme="majorHAnsi" w:hAnsiTheme="majorHAnsi" w:cstheme="majorHAnsi"/>
          <w:b/>
          <w:color w:val="012169"/>
          <w:lang w:val="en-AU"/>
        </w:rPr>
        <w:t xml:space="preserve"> </w:t>
      </w:r>
      <w:r w:rsidR="00FF63D2">
        <w:rPr>
          <w:rFonts w:asciiTheme="majorHAnsi" w:hAnsiTheme="majorHAnsi" w:cstheme="majorHAnsi"/>
          <w:b/>
          <w:color w:val="012169"/>
          <w:lang w:val="en-AU"/>
        </w:rPr>
        <w:t>completed</w:t>
      </w:r>
      <w:r w:rsidR="00CF7E2B" w:rsidRPr="00D132FC">
        <w:rPr>
          <w:rFonts w:asciiTheme="majorHAnsi" w:hAnsiTheme="majorHAnsi" w:cstheme="majorHAnsi"/>
          <w:b/>
          <w:color w:val="012169"/>
          <w:lang w:val="en-AU"/>
        </w:rPr>
        <w:t xml:space="preserve"> </w:t>
      </w:r>
      <w:r w:rsidRPr="00E126E8">
        <w:rPr>
          <w:rFonts w:asciiTheme="majorHAnsi" w:hAnsiTheme="majorHAnsi" w:cstheme="majorHAnsi"/>
          <w:b/>
          <w:color w:val="012169"/>
          <w:lang w:val="en-AU"/>
        </w:rPr>
        <w:t>99</w:t>
      </w:r>
      <w:r w:rsidR="00CF7E2B" w:rsidRPr="00E126E8">
        <w:rPr>
          <w:rFonts w:asciiTheme="majorHAnsi" w:hAnsiTheme="majorHAnsi" w:cstheme="majorHAnsi"/>
          <w:b/>
          <w:color w:val="012169"/>
          <w:lang w:val="en-AU"/>
        </w:rPr>
        <w:t xml:space="preserve"> discharges</w:t>
      </w:r>
      <w:r w:rsidR="00CF7E2B" w:rsidRPr="00D132FC">
        <w:rPr>
          <w:rFonts w:asciiTheme="majorHAnsi" w:hAnsiTheme="majorHAnsi" w:cstheme="majorHAnsi"/>
          <w:b/>
          <w:color w:val="012169"/>
          <w:lang w:val="en-AU"/>
        </w:rPr>
        <w:t xml:space="preserve"> </w:t>
      </w:r>
      <w:r w:rsidR="00603ACB" w:rsidRPr="00D132FC">
        <w:rPr>
          <w:rFonts w:asciiTheme="majorHAnsi" w:hAnsiTheme="majorHAnsi" w:cstheme="majorHAnsi"/>
          <w:b/>
          <w:color w:val="012169"/>
          <w:lang w:val="en-AU"/>
        </w:rPr>
        <w:t>between September 2019 to June 2022</w:t>
      </w:r>
      <w:r w:rsidR="007D610E" w:rsidRPr="00D132FC">
        <w:rPr>
          <w:rFonts w:asciiTheme="majorHAnsi" w:hAnsiTheme="majorHAnsi" w:cstheme="majorHAnsi"/>
          <w:b/>
          <w:color w:val="012169"/>
          <w:lang w:val="en-AU"/>
        </w:rPr>
        <w:t xml:space="preserve">, with </w:t>
      </w:r>
      <w:r w:rsidRPr="00D132FC">
        <w:rPr>
          <w:rFonts w:asciiTheme="majorHAnsi" w:hAnsiTheme="majorHAnsi" w:cstheme="majorHAnsi"/>
          <w:b/>
          <w:color w:val="012169"/>
          <w:lang w:val="en-AU"/>
        </w:rPr>
        <w:t>almost two-third</w:t>
      </w:r>
      <w:r w:rsidR="006F7CE0" w:rsidRPr="00D132FC">
        <w:rPr>
          <w:rFonts w:asciiTheme="majorHAnsi" w:hAnsiTheme="majorHAnsi" w:cstheme="majorHAnsi"/>
          <w:b/>
          <w:color w:val="012169"/>
          <w:lang w:val="en-AU"/>
        </w:rPr>
        <w:t xml:space="preserve">s attributed </w:t>
      </w:r>
      <w:r w:rsidR="00CF7E2B" w:rsidRPr="00D132FC">
        <w:rPr>
          <w:rFonts w:asciiTheme="majorHAnsi" w:hAnsiTheme="majorHAnsi" w:cstheme="majorHAnsi"/>
          <w:b/>
          <w:color w:val="012169"/>
          <w:lang w:val="en-AU"/>
        </w:rPr>
        <w:t>to settled BPSD.</w:t>
      </w:r>
      <w:r w:rsidR="00E7625E" w:rsidRPr="00D132FC">
        <w:rPr>
          <w:rFonts w:asciiTheme="majorHAnsi" w:hAnsiTheme="majorHAnsi" w:cstheme="majorHAnsi"/>
          <w:b/>
          <w:color w:val="012169"/>
          <w:lang w:val="en-AU"/>
        </w:rPr>
        <w:t xml:space="preserve"> </w:t>
      </w:r>
    </w:p>
    <w:p w14:paraId="18255253" w14:textId="5A545546" w:rsidR="00C31AC2" w:rsidRPr="008A1F69" w:rsidRDefault="008A1F69" w:rsidP="008A1F69">
      <w:pPr>
        <w:spacing w:after="0"/>
        <w:rPr>
          <w:rFonts w:eastAsia="Verdana" w:cstheme="minorHAnsi"/>
          <w:szCs w:val="20"/>
          <w:u w:val="single"/>
          <w:lang w:val="en-AU"/>
        </w:rPr>
      </w:pPr>
      <w:r w:rsidRPr="008A1F69">
        <w:rPr>
          <w:rFonts w:eastAsia="Verdana" w:cstheme="minorHAnsi"/>
          <w:szCs w:val="20"/>
          <w:u w:val="single"/>
          <w:lang w:val="en-AU"/>
        </w:rPr>
        <w:t xml:space="preserve">Number </w:t>
      </w:r>
      <w:r w:rsidR="00120E26">
        <w:rPr>
          <w:rFonts w:eastAsia="Verdana" w:cstheme="minorHAnsi"/>
          <w:szCs w:val="20"/>
          <w:u w:val="single"/>
          <w:lang w:val="en-AU"/>
        </w:rPr>
        <w:t>and</w:t>
      </w:r>
      <w:r w:rsidRPr="008A1F69">
        <w:rPr>
          <w:rFonts w:eastAsia="Verdana" w:cstheme="minorHAnsi"/>
          <w:szCs w:val="20"/>
          <w:u w:val="single"/>
          <w:lang w:val="en-AU"/>
        </w:rPr>
        <w:t xml:space="preserve"> location of discharges</w:t>
      </w:r>
    </w:p>
    <w:p w14:paraId="55155E3B" w14:textId="72D58B06" w:rsidR="00F25457" w:rsidRPr="00D75C17" w:rsidRDefault="00CF7E2B" w:rsidP="00F25457">
      <w:r w:rsidRPr="000A10CF">
        <w:rPr>
          <w:rFonts w:cstheme="minorHAnsi"/>
          <w:lang w:val="en-AU"/>
        </w:rPr>
        <w:t>According to six-monthly performance reports from SDCUs, 99 discharges</w:t>
      </w:r>
      <w:r w:rsidR="00720316">
        <w:rPr>
          <w:rFonts w:cstheme="minorHAnsi"/>
          <w:lang w:val="en-AU"/>
        </w:rPr>
        <w:t xml:space="preserve"> </w:t>
      </w:r>
      <w:r w:rsidR="00F578E2">
        <w:rPr>
          <w:rFonts w:cstheme="minorHAnsi"/>
          <w:lang w:val="en-AU"/>
        </w:rPr>
        <w:t>occurred</w:t>
      </w:r>
      <w:r w:rsidRPr="000A10CF">
        <w:rPr>
          <w:rFonts w:cstheme="minorHAnsi"/>
          <w:lang w:val="en-AU"/>
        </w:rPr>
        <w:t xml:space="preserve"> across all </w:t>
      </w:r>
      <w:r w:rsidR="00940E24">
        <w:rPr>
          <w:rFonts w:cstheme="minorHAnsi"/>
          <w:lang w:val="en-AU"/>
        </w:rPr>
        <w:t>SDCUs</w:t>
      </w:r>
      <w:r w:rsidRPr="000A10CF">
        <w:rPr>
          <w:rFonts w:cstheme="minorHAnsi"/>
          <w:lang w:val="en-AU"/>
        </w:rPr>
        <w:t xml:space="preserve"> over the course of the Program</w:t>
      </w:r>
      <w:r w:rsidR="00720316">
        <w:rPr>
          <w:rFonts w:cstheme="minorHAnsi"/>
          <w:lang w:val="en-AU"/>
        </w:rPr>
        <w:t xml:space="preserve"> (hereafter referred to as separations due to the variation in </w:t>
      </w:r>
      <w:r w:rsidR="00E22842">
        <w:rPr>
          <w:rFonts w:cstheme="minorHAnsi"/>
          <w:lang w:val="en-AU"/>
        </w:rPr>
        <w:t xml:space="preserve">end </w:t>
      </w:r>
      <w:r w:rsidR="00720316">
        <w:rPr>
          <w:rFonts w:cstheme="minorHAnsi"/>
          <w:lang w:val="en-AU"/>
        </w:rPr>
        <w:t>outcomes observed)</w:t>
      </w:r>
      <w:r w:rsidRPr="000A10CF">
        <w:rPr>
          <w:rFonts w:cstheme="minorHAnsi"/>
          <w:lang w:val="en-AU"/>
        </w:rPr>
        <w:t xml:space="preserve">. </w:t>
      </w:r>
      <w:r w:rsidR="00995B0A" w:rsidRPr="000A10CF">
        <w:rPr>
          <w:rFonts w:cstheme="minorHAnsi"/>
          <w:lang w:val="en-AU"/>
        </w:rPr>
        <w:t xml:space="preserve">Of these, </w:t>
      </w:r>
      <w:r w:rsidR="00D80678">
        <w:rPr>
          <w:rFonts w:cstheme="minorHAnsi"/>
          <w:lang w:val="en-AU"/>
        </w:rPr>
        <w:t>almost two-thirds (</w:t>
      </w:r>
      <w:r w:rsidR="00995B0A" w:rsidRPr="000A10CF">
        <w:rPr>
          <w:rFonts w:cstheme="minorHAnsi"/>
          <w:lang w:val="en-AU"/>
        </w:rPr>
        <w:t>62 residents</w:t>
      </w:r>
      <w:r w:rsidR="00D80678">
        <w:rPr>
          <w:rFonts w:cstheme="minorHAnsi"/>
          <w:lang w:val="en-AU"/>
        </w:rPr>
        <w:t>)</w:t>
      </w:r>
      <w:r w:rsidR="00995B0A" w:rsidRPr="000A10CF">
        <w:rPr>
          <w:rFonts w:cstheme="minorHAnsi"/>
          <w:lang w:val="en-AU"/>
        </w:rPr>
        <w:t xml:space="preserve"> </w:t>
      </w:r>
      <w:r w:rsidR="0076161E" w:rsidRPr="000A10CF">
        <w:rPr>
          <w:rFonts w:cstheme="minorHAnsi"/>
          <w:lang w:val="en-AU"/>
        </w:rPr>
        <w:t xml:space="preserve">were </w:t>
      </w:r>
      <w:r w:rsidR="00D80678">
        <w:rPr>
          <w:rFonts w:cstheme="minorHAnsi"/>
          <w:lang w:val="en-AU"/>
        </w:rPr>
        <w:t>separated</w:t>
      </w:r>
      <w:r w:rsidR="00D80678" w:rsidRPr="000A10CF">
        <w:rPr>
          <w:rFonts w:cstheme="minorHAnsi"/>
          <w:lang w:val="en-AU"/>
        </w:rPr>
        <w:t xml:space="preserve"> </w:t>
      </w:r>
      <w:r w:rsidR="005C3C14">
        <w:rPr>
          <w:rFonts w:cstheme="minorHAnsi"/>
          <w:lang w:val="en-AU"/>
        </w:rPr>
        <w:t>to a less intensive care setting</w:t>
      </w:r>
      <w:r w:rsidR="0076161E" w:rsidRPr="000A10CF">
        <w:rPr>
          <w:rFonts w:cstheme="minorHAnsi"/>
          <w:lang w:val="en-AU"/>
        </w:rPr>
        <w:t xml:space="preserve"> due to a reduction/settling in their BPSD</w:t>
      </w:r>
      <w:r w:rsidR="00F25457" w:rsidRPr="000A10CF">
        <w:t xml:space="preserve">. </w:t>
      </w:r>
      <w:r w:rsidR="00770F25">
        <w:t>The remaining</w:t>
      </w:r>
      <w:r w:rsidR="00D3799E" w:rsidRPr="000A10CF">
        <w:t xml:space="preserve"> </w:t>
      </w:r>
      <w:r w:rsidR="00654D2F">
        <w:t>37</w:t>
      </w:r>
      <w:r w:rsidR="00890E93">
        <w:t xml:space="preserve"> </w:t>
      </w:r>
      <w:r w:rsidR="00D3799E" w:rsidRPr="000A10CF">
        <w:t xml:space="preserve">residents </w:t>
      </w:r>
      <w:r w:rsidR="00881243">
        <w:t xml:space="preserve">were </w:t>
      </w:r>
      <w:r w:rsidR="00D80678">
        <w:t xml:space="preserve">separated </w:t>
      </w:r>
      <w:r w:rsidR="0076689B">
        <w:t xml:space="preserve">from the Program </w:t>
      </w:r>
      <w:r w:rsidR="00D3799E">
        <w:t xml:space="preserve">due to a change in care needs (e.g. </w:t>
      </w:r>
      <w:r w:rsidR="00D3799E" w:rsidRPr="00D3799E">
        <w:t xml:space="preserve">acute medical event, progression of chronic disease, </w:t>
      </w:r>
      <w:r w:rsidR="00D80678">
        <w:t>d</w:t>
      </w:r>
      <w:r w:rsidR="00406F46">
        <w:t xml:space="preserve">eath or </w:t>
      </w:r>
      <w:r w:rsidR="002346F0">
        <w:t xml:space="preserve">need for </w:t>
      </w:r>
      <w:r w:rsidR="00D3799E" w:rsidRPr="00D3799E">
        <w:t>pallia</w:t>
      </w:r>
      <w:r w:rsidR="00D3799E">
        <w:t>tive care)</w:t>
      </w:r>
      <w:r w:rsidR="00406F46">
        <w:t>,</w:t>
      </w:r>
      <w:r w:rsidR="00D3799E">
        <w:t xml:space="preserve"> or due to an escalation of BPSD.</w:t>
      </w:r>
      <w:r w:rsidR="007C0F5D">
        <w:rPr>
          <w:rStyle w:val="FootnoteReference"/>
        </w:rPr>
        <w:footnoteReference w:id="11"/>
      </w:r>
      <w:r w:rsidR="00890E93">
        <w:t xml:space="preserve"> </w:t>
      </w:r>
      <w:r w:rsidR="00406F46">
        <w:t xml:space="preserve">The </w:t>
      </w:r>
      <w:r w:rsidR="00495733">
        <w:t xml:space="preserve">strong representation of </w:t>
      </w:r>
      <w:r w:rsidR="001B0143">
        <w:t>changes in care</w:t>
      </w:r>
      <w:r w:rsidR="00495733">
        <w:t xml:space="preserve"> needs as a cause of Program separation </w:t>
      </w:r>
      <w:r w:rsidR="008D1DA5">
        <w:t>was partly attributed to the age and progression of disease among the Program’s target cohort, which increased the likelihood that some residents would become palliative or require more acute care. W</w:t>
      </w:r>
      <w:r w:rsidR="00890E93">
        <w:t xml:space="preserve">hile </w:t>
      </w:r>
      <w:r w:rsidR="00966994">
        <w:t xml:space="preserve">this group of </w:t>
      </w:r>
      <w:r w:rsidR="005C3C14">
        <w:t xml:space="preserve">residents </w:t>
      </w:r>
      <w:r w:rsidR="00966994">
        <w:t>separated</w:t>
      </w:r>
      <w:r w:rsidR="005C3C14">
        <w:t xml:space="preserve"> for a reason other than the reduction/settling of </w:t>
      </w:r>
      <w:r w:rsidR="000217E8">
        <w:t>BPSD</w:t>
      </w:r>
      <w:r w:rsidR="005C3C14">
        <w:t xml:space="preserve">, it is worth noting that </w:t>
      </w:r>
      <w:r w:rsidR="00D31FC7">
        <w:t>many residents within this</w:t>
      </w:r>
      <w:r w:rsidR="005C3C14">
        <w:t xml:space="preserve"> cohort </w:t>
      </w:r>
      <w:r w:rsidR="00D31FC7">
        <w:t>were</w:t>
      </w:r>
      <w:r w:rsidR="005C3C14">
        <w:t xml:space="preserve"> </w:t>
      </w:r>
      <w:r w:rsidR="008D1DA5">
        <w:t xml:space="preserve">still </w:t>
      </w:r>
      <w:r w:rsidR="005C3C14">
        <w:t xml:space="preserve">reported to experience </w:t>
      </w:r>
      <w:r w:rsidR="00D31FC7">
        <w:t xml:space="preserve">other benefits from the program (discussed in Section </w:t>
      </w:r>
      <w:r w:rsidR="00EF00CE">
        <w:fldChar w:fldCharType="begin"/>
      </w:r>
      <w:r w:rsidR="00EF00CE">
        <w:instrText xml:space="preserve"> REF _Ref123904728 \n \h </w:instrText>
      </w:r>
      <w:r w:rsidR="00EF00CE">
        <w:fldChar w:fldCharType="separate"/>
      </w:r>
      <w:r w:rsidR="00D32536">
        <w:t>5.2</w:t>
      </w:r>
      <w:r w:rsidR="00EF00CE">
        <w:fldChar w:fldCharType="end"/>
      </w:r>
      <w:r w:rsidR="00D31FC7">
        <w:t>).</w:t>
      </w:r>
    </w:p>
    <w:p w14:paraId="133346A0" w14:textId="5164EBB3" w:rsidR="00E04B6B" w:rsidRDefault="00404720" w:rsidP="00744601">
      <w:r w:rsidRPr="00D3799E">
        <w:rPr>
          <w:rFonts w:cstheme="minorHAnsi"/>
          <w:lang w:val="en-AU"/>
        </w:rPr>
        <w:t>Of the</w:t>
      </w:r>
      <w:r w:rsidR="00EC12CC" w:rsidRPr="00D3799E">
        <w:rPr>
          <w:rFonts w:cstheme="minorHAnsi"/>
          <w:lang w:val="en-AU"/>
        </w:rPr>
        <w:t xml:space="preserve"> 62 </w:t>
      </w:r>
      <w:r w:rsidR="0095203D" w:rsidRPr="00D3799E">
        <w:rPr>
          <w:rFonts w:cstheme="minorHAnsi"/>
          <w:lang w:val="en-AU"/>
        </w:rPr>
        <w:t>residents who</w:t>
      </w:r>
      <w:r w:rsidR="001E7785" w:rsidRPr="00D3799E">
        <w:rPr>
          <w:rFonts w:cstheme="minorHAnsi"/>
          <w:lang w:val="en-AU"/>
        </w:rPr>
        <w:t xml:space="preserve"> </w:t>
      </w:r>
      <w:r w:rsidR="00FE0E09" w:rsidRPr="00D3799E">
        <w:rPr>
          <w:rFonts w:cstheme="minorHAnsi"/>
          <w:lang w:val="en-AU"/>
        </w:rPr>
        <w:t>were</w:t>
      </w:r>
      <w:r w:rsidR="00EC12CC" w:rsidRPr="00D3799E">
        <w:rPr>
          <w:rFonts w:cstheme="minorHAnsi"/>
          <w:lang w:val="en-AU"/>
        </w:rPr>
        <w:t xml:space="preserve"> discharged </w:t>
      </w:r>
      <w:r w:rsidR="008D1DA5">
        <w:rPr>
          <w:rFonts w:cstheme="minorHAnsi"/>
          <w:lang w:val="en-AU"/>
        </w:rPr>
        <w:t>to a less intensive care setting</w:t>
      </w:r>
      <w:r w:rsidR="00EC12CC" w:rsidRPr="00D3799E">
        <w:rPr>
          <w:rFonts w:cstheme="minorHAnsi"/>
          <w:lang w:val="en-AU"/>
        </w:rPr>
        <w:t xml:space="preserve"> </w:t>
      </w:r>
      <w:r w:rsidR="0095203D" w:rsidRPr="00D3799E">
        <w:rPr>
          <w:rFonts w:cstheme="minorHAnsi"/>
          <w:lang w:val="en-AU"/>
        </w:rPr>
        <w:t>d</w:t>
      </w:r>
      <w:r w:rsidR="00FE0E09" w:rsidRPr="00D3799E">
        <w:rPr>
          <w:rFonts w:cstheme="minorHAnsi"/>
          <w:lang w:val="en-AU"/>
        </w:rPr>
        <w:t xml:space="preserve">ue to settled behaviours, </w:t>
      </w:r>
      <w:r w:rsidR="0044439A" w:rsidRPr="00D3799E">
        <w:rPr>
          <w:rFonts w:cstheme="minorHAnsi"/>
          <w:lang w:val="en-AU"/>
        </w:rPr>
        <w:t>79</w:t>
      </w:r>
      <w:r w:rsidR="00046829">
        <w:rPr>
          <w:rFonts w:cstheme="minorHAnsi"/>
          <w:lang w:val="en-AU"/>
        </w:rPr>
        <w:t>%</w:t>
      </w:r>
      <w:r w:rsidR="002D341D">
        <w:rPr>
          <w:rFonts w:cstheme="minorHAnsi"/>
          <w:lang w:val="en-AU"/>
        </w:rPr>
        <w:t xml:space="preserve"> </w:t>
      </w:r>
      <w:r w:rsidR="0044439A" w:rsidRPr="00D3799E">
        <w:rPr>
          <w:rFonts w:cstheme="minorHAnsi"/>
          <w:lang w:val="en-AU"/>
        </w:rPr>
        <w:t xml:space="preserve">were discharged to a mainstream </w:t>
      </w:r>
      <w:r w:rsidR="002D341D">
        <w:rPr>
          <w:rFonts w:cstheme="minorHAnsi"/>
          <w:lang w:val="en-AU"/>
        </w:rPr>
        <w:t>RACF</w:t>
      </w:r>
      <w:r w:rsidR="0044439A" w:rsidRPr="00D3799E">
        <w:rPr>
          <w:rFonts w:cstheme="minorHAnsi"/>
          <w:lang w:val="en-AU"/>
        </w:rPr>
        <w:t xml:space="preserve"> setting </w:t>
      </w:r>
      <w:r w:rsidR="00FB440E" w:rsidRPr="00D3799E">
        <w:rPr>
          <w:rFonts w:cstheme="minorHAnsi"/>
          <w:lang w:val="en-AU"/>
        </w:rPr>
        <w:t>o</w:t>
      </w:r>
      <w:r w:rsidR="002D341D">
        <w:rPr>
          <w:rFonts w:cstheme="minorHAnsi"/>
          <w:lang w:val="en-AU"/>
        </w:rPr>
        <w:t>perated</w:t>
      </w:r>
      <w:r w:rsidR="0044439A" w:rsidRPr="00D3799E">
        <w:rPr>
          <w:rFonts w:cstheme="minorHAnsi"/>
          <w:lang w:val="en-AU"/>
        </w:rPr>
        <w:t xml:space="preserve"> by the </w:t>
      </w:r>
      <w:r w:rsidR="00FB440E" w:rsidRPr="00D3799E">
        <w:rPr>
          <w:rFonts w:cstheme="minorHAnsi"/>
          <w:lang w:val="en-AU"/>
        </w:rPr>
        <w:t xml:space="preserve">same </w:t>
      </w:r>
      <w:r w:rsidR="0044439A" w:rsidRPr="00D3799E">
        <w:rPr>
          <w:rFonts w:cstheme="minorHAnsi"/>
          <w:lang w:val="en-AU"/>
        </w:rPr>
        <w:t>provide</w:t>
      </w:r>
      <w:r w:rsidR="00CC7DF1" w:rsidRPr="00D3799E">
        <w:rPr>
          <w:rFonts w:cstheme="minorHAnsi"/>
          <w:lang w:val="en-AU"/>
        </w:rPr>
        <w:t>r</w:t>
      </w:r>
      <w:r w:rsidR="00D77938" w:rsidRPr="00D3799E">
        <w:rPr>
          <w:rFonts w:cstheme="minorHAnsi"/>
          <w:lang w:val="en-AU"/>
        </w:rPr>
        <w:t xml:space="preserve"> (</w:t>
      </w:r>
      <w:r w:rsidR="000217E8">
        <w:rPr>
          <w:rFonts w:cstheme="minorHAnsi"/>
          <w:lang w:val="en-AU"/>
        </w:rPr>
        <w:fldChar w:fldCharType="begin"/>
      </w:r>
      <w:r w:rsidR="000217E8">
        <w:rPr>
          <w:rFonts w:cstheme="minorHAnsi"/>
          <w:lang w:val="en-AU"/>
        </w:rPr>
        <w:instrText xml:space="preserve"> REF _Ref125367305 \h </w:instrText>
      </w:r>
      <w:r w:rsidR="000217E8">
        <w:rPr>
          <w:rFonts w:cstheme="minorHAnsi"/>
          <w:lang w:val="en-AU"/>
        </w:rPr>
      </w:r>
      <w:r w:rsidR="000217E8">
        <w:rPr>
          <w:rFonts w:cstheme="minorHAnsi"/>
          <w:lang w:val="en-AU"/>
        </w:rPr>
        <w:fldChar w:fldCharType="separate"/>
      </w:r>
      <w:r w:rsidR="00D32536">
        <w:t xml:space="preserve">Figure </w:t>
      </w:r>
      <w:r w:rsidR="00D32536">
        <w:rPr>
          <w:noProof/>
        </w:rPr>
        <w:t>4</w:t>
      </w:r>
      <w:r w:rsidR="00D32536">
        <w:t>.</w:t>
      </w:r>
      <w:r w:rsidR="00D32536">
        <w:rPr>
          <w:noProof/>
        </w:rPr>
        <w:t>2</w:t>
      </w:r>
      <w:r w:rsidR="000217E8">
        <w:rPr>
          <w:rFonts w:cstheme="minorHAnsi"/>
          <w:lang w:val="en-AU"/>
        </w:rPr>
        <w:fldChar w:fldCharType="end"/>
      </w:r>
      <w:r w:rsidR="00D77938" w:rsidRPr="00D3799E">
        <w:rPr>
          <w:rFonts w:cstheme="minorHAnsi"/>
          <w:lang w:val="en-AU"/>
        </w:rPr>
        <w:t>)</w:t>
      </w:r>
      <w:r w:rsidR="00CC7DF1" w:rsidRPr="00D3799E">
        <w:rPr>
          <w:rFonts w:cstheme="minorHAnsi"/>
          <w:lang w:val="en-AU"/>
        </w:rPr>
        <w:t>. A</w:t>
      </w:r>
      <w:r w:rsidR="007F4C27" w:rsidRPr="00D3799E">
        <w:rPr>
          <w:rFonts w:cstheme="minorHAnsi"/>
          <w:lang w:val="en-AU"/>
        </w:rPr>
        <w:t>t</w:t>
      </w:r>
      <w:r w:rsidR="00FB440E">
        <w:t xml:space="preserve"> least 19</w:t>
      </w:r>
      <w:r w:rsidR="00046829">
        <w:t>%</w:t>
      </w:r>
      <w:r w:rsidR="0095203D">
        <w:t xml:space="preserve"> </w:t>
      </w:r>
      <w:r w:rsidR="00FB440E">
        <w:t>of</w:t>
      </w:r>
      <w:r w:rsidR="00F1423F">
        <w:t xml:space="preserve"> all</w:t>
      </w:r>
      <w:r w:rsidR="00FB440E">
        <w:t xml:space="preserve"> transitions </w:t>
      </w:r>
      <w:r w:rsidR="00CC7DF1">
        <w:t>were</w:t>
      </w:r>
      <w:r w:rsidR="00FB440E">
        <w:t xml:space="preserve"> to a co-located </w:t>
      </w:r>
      <w:r w:rsidR="002D341D">
        <w:t>RACF</w:t>
      </w:r>
      <w:r w:rsidR="00597565">
        <w:t>.</w:t>
      </w:r>
      <w:r w:rsidR="00CC7DF1">
        <w:t xml:space="preserve"> </w:t>
      </w:r>
      <w:r w:rsidR="00597565">
        <w:t>H</w:t>
      </w:r>
      <w:r w:rsidR="00F1423F">
        <w:t>owever</w:t>
      </w:r>
      <w:r w:rsidR="00597565">
        <w:t>, based on insights gleaned through consultation,</w:t>
      </w:r>
      <w:r w:rsidR="00FB440E">
        <w:t xml:space="preserve"> the </w:t>
      </w:r>
      <w:r w:rsidR="00CC6852">
        <w:t>true</w:t>
      </w:r>
      <w:r w:rsidR="00F1423F">
        <w:t xml:space="preserve"> proportion </w:t>
      </w:r>
      <w:r w:rsidR="00E75FD8">
        <w:t>is likely to</w:t>
      </w:r>
      <w:r w:rsidR="00F1423F">
        <w:t xml:space="preserve"> be </w:t>
      </w:r>
      <w:r w:rsidR="00E75FD8">
        <w:t>far</w:t>
      </w:r>
      <w:r w:rsidR="002A6195">
        <w:t xml:space="preserve"> </w:t>
      </w:r>
      <w:r w:rsidR="00F1423F">
        <w:t>higher</w:t>
      </w:r>
      <w:r w:rsidR="002A6195">
        <w:t xml:space="preserve">. In the </w:t>
      </w:r>
      <w:r w:rsidR="00E75FD8">
        <w:t>discharge data provided</w:t>
      </w:r>
      <w:r w:rsidR="002A6195">
        <w:t>,</w:t>
      </w:r>
      <w:r w:rsidR="00E75FD8">
        <w:t xml:space="preserve"> many SDCUs</w:t>
      </w:r>
      <w:r w:rsidR="00F1423F">
        <w:t xml:space="preserve"> did not distinguish between </w:t>
      </w:r>
      <w:r w:rsidR="00E95848">
        <w:t xml:space="preserve">a RACF </w:t>
      </w:r>
      <w:r w:rsidR="00736C2E">
        <w:t xml:space="preserve">they operated that was </w:t>
      </w:r>
      <w:r w:rsidR="00F1423F">
        <w:t xml:space="preserve">co-located </w:t>
      </w:r>
      <w:r w:rsidR="00736C2E">
        <w:t>or located elsewhere</w:t>
      </w:r>
      <w:r w:rsidR="00F1423F">
        <w:t>.</w:t>
      </w:r>
      <w:r w:rsidR="00202172">
        <w:t xml:space="preserve"> </w:t>
      </w:r>
    </w:p>
    <w:p w14:paraId="4B5982D6" w14:textId="4B9F8E8B" w:rsidR="000217E8" w:rsidRDefault="000217E8" w:rsidP="000217E8">
      <w:pPr>
        <w:pStyle w:val="Caption"/>
        <w:rPr>
          <w:rFonts w:cstheme="minorHAnsi"/>
          <w:lang w:val="en-AU"/>
        </w:rPr>
      </w:pPr>
      <w:bookmarkStart w:id="57" w:name="_Ref125367305"/>
      <w:bookmarkStart w:id="58" w:name="_Ref125367112"/>
      <w:r>
        <w:t xml:space="preserve">Figure </w:t>
      </w:r>
      <w:r w:rsidR="00990867" w:rsidRPr="00797523">
        <w:fldChar w:fldCharType="begin"/>
      </w:r>
      <w:r w:rsidR="00990867" w:rsidRPr="00797523">
        <w:instrText xml:space="preserve"> STYLEREF 1 \s </w:instrText>
      </w:r>
      <w:r w:rsidR="00990867" w:rsidRPr="00797523">
        <w:fldChar w:fldCharType="separate"/>
      </w:r>
      <w:r w:rsidR="00D32536">
        <w:rPr>
          <w:noProof/>
        </w:rPr>
        <w:t>4</w:t>
      </w:r>
      <w:r w:rsidR="00990867" w:rsidRPr="00797523">
        <w:fldChar w:fldCharType="end"/>
      </w:r>
      <w:r>
        <w:t>.</w:t>
      </w:r>
      <w:r w:rsidR="008875A8">
        <w:fldChar w:fldCharType="begin"/>
      </w:r>
      <w:r w:rsidR="008875A8">
        <w:instrText xml:space="preserve"> SEQ Figure \* ARABIC \s 1 </w:instrText>
      </w:r>
      <w:r w:rsidR="008875A8">
        <w:fldChar w:fldCharType="separate"/>
      </w:r>
      <w:r w:rsidR="00D32536">
        <w:rPr>
          <w:noProof/>
        </w:rPr>
        <w:t>2</w:t>
      </w:r>
      <w:r w:rsidR="008875A8">
        <w:fldChar w:fldCharType="end"/>
      </w:r>
      <w:bookmarkEnd w:id="57"/>
      <w:r>
        <w:t xml:space="preserve"> </w:t>
      </w:r>
      <w:r w:rsidRPr="00797523">
        <w:t>Distribution of internal vs. external transitions</w:t>
      </w:r>
      <w:r>
        <w:t xml:space="preserve"> </w:t>
      </w:r>
      <w:r w:rsidRPr="00797523">
        <w:t xml:space="preserve">out for residents </w:t>
      </w:r>
      <w:r>
        <w:t>who were discharged due to reduced/settled</w:t>
      </w:r>
      <w:r w:rsidRPr="00797523">
        <w:t xml:space="preserve"> BPSD</w:t>
      </w:r>
      <w:bookmarkEnd w:id="58"/>
    </w:p>
    <w:p w14:paraId="0627F789" w14:textId="15DA9560" w:rsidR="00D2512B" w:rsidRDefault="007E38C0" w:rsidP="007E38C0">
      <w:pPr>
        <w:spacing w:after="0"/>
        <w:jc w:val="center"/>
        <w:rPr>
          <w:rFonts w:cstheme="minorHAnsi"/>
          <w:lang w:val="en-AU"/>
        </w:rPr>
      </w:pPr>
      <w:r w:rsidRPr="007E38C0">
        <w:rPr>
          <w:noProof/>
        </w:rPr>
        <w:drawing>
          <wp:inline distT="0" distB="0" distL="0" distR="0" wp14:anchorId="74D4E905" wp14:editId="46071FF7">
            <wp:extent cx="6319520" cy="3898265"/>
            <wp:effectExtent l="0" t="0" r="5080" b="6985"/>
            <wp:docPr id="53" name="Picture 53" descr="This image shows a vertical bar chart of the distribution of internal versus external transitions. The findings are described above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image shows a vertical bar chart of the distribution of internal versus external transitions. The findings are described above the imag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19520" cy="3898265"/>
                    </a:xfrm>
                    <a:prstGeom prst="rect">
                      <a:avLst/>
                    </a:prstGeom>
                    <a:noFill/>
                    <a:ln>
                      <a:noFill/>
                    </a:ln>
                  </pic:spPr>
                </pic:pic>
              </a:graphicData>
            </a:graphic>
          </wp:inline>
        </w:drawing>
      </w:r>
    </w:p>
    <w:p w14:paraId="500CC666" w14:textId="71FFFE34" w:rsidR="00D77938" w:rsidRDefault="00D77938" w:rsidP="00F37581">
      <w:pPr>
        <w:spacing w:after="0"/>
        <w:rPr>
          <w:color w:val="53565A" w:themeColor="background2"/>
          <w:sz w:val="18"/>
          <w:szCs w:val="20"/>
        </w:rPr>
      </w:pPr>
      <w:r w:rsidRPr="00007C7A">
        <w:rPr>
          <w:color w:val="53565A" w:themeColor="background2"/>
          <w:sz w:val="18"/>
          <w:szCs w:val="20"/>
        </w:rPr>
        <w:t>Source: Deloitte Access Economics analysis o</w:t>
      </w:r>
      <w:r w:rsidR="00D677C9">
        <w:rPr>
          <w:color w:val="53565A" w:themeColor="background2"/>
          <w:sz w:val="18"/>
          <w:szCs w:val="20"/>
        </w:rPr>
        <w:t>f</w:t>
      </w:r>
      <w:r w:rsidRPr="00007C7A">
        <w:rPr>
          <w:color w:val="53565A" w:themeColor="background2"/>
          <w:sz w:val="18"/>
          <w:szCs w:val="20"/>
        </w:rPr>
        <w:t xml:space="preserve"> </w:t>
      </w:r>
      <w:r w:rsidR="00D677C9">
        <w:rPr>
          <w:color w:val="53565A" w:themeColor="background2"/>
          <w:sz w:val="18"/>
          <w:szCs w:val="20"/>
        </w:rPr>
        <w:t>six-monthly performance reports</w:t>
      </w:r>
      <w:r w:rsidRPr="00007C7A">
        <w:rPr>
          <w:color w:val="53565A" w:themeColor="background2"/>
          <w:sz w:val="18"/>
          <w:szCs w:val="20"/>
        </w:rPr>
        <w:t>, 2022</w:t>
      </w:r>
    </w:p>
    <w:p w14:paraId="2B84E5A7" w14:textId="1DAE731C" w:rsidR="00757901" w:rsidRPr="00D77938" w:rsidRDefault="00757901" w:rsidP="00D77938">
      <w:pPr>
        <w:rPr>
          <w:color w:val="53565A" w:themeColor="background2"/>
          <w:sz w:val="18"/>
          <w:szCs w:val="20"/>
        </w:rPr>
      </w:pPr>
      <w:r>
        <w:rPr>
          <w:color w:val="53565A" w:themeColor="background2"/>
          <w:sz w:val="18"/>
          <w:szCs w:val="20"/>
        </w:rPr>
        <w:t>*Note</w:t>
      </w:r>
      <w:r w:rsidR="00F37581">
        <w:rPr>
          <w:color w:val="53565A" w:themeColor="background2"/>
          <w:sz w:val="18"/>
          <w:szCs w:val="20"/>
        </w:rPr>
        <w:t xml:space="preserve">: </w:t>
      </w:r>
      <w:r w:rsidR="00F37581" w:rsidRPr="00F37581">
        <w:rPr>
          <w:color w:val="53565A" w:themeColor="background2"/>
          <w:sz w:val="18"/>
          <w:szCs w:val="20"/>
        </w:rPr>
        <w:t xml:space="preserve">Some SDCUs did not </w:t>
      </w:r>
      <w:r w:rsidR="00F37581">
        <w:rPr>
          <w:color w:val="53565A" w:themeColor="background2"/>
          <w:sz w:val="18"/>
          <w:szCs w:val="20"/>
        </w:rPr>
        <w:t>specify</w:t>
      </w:r>
      <w:r w:rsidR="00F37581" w:rsidRPr="00F37581">
        <w:rPr>
          <w:color w:val="53565A" w:themeColor="background2"/>
          <w:sz w:val="18"/>
          <w:szCs w:val="20"/>
        </w:rPr>
        <w:t xml:space="preserve"> the location of the mainstream RACF </w:t>
      </w:r>
      <w:r w:rsidR="00F37581">
        <w:rPr>
          <w:color w:val="53565A" w:themeColor="background2"/>
          <w:sz w:val="18"/>
          <w:szCs w:val="20"/>
        </w:rPr>
        <w:t>that is r</w:t>
      </w:r>
      <w:r w:rsidR="00F37581" w:rsidRPr="00F37581">
        <w:rPr>
          <w:color w:val="53565A" w:themeColor="background2"/>
          <w:sz w:val="18"/>
          <w:szCs w:val="20"/>
        </w:rPr>
        <w:t>un by the same provider. Accordingly, the proportion of discharge</w:t>
      </w:r>
      <w:r w:rsidR="00F37581">
        <w:rPr>
          <w:color w:val="53565A" w:themeColor="background2"/>
          <w:sz w:val="18"/>
          <w:szCs w:val="20"/>
        </w:rPr>
        <w:t>s</w:t>
      </w:r>
      <w:r w:rsidR="00F37581" w:rsidRPr="00F37581">
        <w:rPr>
          <w:color w:val="53565A" w:themeColor="background2"/>
          <w:sz w:val="18"/>
          <w:szCs w:val="20"/>
        </w:rPr>
        <w:t xml:space="preserve"> that are made to a mainstream RACF </w:t>
      </w:r>
      <w:r w:rsidR="00E86BB7">
        <w:rPr>
          <w:color w:val="53565A" w:themeColor="background2"/>
          <w:sz w:val="18"/>
          <w:szCs w:val="20"/>
        </w:rPr>
        <w:t xml:space="preserve">that is </w:t>
      </w:r>
      <w:r w:rsidR="00F37581" w:rsidRPr="00F37581">
        <w:rPr>
          <w:color w:val="53565A" w:themeColor="background2"/>
          <w:sz w:val="18"/>
          <w:szCs w:val="20"/>
        </w:rPr>
        <w:t xml:space="preserve">co-located with the SDCU </w:t>
      </w:r>
      <w:r w:rsidR="00C34762">
        <w:rPr>
          <w:color w:val="53565A" w:themeColor="background2"/>
          <w:sz w:val="18"/>
          <w:szCs w:val="20"/>
        </w:rPr>
        <w:t>is likely</w:t>
      </w:r>
      <w:r w:rsidR="00F37581" w:rsidRPr="00F37581">
        <w:rPr>
          <w:color w:val="53565A" w:themeColor="background2"/>
          <w:sz w:val="18"/>
          <w:szCs w:val="20"/>
        </w:rPr>
        <w:t xml:space="preserve"> higher than indicated in this </w:t>
      </w:r>
      <w:r w:rsidR="00FE40CF">
        <w:rPr>
          <w:color w:val="53565A" w:themeColor="background2"/>
          <w:sz w:val="18"/>
          <w:szCs w:val="20"/>
        </w:rPr>
        <w:t>chart</w:t>
      </w:r>
      <w:r w:rsidR="00CB5F30">
        <w:rPr>
          <w:color w:val="53565A" w:themeColor="background2"/>
          <w:sz w:val="18"/>
          <w:szCs w:val="20"/>
        </w:rPr>
        <w:t xml:space="preserve"> based on insights gleaned through consultation</w:t>
      </w:r>
      <w:r w:rsidR="00F37581" w:rsidRPr="00F37581">
        <w:rPr>
          <w:color w:val="53565A" w:themeColor="background2"/>
          <w:sz w:val="18"/>
          <w:szCs w:val="20"/>
        </w:rPr>
        <w:t>.</w:t>
      </w:r>
    </w:p>
    <w:p w14:paraId="6B441871" w14:textId="04D51EE5" w:rsidR="00DC78F7" w:rsidRDefault="0003508E" w:rsidP="00D3799E">
      <w:r>
        <w:rPr>
          <w:rFonts w:asciiTheme="majorHAnsi" w:hAnsiTheme="majorHAnsi" w:cstheme="majorHAnsi"/>
          <w:b/>
          <w:bCs/>
          <w:color w:val="012169"/>
          <w:lang w:val="en-AU"/>
        </w:rPr>
        <w:t>T</w:t>
      </w:r>
      <w:r w:rsidR="00A37DD3">
        <w:rPr>
          <w:rFonts w:asciiTheme="majorHAnsi" w:hAnsiTheme="majorHAnsi" w:cstheme="majorHAnsi"/>
          <w:b/>
          <w:bCs/>
          <w:color w:val="012169"/>
          <w:lang w:val="en-AU"/>
        </w:rPr>
        <w:t xml:space="preserve">he </w:t>
      </w:r>
      <w:r w:rsidR="00F03137">
        <w:rPr>
          <w:rFonts w:asciiTheme="majorHAnsi" w:hAnsiTheme="majorHAnsi" w:cstheme="majorHAnsi"/>
          <w:b/>
          <w:bCs/>
          <w:color w:val="012169"/>
          <w:lang w:val="en-AU"/>
        </w:rPr>
        <w:t>Program</w:t>
      </w:r>
      <w:r>
        <w:rPr>
          <w:rFonts w:asciiTheme="majorHAnsi" w:hAnsiTheme="majorHAnsi" w:cstheme="majorHAnsi"/>
          <w:b/>
          <w:bCs/>
          <w:color w:val="012169"/>
          <w:lang w:val="en-AU"/>
        </w:rPr>
        <w:t xml:space="preserve"> design feature allowing </w:t>
      </w:r>
      <w:r w:rsidR="00B01294">
        <w:rPr>
          <w:rFonts w:asciiTheme="majorHAnsi" w:hAnsiTheme="majorHAnsi" w:cstheme="majorHAnsi"/>
          <w:b/>
          <w:bCs/>
          <w:color w:val="012169"/>
          <w:lang w:val="en-AU"/>
        </w:rPr>
        <w:t>residents</w:t>
      </w:r>
      <w:r w:rsidR="00A37DD3">
        <w:rPr>
          <w:rFonts w:asciiTheme="majorHAnsi" w:hAnsiTheme="majorHAnsi" w:cstheme="majorHAnsi"/>
          <w:b/>
          <w:bCs/>
          <w:color w:val="012169"/>
          <w:lang w:val="en-AU"/>
        </w:rPr>
        <w:t xml:space="preserve"> </w:t>
      </w:r>
      <w:r>
        <w:rPr>
          <w:rFonts w:asciiTheme="majorHAnsi" w:hAnsiTheme="majorHAnsi" w:cstheme="majorHAnsi"/>
          <w:b/>
          <w:bCs/>
          <w:color w:val="012169"/>
          <w:lang w:val="en-AU"/>
        </w:rPr>
        <w:t xml:space="preserve">to transition to a co-located mainstream </w:t>
      </w:r>
      <w:r w:rsidR="00F03137">
        <w:rPr>
          <w:rFonts w:asciiTheme="majorHAnsi" w:hAnsiTheme="majorHAnsi" w:cstheme="majorHAnsi"/>
          <w:b/>
          <w:bCs/>
          <w:color w:val="012169"/>
          <w:lang w:val="en-AU"/>
        </w:rPr>
        <w:t xml:space="preserve">RACF </w:t>
      </w:r>
      <w:r w:rsidR="00141743">
        <w:rPr>
          <w:rFonts w:asciiTheme="majorHAnsi" w:hAnsiTheme="majorHAnsi" w:cstheme="majorHAnsi"/>
          <w:b/>
          <w:bCs/>
          <w:color w:val="012169"/>
          <w:lang w:val="en-AU"/>
        </w:rPr>
        <w:t>operated by</w:t>
      </w:r>
      <w:r w:rsidR="00FC1BF7">
        <w:rPr>
          <w:rFonts w:asciiTheme="majorHAnsi" w:hAnsiTheme="majorHAnsi" w:cstheme="majorHAnsi"/>
          <w:b/>
          <w:bCs/>
          <w:color w:val="012169"/>
          <w:lang w:val="en-AU"/>
        </w:rPr>
        <w:t xml:space="preserve"> the same </w:t>
      </w:r>
      <w:r w:rsidR="00141743">
        <w:rPr>
          <w:rFonts w:asciiTheme="majorHAnsi" w:hAnsiTheme="majorHAnsi" w:cstheme="majorHAnsi"/>
          <w:b/>
          <w:bCs/>
          <w:color w:val="012169"/>
          <w:lang w:val="en-AU"/>
        </w:rPr>
        <w:t xml:space="preserve">provider </w:t>
      </w:r>
      <w:r w:rsidR="00FC1BF7">
        <w:rPr>
          <w:rFonts w:asciiTheme="majorHAnsi" w:hAnsiTheme="majorHAnsi" w:cstheme="majorHAnsi"/>
          <w:b/>
          <w:bCs/>
          <w:color w:val="012169"/>
          <w:lang w:val="en-AU"/>
        </w:rPr>
        <w:t>w</w:t>
      </w:r>
      <w:r w:rsidR="00B01294">
        <w:rPr>
          <w:rFonts w:asciiTheme="majorHAnsi" w:hAnsiTheme="majorHAnsi" w:cstheme="majorHAnsi"/>
          <w:b/>
          <w:bCs/>
          <w:color w:val="012169"/>
          <w:lang w:val="en-AU"/>
        </w:rPr>
        <w:t>as</w:t>
      </w:r>
      <w:r w:rsidR="00DC78F7">
        <w:rPr>
          <w:rFonts w:asciiTheme="majorHAnsi" w:hAnsiTheme="majorHAnsi" w:cstheme="majorHAnsi"/>
          <w:b/>
          <w:color w:val="012169"/>
          <w:lang w:val="en-AU"/>
        </w:rPr>
        <w:t xml:space="preserve"> recognised as a key success Program factor.</w:t>
      </w:r>
    </w:p>
    <w:p w14:paraId="11F83619" w14:textId="6391809A" w:rsidR="00CA2633" w:rsidRDefault="00797523" w:rsidP="00D3799E">
      <w:r>
        <w:t xml:space="preserve">Internal and external transitions out were both considered to be a relatively </w:t>
      </w:r>
      <w:r w:rsidR="004B0B65">
        <w:t>straightforward</w:t>
      </w:r>
      <w:r w:rsidR="00607F07">
        <w:t xml:space="preserve"> </w:t>
      </w:r>
      <w:r>
        <w:t xml:space="preserve">process. Stakeholders </w:t>
      </w:r>
      <w:r w:rsidR="0020378F">
        <w:t xml:space="preserve">noted that </w:t>
      </w:r>
      <w:r w:rsidR="00B4308C">
        <w:t xml:space="preserve">transitions out </w:t>
      </w:r>
      <w:r>
        <w:t>are</w:t>
      </w:r>
      <w:r w:rsidR="00B4308C">
        <w:t xml:space="preserve"> a gradual process</w:t>
      </w:r>
      <w:r w:rsidR="000323EA">
        <w:t xml:space="preserve"> </w:t>
      </w:r>
      <w:r w:rsidR="00D50642">
        <w:t>heavily dependent on</w:t>
      </w:r>
      <w:r w:rsidR="00B4308C">
        <w:t xml:space="preserve"> the progress and needs of each resident, meaning the time required </w:t>
      </w:r>
      <w:r>
        <w:t xml:space="preserve">for each </w:t>
      </w:r>
      <w:r w:rsidR="00D50642">
        <w:t>transition will vary across</w:t>
      </w:r>
      <w:r w:rsidR="00B4308C">
        <w:t xml:space="preserve"> residents. </w:t>
      </w:r>
      <w:r w:rsidR="00D3799E">
        <w:t>Stakeholders</w:t>
      </w:r>
      <w:r w:rsidR="00CA2633">
        <w:t xml:space="preserve"> </w:t>
      </w:r>
      <w:r w:rsidR="00B4308C">
        <w:t>did note however, that</w:t>
      </w:r>
      <w:r w:rsidR="00CA2633">
        <w:t xml:space="preserve"> external transitions to a regional facility </w:t>
      </w:r>
      <w:r>
        <w:t>could be</w:t>
      </w:r>
      <w:r w:rsidR="00CA2633">
        <w:t xml:space="preserve"> more time consuming due to the </w:t>
      </w:r>
      <w:r>
        <w:t xml:space="preserve">additional </w:t>
      </w:r>
      <w:r w:rsidR="00CA2633">
        <w:t xml:space="preserve">travel </w:t>
      </w:r>
      <w:r>
        <w:t xml:space="preserve">time </w:t>
      </w:r>
      <w:r w:rsidR="00CA2633">
        <w:t>required to transport the resident</w:t>
      </w:r>
      <w:r w:rsidR="00D50642">
        <w:t xml:space="preserve"> to the new </w:t>
      </w:r>
      <w:r>
        <w:t>facility.</w:t>
      </w:r>
    </w:p>
    <w:p w14:paraId="6413AB15" w14:textId="0F5A2261" w:rsidR="00E04B6B" w:rsidRDefault="00E04B6B" w:rsidP="00E04B6B">
      <w:r>
        <w:t xml:space="preserve">Internal transitions to a co-located unit were identified as a key success factor of the </w:t>
      </w:r>
      <w:r w:rsidR="000217E8">
        <w:t>model</w:t>
      </w:r>
      <w:r>
        <w:t xml:space="preserve"> of </w:t>
      </w:r>
      <w:r w:rsidR="000217E8">
        <w:t>care</w:t>
      </w:r>
      <w:r>
        <w:t xml:space="preserve"> as it:</w:t>
      </w:r>
    </w:p>
    <w:p w14:paraId="542C26A1" w14:textId="192908DA" w:rsidR="009A0D31" w:rsidRPr="009A0D31" w:rsidRDefault="009A0D31" w:rsidP="00C063DC">
      <w:pPr>
        <w:pStyle w:val="ListParagraph"/>
        <w:numPr>
          <w:ilvl w:val="0"/>
          <w:numId w:val="28"/>
        </w:numPr>
        <w:spacing w:after="170"/>
        <w:ind w:left="425" w:hanging="425"/>
        <w:contextualSpacing w:val="0"/>
      </w:pPr>
      <w:r w:rsidRPr="003A221A">
        <w:rPr>
          <w:rFonts w:asciiTheme="majorHAnsi" w:hAnsiTheme="majorHAnsi" w:cstheme="majorHAnsi"/>
          <w:b/>
        </w:rPr>
        <w:t>Increases residents’ access to mainstream</w:t>
      </w:r>
      <w:r>
        <w:rPr>
          <w:rFonts w:asciiTheme="majorHAnsi" w:hAnsiTheme="majorHAnsi" w:cstheme="majorHAnsi"/>
          <w:b/>
        </w:rPr>
        <w:t xml:space="preserve"> </w:t>
      </w:r>
      <w:r w:rsidR="003A221A">
        <w:rPr>
          <w:rFonts w:asciiTheme="majorHAnsi" w:hAnsiTheme="majorHAnsi" w:cstheme="majorHAnsi"/>
          <w:b/>
          <w:bCs/>
        </w:rPr>
        <w:t>RACF</w:t>
      </w:r>
      <w:r w:rsidRPr="003A221A">
        <w:rPr>
          <w:rFonts w:asciiTheme="majorHAnsi" w:hAnsiTheme="majorHAnsi" w:cstheme="majorHAnsi"/>
          <w:b/>
        </w:rPr>
        <w:t xml:space="preserve"> options.</w:t>
      </w:r>
      <w:r>
        <w:t xml:space="preserve"> As the co-located unit is run by the same provider, </w:t>
      </w:r>
      <w:r w:rsidR="00AF60DE">
        <w:t xml:space="preserve">internal transitions provide residents with easier access to a mainstream </w:t>
      </w:r>
      <w:r w:rsidR="00085041">
        <w:t>RACF</w:t>
      </w:r>
      <w:r w:rsidR="00F7349F">
        <w:t xml:space="preserve"> </w:t>
      </w:r>
      <w:r w:rsidR="00724329">
        <w:t xml:space="preserve">that is </w:t>
      </w:r>
      <w:r w:rsidR="005247DD">
        <w:t>willing</w:t>
      </w:r>
      <w:r w:rsidR="00724329">
        <w:t xml:space="preserve"> to accept them</w:t>
      </w:r>
      <w:r w:rsidR="00FE6199">
        <w:t xml:space="preserve"> </w:t>
      </w:r>
      <w:r w:rsidR="00F7349F">
        <w:t xml:space="preserve">(discussed further in Section </w:t>
      </w:r>
      <w:r w:rsidR="00F7349F">
        <w:fldChar w:fldCharType="begin"/>
      </w:r>
      <w:r w:rsidR="00F7349F">
        <w:instrText xml:space="preserve"> REF _Ref124238788 \r \h </w:instrText>
      </w:r>
      <w:r w:rsidR="00F7349F">
        <w:fldChar w:fldCharType="separate"/>
      </w:r>
      <w:r w:rsidR="00D32536">
        <w:t>5.2.4</w:t>
      </w:r>
      <w:r w:rsidR="00F7349F">
        <w:fldChar w:fldCharType="end"/>
      </w:r>
      <w:r w:rsidR="00624FA0">
        <w:t>).</w:t>
      </w:r>
    </w:p>
    <w:p w14:paraId="42050FA6" w14:textId="13C2DE49" w:rsidR="00E04B6B" w:rsidRDefault="00E004AD" w:rsidP="00C063DC">
      <w:pPr>
        <w:pStyle w:val="ListParagraph"/>
        <w:numPr>
          <w:ilvl w:val="0"/>
          <w:numId w:val="28"/>
        </w:numPr>
        <w:spacing w:after="170"/>
        <w:ind w:left="425" w:hanging="425"/>
        <w:contextualSpacing w:val="0"/>
      </w:pPr>
      <w:r w:rsidRPr="003A221A">
        <w:rPr>
          <w:rFonts w:asciiTheme="majorHAnsi" w:hAnsiTheme="majorHAnsi" w:cstheme="majorHAnsi"/>
          <w:b/>
        </w:rPr>
        <w:t>F</w:t>
      </w:r>
      <w:r w:rsidR="00E04B6B" w:rsidRPr="003A221A">
        <w:rPr>
          <w:rFonts w:asciiTheme="majorHAnsi" w:hAnsiTheme="majorHAnsi" w:cstheme="majorHAnsi"/>
          <w:b/>
        </w:rPr>
        <w:t>acilitates more coordinated discharges</w:t>
      </w:r>
      <w:r w:rsidR="00E04B6B" w:rsidRPr="003A221A">
        <w:rPr>
          <w:rFonts w:asciiTheme="majorHAnsi" w:hAnsiTheme="majorHAnsi" w:cstheme="majorHAnsi"/>
        </w:rPr>
        <w:t>.</w:t>
      </w:r>
      <w:r w:rsidR="00E04B6B">
        <w:t xml:space="preserve"> </w:t>
      </w:r>
      <w:r w:rsidR="00622F41">
        <w:rPr>
          <w:rFonts w:cstheme="minorHAnsi"/>
        </w:rPr>
        <w:t>I</w:t>
      </w:r>
      <w:r w:rsidRPr="00E004AD">
        <w:rPr>
          <w:rFonts w:cstheme="minorHAnsi"/>
        </w:rPr>
        <w:t>nternal discharges were generally preferred among some sites as staff felt they had more control over the process. For example,</w:t>
      </w:r>
      <w:r>
        <w:t xml:space="preserve"> Program staff stakeholders noted internal transitions to a unit co-located with the </w:t>
      </w:r>
      <w:r w:rsidR="00B92922">
        <w:t xml:space="preserve">SDCU </w:t>
      </w:r>
      <w:r>
        <w:t>can facilitate more convenient and frequent visits to the new unit prior to discharge (e.g., visiting the new unit for lunch or dinner), to help the residents gradually familiarise themselves with the environment.</w:t>
      </w:r>
    </w:p>
    <w:p w14:paraId="67AB2719" w14:textId="04A1F15B" w:rsidR="005217DB" w:rsidRDefault="00E004AD" w:rsidP="00C063DC">
      <w:pPr>
        <w:pStyle w:val="ListParagraph"/>
        <w:numPr>
          <w:ilvl w:val="0"/>
          <w:numId w:val="28"/>
        </w:numPr>
        <w:spacing w:after="170"/>
        <w:ind w:left="425" w:hanging="425"/>
        <w:contextualSpacing w:val="0"/>
      </w:pPr>
      <w:r w:rsidRPr="00F86E5E">
        <w:rPr>
          <w:rFonts w:asciiTheme="majorHAnsi" w:hAnsiTheme="majorHAnsi" w:cstheme="majorHAnsi"/>
          <w:b/>
        </w:rPr>
        <w:t>I</w:t>
      </w:r>
      <w:r w:rsidR="00E04B6B" w:rsidRPr="00F86E5E">
        <w:rPr>
          <w:rFonts w:asciiTheme="majorHAnsi" w:hAnsiTheme="majorHAnsi" w:cstheme="majorHAnsi"/>
          <w:b/>
        </w:rPr>
        <w:t xml:space="preserve">s </w:t>
      </w:r>
      <w:r w:rsidR="005217DB" w:rsidRPr="00F86E5E">
        <w:rPr>
          <w:rFonts w:asciiTheme="majorHAnsi" w:hAnsiTheme="majorHAnsi" w:cstheme="majorHAnsi"/>
          <w:b/>
        </w:rPr>
        <w:t>the</w:t>
      </w:r>
      <w:r w:rsidR="00E04B6B" w:rsidRPr="00F86E5E">
        <w:rPr>
          <w:rFonts w:asciiTheme="majorHAnsi" w:hAnsiTheme="majorHAnsi" w:cstheme="majorHAnsi"/>
          <w:b/>
        </w:rPr>
        <w:t xml:space="preserve"> preferred </w:t>
      </w:r>
      <w:r w:rsidR="005217DB" w:rsidRPr="00F86E5E">
        <w:rPr>
          <w:rFonts w:asciiTheme="majorHAnsi" w:hAnsiTheme="majorHAnsi" w:cstheme="majorHAnsi"/>
          <w:b/>
        </w:rPr>
        <w:t xml:space="preserve">choice </w:t>
      </w:r>
      <w:r w:rsidR="00E04B6B" w:rsidRPr="00F86E5E">
        <w:rPr>
          <w:rFonts w:asciiTheme="majorHAnsi" w:hAnsiTheme="majorHAnsi" w:cstheme="majorHAnsi"/>
          <w:b/>
        </w:rPr>
        <w:t>among family/carers</w:t>
      </w:r>
      <w:r w:rsidRPr="00F86E5E">
        <w:rPr>
          <w:rFonts w:asciiTheme="majorHAnsi" w:hAnsiTheme="majorHAnsi" w:cstheme="majorHAnsi"/>
          <w:b/>
        </w:rPr>
        <w:t>.</w:t>
      </w:r>
      <w:r w:rsidR="002C2E9E">
        <w:rPr>
          <w:b/>
          <w:bCs/>
        </w:rPr>
        <w:t xml:space="preserve"> </w:t>
      </w:r>
      <w:r w:rsidR="002C2E9E">
        <w:t>This is driven by family/carers’</w:t>
      </w:r>
      <w:r w:rsidR="00E04B6B">
        <w:t xml:space="preserve"> high satisfaction with the Progra</w:t>
      </w:r>
      <w:r>
        <w:t>m, as family/carers often build a</w:t>
      </w:r>
      <w:r w:rsidR="00E04B6B">
        <w:t xml:space="preserve"> high level of trust, confidence and familiarity with the </w:t>
      </w:r>
      <w:r w:rsidR="00513D42">
        <w:t xml:space="preserve">SDCU </w:t>
      </w:r>
      <w:r w:rsidR="00E04B6B">
        <w:t>staff</w:t>
      </w:r>
      <w:r>
        <w:t>.</w:t>
      </w:r>
      <w:r w:rsidRPr="00E004AD">
        <w:t xml:space="preserve"> </w:t>
      </w:r>
      <w:r w:rsidR="00D31915">
        <w:t>Where families chose to discharge to an external facility owned by a different provider, s</w:t>
      </w:r>
      <w:r>
        <w:t xml:space="preserve">takeholders observed the primary reason was </w:t>
      </w:r>
      <w:r w:rsidR="00724329">
        <w:t xml:space="preserve">often </w:t>
      </w:r>
      <w:r>
        <w:t>to move the resident closer to family, such as discharges to regional areas.</w:t>
      </w:r>
    </w:p>
    <w:p w14:paraId="0C6E214D" w14:textId="7744B736" w:rsidR="00E04B6B" w:rsidRDefault="00E004AD" w:rsidP="00C063DC">
      <w:pPr>
        <w:pStyle w:val="ListParagraph"/>
        <w:numPr>
          <w:ilvl w:val="0"/>
          <w:numId w:val="28"/>
        </w:numPr>
        <w:spacing w:after="170"/>
        <w:ind w:left="425" w:hanging="425"/>
        <w:contextualSpacing w:val="0"/>
      </w:pPr>
      <w:r w:rsidRPr="00F86E5E">
        <w:rPr>
          <w:rFonts w:asciiTheme="majorHAnsi" w:hAnsiTheme="majorHAnsi" w:cstheme="majorHAnsi"/>
          <w:b/>
        </w:rPr>
        <w:t xml:space="preserve">Facilitates easier </w:t>
      </w:r>
      <w:r w:rsidR="009A0D31" w:rsidRPr="00F86E5E">
        <w:rPr>
          <w:rFonts w:asciiTheme="majorHAnsi" w:hAnsiTheme="majorHAnsi" w:cstheme="majorHAnsi"/>
          <w:b/>
        </w:rPr>
        <w:t>post-discharge support.</w:t>
      </w:r>
      <w:r w:rsidR="009A0D31">
        <w:rPr>
          <w:b/>
          <w:bCs/>
        </w:rPr>
        <w:t xml:space="preserve"> </w:t>
      </w:r>
      <w:r w:rsidR="009A0D31" w:rsidRPr="009A0D31">
        <w:t>T</w:t>
      </w:r>
      <w:r w:rsidR="009A0D31">
        <w:t xml:space="preserve">he close proximity between the SDCU and co-located unit enables SDCU staff to visit the unit in person post discharge, which can </w:t>
      </w:r>
      <w:r w:rsidR="005247DD">
        <w:t>provide stronger continuity of care to</w:t>
      </w:r>
      <w:r w:rsidR="009A0D31">
        <w:t xml:space="preserve"> the resident and their family. It also allows </w:t>
      </w:r>
      <w:r w:rsidRPr="009A0D31">
        <w:t>the resident to be</w:t>
      </w:r>
      <w:r w:rsidR="00E04B6B" w:rsidRPr="009A0D31">
        <w:t xml:space="preserve"> easily transfer</w:t>
      </w:r>
      <w:r w:rsidRPr="009A0D31">
        <w:t>red</w:t>
      </w:r>
      <w:r w:rsidR="00E04B6B" w:rsidRPr="009A0D31">
        <w:t xml:space="preserve"> back to a higher level of care at the SDCU, as needed.  </w:t>
      </w:r>
    </w:p>
    <w:p w14:paraId="5C14038F" w14:textId="1E7315D7" w:rsidR="00F42866" w:rsidRDefault="00F42866" w:rsidP="00F42866">
      <w:pPr>
        <w:pStyle w:val="CommentText"/>
      </w:pPr>
      <w:r>
        <w:t xml:space="preserve">As internal transitions to a co-located </w:t>
      </w:r>
      <w:r w:rsidR="007A1C66">
        <w:t>mainstream RACF</w:t>
      </w:r>
      <w:r>
        <w:t xml:space="preserve"> w</w:t>
      </w:r>
      <w:r w:rsidR="007A1C66">
        <w:t>as</w:t>
      </w:r>
      <w:r>
        <w:t xml:space="preserve"> identified as a key success factor of the Program, comparable models replicated elsewhere should consider incorporating this design feature into</w:t>
      </w:r>
      <w:r w:rsidR="00FE6199">
        <w:t xml:space="preserve"> future</w:t>
      </w:r>
      <w:r>
        <w:t xml:space="preserve"> discharge planning processes. </w:t>
      </w:r>
    </w:p>
    <w:p w14:paraId="514A752E" w14:textId="60506EF7" w:rsidR="00C31AC2" w:rsidRDefault="00C31AC2" w:rsidP="00C31AC2">
      <w:pPr>
        <w:rPr>
          <w:rFonts w:asciiTheme="majorHAnsi" w:hAnsiTheme="majorHAnsi" w:cstheme="majorHAnsi"/>
          <w:b/>
          <w:bCs/>
          <w:color w:val="012169"/>
          <w:lang w:val="en-AU"/>
        </w:rPr>
      </w:pPr>
      <w:r w:rsidRPr="00C31AC2">
        <w:rPr>
          <w:rFonts w:asciiTheme="majorHAnsi" w:hAnsiTheme="majorHAnsi" w:cstheme="majorHAnsi"/>
          <w:b/>
          <w:bCs/>
          <w:color w:val="012169"/>
          <w:lang w:val="en-AU"/>
        </w:rPr>
        <w:t>The majority of transitions out were successful and largely well-coordinated. Success factors include early discharge planning, structured shared-care templates, and commitment to outreach with staff at the receiving facility.</w:t>
      </w:r>
    </w:p>
    <w:p w14:paraId="0C1AE65D" w14:textId="5AD4E384" w:rsidR="001733A6" w:rsidRPr="001733A6" w:rsidRDefault="001733A6" w:rsidP="001733A6">
      <w:pPr>
        <w:spacing w:after="0"/>
        <w:rPr>
          <w:rFonts w:eastAsia="Verdana" w:cstheme="minorHAnsi"/>
          <w:szCs w:val="20"/>
          <w:u w:val="single"/>
          <w:lang w:val="en-AU"/>
        </w:rPr>
      </w:pPr>
      <w:r w:rsidRPr="001733A6">
        <w:rPr>
          <w:rFonts w:eastAsia="Verdana" w:cstheme="minorHAnsi"/>
          <w:szCs w:val="20"/>
          <w:u w:val="single"/>
          <w:lang w:val="en-AU"/>
        </w:rPr>
        <w:t>Discharge success factors</w:t>
      </w:r>
    </w:p>
    <w:p w14:paraId="307E5654" w14:textId="2CFEBBC9" w:rsidR="00C31AC2" w:rsidRDefault="00C31AC2" w:rsidP="00C31AC2">
      <w:r>
        <w:t xml:space="preserve">Across SDCUs, stakeholders agreed the discharge process is well coordinated across SDCU staff, in-reach clinicians, DSA and the receiving facility. Most SDCUs have evolved their approach in response to learnings over time. </w:t>
      </w:r>
      <w:r w:rsidR="00A8134A">
        <w:t>Across both internal and external transitions out, the d</w:t>
      </w:r>
      <w:r>
        <w:t>ischarge success factors include</w:t>
      </w:r>
      <w:r w:rsidR="00A8134A">
        <w:t>d</w:t>
      </w:r>
      <w:r>
        <w:t>:</w:t>
      </w:r>
    </w:p>
    <w:p w14:paraId="79C2AE94" w14:textId="41594355" w:rsidR="00C31AC2" w:rsidRPr="004A6349" w:rsidRDefault="00C31AC2" w:rsidP="00C063DC">
      <w:pPr>
        <w:pStyle w:val="ListParagraph"/>
        <w:numPr>
          <w:ilvl w:val="0"/>
          <w:numId w:val="12"/>
        </w:numPr>
        <w:spacing w:after="170"/>
        <w:ind w:left="357" w:hanging="357"/>
        <w:contextualSpacing w:val="0"/>
        <w:rPr>
          <w:b/>
          <w:bCs/>
        </w:rPr>
      </w:pPr>
      <w:r w:rsidRPr="001733A6">
        <w:rPr>
          <w:rFonts w:asciiTheme="majorHAnsi" w:hAnsiTheme="majorHAnsi" w:cstheme="majorHAnsi"/>
          <w:b/>
          <w:bCs/>
        </w:rPr>
        <w:t>Early discharge planning.</w:t>
      </w:r>
      <w:r>
        <w:rPr>
          <w:b/>
          <w:bCs/>
        </w:rPr>
        <w:t xml:space="preserve"> </w:t>
      </w:r>
      <w:r>
        <w:t>Stakeholders noted that in the case of an external discharge, it can take time to identify a suitable discharge facility. Some providers are reluctant to accept a resident because of their clinical history. In addition, not all RACFs have a dementia-focus. Some residents</w:t>
      </w:r>
      <w:r w:rsidR="001A1123">
        <w:t xml:space="preserve"> seeking an external discharge</w:t>
      </w:r>
      <w:r>
        <w:t xml:space="preserve"> have remained in</w:t>
      </w:r>
      <w:r w:rsidR="00CC3CF1">
        <w:t xml:space="preserve"> </w:t>
      </w:r>
      <w:r>
        <w:t>situ beyond their ready-for-discharge date because a discharge destination was not secured in time. Early discharge planning (at the time of admission), including discussions with potential discharge facilities, can mitigate this risk.</w:t>
      </w:r>
    </w:p>
    <w:p w14:paraId="521A8BDB" w14:textId="35D663C6" w:rsidR="00C31AC2" w:rsidRPr="001747AC" w:rsidRDefault="00C31AC2" w:rsidP="00C063DC">
      <w:pPr>
        <w:pStyle w:val="ListParagraph"/>
        <w:numPr>
          <w:ilvl w:val="0"/>
          <w:numId w:val="12"/>
        </w:numPr>
        <w:spacing w:after="170"/>
        <w:ind w:left="357" w:hanging="357"/>
        <w:contextualSpacing w:val="0"/>
        <w:rPr>
          <w:b/>
          <w:bCs/>
        </w:rPr>
      </w:pPr>
      <w:r w:rsidRPr="001733A6">
        <w:rPr>
          <w:rFonts w:asciiTheme="majorHAnsi" w:hAnsiTheme="majorHAnsi" w:cstheme="majorHAnsi"/>
          <w:b/>
          <w:bCs/>
        </w:rPr>
        <w:t>Structured shared care templates for handover.</w:t>
      </w:r>
      <w:r w:rsidRPr="00A323D6">
        <w:rPr>
          <w:color w:val="FF0000"/>
        </w:rPr>
        <w:t xml:space="preserve"> </w:t>
      </w:r>
      <w:r>
        <w:t>Transitions</w:t>
      </w:r>
      <w:r w:rsidR="00011D69">
        <w:t xml:space="preserve"> </w:t>
      </w:r>
      <w:r>
        <w:t>out require in-depth knowledge transfer with staff at the receiving facility. Provision of information about resident needs and preferences, triggers and effective behavioural management strategies is critical to ensuring a successful placement. Most SDCUs use bespoke shared-care templates to provide this information.</w:t>
      </w:r>
    </w:p>
    <w:p w14:paraId="7A318557" w14:textId="43CCE595" w:rsidR="001C659D" w:rsidRPr="001C659D" w:rsidRDefault="001C659D" w:rsidP="00C063DC">
      <w:pPr>
        <w:pStyle w:val="ListParagraph"/>
        <w:numPr>
          <w:ilvl w:val="0"/>
          <w:numId w:val="12"/>
        </w:numPr>
        <w:spacing w:after="170"/>
        <w:ind w:left="357" w:hanging="357"/>
        <w:contextualSpacing w:val="0"/>
        <w:rPr>
          <w:b/>
          <w:bCs/>
        </w:rPr>
      </w:pPr>
      <w:r w:rsidRPr="001C659D">
        <w:rPr>
          <w:rFonts w:asciiTheme="majorHAnsi" w:hAnsiTheme="majorHAnsi" w:cstheme="majorHAnsi"/>
          <w:b/>
          <w:bCs/>
        </w:rPr>
        <w:t>DSA involvement.</w:t>
      </w:r>
      <w:r>
        <w:t xml:space="preserve"> </w:t>
      </w:r>
      <w:r>
        <w:rPr>
          <w:rFonts w:eastAsia="Verdana" w:cstheme="minorHAnsi"/>
          <w:szCs w:val="20"/>
          <w:lang w:val="en-AU"/>
        </w:rPr>
        <w:t>Although DSA is involved in the admission process (through NBA and CAC meetings), f</w:t>
      </w:r>
      <w:r w:rsidRPr="001747AC">
        <w:rPr>
          <w:rFonts w:eastAsia="Verdana" w:cstheme="minorHAnsi"/>
          <w:szCs w:val="20"/>
          <w:lang w:val="en-AU"/>
        </w:rPr>
        <w:t xml:space="preserve">ollowing an </w:t>
      </w:r>
      <w:r>
        <w:rPr>
          <w:rFonts w:eastAsia="Verdana" w:cstheme="minorHAnsi"/>
          <w:szCs w:val="20"/>
          <w:lang w:val="en-AU"/>
        </w:rPr>
        <w:t>SDCU a</w:t>
      </w:r>
      <w:r w:rsidRPr="001747AC">
        <w:rPr>
          <w:rFonts w:eastAsia="Verdana" w:cstheme="minorHAnsi"/>
          <w:szCs w:val="20"/>
          <w:lang w:val="en-AU"/>
        </w:rPr>
        <w:t>dmissio</w:t>
      </w:r>
      <w:r>
        <w:rPr>
          <w:rFonts w:eastAsia="Verdana" w:cstheme="minorHAnsi"/>
          <w:szCs w:val="20"/>
          <w:lang w:val="en-AU"/>
        </w:rPr>
        <w:t>n they</w:t>
      </w:r>
      <w:r w:rsidRPr="001747AC">
        <w:rPr>
          <w:rFonts w:eastAsia="Verdana" w:cstheme="minorHAnsi"/>
          <w:szCs w:val="20"/>
          <w:lang w:val="en-AU"/>
        </w:rPr>
        <w:t xml:space="preserve"> will typically only be consulted as part of their </w:t>
      </w:r>
      <w:r w:rsidR="00A372A2">
        <w:rPr>
          <w:rFonts w:eastAsia="Verdana" w:cstheme="minorHAnsi"/>
          <w:szCs w:val="20"/>
          <w:lang w:val="en-AU"/>
        </w:rPr>
        <w:t>government-</w:t>
      </w:r>
      <w:r w:rsidRPr="001747AC">
        <w:rPr>
          <w:rFonts w:eastAsia="Verdana" w:cstheme="minorHAnsi"/>
          <w:szCs w:val="20"/>
          <w:lang w:val="en-AU"/>
        </w:rPr>
        <w:t>funded</w:t>
      </w:r>
      <w:r w:rsidR="00A372A2">
        <w:rPr>
          <w:rFonts w:eastAsia="Verdana" w:cstheme="minorHAnsi"/>
          <w:szCs w:val="20"/>
          <w:lang w:val="en-AU"/>
        </w:rPr>
        <w:t xml:space="preserve"> dementia </w:t>
      </w:r>
      <w:r w:rsidR="00611DA7">
        <w:rPr>
          <w:rFonts w:eastAsia="Verdana" w:cstheme="minorHAnsi"/>
          <w:szCs w:val="20"/>
          <w:lang w:val="en-AU"/>
        </w:rPr>
        <w:t xml:space="preserve">behaviour </w:t>
      </w:r>
      <w:r w:rsidR="00A372A2">
        <w:rPr>
          <w:rFonts w:eastAsia="Verdana" w:cstheme="minorHAnsi"/>
          <w:szCs w:val="20"/>
          <w:lang w:val="en-AU"/>
        </w:rPr>
        <w:t>support</w:t>
      </w:r>
      <w:r w:rsidRPr="001747AC">
        <w:rPr>
          <w:rFonts w:eastAsia="Verdana" w:cstheme="minorHAnsi"/>
          <w:szCs w:val="20"/>
          <w:lang w:val="en-AU"/>
        </w:rPr>
        <w:t xml:space="preserve"> programs. S</w:t>
      </w:r>
      <w:r w:rsidR="00943488">
        <w:rPr>
          <w:rFonts w:eastAsia="Verdana" w:cstheme="minorHAnsi"/>
          <w:szCs w:val="20"/>
          <w:lang w:val="en-AU"/>
        </w:rPr>
        <w:t>ome s</w:t>
      </w:r>
      <w:r w:rsidRPr="001747AC">
        <w:rPr>
          <w:rFonts w:eastAsia="Verdana" w:cstheme="minorHAnsi"/>
          <w:szCs w:val="20"/>
          <w:lang w:val="en-AU"/>
        </w:rPr>
        <w:t xml:space="preserve">takeholders highlighted challenges in discharging a resident to an external facility – noting there was often a reluctance on the part of the receiving facility, given the resident’s history of behaviours. In these cases, SDCUs are increasingly drawing on the support of DSA to help manage the transition out (this was recommended in the </w:t>
      </w:r>
      <w:r w:rsidRPr="00771F7A">
        <w:rPr>
          <w:rFonts w:asciiTheme="majorHAnsi" w:eastAsia="Verdana" w:hAnsiTheme="majorHAnsi" w:cstheme="majorHAnsi"/>
          <w:b/>
          <w:szCs w:val="20"/>
          <w:lang w:val="en-AU"/>
        </w:rPr>
        <w:t>2020 Interim Report</w:t>
      </w:r>
      <w:r w:rsidRPr="001747AC">
        <w:rPr>
          <w:rFonts w:eastAsia="Verdana" w:cstheme="minorHAnsi"/>
          <w:szCs w:val="20"/>
          <w:lang w:val="en-AU"/>
        </w:rPr>
        <w:t xml:space="preserve">), with DSA able to provide upskilling assistance to staff at the receiving facility as part of their Severe Behavioural Response Team (SBRT) program. </w:t>
      </w:r>
    </w:p>
    <w:p w14:paraId="5F7433FD" w14:textId="77777777" w:rsidR="00C31AC2" w:rsidRPr="00C31AC2" w:rsidRDefault="00C31AC2" w:rsidP="00C063DC">
      <w:pPr>
        <w:pStyle w:val="ListParagraph"/>
        <w:numPr>
          <w:ilvl w:val="0"/>
          <w:numId w:val="12"/>
        </w:numPr>
        <w:spacing w:after="170"/>
        <w:ind w:left="357" w:hanging="357"/>
        <w:contextualSpacing w:val="0"/>
        <w:rPr>
          <w:b/>
          <w:bCs/>
        </w:rPr>
      </w:pPr>
      <w:r w:rsidRPr="001733A6">
        <w:rPr>
          <w:rFonts w:asciiTheme="majorHAnsi" w:hAnsiTheme="majorHAnsi" w:cstheme="majorHAnsi"/>
          <w:b/>
          <w:bCs/>
        </w:rPr>
        <w:t>Outreach with staff at the receiving facility.</w:t>
      </w:r>
      <w:r>
        <w:t xml:space="preserve"> Some SDCUs noted that in the case of external transitions, staff may spend up to one week on site at the receiving facility upskilling staff and ensuring the resident is comfortable in their new surroundings. In additional to support from DSA (discussed above), the clinical in-reach team also typically provides on-call support to the receiving facility on an ongoing basis to provide further advice and support, as needed. </w:t>
      </w:r>
      <w:r w:rsidRPr="003959DE">
        <w:t xml:space="preserve">Several sites noted a member of their staff (such as CNC, nurse coordinator or social worker) </w:t>
      </w:r>
      <w:r>
        <w:t>maintains regular contact</w:t>
      </w:r>
      <w:r w:rsidRPr="003959DE">
        <w:t xml:space="preserve"> with the receiving facility during the 12</w:t>
      </w:r>
      <w:r>
        <w:t>-</w:t>
      </w:r>
      <w:r w:rsidRPr="003959DE">
        <w:t>week bounce back period to support knowledge-sharing, monitor the residents’ progress and support the family’s transition</w:t>
      </w:r>
      <w:r>
        <w:t xml:space="preserve"> to mainstream care</w:t>
      </w:r>
      <w:r w:rsidRPr="003959DE">
        <w:t xml:space="preserve">. </w:t>
      </w:r>
    </w:p>
    <w:p w14:paraId="0DAF04A5" w14:textId="3BE89852" w:rsidR="00C31AC2" w:rsidRPr="00E85024" w:rsidRDefault="00C31AC2" w:rsidP="00C063DC">
      <w:pPr>
        <w:pStyle w:val="ListParagraph"/>
        <w:numPr>
          <w:ilvl w:val="0"/>
          <w:numId w:val="12"/>
        </w:numPr>
        <w:spacing w:after="170"/>
        <w:ind w:left="357" w:hanging="357"/>
        <w:contextualSpacing w:val="0"/>
        <w:rPr>
          <w:b/>
          <w:bCs/>
        </w:rPr>
      </w:pPr>
      <w:r w:rsidRPr="001C659D">
        <w:rPr>
          <w:rFonts w:asciiTheme="majorHAnsi" w:hAnsiTheme="majorHAnsi" w:cstheme="majorHAnsi"/>
          <w:b/>
        </w:rPr>
        <w:t xml:space="preserve">Targeted family and carer support. </w:t>
      </w:r>
      <w:r>
        <w:t xml:space="preserve">Due to families’ </w:t>
      </w:r>
      <w:r w:rsidRPr="007D1A48">
        <w:t xml:space="preserve">high satisfaction with the </w:t>
      </w:r>
      <w:r w:rsidR="00943488">
        <w:t>P</w:t>
      </w:r>
      <w:r w:rsidRPr="007D1A48">
        <w:t xml:space="preserve">rogram (discussed further in Section </w:t>
      </w:r>
      <w:r>
        <w:fldChar w:fldCharType="begin"/>
      </w:r>
      <w:r>
        <w:instrText xml:space="preserve"> REF _Ref123901818 \r \h </w:instrText>
      </w:r>
      <w:r>
        <w:fldChar w:fldCharType="separate"/>
      </w:r>
      <w:r w:rsidR="00D32536">
        <w:t>5</w:t>
      </w:r>
      <w:r>
        <w:fldChar w:fldCharType="end"/>
      </w:r>
      <w:r w:rsidRPr="007D1A48">
        <w:t>)</w:t>
      </w:r>
      <w:r>
        <w:t xml:space="preserve"> and previous negative experiences with mainstream </w:t>
      </w:r>
      <w:r w:rsidR="003C7C2F">
        <w:t>RACFs</w:t>
      </w:r>
      <w:r>
        <w:t xml:space="preserve">, stakeholders noted family/carers </w:t>
      </w:r>
      <w:r w:rsidRPr="007D1A48">
        <w:t xml:space="preserve">can be </w:t>
      </w:r>
      <w:r>
        <w:t>reluctant</w:t>
      </w:r>
      <w:r w:rsidRPr="007D1A48">
        <w:t xml:space="preserve"> to </w:t>
      </w:r>
      <w:r>
        <w:t xml:space="preserve">provide </w:t>
      </w:r>
      <w:r w:rsidRPr="007D1A48">
        <w:t>consent to discharg</w:t>
      </w:r>
      <w:r>
        <w:t>e. Several SDCUs provide targeted psychosocial support to families and carers (</w:t>
      </w:r>
      <w:r w:rsidR="00F77DC6">
        <w:t>e.g.,</w:t>
      </w:r>
      <w:r>
        <w:t xml:space="preserve"> through the social worker or nurse coordinator) to help a</w:t>
      </w:r>
      <w:r w:rsidR="00092C8C">
        <w:t>llay</w:t>
      </w:r>
      <w:r>
        <w:t xml:space="preserve"> family/carer fears relating to discharge and facilitate more timely transitions out. </w:t>
      </w:r>
    </w:p>
    <w:p w14:paraId="70786354" w14:textId="3614BC68" w:rsidR="006724B4" w:rsidRPr="006724B4" w:rsidRDefault="006724B4" w:rsidP="006724B4">
      <w:pPr>
        <w:spacing w:after="0"/>
        <w:rPr>
          <w:rFonts w:eastAsia="Verdana" w:cstheme="minorHAnsi"/>
          <w:szCs w:val="20"/>
          <w:u w:val="single"/>
          <w:lang w:val="en-AU"/>
        </w:rPr>
      </w:pPr>
      <w:r w:rsidRPr="006724B4">
        <w:rPr>
          <w:rFonts w:eastAsia="Verdana" w:cstheme="minorHAnsi"/>
          <w:szCs w:val="20"/>
          <w:u w:val="single"/>
          <w:lang w:val="en-AU"/>
        </w:rPr>
        <w:t>Potential role for social worker</w:t>
      </w:r>
    </w:p>
    <w:p w14:paraId="003F35C9" w14:textId="2F28B999" w:rsidR="0075197C" w:rsidRDefault="0075197C" w:rsidP="00D3799E">
      <w:r w:rsidRPr="006724B4">
        <w:t>Social workers</w:t>
      </w:r>
      <w:r w:rsidR="006724B4" w:rsidRPr="006724B4">
        <w:t xml:space="preserve"> </w:t>
      </w:r>
      <w:r w:rsidRPr="006724B4">
        <w:t>with aged care expertise</w:t>
      </w:r>
      <w:r w:rsidR="006724B4" w:rsidRPr="006724B4">
        <w:t xml:space="preserve"> </w:t>
      </w:r>
      <w:r w:rsidRPr="006724B4">
        <w:t>may help to support the timeliness of external</w:t>
      </w:r>
      <w:r w:rsidR="006724B4" w:rsidRPr="006724B4">
        <w:t xml:space="preserve"> </w:t>
      </w:r>
      <w:r w:rsidRPr="006724B4">
        <w:t>transitions. As noted in the section above,</w:t>
      </w:r>
      <w:r w:rsidR="006724B4" w:rsidRPr="006724B4">
        <w:t xml:space="preserve"> </w:t>
      </w:r>
      <w:r w:rsidRPr="006724B4">
        <w:t>stakeholders</w:t>
      </w:r>
      <w:r w:rsidR="006724B4" w:rsidRPr="006724B4">
        <w:t xml:space="preserve"> </w:t>
      </w:r>
      <w:r w:rsidRPr="006724B4">
        <w:t>observed</w:t>
      </w:r>
      <w:r w:rsidR="006724B4" w:rsidRPr="006724B4">
        <w:t xml:space="preserve"> </w:t>
      </w:r>
      <w:r w:rsidRPr="006724B4">
        <w:t>that</w:t>
      </w:r>
      <w:r w:rsidR="006724B4" w:rsidRPr="006724B4">
        <w:t xml:space="preserve"> </w:t>
      </w:r>
      <w:r w:rsidRPr="006724B4">
        <w:t>where an external transition is required, it can take time to identify</w:t>
      </w:r>
      <w:r w:rsidR="006724B4" w:rsidRPr="006724B4">
        <w:t xml:space="preserve"> </w:t>
      </w:r>
      <w:r w:rsidRPr="006724B4">
        <w:t>a</w:t>
      </w:r>
      <w:r w:rsidR="006724B4" w:rsidRPr="006724B4">
        <w:t xml:space="preserve"> </w:t>
      </w:r>
      <w:r w:rsidRPr="006724B4">
        <w:t>suitable discharge facility.</w:t>
      </w:r>
      <w:r w:rsidR="006724B4" w:rsidRPr="006724B4">
        <w:t xml:space="preserve"> </w:t>
      </w:r>
      <w:r w:rsidRPr="006724B4">
        <w:t>In-reach clinicians noted that in inpatient psychogeriatric settings, a social worker is tasked with identifying</w:t>
      </w:r>
      <w:r w:rsidR="006724B4" w:rsidRPr="006724B4">
        <w:t xml:space="preserve"> </w:t>
      </w:r>
      <w:r w:rsidRPr="006724B4">
        <w:t>a suitable discharge location, which enables the timeliness of the discharge. It was suggested that, as the Program grows, there may be an opportunity to consider</w:t>
      </w:r>
      <w:r w:rsidR="006724B4" w:rsidRPr="006724B4">
        <w:t xml:space="preserve"> </w:t>
      </w:r>
      <w:r w:rsidRPr="006724B4">
        <w:t>use of a social worker</w:t>
      </w:r>
      <w:r w:rsidR="006724B4" w:rsidRPr="006724B4">
        <w:t xml:space="preserve"> </w:t>
      </w:r>
      <w:r w:rsidRPr="006724B4">
        <w:t>(at a jurisdictional level)</w:t>
      </w:r>
      <w:r w:rsidR="006724B4" w:rsidRPr="006724B4">
        <w:t xml:space="preserve"> </w:t>
      </w:r>
      <w:r w:rsidRPr="006724B4">
        <w:t>to support SDCUs with external transitions.</w:t>
      </w:r>
    </w:p>
    <w:p w14:paraId="6C2A5271" w14:textId="3DF9988E" w:rsidR="00BA4A37" w:rsidRPr="00177D15" w:rsidRDefault="00162C9A" w:rsidP="00177D15">
      <w:pPr>
        <w:rPr>
          <w:rFonts w:asciiTheme="majorHAnsi" w:hAnsiTheme="majorHAnsi" w:cstheme="majorHAnsi"/>
          <w:b/>
          <w:color w:val="012169"/>
          <w:lang w:val="en-AU"/>
        </w:rPr>
      </w:pPr>
      <w:r>
        <w:rPr>
          <w:rFonts w:asciiTheme="majorHAnsi" w:hAnsiTheme="majorHAnsi" w:cstheme="majorHAnsi"/>
          <w:b/>
          <w:color w:val="012169"/>
          <w:lang w:val="en-AU"/>
        </w:rPr>
        <w:t xml:space="preserve">There was high variation in the average length of stay across </w:t>
      </w:r>
      <w:r w:rsidR="00FE40CF">
        <w:rPr>
          <w:rFonts w:asciiTheme="majorHAnsi" w:hAnsiTheme="majorHAnsi" w:cstheme="majorHAnsi"/>
          <w:b/>
          <w:color w:val="012169"/>
          <w:lang w:val="en-AU"/>
        </w:rPr>
        <w:t>SDCUs and s</w:t>
      </w:r>
      <w:r w:rsidR="00BA4A37" w:rsidRPr="00177D15">
        <w:rPr>
          <w:rFonts w:asciiTheme="majorHAnsi" w:hAnsiTheme="majorHAnsi" w:cstheme="majorHAnsi"/>
          <w:b/>
          <w:color w:val="012169"/>
          <w:lang w:val="en-AU"/>
        </w:rPr>
        <w:t xml:space="preserve">takeholders expressed divergent views on the </w:t>
      </w:r>
      <w:r>
        <w:rPr>
          <w:rFonts w:asciiTheme="majorHAnsi" w:hAnsiTheme="majorHAnsi" w:cstheme="majorHAnsi"/>
          <w:b/>
          <w:color w:val="012169"/>
          <w:lang w:val="en-AU"/>
        </w:rPr>
        <w:t xml:space="preserve">12-month </w:t>
      </w:r>
      <w:r w:rsidR="00BA4A37" w:rsidRPr="00177D15">
        <w:rPr>
          <w:rFonts w:asciiTheme="majorHAnsi" w:hAnsiTheme="majorHAnsi" w:cstheme="majorHAnsi"/>
          <w:b/>
          <w:color w:val="012169"/>
          <w:lang w:val="en-AU"/>
        </w:rPr>
        <w:t>transitory intent of the Program</w:t>
      </w:r>
      <w:r w:rsidR="00FE40CF">
        <w:rPr>
          <w:rFonts w:asciiTheme="majorHAnsi" w:hAnsiTheme="majorHAnsi" w:cstheme="majorHAnsi"/>
          <w:b/>
          <w:color w:val="012169"/>
          <w:lang w:val="en-AU"/>
        </w:rPr>
        <w:t>, as discharges are individual to each residents’ unique needs.</w:t>
      </w:r>
    </w:p>
    <w:p w14:paraId="0C3B2151" w14:textId="69FE4D05" w:rsidR="00C90557" w:rsidRDefault="00D22C30" w:rsidP="00C90557">
      <w:pPr>
        <w:pStyle w:val="ListBullet"/>
        <w:numPr>
          <w:ilvl w:val="0"/>
          <w:numId w:val="0"/>
        </w:numPr>
        <w:spacing w:after="170"/>
        <w:contextualSpacing w:val="0"/>
      </w:pPr>
      <w:r>
        <w:t xml:space="preserve">Stakeholders at some sites viewed the 12-month discharge benchmark as </w:t>
      </w:r>
      <w:r w:rsidRPr="00AC53E0">
        <w:t>arbitrary</w:t>
      </w:r>
      <w:r>
        <w:t xml:space="preserve">, noting that some residents are ready for discharge well before the 12-month period while others require a longer stay before their BPSD settle enough to enable transition to </w:t>
      </w:r>
      <w:r w:rsidR="000217E8">
        <w:t xml:space="preserve">a </w:t>
      </w:r>
      <w:r>
        <w:t xml:space="preserve">mainstream </w:t>
      </w:r>
      <w:r w:rsidR="000217E8">
        <w:t>RACF</w:t>
      </w:r>
      <w:r>
        <w:t xml:space="preserve">. </w:t>
      </w:r>
      <w:r w:rsidR="003A1678">
        <w:t xml:space="preserve">Program staff at several sites observed that </w:t>
      </w:r>
      <w:r w:rsidR="00FE40CF">
        <w:t xml:space="preserve">the </w:t>
      </w:r>
      <w:r w:rsidR="000217E8">
        <w:t>model</w:t>
      </w:r>
      <w:r w:rsidR="00FE40CF">
        <w:t xml:space="preserve"> of </w:t>
      </w:r>
      <w:r w:rsidR="000217E8">
        <w:t>care</w:t>
      </w:r>
      <w:r w:rsidR="00FE40CF">
        <w:t xml:space="preserve"> allows </w:t>
      </w:r>
      <w:r w:rsidR="003A1678">
        <w:t xml:space="preserve">discharge planning </w:t>
      </w:r>
      <w:r w:rsidR="00FE40CF">
        <w:t>to be</w:t>
      </w:r>
      <w:r w:rsidR="003A1678">
        <w:t xml:space="preserve"> more focused on each residents’ rate of progress</w:t>
      </w:r>
      <w:r w:rsidR="00BD7E50">
        <w:t>, which can vary greatly by reside</w:t>
      </w:r>
      <w:r w:rsidR="001F6C83">
        <w:t>nt.</w:t>
      </w:r>
      <w:r w:rsidR="00162C9A">
        <w:t xml:space="preserve"> </w:t>
      </w:r>
      <w:r>
        <w:t>Although t</w:t>
      </w:r>
      <w:r w:rsidR="00D259C8">
        <w:t>he</w:t>
      </w:r>
      <w:r w:rsidR="005D2B43">
        <w:t xml:space="preserve"> average length of stay across all </w:t>
      </w:r>
      <w:r w:rsidR="00156350">
        <w:t>discharged residents</w:t>
      </w:r>
      <w:r w:rsidR="005D2B43">
        <w:t xml:space="preserve"> was </w:t>
      </w:r>
      <w:r w:rsidR="008162AF">
        <w:t>8</w:t>
      </w:r>
      <w:r w:rsidR="005D2B43">
        <w:t xml:space="preserve"> month</w:t>
      </w:r>
      <w:r>
        <w:t>s</w:t>
      </w:r>
      <w:r w:rsidR="00156350">
        <w:t xml:space="preserve">, </w:t>
      </w:r>
      <w:r w:rsidR="000217E8">
        <w:fldChar w:fldCharType="begin"/>
      </w:r>
      <w:r w:rsidR="000217E8">
        <w:instrText xml:space="preserve"> REF _Ref125367327 \h </w:instrText>
      </w:r>
      <w:r w:rsidR="000217E8">
        <w:fldChar w:fldCharType="separate"/>
      </w:r>
      <w:r w:rsidR="00D32536">
        <w:t xml:space="preserve">Figure </w:t>
      </w:r>
      <w:r w:rsidR="00D32536">
        <w:rPr>
          <w:noProof/>
        </w:rPr>
        <w:t>4</w:t>
      </w:r>
      <w:r w:rsidR="00D32536">
        <w:t>.</w:t>
      </w:r>
      <w:r w:rsidR="00D32536">
        <w:rPr>
          <w:noProof/>
        </w:rPr>
        <w:t>3</w:t>
      </w:r>
      <w:r w:rsidR="000217E8">
        <w:fldChar w:fldCharType="end"/>
      </w:r>
      <w:r>
        <w:t xml:space="preserve"> shows h</w:t>
      </w:r>
      <w:r w:rsidR="00C90557">
        <w:t xml:space="preserve">igh </w:t>
      </w:r>
      <w:r w:rsidR="00156350">
        <w:t xml:space="preserve">variation </w:t>
      </w:r>
      <w:r w:rsidR="005D2B43">
        <w:t>across SDCU</w:t>
      </w:r>
      <w:r w:rsidR="00156350">
        <w:t>s and by reason for discharge</w:t>
      </w:r>
      <w:r>
        <w:t>. On average,</w:t>
      </w:r>
      <w:r w:rsidR="005D2B43">
        <w:t xml:space="preserve"> </w:t>
      </w:r>
      <w:r w:rsidR="00D259C8">
        <w:t xml:space="preserve">eight </w:t>
      </w:r>
      <w:r w:rsidR="00FE40CF">
        <w:t xml:space="preserve">out </w:t>
      </w:r>
      <w:r w:rsidR="00D259C8">
        <w:t>of ten SDCUs discharged residents who exhibited settled BPSD within 12</w:t>
      </w:r>
      <w:r w:rsidR="00FE40CF">
        <w:t xml:space="preserve"> </w:t>
      </w:r>
      <w:r w:rsidR="00D259C8">
        <w:t>month</w:t>
      </w:r>
      <w:r w:rsidR="00FE40CF">
        <w:t>s</w:t>
      </w:r>
      <w:r w:rsidR="00D259C8">
        <w:t xml:space="preserve"> </w:t>
      </w:r>
      <w:r w:rsidR="00FE40CF">
        <w:t>of admission</w:t>
      </w:r>
      <w:r>
        <w:t xml:space="preserve">. </w:t>
      </w:r>
    </w:p>
    <w:p w14:paraId="38BC96DE" w14:textId="0FFE3429" w:rsidR="000217E8" w:rsidRDefault="000217E8" w:rsidP="000217E8">
      <w:pPr>
        <w:pStyle w:val="Caption"/>
      </w:pPr>
      <w:bookmarkStart w:id="59" w:name="_Ref125367327"/>
      <w:r>
        <w:t xml:space="preserve">Figure </w:t>
      </w:r>
      <w:r w:rsidR="004D5933">
        <w:fldChar w:fldCharType="begin"/>
      </w:r>
      <w:r w:rsidR="004D5933">
        <w:instrText xml:space="preserve"> STYLEREF 1 \s </w:instrText>
      </w:r>
      <w:r w:rsidR="004D5933">
        <w:fldChar w:fldCharType="separate"/>
      </w:r>
      <w:r w:rsidR="00D32536">
        <w:rPr>
          <w:noProof/>
        </w:rPr>
        <w:t>4</w:t>
      </w:r>
      <w:r w:rsidR="004D5933">
        <w:fldChar w:fldCharType="end"/>
      </w:r>
      <w:r>
        <w:t>.</w:t>
      </w:r>
      <w:r w:rsidR="008875A8">
        <w:fldChar w:fldCharType="begin"/>
      </w:r>
      <w:r w:rsidR="008875A8">
        <w:instrText xml:space="preserve"> SEQ Figure \* ARABIC \s 1 </w:instrText>
      </w:r>
      <w:r w:rsidR="008875A8">
        <w:fldChar w:fldCharType="separate"/>
      </w:r>
      <w:r w:rsidR="00D32536">
        <w:rPr>
          <w:noProof/>
        </w:rPr>
        <w:t>3</w:t>
      </w:r>
      <w:r w:rsidR="008875A8">
        <w:fldChar w:fldCharType="end"/>
      </w:r>
      <w:bookmarkEnd w:id="59"/>
      <w:r>
        <w:t>: Average length of stay for discharged residents, by SDCU and reason for discharge</w:t>
      </w:r>
    </w:p>
    <w:p w14:paraId="7326BC5E" w14:textId="4FBEBF1C" w:rsidR="004D5933" w:rsidRPr="00DB19A1" w:rsidRDefault="00C07537" w:rsidP="004D5933">
      <w:pPr>
        <w:spacing w:after="0"/>
      </w:pPr>
      <w:r w:rsidRPr="00C07537">
        <w:rPr>
          <w:noProof/>
        </w:rPr>
        <w:drawing>
          <wp:inline distT="0" distB="0" distL="0" distR="0" wp14:anchorId="76EBDE6A" wp14:editId="4A225960">
            <wp:extent cx="6319520" cy="3710940"/>
            <wp:effectExtent l="0" t="0" r="5080" b="3810"/>
            <wp:docPr id="48" name="Picture 48" descr="This image is a vertical bar chart showing each unit (anonymised), with the average length of stay for discharged residents due to either settled BPSD or for other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image is a vertical bar chart showing each unit (anonymised), with the average length of stay for discharged residents due to either settled BPSD or for other reason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19520" cy="3710940"/>
                    </a:xfrm>
                    <a:prstGeom prst="rect">
                      <a:avLst/>
                    </a:prstGeom>
                    <a:noFill/>
                    <a:ln>
                      <a:noFill/>
                    </a:ln>
                  </pic:spPr>
                </pic:pic>
              </a:graphicData>
            </a:graphic>
          </wp:inline>
        </w:drawing>
      </w:r>
    </w:p>
    <w:p w14:paraId="30155C6F" w14:textId="77777777" w:rsidR="004D5933" w:rsidRPr="00A00E23" w:rsidRDefault="004D5933" w:rsidP="004D5933">
      <w:pPr>
        <w:pStyle w:val="SourcetextTableorChart"/>
      </w:pPr>
      <w:r w:rsidRPr="009847EB">
        <w:t xml:space="preserve">Source: Deloitte Access Economics analysis of </w:t>
      </w:r>
      <w:r>
        <w:t>six-monthly provider reports</w:t>
      </w:r>
      <w:r w:rsidRPr="009847EB">
        <w:t>, 2022</w:t>
      </w:r>
    </w:p>
    <w:p w14:paraId="21E6B6D6" w14:textId="72C989E9" w:rsidR="00605F5A" w:rsidRDefault="009F6989" w:rsidP="00605F5A">
      <w:pPr>
        <w:pStyle w:val="ListBullet"/>
        <w:numPr>
          <w:ilvl w:val="0"/>
          <w:numId w:val="0"/>
        </w:numPr>
        <w:spacing w:after="170"/>
        <w:contextualSpacing w:val="0"/>
      </w:pPr>
      <w:r>
        <w:t>S</w:t>
      </w:r>
      <w:r w:rsidR="00474A90">
        <w:rPr>
          <w:szCs w:val="18"/>
        </w:rPr>
        <w:t>ome stakeholders</w:t>
      </w:r>
      <w:r w:rsidR="00474A90" w:rsidRPr="005A13C7">
        <w:rPr>
          <w:szCs w:val="18"/>
        </w:rPr>
        <w:t xml:space="preserve"> </w:t>
      </w:r>
      <w:r w:rsidR="00474A90">
        <w:rPr>
          <w:szCs w:val="18"/>
        </w:rPr>
        <w:t xml:space="preserve">also </w:t>
      </w:r>
      <w:r w:rsidR="00474A90" w:rsidRPr="005A13C7">
        <w:rPr>
          <w:szCs w:val="18"/>
        </w:rPr>
        <w:t xml:space="preserve">expressed </w:t>
      </w:r>
      <w:r w:rsidR="00474A90">
        <w:rPr>
          <w:szCs w:val="18"/>
        </w:rPr>
        <w:t>a view that</w:t>
      </w:r>
      <w:r w:rsidR="00474A90" w:rsidRPr="005A13C7">
        <w:rPr>
          <w:szCs w:val="18"/>
        </w:rPr>
        <w:t xml:space="preserve"> </w:t>
      </w:r>
      <w:r w:rsidR="00474A90">
        <w:rPr>
          <w:szCs w:val="18"/>
        </w:rPr>
        <w:t>in</w:t>
      </w:r>
      <w:r w:rsidR="00474A90">
        <w:t xml:space="preserve"> certain situations (e.g., difficult residents or residents nearing end-of-life) the focus should be on maintaining patient quality of life rather than discharge. </w:t>
      </w:r>
      <w:r w:rsidR="00D22C30">
        <w:t xml:space="preserve">As seen in </w:t>
      </w:r>
      <w:r w:rsidR="000217E8">
        <w:fldChar w:fldCharType="begin"/>
      </w:r>
      <w:r w:rsidR="000217E8">
        <w:instrText xml:space="preserve"> REF _Ref125367327 \h </w:instrText>
      </w:r>
      <w:r w:rsidR="000217E8">
        <w:fldChar w:fldCharType="separate"/>
      </w:r>
      <w:r w:rsidR="00D32536">
        <w:t xml:space="preserve">Figure </w:t>
      </w:r>
      <w:r w:rsidR="00D32536">
        <w:rPr>
          <w:noProof/>
        </w:rPr>
        <w:t>4</w:t>
      </w:r>
      <w:r w:rsidR="00D32536">
        <w:t>.</w:t>
      </w:r>
      <w:r w:rsidR="00D32536">
        <w:rPr>
          <w:noProof/>
        </w:rPr>
        <w:t>3</w:t>
      </w:r>
      <w:r w:rsidR="000217E8">
        <w:fldChar w:fldCharType="end"/>
      </w:r>
      <w:r w:rsidR="00D22C30">
        <w:t xml:space="preserve"> above, there was also high variation in the average length of stay for residents discharged for reasons</w:t>
      </w:r>
      <w:r w:rsidR="00FE40CF">
        <w:t xml:space="preserve"> other than settled BPSD (e.g., </w:t>
      </w:r>
      <w:r w:rsidR="00D22C30">
        <w:t>escalated behaviours, change in care needs or those nearing end of life</w:t>
      </w:r>
      <w:r w:rsidR="00FE40CF">
        <w:t>)</w:t>
      </w:r>
      <w:r w:rsidR="00D22C30">
        <w:t>. It should be noted that i</w:t>
      </w:r>
      <w:r w:rsidR="00605F5A">
        <w:t>t was not possible to compare the average length of stay for each individual reason within the ‘other’ category, as there was inconsistency in the way sites classified the reasons for discharge.</w:t>
      </w:r>
    </w:p>
    <w:p w14:paraId="0B0A6413" w14:textId="2F863CE9" w:rsidR="00C0179C" w:rsidRDefault="00D22C30" w:rsidP="00C0179C">
      <w:pPr>
        <w:pStyle w:val="ListBullet"/>
        <w:numPr>
          <w:ilvl w:val="0"/>
          <w:numId w:val="0"/>
        </w:numPr>
        <w:spacing w:after="170"/>
        <w:contextualSpacing w:val="0"/>
      </w:pPr>
      <w:r>
        <w:t>SDCUs reported</w:t>
      </w:r>
      <w:r w:rsidR="00C0179C">
        <w:t xml:space="preserve"> divergent views relating to e</w:t>
      </w:r>
      <w:r w:rsidR="00C0179C" w:rsidRPr="00146BEB">
        <w:rPr>
          <w:szCs w:val="18"/>
        </w:rPr>
        <w:t>nd-of-life car</w:t>
      </w:r>
      <w:r w:rsidR="00C0179C">
        <w:rPr>
          <w:szCs w:val="18"/>
        </w:rPr>
        <w:t xml:space="preserve">e in particular. </w:t>
      </w:r>
      <w:r w:rsidR="00C0179C">
        <w:t xml:space="preserve">Program staff at some sites </w:t>
      </w:r>
      <w:r w:rsidR="00C0179C" w:rsidRPr="0004429B">
        <w:t>believed it was more appropriate to keep the resident in the SDC</w:t>
      </w:r>
      <w:r w:rsidR="00C0179C">
        <w:t>U to avoid additional disruption and stress, and to maintain continuity of care in an environment where they feel comfortable</w:t>
      </w:r>
      <w:r w:rsidR="00C0179C" w:rsidRPr="0004429B">
        <w:t xml:space="preserve">. Others however, </w:t>
      </w:r>
      <w:r w:rsidR="00C0179C">
        <w:t xml:space="preserve">strongly believed palliative care lay outside the scope of the Program as </w:t>
      </w:r>
      <w:r w:rsidR="00C0179C" w:rsidRPr="0004429B">
        <w:t>it was more appropriate to transition the resident to a ward with specialised palliative care staf</w:t>
      </w:r>
      <w:r w:rsidR="00C0179C">
        <w:t xml:space="preserve">f and </w:t>
      </w:r>
      <w:r w:rsidR="00C0179C" w:rsidRPr="0004429B">
        <w:t xml:space="preserve">to create space in the SDCU for a new admission to support the existing Program waitlist. </w:t>
      </w:r>
    </w:p>
    <w:p w14:paraId="07E03CDD" w14:textId="5CF0825C" w:rsidR="00E204AC" w:rsidRPr="00AC0057" w:rsidRDefault="00E204AC" w:rsidP="00496EA4">
      <w:pPr>
        <w:pStyle w:val="Heading2"/>
        <w:spacing w:after="0"/>
        <w:ind w:left="578" w:hanging="578"/>
        <w:rPr>
          <w:lang w:val="en-AU"/>
        </w:rPr>
      </w:pPr>
      <w:bookmarkStart w:id="60" w:name="_Ref123914573"/>
      <w:r w:rsidRPr="00AC0057">
        <w:rPr>
          <w:lang w:val="en-AU"/>
        </w:rPr>
        <w:t>Client bounce-back</w:t>
      </w:r>
      <w:r w:rsidR="0076347C">
        <w:rPr>
          <w:lang w:val="en-AU"/>
        </w:rPr>
        <w:t>s</w:t>
      </w:r>
      <w:bookmarkEnd w:id="60"/>
      <w:r w:rsidR="0059477F" w:rsidRPr="00AC0057">
        <w:t xml:space="preserve">  </w:t>
      </w:r>
    </w:p>
    <w:p w14:paraId="750C7AA6" w14:textId="5C317C1E" w:rsidR="001D3BB4" w:rsidRPr="00496EA4" w:rsidRDefault="001235B8" w:rsidP="001D3BB4">
      <w:pPr>
        <w:rPr>
          <w:rFonts w:asciiTheme="majorHAnsi" w:hAnsiTheme="majorHAnsi" w:cstheme="majorHAnsi"/>
          <w:b/>
          <w:color w:val="012169"/>
          <w:lang w:val="en-AU"/>
        </w:rPr>
      </w:pPr>
      <w:r w:rsidRPr="00496EA4">
        <w:rPr>
          <w:rFonts w:asciiTheme="majorHAnsi" w:hAnsiTheme="majorHAnsi" w:cstheme="majorHAnsi"/>
          <w:b/>
          <w:color w:val="012169"/>
          <w:lang w:val="en-AU"/>
        </w:rPr>
        <w:t>Over the course of the Program</w:t>
      </w:r>
      <w:r w:rsidR="001D3BB4" w:rsidRPr="00496EA4">
        <w:rPr>
          <w:rFonts w:asciiTheme="majorHAnsi" w:hAnsiTheme="majorHAnsi" w:cstheme="majorHAnsi"/>
          <w:b/>
          <w:color w:val="012169"/>
          <w:lang w:val="en-AU"/>
        </w:rPr>
        <w:t xml:space="preserve">, </w:t>
      </w:r>
      <w:r w:rsidR="00EB7F10" w:rsidRPr="00496EA4">
        <w:rPr>
          <w:rFonts w:asciiTheme="majorHAnsi" w:hAnsiTheme="majorHAnsi" w:cstheme="majorHAnsi"/>
          <w:b/>
          <w:color w:val="012169"/>
          <w:lang w:val="en-AU"/>
        </w:rPr>
        <w:t xml:space="preserve">fewer than </w:t>
      </w:r>
      <w:r w:rsidRPr="00496EA4">
        <w:rPr>
          <w:rFonts w:asciiTheme="majorHAnsi" w:hAnsiTheme="majorHAnsi" w:cstheme="majorHAnsi"/>
          <w:b/>
          <w:color w:val="012169"/>
          <w:lang w:val="en-AU"/>
        </w:rPr>
        <w:t xml:space="preserve">ten residents </w:t>
      </w:r>
      <w:r w:rsidR="00395665">
        <w:rPr>
          <w:rFonts w:asciiTheme="majorHAnsi" w:hAnsiTheme="majorHAnsi" w:cstheme="majorHAnsi"/>
          <w:b/>
          <w:bCs/>
          <w:color w:val="012169"/>
          <w:lang w:val="en-AU"/>
        </w:rPr>
        <w:t>(who were discharged)</w:t>
      </w:r>
      <w:r w:rsidRPr="00496EA4">
        <w:rPr>
          <w:rFonts w:asciiTheme="majorHAnsi" w:hAnsiTheme="majorHAnsi" w:cstheme="majorHAnsi"/>
          <w:b/>
          <w:bCs/>
          <w:color w:val="012169"/>
          <w:lang w:val="en-AU"/>
        </w:rPr>
        <w:t xml:space="preserve"> </w:t>
      </w:r>
      <w:r w:rsidRPr="00496EA4">
        <w:rPr>
          <w:rFonts w:asciiTheme="majorHAnsi" w:hAnsiTheme="majorHAnsi" w:cstheme="majorHAnsi"/>
          <w:b/>
          <w:color w:val="012169"/>
          <w:lang w:val="en-AU"/>
        </w:rPr>
        <w:t xml:space="preserve">required readmission </w:t>
      </w:r>
      <w:r w:rsidR="00AF6FB2">
        <w:rPr>
          <w:rFonts w:asciiTheme="majorHAnsi" w:hAnsiTheme="majorHAnsi" w:cstheme="majorHAnsi"/>
          <w:b/>
          <w:bCs/>
          <w:color w:val="012169"/>
          <w:lang w:val="en-AU"/>
        </w:rPr>
        <w:t xml:space="preserve">to </w:t>
      </w:r>
      <w:r w:rsidRPr="00496EA4">
        <w:rPr>
          <w:rFonts w:asciiTheme="majorHAnsi" w:hAnsiTheme="majorHAnsi" w:cstheme="majorHAnsi"/>
          <w:b/>
          <w:color w:val="012169"/>
          <w:lang w:val="en-AU"/>
        </w:rPr>
        <w:t>an SDCU</w:t>
      </w:r>
      <w:r w:rsidR="001D3BB4" w:rsidRPr="00496EA4">
        <w:rPr>
          <w:rFonts w:asciiTheme="majorHAnsi" w:hAnsiTheme="majorHAnsi" w:cstheme="majorHAnsi"/>
          <w:b/>
          <w:color w:val="012169"/>
          <w:lang w:val="en-AU"/>
        </w:rPr>
        <w:t xml:space="preserve">. </w:t>
      </w:r>
    </w:p>
    <w:p w14:paraId="7ACA2ADC" w14:textId="237CFCA1" w:rsidR="001D3BB4" w:rsidRDefault="001D3BB4" w:rsidP="007D66EE">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after="170"/>
        <w:rPr>
          <w:rFonts w:cstheme="minorHAnsi"/>
          <w:szCs w:val="20"/>
          <w:lang w:val="en-AU"/>
        </w:rPr>
      </w:pPr>
      <w:r w:rsidRPr="002F5F79">
        <w:rPr>
          <w:rFonts w:cstheme="minorHAnsi"/>
          <w:szCs w:val="20"/>
          <w:lang w:val="en-AU"/>
        </w:rPr>
        <w:t>According to</w:t>
      </w:r>
      <w:r>
        <w:rPr>
          <w:rFonts w:cstheme="minorHAnsi"/>
          <w:szCs w:val="20"/>
          <w:lang w:val="en-AU"/>
        </w:rPr>
        <w:t xml:space="preserve"> </w:t>
      </w:r>
      <w:r w:rsidRPr="002F5F79">
        <w:rPr>
          <w:rFonts w:cstheme="minorHAnsi"/>
          <w:szCs w:val="20"/>
          <w:lang w:val="en-AU"/>
        </w:rPr>
        <w:t>six-monthly performance reports</w:t>
      </w:r>
      <w:r>
        <w:rPr>
          <w:rFonts w:cstheme="minorHAnsi"/>
          <w:szCs w:val="20"/>
          <w:lang w:val="en-AU"/>
        </w:rPr>
        <w:t>,</w:t>
      </w:r>
      <w:r w:rsidRPr="002F5F79">
        <w:rPr>
          <w:rFonts w:cstheme="minorHAnsi"/>
          <w:szCs w:val="20"/>
          <w:lang w:val="en-AU"/>
        </w:rPr>
        <w:t xml:space="preserve"> </w:t>
      </w:r>
      <w:r>
        <w:rPr>
          <w:rFonts w:cstheme="minorHAnsi"/>
          <w:szCs w:val="20"/>
          <w:lang w:val="en-AU"/>
        </w:rPr>
        <w:t>of the 62 residents who were discharged due to settled BPSD</w:t>
      </w:r>
      <w:r w:rsidR="00EB2689">
        <w:rPr>
          <w:rFonts w:cstheme="minorHAnsi"/>
          <w:szCs w:val="20"/>
          <w:lang w:val="en-AU"/>
        </w:rPr>
        <w:t xml:space="preserve">, </w:t>
      </w:r>
      <w:r w:rsidR="001235B8">
        <w:rPr>
          <w:rFonts w:cstheme="minorHAnsi"/>
          <w:szCs w:val="20"/>
          <w:lang w:val="en-AU"/>
        </w:rPr>
        <w:t>fewer than 10</w:t>
      </w:r>
      <w:r w:rsidR="00EB2689">
        <w:rPr>
          <w:rFonts w:cstheme="minorHAnsi"/>
          <w:szCs w:val="20"/>
          <w:lang w:val="en-AU"/>
        </w:rPr>
        <w:t xml:space="preserve"> </w:t>
      </w:r>
      <w:r>
        <w:rPr>
          <w:rFonts w:cstheme="minorHAnsi"/>
          <w:szCs w:val="20"/>
          <w:lang w:val="en-AU"/>
        </w:rPr>
        <w:t xml:space="preserve">required </w:t>
      </w:r>
      <w:r w:rsidRPr="002F5F79">
        <w:rPr>
          <w:rFonts w:cstheme="minorHAnsi"/>
          <w:szCs w:val="20"/>
          <w:lang w:val="en-AU"/>
        </w:rPr>
        <w:t>readmission</w:t>
      </w:r>
      <w:r>
        <w:rPr>
          <w:rFonts w:cstheme="minorHAnsi"/>
          <w:szCs w:val="20"/>
          <w:lang w:val="en-AU"/>
        </w:rPr>
        <w:t xml:space="preserve"> to </w:t>
      </w:r>
      <w:r w:rsidR="00BF12DA">
        <w:rPr>
          <w:rFonts w:cstheme="minorHAnsi"/>
          <w:szCs w:val="20"/>
          <w:lang w:val="en-AU"/>
        </w:rPr>
        <w:t>an</w:t>
      </w:r>
      <w:r>
        <w:rPr>
          <w:rFonts w:cstheme="minorHAnsi"/>
          <w:szCs w:val="20"/>
          <w:lang w:val="en-AU"/>
        </w:rPr>
        <w:t xml:space="preserve"> SDCU. </w:t>
      </w:r>
    </w:p>
    <w:p w14:paraId="4876C349" w14:textId="2C88C3DC" w:rsidR="001D3BB4" w:rsidRPr="00A66D1B" w:rsidRDefault="00D54C39" w:rsidP="007D66EE">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after="170"/>
        <w:rPr>
          <w:rFonts w:cstheme="minorHAnsi"/>
          <w:szCs w:val="20"/>
          <w:lang w:val="en-AU"/>
        </w:rPr>
      </w:pPr>
      <w:r>
        <w:rPr>
          <w:rFonts w:cstheme="minorHAnsi"/>
          <w:szCs w:val="20"/>
          <w:lang w:val="en-AU"/>
        </w:rPr>
        <w:t>Anecdotally,</w:t>
      </w:r>
      <w:r w:rsidR="0058099F">
        <w:rPr>
          <w:rFonts w:cstheme="minorHAnsi"/>
          <w:szCs w:val="20"/>
          <w:lang w:val="en-AU"/>
        </w:rPr>
        <w:t xml:space="preserve"> post-discharge progress </w:t>
      </w:r>
      <w:r w:rsidR="001D3BB4" w:rsidRPr="009556D6">
        <w:rPr>
          <w:rFonts w:cstheme="minorHAnsi"/>
          <w:szCs w:val="20"/>
          <w:lang w:val="en-AU"/>
        </w:rPr>
        <w:t>is highly individual to each resident and the conditions of the receiving facility (e.g.</w:t>
      </w:r>
      <w:r w:rsidR="001D3BB4">
        <w:rPr>
          <w:rFonts w:cstheme="minorHAnsi"/>
          <w:szCs w:val="20"/>
          <w:lang w:val="en-AU"/>
        </w:rPr>
        <w:t>,</w:t>
      </w:r>
      <w:r w:rsidR="001D3BB4" w:rsidRPr="009556D6">
        <w:rPr>
          <w:rFonts w:cstheme="minorHAnsi"/>
          <w:szCs w:val="20"/>
          <w:lang w:val="en-AU"/>
        </w:rPr>
        <w:t xml:space="preserve"> resident mix and staff capabilities)</w:t>
      </w:r>
      <w:r w:rsidR="005D716E">
        <w:rPr>
          <w:rFonts w:cstheme="minorHAnsi"/>
          <w:szCs w:val="20"/>
          <w:lang w:val="en-AU"/>
        </w:rPr>
        <w:t xml:space="preserve">. </w:t>
      </w:r>
      <w:r w:rsidR="006C48AD">
        <w:rPr>
          <w:rFonts w:cstheme="minorHAnsi"/>
          <w:szCs w:val="20"/>
          <w:lang w:val="en-AU"/>
        </w:rPr>
        <w:t xml:space="preserve">Stakeholders reported it can be difficult to predict whether a resident will require a bounce back admission but observed it is heavily dependent on how well the resident can adapt to the new unit dynamic and how closely their tailored care plan (developed in the </w:t>
      </w:r>
      <w:r w:rsidR="00A11EF7">
        <w:rPr>
          <w:rFonts w:cstheme="minorHAnsi"/>
          <w:szCs w:val="20"/>
          <w:lang w:val="en-AU"/>
        </w:rPr>
        <w:t>Program</w:t>
      </w:r>
      <w:r w:rsidR="006C48AD">
        <w:rPr>
          <w:rFonts w:cstheme="minorHAnsi"/>
          <w:szCs w:val="20"/>
          <w:lang w:val="en-AU"/>
        </w:rPr>
        <w:t xml:space="preserve">) is followed. </w:t>
      </w:r>
      <w:r w:rsidR="00A66D1B" w:rsidRPr="00A66D1B">
        <w:rPr>
          <w:rFonts w:cstheme="minorHAnsi"/>
          <w:szCs w:val="20"/>
          <w:lang w:val="en-AU"/>
        </w:rPr>
        <w:t>For example, o</w:t>
      </w:r>
      <w:r w:rsidR="001D3BB4" w:rsidRPr="00A66D1B">
        <w:rPr>
          <w:rFonts w:cstheme="minorHAnsi"/>
          <w:szCs w:val="20"/>
          <w:lang w:val="en-AU"/>
        </w:rPr>
        <w:t xml:space="preserve">ne stakeholder noted a bounce back occurred because a clinician </w:t>
      </w:r>
      <w:r w:rsidR="00184DED">
        <w:rPr>
          <w:rFonts w:cstheme="minorHAnsi"/>
          <w:szCs w:val="20"/>
          <w:lang w:val="en-AU"/>
        </w:rPr>
        <w:t xml:space="preserve">at the receiving facility </w:t>
      </w:r>
      <w:r w:rsidR="001D3BB4" w:rsidRPr="00A66D1B">
        <w:rPr>
          <w:rFonts w:cstheme="minorHAnsi"/>
          <w:szCs w:val="20"/>
          <w:lang w:val="en-AU"/>
        </w:rPr>
        <w:t>altered the resident’s medication shortly after admissio</w:t>
      </w:r>
      <w:r w:rsidR="00184DED">
        <w:rPr>
          <w:rFonts w:cstheme="minorHAnsi"/>
          <w:szCs w:val="20"/>
          <w:lang w:val="en-AU"/>
        </w:rPr>
        <w:t>n</w:t>
      </w:r>
      <w:r w:rsidR="001D3BB4" w:rsidRPr="00A66D1B">
        <w:rPr>
          <w:rFonts w:cstheme="minorHAnsi"/>
          <w:szCs w:val="20"/>
          <w:lang w:val="en-AU"/>
        </w:rPr>
        <w:t xml:space="preserve">, which exacerbated their BPSD. This highlights the importance of </w:t>
      </w:r>
      <w:r w:rsidR="00D240D2">
        <w:rPr>
          <w:rFonts w:cstheme="minorHAnsi"/>
          <w:szCs w:val="20"/>
          <w:lang w:val="en-AU"/>
        </w:rPr>
        <w:t>ensuring the enabling</w:t>
      </w:r>
      <w:r w:rsidR="000217E8">
        <w:rPr>
          <w:rFonts w:cstheme="minorHAnsi"/>
          <w:szCs w:val="20"/>
          <w:lang w:val="en-AU"/>
        </w:rPr>
        <w:t xml:space="preserve"> discharge</w:t>
      </w:r>
      <w:r w:rsidR="00D240D2">
        <w:rPr>
          <w:rFonts w:cstheme="minorHAnsi"/>
          <w:szCs w:val="20"/>
          <w:lang w:val="en-AU"/>
        </w:rPr>
        <w:t xml:space="preserve"> factors mentioned above are in place to facilitate s</w:t>
      </w:r>
      <w:r w:rsidR="001D3BB4" w:rsidRPr="00A66D1B">
        <w:rPr>
          <w:rFonts w:cstheme="minorHAnsi"/>
          <w:szCs w:val="20"/>
          <w:lang w:val="en-AU"/>
        </w:rPr>
        <w:t>trong</w:t>
      </w:r>
      <w:r w:rsidR="00D240D2">
        <w:rPr>
          <w:rFonts w:cstheme="minorHAnsi"/>
          <w:szCs w:val="20"/>
          <w:lang w:val="en-AU"/>
        </w:rPr>
        <w:t>er</w:t>
      </w:r>
      <w:r w:rsidR="001D3BB4" w:rsidRPr="00A66D1B">
        <w:rPr>
          <w:rFonts w:cstheme="minorHAnsi"/>
          <w:szCs w:val="20"/>
          <w:lang w:val="en-AU"/>
        </w:rPr>
        <w:t xml:space="preserve"> communication with staff at the </w:t>
      </w:r>
      <w:r w:rsidR="00D240D2">
        <w:rPr>
          <w:rFonts w:cstheme="minorHAnsi"/>
          <w:szCs w:val="20"/>
          <w:lang w:val="en-AU"/>
        </w:rPr>
        <w:t>receiving</w:t>
      </w:r>
      <w:r w:rsidR="001D3BB4" w:rsidRPr="00A66D1B">
        <w:rPr>
          <w:rFonts w:cstheme="minorHAnsi"/>
          <w:szCs w:val="20"/>
          <w:lang w:val="en-AU"/>
        </w:rPr>
        <w:t xml:space="preserve"> facility </w:t>
      </w:r>
      <w:r w:rsidR="00D240D2">
        <w:rPr>
          <w:rFonts w:cstheme="minorHAnsi"/>
          <w:szCs w:val="20"/>
          <w:lang w:val="en-AU"/>
        </w:rPr>
        <w:t>and</w:t>
      </w:r>
      <w:r w:rsidR="001D3BB4" w:rsidRPr="00A66D1B">
        <w:rPr>
          <w:rFonts w:cstheme="minorHAnsi"/>
          <w:szCs w:val="20"/>
          <w:lang w:val="en-AU"/>
        </w:rPr>
        <w:t xml:space="preserve"> ensure care plans are </w:t>
      </w:r>
      <w:r w:rsidR="00184DED" w:rsidRPr="00A66D1B">
        <w:rPr>
          <w:rFonts w:cstheme="minorHAnsi"/>
          <w:szCs w:val="20"/>
          <w:lang w:val="en-AU"/>
        </w:rPr>
        <w:t xml:space="preserve">closely </w:t>
      </w:r>
      <w:r w:rsidR="001D3BB4" w:rsidRPr="00A66D1B">
        <w:rPr>
          <w:rFonts w:cstheme="minorHAnsi"/>
          <w:szCs w:val="20"/>
          <w:lang w:val="en-AU"/>
        </w:rPr>
        <w:t xml:space="preserve">followed. </w:t>
      </w:r>
      <w:r w:rsidR="0034038E">
        <w:rPr>
          <w:rFonts w:cstheme="minorHAnsi"/>
          <w:szCs w:val="20"/>
          <w:lang w:val="en-AU"/>
        </w:rPr>
        <w:t xml:space="preserve">Indeed, all sites reporting a bounce-back noted it was a learning experience </w:t>
      </w:r>
      <w:r w:rsidR="004D1F6E">
        <w:rPr>
          <w:rFonts w:cstheme="minorHAnsi"/>
          <w:szCs w:val="20"/>
          <w:lang w:val="en-AU"/>
        </w:rPr>
        <w:t xml:space="preserve">for the site, </w:t>
      </w:r>
      <w:r w:rsidR="00F1003F" w:rsidRPr="00F24626">
        <w:rPr>
          <w:rFonts w:cstheme="minorHAnsi"/>
          <w:szCs w:val="20"/>
          <w:lang w:val="en-AU"/>
        </w:rPr>
        <w:t xml:space="preserve">and adaptations such as increased outreach or </w:t>
      </w:r>
      <w:r w:rsidR="00F24626" w:rsidRPr="00F24626">
        <w:rPr>
          <w:rFonts w:cstheme="minorHAnsi"/>
          <w:szCs w:val="20"/>
          <w:lang w:val="en-AU"/>
        </w:rPr>
        <w:t>support from DSA</w:t>
      </w:r>
      <w:r w:rsidR="00F1003F" w:rsidRPr="00F24626">
        <w:rPr>
          <w:rFonts w:cstheme="minorHAnsi"/>
          <w:szCs w:val="20"/>
          <w:lang w:val="en-AU"/>
        </w:rPr>
        <w:t>, have now been implemented.</w:t>
      </w:r>
    </w:p>
    <w:p w14:paraId="3E02052A" w14:textId="12A66D32" w:rsidR="002E07BB" w:rsidRDefault="000969F1" w:rsidP="007D66EE">
      <w:pPr>
        <w:pStyle w:val="ListBullet"/>
        <w:numPr>
          <w:ilvl w:val="0"/>
          <w:numId w:val="0"/>
        </w:numPr>
        <w:spacing w:after="170"/>
        <w:contextualSpacing w:val="0"/>
        <w:rPr>
          <w:szCs w:val="18"/>
        </w:rPr>
      </w:pPr>
      <w:r>
        <w:t xml:space="preserve">The </w:t>
      </w:r>
      <w:r w:rsidRPr="00AE73E4">
        <w:rPr>
          <w:rFonts w:asciiTheme="majorHAnsi" w:hAnsiTheme="majorHAnsi" w:cstheme="majorHAnsi"/>
          <w:b/>
        </w:rPr>
        <w:t>Interim Report (2021)</w:t>
      </w:r>
      <w:r>
        <w:t xml:space="preserve"> found that </w:t>
      </w:r>
      <w:r w:rsidR="002E07BB">
        <w:t>one SDCU adapted their workflow to first discharge each resident to a step-down facility for two to three months</w:t>
      </w:r>
      <w:r>
        <w:rPr>
          <w:szCs w:val="18"/>
        </w:rPr>
        <w:t xml:space="preserve">, with the </w:t>
      </w:r>
      <w:r w:rsidR="002E07BB">
        <w:t xml:space="preserve">goal </w:t>
      </w:r>
      <w:r>
        <w:rPr>
          <w:szCs w:val="18"/>
        </w:rPr>
        <w:t>being</w:t>
      </w:r>
      <w:r w:rsidR="002E07BB" w:rsidRPr="00A20574">
        <w:rPr>
          <w:szCs w:val="18"/>
        </w:rPr>
        <w:t xml:space="preserve"> to help</w:t>
      </w:r>
      <w:r w:rsidR="002E07BB">
        <w:t xml:space="preserve"> the resident adapt to less </w:t>
      </w:r>
      <w:r w:rsidR="002E07BB" w:rsidRPr="00A20574">
        <w:rPr>
          <w:szCs w:val="18"/>
        </w:rPr>
        <w:t>personalised</w:t>
      </w:r>
      <w:r w:rsidR="002E07BB">
        <w:t xml:space="preserve"> staffing ratios.</w:t>
      </w:r>
      <w:r w:rsidR="002E07BB" w:rsidRPr="00A20574">
        <w:rPr>
          <w:szCs w:val="18"/>
        </w:rPr>
        <w:t xml:space="preserve"> </w:t>
      </w:r>
      <w:r w:rsidR="004569B9">
        <w:rPr>
          <w:szCs w:val="18"/>
        </w:rPr>
        <w:t>This SDCU continues to be the only site consistently implementing</w:t>
      </w:r>
      <w:r w:rsidR="00812B59">
        <w:rPr>
          <w:szCs w:val="18"/>
        </w:rPr>
        <w:t xml:space="preserve"> a step-down approach, </w:t>
      </w:r>
      <w:r w:rsidR="004569B9">
        <w:rPr>
          <w:szCs w:val="18"/>
        </w:rPr>
        <w:t xml:space="preserve">as the </w:t>
      </w:r>
      <w:r w:rsidR="00812B59">
        <w:rPr>
          <w:szCs w:val="18"/>
        </w:rPr>
        <w:t xml:space="preserve">majority of SDCUs </w:t>
      </w:r>
      <w:r w:rsidR="00F53804">
        <w:rPr>
          <w:szCs w:val="18"/>
        </w:rPr>
        <w:t xml:space="preserve">did not feel it was necessary. </w:t>
      </w:r>
      <w:r w:rsidR="00F24626">
        <w:rPr>
          <w:szCs w:val="18"/>
        </w:rPr>
        <w:t>T</w:t>
      </w:r>
      <w:r w:rsidR="002E07BB">
        <w:rPr>
          <w:szCs w:val="18"/>
        </w:rPr>
        <w:t>his</w:t>
      </w:r>
      <w:r w:rsidR="002E07BB" w:rsidRPr="00A20574">
        <w:rPr>
          <w:szCs w:val="18"/>
        </w:rPr>
        <w:t xml:space="preserve"> </w:t>
      </w:r>
      <w:r w:rsidR="002E07BB">
        <w:rPr>
          <w:szCs w:val="18"/>
        </w:rPr>
        <w:t xml:space="preserve">is </w:t>
      </w:r>
      <w:r w:rsidR="002E07BB" w:rsidRPr="00A20574">
        <w:rPr>
          <w:szCs w:val="18"/>
        </w:rPr>
        <w:t xml:space="preserve">something to monitor long-term and consider </w:t>
      </w:r>
      <w:r w:rsidR="002E07BB">
        <w:rPr>
          <w:szCs w:val="18"/>
        </w:rPr>
        <w:t>as part of a potential risk-stratified discharge approach.</w:t>
      </w:r>
    </w:p>
    <w:p w14:paraId="37FE14C9" w14:textId="13EE044F" w:rsidR="00A93E17" w:rsidRPr="00AE73E4" w:rsidRDefault="00FD4CBD" w:rsidP="00A93E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70"/>
        <w:rPr>
          <w:rFonts w:asciiTheme="majorHAnsi" w:hAnsiTheme="majorHAnsi" w:cstheme="majorHAnsi"/>
          <w:b/>
          <w:color w:val="012169"/>
          <w:lang w:val="en-AU"/>
        </w:rPr>
      </w:pPr>
      <w:r>
        <w:rPr>
          <w:rFonts w:asciiTheme="majorHAnsi" w:hAnsiTheme="majorHAnsi" w:cstheme="majorHAnsi"/>
          <w:b/>
          <w:color w:val="012169"/>
          <w:lang w:val="en-AU"/>
        </w:rPr>
        <w:t>Anecdotally, the</w:t>
      </w:r>
      <w:r w:rsidR="001435E7">
        <w:rPr>
          <w:rFonts w:asciiTheme="majorHAnsi" w:hAnsiTheme="majorHAnsi" w:cstheme="majorHAnsi"/>
          <w:b/>
          <w:color w:val="012169"/>
          <w:lang w:val="en-AU"/>
        </w:rPr>
        <w:t xml:space="preserve"> Program has successfully facilitated long-term</w:t>
      </w:r>
      <w:r w:rsidR="00A93E17" w:rsidRPr="00AE73E4">
        <w:rPr>
          <w:rFonts w:asciiTheme="majorHAnsi" w:hAnsiTheme="majorHAnsi" w:cstheme="majorHAnsi"/>
          <w:b/>
          <w:color w:val="012169"/>
          <w:lang w:val="en-AU"/>
        </w:rPr>
        <w:t xml:space="preserve"> symptom management </w:t>
      </w:r>
      <w:r w:rsidR="001435E7">
        <w:rPr>
          <w:rFonts w:asciiTheme="majorHAnsi" w:hAnsiTheme="majorHAnsi" w:cstheme="majorHAnsi"/>
          <w:b/>
          <w:color w:val="012169"/>
          <w:lang w:val="en-AU"/>
        </w:rPr>
        <w:t>i</w:t>
      </w:r>
      <w:r w:rsidR="00A93E17" w:rsidRPr="00AE73E4">
        <w:rPr>
          <w:rFonts w:asciiTheme="majorHAnsi" w:hAnsiTheme="majorHAnsi" w:cstheme="majorHAnsi"/>
          <w:b/>
          <w:color w:val="012169"/>
          <w:lang w:val="en-AU"/>
        </w:rPr>
        <w:t>n less intensive care settings</w:t>
      </w:r>
      <w:r w:rsidR="00D07315">
        <w:rPr>
          <w:rFonts w:asciiTheme="majorHAnsi" w:hAnsiTheme="majorHAnsi" w:cstheme="majorHAnsi"/>
          <w:b/>
          <w:color w:val="012169"/>
          <w:lang w:val="en-AU"/>
        </w:rPr>
        <w:t xml:space="preserve"> for </w:t>
      </w:r>
      <w:r w:rsidR="006B1DB6">
        <w:rPr>
          <w:rFonts w:asciiTheme="majorHAnsi" w:hAnsiTheme="majorHAnsi" w:cstheme="majorHAnsi"/>
          <w:b/>
          <w:color w:val="012169"/>
          <w:lang w:val="en-AU"/>
        </w:rPr>
        <w:t>many</w:t>
      </w:r>
      <w:r w:rsidR="001435E7">
        <w:rPr>
          <w:rFonts w:asciiTheme="majorHAnsi" w:hAnsiTheme="majorHAnsi" w:cstheme="majorHAnsi"/>
          <w:b/>
          <w:color w:val="012169"/>
          <w:lang w:val="en-AU"/>
        </w:rPr>
        <w:t xml:space="preserve"> discharged residents</w:t>
      </w:r>
      <w:r w:rsidR="006C01FC">
        <w:rPr>
          <w:rFonts w:asciiTheme="majorHAnsi" w:hAnsiTheme="majorHAnsi" w:cstheme="majorHAnsi"/>
          <w:b/>
          <w:color w:val="012169"/>
          <w:lang w:val="en-AU"/>
        </w:rPr>
        <w:t>.</w:t>
      </w:r>
      <w:r w:rsidR="001435E7">
        <w:rPr>
          <w:rFonts w:asciiTheme="majorHAnsi" w:hAnsiTheme="majorHAnsi" w:cstheme="majorHAnsi"/>
          <w:b/>
          <w:color w:val="012169"/>
          <w:lang w:val="en-AU"/>
        </w:rPr>
        <w:t xml:space="preserve"> </w:t>
      </w:r>
      <w:r w:rsidR="00B442DC">
        <w:rPr>
          <w:rFonts w:asciiTheme="majorHAnsi" w:hAnsiTheme="majorHAnsi" w:cstheme="majorHAnsi"/>
          <w:b/>
          <w:color w:val="012169"/>
          <w:lang w:val="en-AU"/>
        </w:rPr>
        <w:t>P</w:t>
      </w:r>
      <w:r w:rsidR="00D07315">
        <w:rPr>
          <w:rFonts w:asciiTheme="majorHAnsi" w:hAnsiTheme="majorHAnsi" w:cstheme="majorHAnsi"/>
          <w:b/>
          <w:color w:val="012169"/>
          <w:lang w:val="en-AU"/>
        </w:rPr>
        <w:t>ost-Program</w:t>
      </w:r>
      <w:r w:rsidR="00F12B1F">
        <w:rPr>
          <w:rFonts w:asciiTheme="majorHAnsi" w:hAnsiTheme="majorHAnsi" w:cstheme="majorHAnsi"/>
          <w:b/>
          <w:color w:val="012169"/>
          <w:lang w:val="en-AU"/>
        </w:rPr>
        <w:t xml:space="preserve"> resident </w:t>
      </w:r>
      <w:r w:rsidR="00D07315">
        <w:rPr>
          <w:rFonts w:asciiTheme="majorHAnsi" w:hAnsiTheme="majorHAnsi" w:cstheme="majorHAnsi"/>
          <w:b/>
          <w:color w:val="012169"/>
          <w:lang w:val="en-AU"/>
        </w:rPr>
        <w:t>outcomes</w:t>
      </w:r>
      <w:r w:rsidR="00F12B1F">
        <w:rPr>
          <w:rFonts w:asciiTheme="majorHAnsi" w:hAnsiTheme="majorHAnsi" w:cstheme="majorHAnsi"/>
          <w:b/>
          <w:color w:val="012169"/>
          <w:lang w:val="en-AU"/>
        </w:rPr>
        <w:t xml:space="preserve"> and care</w:t>
      </w:r>
      <w:r w:rsidR="001435E7">
        <w:rPr>
          <w:rFonts w:asciiTheme="majorHAnsi" w:hAnsiTheme="majorHAnsi" w:cstheme="majorHAnsi"/>
          <w:b/>
          <w:color w:val="012169"/>
          <w:lang w:val="en-AU"/>
        </w:rPr>
        <w:t xml:space="preserve"> settings</w:t>
      </w:r>
      <w:r w:rsidR="00F12B1F">
        <w:rPr>
          <w:rFonts w:asciiTheme="majorHAnsi" w:hAnsiTheme="majorHAnsi" w:cstheme="majorHAnsi"/>
          <w:b/>
          <w:color w:val="012169"/>
          <w:lang w:val="en-AU"/>
        </w:rPr>
        <w:t xml:space="preserve"> should be monitored on a more routine basis. </w:t>
      </w:r>
    </w:p>
    <w:p w14:paraId="24589C92" w14:textId="3D784A73" w:rsidR="0047226A" w:rsidRPr="00134372" w:rsidRDefault="00951D7B" w:rsidP="00A93E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70"/>
        <w:rPr>
          <w:rFonts w:cstheme="minorHAnsi"/>
          <w:szCs w:val="20"/>
          <w:lang w:val="en-AU"/>
        </w:rPr>
      </w:pPr>
      <w:r>
        <w:rPr>
          <w:rFonts w:cstheme="minorHAnsi"/>
          <w:szCs w:val="20"/>
          <w:lang w:val="en-AU"/>
        </w:rPr>
        <w:t>During the early stages of the Program, it was unclear</w:t>
      </w:r>
      <w:r w:rsidRPr="00951D7B">
        <w:rPr>
          <w:rFonts w:cstheme="minorHAnsi"/>
          <w:szCs w:val="20"/>
          <w:lang w:val="en-AU"/>
        </w:rPr>
        <w:t xml:space="preserve"> the extent to which</w:t>
      </w:r>
      <w:r>
        <w:rPr>
          <w:rFonts w:cstheme="minorHAnsi"/>
          <w:szCs w:val="20"/>
          <w:lang w:val="en-AU"/>
        </w:rPr>
        <w:t xml:space="preserve"> mainstream </w:t>
      </w:r>
      <w:r w:rsidR="0067200B">
        <w:rPr>
          <w:rFonts w:cstheme="minorHAnsi"/>
          <w:szCs w:val="20"/>
          <w:lang w:val="en-AU"/>
        </w:rPr>
        <w:t>RACFs</w:t>
      </w:r>
      <w:r>
        <w:rPr>
          <w:rFonts w:cstheme="minorHAnsi"/>
          <w:szCs w:val="20"/>
          <w:lang w:val="en-AU"/>
        </w:rPr>
        <w:t xml:space="preserve"> could sustain symptom management </w:t>
      </w:r>
      <w:r w:rsidR="00EA54F2">
        <w:rPr>
          <w:rFonts w:cstheme="minorHAnsi"/>
          <w:szCs w:val="20"/>
          <w:lang w:val="en-AU"/>
        </w:rPr>
        <w:t>post-Program</w:t>
      </w:r>
      <w:r w:rsidR="003E7B18">
        <w:rPr>
          <w:rFonts w:cstheme="minorHAnsi"/>
          <w:szCs w:val="20"/>
          <w:lang w:val="en-AU"/>
        </w:rPr>
        <w:t xml:space="preserve">. </w:t>
      </w:r>
      <w:r w:rsidR="0047226A">
        <w:t xml:space="preserve">However, a wider sample of discharge data was available for the </w:t>
      </w:r>
      <w:r w:rsidR="003A0E8E">
        <w:t>Summative</w:t>
      </w:r>
      <w:r w:rsidR="0047226A">
        <w:t xml:space="preserve"> Evaluation</w:t>
      </w:r>
      <w:r w:rsidR="003A0E8E">
        <w:t xml:space="preserve"> Report</w:t>
      </w:r>
      <w:r w:rsidR="0047226A">
        <w:t>. Secondary data and consultations indicate that</w:t>
      </w:r>
      <w:r w:rsidR="00001673">
        <w:t>,</w:t>
      </w:r>
      <w:r w:rsidR="0047226A">
        <w:t xml:space="preserve"> on the whole, the majority of residents </w:t>
      </w:r>
      <w:r w:rsidR="00001A2C">
        <w:t>(aside from the client bounce-back</w:t>
      </w:r>
      <w:r w:rsidR="001435E7">
        <w:t>s</w:t>
      </w:r>
      <w:r w:rsidR="00001A2C">
        <w:t xml:space="preserve"> described above) </w:t>
      </w:r>
      <w:r w:rsidR="00F83968">
        <w:t xml:space="preserve">who were </w:t>
      </w:r>
      <w:r w:rsidR="0047226A">
        <w:t xml:space="preserve">discharged due to settled BPSD remain stabilised in mainstream </w:t>
      </w:r>
      <w:r w:rsidR="00590F16">
        <w:t>RACFs</w:t>
      </w:r>
      <w:r w:rsidR="0047226A">
        <w:t xml:space="preserve">. While this is anecdotal, Program staff were able to comment on residents’ post-discharge progress given most transitions occur internally and </w:t>
      </w:r>
      <w:r w:rsidR="00B24A46">
        <w:t xml:space="preserve">Program </w:t>
      </w:r>
      <w:r w:rsidR="0047226A">
        <w:t>staff maintain regular conta</w:t>
      </w:r>
      <w:r w:rsidR="000A5493">
        <w:t>ct</w:t>
      </w:r>
      <w:r w:rsidR="0047226A">
        <w:t xml:space="preserve"> with the receiving facility. </w:t>
      </w:r>
    </w:p>
    <w:p w14:paraId="64DBA370" w14:textId="44A7A24E" w:rsidR="00A93E17" w:rsidRPr="00134372" w:rsidRDefault="00C54642" w:rsidP="00DD4A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70"/>
        <w:rPr>
          <w:rFonts w:cstheme="minorHAnsi"/>
          <w:szCs w:val="20"/>
          <w:lang w:val="en-AU"/>
        </w:rPr>
      </w:pPr>
      <w:r>
        <w:rPr>
          <w:rFonts w:cstheme="minorHAnsi"/>
          <w:szCs w:val="20"/>
          <w:lang w:val="en-AU"/>
        </w:rPr>
        <w:t xml:space="preserve">However, </w:t>
      </w:r>
      <w:r w:rsidR="00994B5E">
        <w:rPr>
          <w:rFonts w:cstheme="minorHAnsi"/>
          <w:szCs w:val="20"/>
          <w:lang w:val="en-AU"/>
        </w:rPr>
        <w:t xml:space="preserve">some </w:t>
      </w:r>
      <w:r>
        <w:rPr>
          <w:rFonts w:cstheme="minorHAnsi"/>
          <w:szCs w:val="20"/>
          <w:lang w:val="en-AU"/>
        </w:rPr>
        <w:t xml:space="preserve">stakeholders </w:t>
      </w:r>
      <w:r w:rsidR="000856BC">
        <w:rPr>
          <w:rFonts w:cstheme="minorHAnsi"/>
          <w:szCs w:val="20"/>
          <w:lang w:val="en-AU"/>
        </w:rPr>
        <w:t>highlight</w:t>
      </w:r>
      <w:r w:rsidR="00994B5E">
        <w:rPr>
          <w:rFonts w:cstheme="minorHAnsi"/>
          <w:szCs w:val="20"/>
          <w:lang w:val="en-AU"/>
        </w:rPr>
        <w:t>ed</w:t>
      </w:r>
      <w:r>
        <w:rPr>
          <w:rFonts w:cstheme="minorHAnsi"/>
          <w:szCs w:val="20"/>
          <w:lang w:val="en-AU"/>
        </w:rPr>
        <w:t xml:space="preserve"> mainstream </w:t>
      </w:r>
      <w:r w:rsidR="00BC39C5">
        <w:rPr>
          <w:rFonts w:cstheme="minorHAnsi"/>
          <w:szCs w:val="20"/>
          <w:lang w:val="en-AU"/>
        </w:rPr>
        <w:t>RACF</w:t>
      </w:r>
      <w:r>
        <w:rPr>
          <w:rFonts w:cstheme="minorHAnsi"/>
          <w:szCs w:val="20"/>
          <w:lang w:val="en-AU"/>
        </w:rPr>
        <w:t xml:space="preserve"> dynamics </w:t>
      </w:r>
      <w:r w:rsidR="00A93E17" w:rsidRPr="00134372">
        <w:rPr>
          <w:rFonts w:cstheme="minorHAnsi"/>
          <w:szCs w:val="20"/>
          <w:lang w:val="en-AU"/>
        </w:rPr>
        <w:t>as a</w:t>
      </w:r>
      <w:r>
        <w:rPr>
          <w:rFonts w:cstheme="minorHAnsi"/>
          <w:szCs w:val="20"/>
          <w:lang w:val="en-AU"/>
        </w:rPr>
        <w:t>n ongoing risk</w:t>
      </w:r>
      <w:r w:rsidR="00A93E17" w:rsidRPr="00134372">
        <w:rPr>
          <w:rFonts w:cstheme="minorHAnsi"/>
          <w:szCs w:val="20"/>
          <w:lang w:val="en-AU"/>
        </w:rPr>
        <w:t xml:space="preserve"> to sustaining settled BPSD. </w:t>
      </w:r>
      <w:r>
        <w:rPr>
          <w:rFonts w:cstheme="minorHAnsi"/>
          <w:szCs w:val="20"/>
          <w:lang w:val="en-AU"/>
        </w:rPr>
        <w:t xml:space="preserve">Given </w:t>
      </w:r>
      <w:r w:rsidR="00A93E17" w:rsidRPr="00134372">
        <w:rPr>
          <w:rFonts w:cstheme="minorHAnsi"/>
          <w:szCs w:val="20"/>
          <w:lang w:val="en-AU"/>
        </w:rPr>
        <w:t>resident</w:t>
      </w:r>
      <w:r>
        <w:rPr>
          <w:rFonts w:cstheme="minorHAnsi"/>
          <w:szCs w:val="20"/>
          <w:lang w:val="en-AU"/>
        </w:rPr>
        <w:t>s respond</w:t>
      </w:r>
      <w:r w:rsidR="00A93E17" w:rsidRPr="00134372">
        <w:rPr>
          <w:rFonts w:cstheme="minorHAnsi"/>
          <w:szCs w:val="20"/>
          <w:lang w:val="en-AU"/>
        </w:rPr>
        <w:t xml:space="preserve"> well to the </w:t>
      </w:r>
      <w:r w:rsidR="00AE25C2">
        <w:rPr>
          <w:rFonts w:cstheme="minorHAnsi"/>
          <w:szCs w:val="20"/>
          <w:lang w:val="en-AU"/>
        </w:rPr>
        <w:t>Program’s</w:t>
      </w:r>
      <w:r>
        <w:rPr>
          <w:rFonts w:cstheme="minorHAnsi"/>
          <w:szCs w:val="20"/>
          <w:lang w:val="en-AU"/>
        </w:rPr>
        <w:t xml:space="preserve"> </w:t>
      </w:r>
      <w:r w:rsidR="00A93E17" w:rsidRPr="00134372">
        <w:rPr>
          <w:rFonts w:cstheme="minorHAnsi"/>
          <w:szCs w:val="20"/>
          <w:lang w:val="en-AU"/>
        </w:rPr>
        <w:t xml:space="preserve">quieter </w:t>
      </w:r>
      <w:r w:rsidR="00694465">
        <w:rPr>
          <w:rFonts w:cstheme="minorHAnsi"/>
          <w:szCs w:val="20"/>
          <w:lang w:val="en-AU"/>
        </w:rPr>
        <w:t>environment</w:t>
      </w:r>
      <w:r w:rsidR="00A93E17" w:rsidRPr="00134372">
        <w:rPr>
          <w:rFonts w:cstheme="minorHAnsi"/>
          <w:szCs w:val="20"/>
          <w:lang w:val="en-AU"/>
        </w:rPr>
        <w:t xml:space="preserve"> and higher staff</w:t>
      </w:r>
      <w:r w:rsidR="00FD039E">
        <w:rPr>
          <w:rFonts w:cstheme="minorHAnsi"/>
          <w:szCs w:val="20"/>
          <w:lang w:val="en-AU"/>
        </w:rPr>
        <w:t xml:space="preserve">ing </w:t>
      </w:r>
      <w:r w:rsidR="00F92B81">
        <w:rPr>
          <w:rFonts w:cstheme="minorHAnsi"/>
          <w:szCs w:val="20"/>
          <w:lang w:val="en-AU"/>
        </w:rPr>
        <w:t>ratios</w:t>
      </w:r>
      <w:r>
        <w:rPr>
          <w:rFonts w:cstheme="minorHAnsi"/>
          <w:szCs w:val="20"/>
          <w:lang w:val="en-AU"/>
        </w:rPr>
        <w:t xml:space="preserve">, they noted it is possible that certain residents may </w:t>
      </w:r>
      <w:r w:rsidR="00694465">
        <w:rPr>
          <w:rFonts w:cstheme="minorHAnsi"/>
          <w:szCs w:val="20"/>
          <w:lang w:val="en-AU"/>
        </w:rPr>
        <w:t>become unsettled</w:t>
      </w:r>
      <w:r w:rsidR="00BB7CE8">
        <w:rPr>
          <w:rFonts w:cstheme="minorHAnsi"/>
          <w:szCs w:val="20"/>
          <w:lang w:val="en-AU"/>
        </w:rPr>
        <w:t xml:space="preserve"> </w:t>
      </w:r>
      <w:r w:rsidR="00F60AFC">
        <w:rPr>
          <w:rFonts w:cstheme="minorHAnsi"/>
          <w:szCs w:val="20"/>
          <w:lang w:val="en-AU"/>
        </w:rPr>
        <w:t xml:space="preserve">in </w:t>
      </w:r>
      <w:r w:rsidR="00BB7CE8">
        <w:rPr>
          <w:rFonts w:cstheme="minorHAnsi"/>
          <w:szCs w:val="20"/>
          <w:lang w:val="en-AU"/>
        </w:rPr>
        <w:t xml:space="preserve">mainstream </w:t>
      </w:r>
      <w:r w:rsidR="00F60AFC">
        <w:rPr>
          <w:rFonts w:cstheme="minorHAnsi"/>
          <w:szCs w:val="20"/>
          <w:lang w:val="en-AU"/>
        </w:rPr>
        <w:t>RACF</w:t>
      </w:r>
      <w:r w:rsidR="00BB7CE8">
        <w:rPr>
          <w:rFonts w:cstheme="minorHAnsi"/>
          <w:szCs w:val="20"/>
          <w:lang w:val="en-AU"/>
        </w:rPr>
        <w:t xml:space="preserve"> settings</w:t>
      </w:r>
      <w:r>
        <w:rPr>
          <w:rFonts w:cstheme="minorHAnsi"/>
          <w:szCs w:val="20"/>
          <w:lang w:val="en-AU"/>
        </w:rPr>
        <w:t xml:space="preserve">. Accordingly, </w:t>
      </w:r>
      <w:r w:rsidR="00D47673">
        <w:rPr>
          <w:rFonts w:cstheme="minorHAnsi"/>
          <w:szCs w:val="20"/>
          <w:lang w:val="en-AU"/>
        </w:rPr>
        <w:t xml:space="preserve">it is suggested that </w:t>
      </w:r>
      <w:r>
        <w:rPr>
          <w:rFonts w:cstheme="minorHAnsi"/>
          <w:szCs w:val="20"/>
          <w:lang w:val="en-AU"/>
        </w:rPr>
        <w:t xml:space="preserve">the progress of discharged residents </w:t>
      </w:r>
      <w:r w:rsidR="00E80C78">
        <w:rPr>
          <w:rFonts w:cstheme="minorHAnsi"/>
          <w:szCs w:val="20"/>
          <w:lang w:val="en-AU"/>
        </w:rPr>
        <w:t>is</w:t>
      </w:r>
      <w:r>
        <w:rPr>
          <w:rFonts w:cstheme="minorHAnsi"/>
          <w:szCs w:val="20"/>
          <w:lang w:val="en-AU"/>
        </w:rPr>
        <w:t xml:space="preserve"> monitored long</w:t>
      </w:r>
      <w:r w:rsidR="00C4485D">
        <w:rPr>
          <w:rFonts w:cstheme="minorHAnsi"/>
          <w:szCs w:val="20"/>
          <w:lang w:val="en-AU"/>
        </w:rPr>
        <w:t>-</w:t>
      </w:r>
      <w:r>
        <w:rPr>
          <w:rFonts w:cstheme="minorHAnsi"/>
          <w:szCs w:val="20"/>
          <w:lang w:val="en-AU"/>
        </w:rPr>
        <w:t>term</w:t>
      </w:r>
      <w:r w:rsidR="00F3039A">
        <w:rPr>
          <w:rFonts w:cstheme="minorHAnsi"/>
          <w:szCs w:val="20"/>
          <w:lang w:val="en-AU"/>
        </w:rPr>
        <w:t>.</w:t>
      </w:r>
      <w:r w:rsidR="006E129F">
        <w:rPr>
          <w:rFonts w:cstheme="minorHAnsi"/>
          <w:szCs w:val="20"/>
          <w:lang w:val="en-AU"/>
        </w:rPr>
        <w:t xml:space="preserve"> This information could then</w:t>
      </w:r>
      <w:r w:rsidR="000F10FC">
        <w:rPr>
          <w:rFonts w:cstheme="minorHAnsi"/>
          <w:szCs w:val="20"/>
          <w:lang w:val="en-AU"/>
        </w:rPr>
        <w:t xml:space="preserve"> be</w:t>
      </w:r>
      <w:r w:rsidR="00AC44AC">
        <w:rPr>
          <w:rFonts w:cstheme="minorHAnsi"/>
          <w:szCs w:val="20"/>
          <w:lang w:val="en-AU"/>
        </w:rPr>
        <w:t xml:space="preserve"> used to inform </w:t>
      </w:r>
      <w:r w:rsidR="006E129F">
        <w:rPr>
          <w:rFonts w:cstheme="minorHAnsi"/>
          <w:szCs w:val="20"/>
          <w:lang w:val="en-AU"/>
        </w:rPr>
        <w:t xml:space="preserve">an assessment of </w:t>
      </w:r>
      <w:r w:rsidR="00AC44AC">
        <w:rPr>
          <w:rFonts w:cstheme="minorHAnsi"/>
          <w:szCs w:val="20"/>
          <w:lang w:val="en-AU"/>
        </w:rPr>
        <w:t>whether a</w:t>
      </w:r>
      <w:r w:rsidR="00BD5D3B">
        <w:rPr>
          <w:rFonts w:cstheme="minorHAnsi"/>
          <w:szCs w:val="20"/>
          <w:lang w:val="en-AU"/>
        </w:rPr>
        <w:t xml:space="preserve"> </w:t>
      </w:r>
      <w:r w:rsidR="00DD4AEE">
        <w:rPr>
          <w:rFonts w:cstheme="minorHAnsi"/>
          <w:szCs w:val="20"/>
          <w:lang w:val="en-AU"/>
        </w:rPr>
        <w:t xml:space="preserve">risk-stratified </w:t>
      </w:r>
      <w:r w:rsidR="007E03BC">
        <w:rPr>
          <w:rFonts w:cstheme="minorHAnsi"/>
          <w:szCs w:val="20"/>
          <w:lang w:val="en-AU"/>
        </w:rPr>
        <w:t xml:space="preserve">step-down </w:t>
      </w:r>
      <w:r w:rsidR="00773ABF">
        <w:rPr>
          <w:rFonts w:cstheme="minorHAnsi"/>
          <w:szCs w:val="20"/>
          <w:lang w:val="en-AU"/>
        </w:rPr>
        <w:t xml:space="preserve">discharge </w:t>
      </w:r>
      <w:r w:rsidR="00DD4AEE">
        <w:rPr>
          <w:rFonts w:cstheme="minorHAnsi"/>
          <w:szCs w:val="20"/>
          <w:lang w:val="en-AU"/>
        </w:rPr>
        <w:t xml:space="preserve">approach </w:t>
      </w:r>
      <w:r w:rsidR="00AC44AC">
        <w:rPr>
          <w:rFonts w:cstheme="minorHAnsi"/>
          <w:szCs w:val="20"/>
          <w:lang w:val="en-AU"/>
        </w:rPr>
        <w:t xml:space="preserve">should </w:t>
      </w:r>
      <w:r w:rsidR="00DD4AEE">
        <w:rPr>
          <w:rFonts w:cstheme="minorHAnsi"/>
          <w:szCs w:val="20"/>
          <w:lang w:val="en-AU"/>
        </w:rPr>
        <w:t>be considered</w:t>
      </w:r>
      <w:r w:rsidR="007E03BC">
        <w:rPr>
          <w:rFonts w:cstheme="minorHAnsi"/>
          <w:szCs w:val="20"/>
          <w:lang w:val="en-AU"/>
        </w:rPr>
        <w:t xml:space="preserve"> </w:t>
      </w:r>
      <w:r w:rsidR="00F448C0">
        <w:rPr>
          <w:rFonts w:cstheme="minorHAnsi"/>
          <w:szCs w:val="20"/>
          <w:lang w:val="en-AU"/>
        </w:rPr>
        <w:t>for</w:t>
      </w:r>
      <w:r w:rsidR="007E03BC">
        <w:rPr>
          <w:rFonts w:cstheme="minorHAnsi"/>
          <w:szCs w:val="20"/>
          <w:lang w:val="en-AU"/>
        </w:rPr>
        <w:t xml:space="preserve"> certain </w:t>
      </w:r>
      <w:r w:rsidR="00AC44AC">
        <w:rPr>
          <w:rFonts w:cstheme="minorHAnsi"/>
          <w:szCs w:val="20"/>
          <w:lang w:val="en-AU"/>
        </w:rPr>
        <w:t>high-risk clients.</w:t>
      </w:r>
    </w:p>
    <w:p w14:paraId="290E0354" w14:textId="2741AF37" w:rsidR="000217E8" w:rsidRDefault="000217E8" w:rsidP="000217E8">
      <w:pPr>
        <w:pStyle w:val="Caption"/>
        <w:rPr>
          <w:rFonts w:cstheme="minorHAnsi"/>
          <w:color w:val="007CB0" w:themeColor="accent6"/>
          <w:sz w:val="18"/>
          <w:lang w:val="en-AU"/>
        </w:rPr>
      </w:pPr>
      <w:r>
        <w:t xml:space="preserve">Figure </w:t>
      </w:r>
      <w:r w:rsidR="00990867">
        <w:fldChar w:fldCharType="begin"/>
      </w:r>
      <w:r w:rsidR="00990867">
        <w:instrText xml:space="preserve"> STYLEREF 1 \s </w:instrText>
      </w:r>
      <w:r w:rsidR="00990867">
        <w:fldChar w:fldCharType="separate"/>
      </w:r>
      <w:r w:rsidR="00D32536">
        <w:rPr>
          <w:noProof/>
        </w:rPr>
        <w:t>4</w:t>
      </w:r>
      <w:r w:rsidR="00990867">
        <w:fldChar w:fldCharType="end"/>
      </w:r>
      <w:r>
        <w:t>.</w:t>
      </w:r>
      <w:r w:rsidR="008875A8">
        <w:fldChar w:fldCharType="begin"/>
      </w:r>
      <w:r w:rsidR="008875A8">
        <w:instrText xml:space="preserve"> SEQ Figure \* ARABIC \s 1 </w:instrText>
      </w:r>
      <w:r w:rsidR="008875A8">
        <w:fldChar w:fldCharType="separate"/>
      </w:r>
      <w:r w:rsidR="00D32536">
        <w:rPr>
          <w:noProof/>
        </w:rPr>
        <w:t>4</w:t>
      </w:r>
      <w:r w:rsidR="008875A8">
        <w:fldChar w:fldCharType="end"/>
      </w:r>
      <w:r>
        <w:t xml:space="preserve"> </w:t>
      </w:r>
      <w:r w:rsidRPr="006C2658">
        <w:t xml:space="preserve">Quotes representing dominant qualitative themes from consultations and the </w:t>
      </w:r>
      <w:r>
        <w:t>Program</w:t>
      </w:r>
      <w:r w:rsidRPr="006C2658">
        <w:t xml:space="preserve"> staff survey related to </w:t>
      </w:r>
      <w:r>
        <w:t>the barriers to long-term symptoms management</w:t>
      </w:r>
    </w:p>
    <w:p w14:paraId="518F6CA2" w14:textId="77777777" w:rsidR="00A93E17" w:rsidRDefault="00A93E17" w:rsidP="00A93E17">
      <w:pPr>
        <w:pStyle w:val="ListNumber"/>
        <w:numPr>
          <w:ilvl w:val="0"/>
          <w:numId w:val="0"/>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ind w:left="284" w:hanging="284"/>
        <w:rPr>
          <w:rFonts w:asciiTheme="minorHAnsi" w:hAnsiTheme="minorHAnsi" w:cstheme="minorHAnsi"/>
          <w:color w:val="007CB0" w:themeColor="accent6"/>
          <w:sz w:val="18"/>
          <w:szCs w:val="18"/>
          <w:lang w:val="en-AU"/>
        </w:rPr>
      </w:pPr>
      <w:r>
        <w:rPr>
          <w:rFonts w:asciiTheme="minorHAnsi" w:hAnsiTheme="minorHAnsi" w:cstheme="minorHAnsi"/>
          <w:noProof/>
          <w:color w:val="007CB0" w:themeColor="accent6"/>
          <w:sz w:val="18"/>
          <w:szCs w:val="18"/>
          <w:lang w:val="en-AU"/>
        </w:rPr>
        <w:drawing>
          <wp:inline distT="0" distB="0" distL="0" distR="0" wp14:anchorId="7D7C0449" wp14:editId="6C7EC3C4">
            <wp:extent cx="6707591" cy="2018581"/>
            <wp:effectExtent l="0" t="0" r="0" b="1270"/>
            <wp:docPr id="3" name="Picture 3" descr="This image shows a range of quotes from SDCP staff members relating to the barriers to long-term symptom manag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a range of quotes from SDCP staff members relating to the barriers to long-term symptom management.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13095" cy="2020237"/>
                    </a:xfrm>
                    <a:prstGeom prst="rect">
                      <a:avLst/>
                    </a:prstGeom>
                    <a:noFill/>
                  </pic:spPr>
                </pic:pic>
              </a:graphicData>
            </a:graphic>
          </wp:inline>
        </w:drawing>
      </w:r>
    </w:p>
    <w:p w14:paraId="7B14D5EC" w14:textId="5EB50F2D" w:rsidR="00ED1C83" w:rsidRPr="00BB1EF3" w:rsidRDefault="00A93E17" w:rsidP="00BB1EF3">
      <w:pPr>
        <w:rPr>
          <w:color w:val="53565A" w:themeColor="background2"/>
          <w:sz w:val="16"/>
          <w:szCs w:val="18"/>
        </w:rPr>
      </w:pPr>
      <w:r w:rsidRPr="009847EB">
        <w:rPr>
          <w:color w:val="53565A" w:themeColor="background2"/>
          <w:sz w:val="16"/>
          <w:szCs w:val="18"/>
        </w:rPr>
        <w:t>Source: Deloitte Access Economics analysis of stakeholder consultation transcriptions, 2022</w:t>
      </w:r>
    </w:p>
    <w:p w14:paraId="38678707" w14:textId="790B47D7" w:rsidR="0009274B" w:rsidRPr="00940B13" w:rsidRDefault="0081024B" w:rsidP="0009274B">
      <w:pPr>
        <w:pStyle w:val="Heading1"/>
      </w:pPr>
      <w:bookmarkStart w:id="61" w:name="_Ref123901818"/>
      <w:bookmarkStart w:id="62" w:name="_Ref123902081"/>
      <w:r>
        <w:t xml:space="preserve"> </w:t>
      </w:r>
      <w:bookmarkStart w:id="63" w:name="_Ref125310421"/>
      <w:bookmarkStart w:id="64" w:name="_Toc141714793"/>
      <w:r w:rsidR="0009274B" w:rsidRPr="00940B13">
        <w:t>Program outcomes</w:t>
      </w:r>
      <w:bookmarkEnd w:id="61"/>
      <w:bookmarkEnd w:id="62"/>
      <w:bookmarkEnd w:id="63"/>
      <w:bookmarkEnd w:id="64"/>
    </w:p>
    <w:p w14:paraId="76B3E218" w14:textId="517DA0B9" w:rsidR="0009274B" w:rsidRDefault="00B9749A" w:rsidP="0009274B">
      <w:pPr>
        <w:pStyle w:val="Sectionintro"/>
      </w:pPr>
      <w:r>
        <w:t xml:space="preserve">This chapter presents key findings related to Program </w:t>
      </w:r>
      <w:r w:rsidRPr="002B3D49">
        <w:t>outcomes</w:t>
      </w:r>
      <w:r>
        <w:t xml:space="preserve"> at an individual, service and system level</w:t>
      </w:r>
      <w:r w:rsidRPr="002B3D49">
        <w:t xml:space="preserve"> </w:t>
      </w:r>
      <w:r>
        <w:t xml:space="preserve">for residents and their families/carers, Program staff and the </w:t>
      </w:r>
      <w:r w:rsidRPr="00FC3D72">
        <w:t xml:space="preserve">broader </w:t>
      </w:r>
      <w:r>
        <w:t xml:space="preserve">health and </w:t>
      </w:r>
      <w:r w:rsidRPr="00FC3D72">
        <w:t>aged care system</w:t>
      </w:r>
      <w:r>
        <w:t>.</w:t>
      </w:r>
    </w:p>
    <w:p w14:paraId="01B08A91" w14:textId="6DEA2DE7" w:rsidR="00C476BA" w:rsidRDefault="00702D67" w:rsidP="00B9749A">
      <w:pPr>
        <w:pStyle w:val="Heading2"/>
        <w:spacing w:after="0"/>
        <w:ind w:left="578" w:hanging="578"/>
        <w:rPr>
          <w:lang w:val="en-AU"/>
        </w:rPr>
      </w:pPr>
      <w:r>
        <w:rPr>
          <w:lang w:val="en-AU"/>
        </w:rPr>
        <w:t>Approach</w:t>
      </w:r>
    </w:p>
    <w:p w14:paraId="4E71EEB4" w14:textId="37A21CA6" w:rsidR="00A11F44" w:rsidRDefault="0018326E" w:rsidP="00C476BA">
      <w:pPr>
        <w:rPr>
          <w:rFonts w:cstheme="minorHAnsi"/>
        </w:rPr>
      </w:pPr>
      <w:r>
        <w:t>T</w:t>
      </w:r>
      <w:r w:rsidR="00DA1298">
        <w:t xml:space="preserve">o </w:t>
      </w:r>
      <w:r w:rsidR="00914C19">
        <w:t xml:space="preserve">evaluate </w:t>
      </w:r>
      <w:r w:rsidR="00740704">
        <w:t xml:space="preserve">the </w:t>
      </w:r>
      <w:r w:rsidR="00914C19">
        <w:t xml:space="preserve">Program outcomes </w:t>
      </w:r>
      <w:r w:rsidR="00740704">
        <w:t xml:space="preserve">achieved </w:t>
      </w:r>
      <w:r w:rsidR="00914C19">
        <w:t>(</w:t>
      </w:r>
      <w:r w:rsidR="005D4429">
        <w:t xml:space="preserve">including those </w:t>
      </w:r>
      <w:r w:rsidR="00740704">
        <w:t>to</w:t>
      </w:r>
      <w:r w:rsidR="005D4429">
        <w:t xml:space="preserve"> be monetised in the economic evaluation), a </w:t>
      </w:r>
      <w:r w:rsidR="00B326B9">
        <w:t>benefit</w:t>
      </w:r>
      <w:r w:rsidR="00F32888">
        <w:t>s</w:t>
      </w:r>
      <w:r w:rsidR="005D4429">
        <w:t xml:space="preserve"> framework was develope</w:t>
      </w:r>
      <w:r w:rsidR="00137912">
        <w:t>d</w:t>
      </w:r>
      <w:r w:rsidR="005D4429">
        <w:t xml:space="preserve"> based on</w:t>
      </w:r>
      <w:r w:rsidR="0076461B">
        <w:t xml:space="preserve"> </w:t>
      </w:r>
      <w:r w:rsidR="00F65872">
        <w:t xml:space="preserve">the </w:t>
      </w:r>
      <w:r w:rsidR="00B9749A">
        <w:t>E</w:t>
      </w:r>
      <w:r w:rsidR="00F65872">
        <w:t>v</w:t>
      </w:r>
      <w:r w:rsidR="000D4C7C">
        <w:t xml:space="preserve">aluation </w:t>
      </w:r>
      <w:r w:rsidR="00B9749A">
        <w:t>F</w:t>
      </w:r>
      <w:r w:rsidR="000D4C7C">
        <w:t>ramework</w:t>
      </w:r>
      <w:r w:rsidR="00E96C63">
        <w:t xml:space="preserve"> created at the Program outset and </w:t>
      </w:r>
      <w:r w:rsidR="00446AC8">
        <w:t>the</w:t>
      </w:r>
      <w:r w:rsidR="0076461B">
        <w:t xml:space="preserve"> </w:t>
      </w:r>
      <w:r w:rsidR="00E96C63">
        <w:t xml:space="preserve">key </w:t>
      </w:r>
      <w:r w:rsidR="00446AC8">
        <w:t>insights that emerged</w:t>
      </w:r>
      <w:r w:rsidR="00E96C63">
        <w:t xml:space="preserve"> through data collection</w:t>
      </w:r>
      <w:r w:rsidR="00446AC8">
        <w:t xml:space="preserve"> and analysis</w:t>
      </w:r>
      <w:r w:rsidR="00E96C63">
        <w:t xml:space="preserve">. </w:t>
      </w:r>
    </w:p>
    <w:p w14:paraId="07EC8C22" w14:textId="3360F946" w:rsidR="00E67FE9" w:rsidRDefault="00BA0921" w:rsidP="00C476BA">
      <w:pPr>
        <w:rPr>
          <w:rFonts w:cstheme="minorHAnsi"/>
        </w:rPr>
      </w:pPr>
      <w:r>
        <w:rPr>
          <w:rFonts w:cstheme="minorHAnsi"/>
        </w:rPr>
        <w:t>Th</w:t>
      </w:r>
      <w:r w:rsidR="00E2502C">
        <w:rPr>
          <w:rFonts w:cstheme="minorHAnsi"/>
        </w:rPr>
        <w:t>is</w:t>
      </w:r>
      <w:r>
        <w:rPr>
          <w:rFonts w:cstheme="minorHAnsi"/>
        </w:rPr>
        <w:t xml:space="preserve"> framework is presented</w:t>
      </w:r>
      <w:r w:rsidR="00095109">
        <w:rPr>
          <w:rFonts w:cstheme="minorHAnsi"/>
        </w:rPr>
        <w:t xml:space="preserve"> in </w:t>
      </w:r>
      <w:r w:rsidR="00F70A39">
        <w:rPr>
          <w:rFonts w:cstheme="minorHAnsi"/>
        </w:rPr>
        <w:fldChar w:fldCharType="begin"/>
      </w:r>
      <w:r w:rsidR="00F70A39">
        <w:rPr>
          <w:rFonts w:cstheme="minorHAnsi"/>
        </w:rPr>
        <w:instrText xml:space="preserve"> REF _Ref125367497 \h </w:instrText>
      </w:r>
      <w:r w:rsidR="00F70A39">
        <w:rPr>
          <w:rFonts w:cstheme="minorHAnsi"/>
        </w:rPr>
      </w:r>
      <w:r w:rsidR="00F70A39">
        <w:rPr>
          <w:rFonts w:cstheme="minorHAnsi"/>
        </w:rPr>
        <w:fldChar w:fldCharType="separate"/>
      </w:r>
      <w:r w:rsidR="00D32536">
        <w:t xml:space="preserve">Figure </w:t>
      </w:r>
      <w:r w:rsidR="00D32536">
        <w:rPr>
          <w:noProof/>
        </w:rPr>
        <w:t>5</w:t>
      </w:r>
      <w:r w:rsidR="00D32536">
        <w:t>.</w:t>
      </w:r>
      <w:r w:rsidR="00D32536">
        <w:rPr>
          <w:noProof/>
        </w:rPr>
        <w:t>1</w:t>
      </w:r>
      <w:r w:rsidR="00F70A39">
        <w:rPr>
          <w:rFonts w:cstheme="minorHAnsi"/>
        </w:rPr>
        <w:fldChar w:fldCharType="end"/>
      </w:r>
      <w:r w:rsidR="00F6510D">
        <w:rPr>
          <w:rFonts w:cstheme="minorHAnsi"/>
        </w:rPr>
        <w:t>.</w:t>
      </w:r>
      <w:r w:rsidR="00E67FE9">
        <w:rPr>
          <w:rFonts w:cstheme="minorHAnsi"/>
        </w:rPr>
        <w:t xml:space="preserve"> </w:t>
      </w:r>
      <w:r w:rsidR="007B720E">
        <w:rPr>
          <w:rFonts w:cstheme="minorHAnsi"/>
        </w:rPr>
        <w:t xml:space="preserve">The benefits </w:t>
      </w:r>
      <w:r w:rsidR="00AD6689">
        <w:rPr>
          <w:rFonts w:cstheme="minorHAnsi"/>
        </w:rPr>
        <w:t xml:space="preserve">considered in this </w:t>
      </w:r>
      <w:r w:rsidR="00997376">
        <w:rPr>
          <w:rFonts w:cstheme="minorHAnsi"/>
        </w:rPr>
        <w:t xml:space="preserve">framework </w:t>
      </w:r>
      <w:r w:rsidR="00D279D3">
        <w:rPr>
          <w:rFonts w:cstheme="minorHAnsi"/>
        </w:rPr>
        <w:t xml:space="preserve">are </w:t>
      </w:r>
      <w:r w:rsidR="0004133F">
        <w:rPr>
          <w:rFonts w:cstheme="minorHAnsi"/>
        </w:rPr>
        <w:t xml:space="preserve">relative to a comparator case where the Program does not </w:t>
      </w:r>
      <w:r w:rsidR="00F77DC6">
        <w:rPr>
          <w:rFonts w:cstheme="minorHAnsi"/>
        </w:rPr>
        <w:t>exist,</w:t>
      </w:r>
      <w:r w:rsidR="0004133F">
        <w:rPr>
          <w:rFonts w:cstheme="minorHAnsi"/>
        </w:rPr>
        <w:t xml:space="preserve"> and </w:t>
      </w:r>
      <w:r w:rsidR="00EC284B">
        <w:rPr>
          <w:rFonts w:cstheme="minorHAnsi"/>
        </w:rPr>
        <w:t>resident</w:t>
      </w:r>
      <w:r w:rsidR="003B36E2">
        <w:rPr>
          <w:rFonts w:cstheme="minorHAnsi"/>
        </w:rPr>
        <w:t>s</w:t>
      </w:r>
      <w:r w:rsidR="00EC284B">
        <w:rPr>
          <w:rFonts w:cstheme="minorHAnsi"/>
        </w:rPr>
        <w:t xml:space="preserve"> would instead be receiving care in a hospital or a m</w:t>
      </w:r>
      <w:r w:rsidR="003B36E2">
        <w:rPr>
          <w:rFonts w:cstheme="minorHAnsi"/>
        </w:rPr>
        <w:t>ainstream RACF.</w:t>
      </w:r>
      <w:r w:rsidR="00632CA3">
        <w:rPr>
          <w:rFonts w:cstheme="minorHAnsi"/>
        </w:rPr>
        <w:t xml:space="preserve"> </w:t>
      </w:r>
      <w:r w:rsidR="00A11F44">
        <w:rPr>
          <w:rFonts w:cstheme="minorHAnsi"/>
        </w:rPr>
        <w:t>Outcomes were</w:t>
      </w:r>
      <w:r w:rsidR="00A11F44" w:rsidRPr="000B2154">
        <w:rPr>
          <w:rFonts w:cstheme="minorHAnsi"/>
        </w:rPr>
        <w:t xml:space="preserve"> categorised as monetisable, quantifiable (but not monetisable), or </w:t>
      </w:r>
      <w:r w:rsidR="00A11F44">
        <w:rPr>
          <w:rFonts w:cstheme="minorHAnsi"/>
        </w:rPr>
        <w:t>able to be discussed as part of a qualitative narrative</w:t>
      </w:r>
      <w:r w:rsidR="00A11F44" w:rsidRPr="000B2154">
        <w:rPr>
          <w:rFonts w:cstheme="minorHAnsi"/>
        </w:rPr>
        <w:t>.</w:t>
      </w:r>
      <w:r w:rsidR="00A11F44">
        <w:rPr>
          <w:rFonts w:cstheme="minorHAnsi"/>
        </w:rPr>
        <w:t xml:space="preserve"> The quantifiable and qualitative outcomes are discussed in this Section, with the monetisable benefits discussed in Section </w:t>
      </w:r>
      <w:r w:rsidR="00A11F44">
        <w:rPr>
          <w:rFonts w:cstheme="minorHAnsi"/>
        </w:rPr>
        <w:fldChar w:fldCharType="begin"/>
      </w:r>
      <w:r w:rsidR="00A11F44">
        <w:rPr>
          <w:rFonts w:cstheme="minorHAnsi"/>
        </w:rPr>
        <w:instrText xml:space="preserve"> REF _Ref123938696 \r \h </w:instrText>
      </w:r>
      <w:r w:rsidR="00A11F44">
        <w:rPr>
          <w:rFonts w:cstheme="minorHAnsi"/>
        </w:rPr>
      </w:r>
      <w:r w:rsidR="00A11F44">
        <w:rPr>
          <w:rFonts w:cstheme="minorHAnsi"/>
        </w:rPr>
        <w:fldChar w:fldCharType="separate"/>
      </w:r>
      <w:r w:rsidR="00D32536">
        <w:rPr>
          <w:rFonts w:cstheme="minorHAnsi"/>
        </w:rPr>
        <w:t>6</w:t>
      </w:r>
      <w:r w:rsidR="00A11F44">
        <w:rPr>
          <w:rFonts w:cstheme="minorHAnsi"/>
        </w:rPr>
        <w:fldChar w:fldCharType="end"/>
      </w:r>
      <w:r w:rsidR="00A11F44">
        <w:rPr>
          <w:rFonts w:cstheme="minorHAnsi"/>
        </w:rPr>
        <w:t>.</w:t>
      </w:r>
    </w:p>
    <w:p w14:paraId="711340B6" w14:textId="51A1A67F" w:rsidR="000217E8" w:rsidRDefault="000217E8" w:rsidP="000217E8">
      <w:pPr>
        <w:pStyle w:val="Caption"/>
      </w:pPr>
      <w:bookmarkStart w:id="65" w:name="_Ref125367497"/>
      <w:r>
        <w:t xml:space="preserve">Figure </w:t>
      </w:r>
      <w:r w:rsidR="001D20C8" w:rsidRPr="00A26CFD">
        <w:fldChar w:fldCharType="begin"/>
      </w:r>
      <w:r w:rsidR="001D20C8" w:rsidRPr="00A26CFD">
        <w:instrText xml:space="preserve"> STYLEREF 1 \s </w:instrText>
      </w:r>
      <w:r w:rsidR="001D20C8" w:rsidRPr="00A26CFD">
        <w:fldChar w:fldCharType="separate"/>
      </w:r>
      <w:r w:rsidR="00D32536">
        <w:rPr>
          <w:noProof/>
        </w:rPr>
        <w:t>5</w:t>
      </w:r>
      <w:r w:rsidR="001D20C8" w:rsidRPr="00A26CFD">
        <w:fldChar w:fldCharType="end"/>
      </w:r>
      <w:r>
        <w:t>.</w:t>
      </w:r>
      <w:r w:rsidR="008875A8">
        <w:fldChar w:fldCharType="begin"/>
      </w:r>
      <w:r w:rsidR="008875A8">
        <w:instrText xml:space="preserve"> SEQ Figure \* ARABIC \s 1 </w:instrText>
      </w:r>
      <w:r w:rsidR="008875A8">
        <w:fldChar w:fldCharType="separate"/>
      </w:r>
      <w:r w:rsidR="00D32536">
        <w:rPr>
          <w:noProof/>
        </w:rPr>
        <w:t>1</w:t>
      </w:r>
      <w:r w:rsidR="008875A8">
        <w:fldChar w:fldCharType="end"/>
      </w:r>
      <w:bookmarkEnd w:id="65"/>
      <w:r>
        <w:t xml:space="preserve"> Identified </w:t>
      </w:r>
      <w:r w:rsidRPr="00A26CFD">
        <w:t xml:space="preserve">Program benefits </w:t>
      </w:r>
    </w:p>
    <w:p w14:paraId="69183492" w14:textId="28FE4783" w:rsidR="009B1A29" w:rsidRDefault="008D403D" w:rsidP="000311EE">
      <w:pPr>
        <w:keepNext/>
        <w:spacing w:after="0"/>
        <w:rPr>
          <w:lang w:val="en-AU"/>
        </w:rPr>
      </w:pPr>
      <w:r w:rsidRPr="008D403D">
        <w:rPr>
          <w:lang w:val="en-AU"/>
        </w:rPr>
        <w:t xml:space="preserve"> </w:t>
      </w:r>
      <w:r w:rsidRPr="008D403D">
        <w:rPr>
          <w:noProof/>
        </w:rPr>
        <w:drawing>
          <wp:inline distT="0" distB="0" distL="0" distR="0" wp14:anchorId="0D5811E3" wp14:editId="678E09E2">
            <wp:extent cx="6319520" cy="3637280"/>
            <wp:effectExtent l="0" t="0" r="5080" b="1270"/>
            <wp:docPr id="13" name="Picture 13" descr="This image shows a benefits framework of Program benefits that are experienced by SDCP residents, families/carers, staff and services and government. Benefits are categorised as qualitative, quantifiable, or monetisable. The benefits contained in this image are described across Chapters 5 and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shows a benefits framework of Program benefits that are experienced by SDCP residents, families/carers, staff and services and government. Benefits are categorised as qualitative, quantifiable, or monetisable. The benefits contained in this image are described across Chapters 5 and 6.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19520" cy="3637280"/>
                    </a:xfrm>
                    <a:prstGeom prst="rect">
                      <a:avLst/>
                    </a:prstGeom>
                    <a:noFill/>
                    <a:ln>
                      <a:noFill/>
                    </a:ln>
                  </pic:spPr>
                </pic:pic>
              </a:graphicData>
            </a:graphic>
          </wp:inline>
        </w:drawing>
      </w:r>
    </w:p>
    <w:p w14:paraId="52C3FAE5" w14:textId="32349A28" w:rsidR="00437B6C" w:rsidRDefault="00437B6C" w:rsidP="00BA29A8">
      <w:pPr>
        <w:pStyle w:val="SourcetextTableorChart"/>
        <w:spacing w:after="120"/>
        <w:rPr>
          <w:lang w:val="en-AU"/>
        </w:rPr>
      </w:pPr>
      <w:r>
        <w:rPr>
          <w:lang w:val="en-AU"/>
        </w:rPr>
        <w:t xml:space="preserve">Source: </w:t>
      </w:r>
      <w:r w:rsidR="00C627D6">
        <w:rPr>
          <w:lang w:val="en-AU"/>
        </w:rPr>
        <w:t xml:space="preserve">Benefits </w:t>
      </w:r>
      <w:r w:rsidR="002650E9">
        <w:rPr>
          <w:lang w:val="en-AU"/>
        </w:rPr>
        <w:t>identified</w:t>
      </w:r>
      <w:r w:rsidR="00C627D6">
        <w:rPr>
          <w:lang w:val="en-AU"/>
        </w:rPr>
        <w:t xml:space="preserve"> through </w:t>
      </w:r>
      <w:r w:rsidR="002650E9">
        <w:rPr>
          <w:lang w:val="en-AU"/>
        </w:rPr>
        <w:t xml:space="preserve">evaluation activities. </w:t>
      </w:r>
      <w:r>
        <w:rPr>
          <w:lang w:val="en-AU"/>
        </w:rPr>
        <w:t>Deloitte Access Economics.</w:t>
      </w:r>
    </w:p>
    <w:p w14:paraId="6CCAAD61" w14:textId="5451BBE9" w:rsidR="00852F49" w:rsidRPr="00C476BA" w:rsidRDefault="00702D67" w:rsidP="00C476BA">
      <w:pPr>
        <w:rPr>
          <w:lang w:val="en-AU"/>
        </w:rPr>
      </w:pPr>
      <w:r>
        <w:rPr>
          <w:lang w:val="en-AU"/>
        </w:rPr>
        <w:t xml:space="preserve">The </w:t>
      </w:r>
      <w:r w:rsidR="00B30C2B">
        <w:rPr>
          <w:lang w:val="en-AU"/>
        </w:rPr>
        <w:t>following chapter sections</w:t>
      </w:r>
      <w:r>
        <w:rPr>
          <w:lang w:val="en-AU"/>
        </w:rPr>
        <w:t xml:space="preserve"> describe </w:t>
      </w:r>
      <w:r w:rsidR="003A30F1">
        <w:rPr>
          <w:lang w:val="en-AU"/>
        </w:rPr>
        <w:t xml:space="preserve">key findings related to </w:t>
      </w:r>
      <w:r w:rsidR="001321F2">
        <w:rPr>
          <w:lang w:val="en-AU"/>
        </w:rPr>
        <w:t xml:space="preserve">the </w:t>
      </w:r>
      <w:r w:rsidR="00FA7CDE">
        <w:rPr>
          <w:lang w:val="en-AU"/>
        </w:rPr>
        <w:t>qualitative and quantifiable (but not monetisable)</w:t>
      </w:r>
      <w:r w:rsidR="00F05668">
        <w:rPr>
          <w:lang w:val="en-AU"/>
        </w:rPr>
        <w:t xml:space="preserve"> </w:t>
      </w:r>
      <w:r w:rsidR="003A30F1">
        <w:rPr>
          <w:lang w:val="en-AU"/>
        </w:rPr>
        <w:t>outcomes depicted</w:t>
      </w:r>
      <w:r w:rsidR="000C3661">
        <w:rPr>
          <w:lang w:val="en-AU"/>
        </w:rPr>
        <w:t xml:space="preserve"> in </w:t>
      </w:r>
      <w:r w:rsidR="000217E8">
        <w:rPr>
          <w:lang w:val="en-AU"/>
        </w:rPr>
        <w:fldChar w:fldCharType="begin"/>
      </w:r>
      <w:r w:rsidR="000217E8">
        <w:rPr>
          <w:lang w:val="en-AU"/>
        </w:rPr>
        <w:instrText xml:space="preserve"> REF _Ref125367497 \h </w:instrText>
      </w:r>
      <w:r w:rsidR="000217E8">
        <w:rPr>
          <w:lang w:val="en-AU"/>
        </w:rPr>
      </w:r>
      <w:r w:rsidR="000217E8">
        <w:rPr>
          <w:lang w:val="en-AU"/>
        </w:rPr>
        <w:fldChar w:fldCharType="separate"/>
      </w:r>
      <w:r w:rsidR="00D32536">
        <w:t xml:space="preserve">Figure </w:t>
      </w:r>
      <w:r w:rsidR="00D32536">
        <w:rPr>
          <w:noProof/>
        </w:rPr>
        <w:t>5</w:t>
      </w:r>
      <w:r w:rsidR="00D32536">
        <w:t>.</w:t>
      </w:r>
      <w:r w:rsidR="00D32536">
        <w:rPr>
          <w:noProof/>
        </w:rPr>
        <w:t>1</w:t>
      </w:r>
      <w:r w:rsidR="000217E8">
        <w:rPr>
          <w:lang w:val="en-AU"/>
        </w:rPr>
        <w:fldChar w:fldCharType="end"/>
      </w:r>
      <w:r w:rsidR="00F05668">
        <w:rPr>
          <w:lang w:val="en-AU"/>
        </w:rPr>
        <w:t xml:space="preserve">. </w:t>
      </w:r>
      <w:r w:rsidR="00FA7CDE">
        <w:rPr>
          <w:lang w:val="en-AU"/>
        </w:rPr>
        <w:t>Monetisable</w:t>
      </w:r>
      <w:r w:rsidR="00F05668">
        <w:rPr>
          <w:lang w:val="en-AU"/>
        </w:rPr>
        <w:t xml:space="preserve"> </w:t>
      </w:r>
      <w:r w:rsidR="000C3661">
        <w:rPr>
          <w:lang w:val="en-AU"/>
        </w:rPr>
        <w:t>outcomes</w:t>
      </w:r>
      <w:r w:rsidR="002B508D">
        <w:rPr>
          <w:lang w:val="en-AU"/>
        </w:rPr>
        <w:t xml:space="preserve"> are</w:t>
      </w:r>
      <w:r w:rsidR="00DF401E">
        <w:rPr>
          <w:lang w:val="en-AU"/>
        </w:rPr>
        <w:t xml:space="preserve"> reserved for discussion in </w:t>
      </w:r>
      <w:r w:rsidR="00CC25E3">
        <w:rPr>
          <w:lang w:val="en-AU"/>
        </w:rPr>
        <w:t>Chapter</w:t>
      </w:r>
      <w:r w:rsidR="007D35AE">
        <w:rPr>
          <w:lang w:val="en-AU"/>
        </w:rPr>
        <w:t xml:space="preserve"> </w:t>
      </w:r>
      <w:r w:rsidR="007D35AE">
        <w:rPr>
          <w:lang w:val="en-AU"/>
        </w:rPr>
        <w:fldChar w:fldCharType="begin"/>
      </w:r>
      <w:r w:rsidR="007D35AE">
        <w:rPr>
          <w:lang w:val="en-AU"/>
        </w:rPr>
        <w:instrText xml:space="preserve"> REF _Ref123917453 \n \h </w:instrText>
      </w:r>
      <w:r w:rsidR="007D35AE">
        <w:rPr>
          <w:lang w:val="en-AU"/>
        </w:rPr>
      </w:r>
      <w:r w:rsidR="007D35AE">
        <w:rPr>
          <w:lang w:val="en-AU"/>
        </w:rPr>
        <w:fldChar w:fldCharType="separate"/>
      </w:r>
      <w:r w:rsidR="00D32536">
        <w:rPr>
          <w:lang w:val="en-AU"/>
        </w:rPr>
        <w:t>6</w:t>
      </w:r>
      <w:r w:rsidR="007D35AE">
        <w:rPr>
          <w:lang w:val="en-AU"/>
        </w:rPr>
        <w:fldChar w:fldCharType="end"/>
      </w:r>
      <w:r w:rsidR="00BA29A8">
        <w:rPr>
          <w:lang w:val="en-AU"/>
        </w:rPr>
        <w:t>.</w:t>
      </w:r>
    </w:p>
    <w:p w14:paraId="292E0931" w14:textId="25C14407" w:rsidR="00E41BFD" w:rsidRPr="008C497E" w:rsidRDefault="005D3C31" w:rsidP="003C226E">
      <w:pPr>
        <w:pStyle w:val="Heading2"/>
        <w:spacing w:after="0"/>
        <w:ind w:left="578" w:hanging="578"/>
        <w:rPr>
          <w:lang w:val="en-AU"/>
        </w:rPr>
      </w:pPr>
      <w:bookmarkStart w:id="66" w:name="_Ref123904728"/>
      <w:r>
        <w:rPr>
          <w:lang w:val="en-AU"/>
        </w:rPr>
        <w:t xml:space="preserve">Benefits for </w:t>
      </w:r>
      <w:r w:rsidR="00EF79AD">
        <w:rPr>
          <w:lang w:val="en-AU"/>
        </w:rPr>
        <w:t>Program residents</w:t>
      </w:r>
      <w:bookmarkEnd w:id="66"/>
    </w:p>
    <w:p w14:paraId="63B8F27F" w14:textId="52B8C852" w:rsidR="00576A49" w:rsidRPr="00576A49" w:rsidRDefault="00576A49" w:rsidP="00576A49">
      <w:pPr>
        <w:pStyle w:val="Heading3"/>
        <w:spacing w:after="0"/>
        <w:rPr>
          <w:lang w:val="en-AU"/>
        </w:rPr>
      </w:pPr>
      <w:r>
        <w:rPr>
          <w:lang w:val="en-AU"/>
        </w:rPr>
        <w:t xml:space="preserve">Improved </w:t>
      </w:r>
      <w:r w:rsidR="005B3762">
        <w:rPr>
          <w:lang w:val="en-AU"/>
        </w:rPr>
        <w:t xml:space="preserve">quality of life, health and </w:t>
      </w:r>
      <w:r>
        <w:rPr>
          <w:lang w:val="en-AU"/>
        </w:rPr>
        <w:t>wellbeing</w:t>
      </w:r>
    </w:p>
    <w:p w14:paraId="0C27991E" w14:textId="285ED9F8" w:rsidR="00A33450" w:rsidRPr="00222353" w:rsidRDefault="00FB44B9" w:rsidP="00222353">
      <w:pPr>
        <w:rPr>
          <w:rFonts w:asciiTheme="majorHAnsi" w:hAnsiTheme="majorHAnsi" w:cstheme="majorHAnsi"/>
          <w:b/>
          <w:color w:val="012169"/>
          <w:lang w:val="en-AU"/>
        </w:rPr>
      </w:pPr>
      <w:r>
        <w:rPr>
          <w:rFonts w:asciiTheme="majorHAnsi" w:hAnsiTheme="majorHAnsi" w:cstheme="majorHAnsi"/>
          <w:b/>
          <w:bCs/>
          <w:color w:val="012169"/>
          <w:lang w:val="en-AU"/>
        </w:rPr>
        <w:t>C</w:t>
      </w:r>
      <w:r w:rsidR="000F0F20">
        <w:rPr>
          <w:rFonts w:asciiTheme="majorHAnsi" w:hAnsiTheme="majorHAnsi" w:cstheme="majorHAnsi"/>
          <w:b/>
          <w:bCs/>
          <w:color w:val="012169"/>
          <w:lang w:val="en-AU"/>
        </w:rPr>
        <w:t>onsensus across all stakeholders consulted</w:t>
      </w:r>
      <w:r w:rsidR="00253869" w:rsidRPr="00222353">
        <w:rPr>
          <w:rFonts w:asciiTheme="majorHAnsi" w:hAnsiTheme="majorHAnsi" w:cstheme="majorHAnsi"/>
          <w:b/>
          <w:color w:val="012169"/>
          <w:lang w:val="en-AU"/>
        </w:rPr>
        <w:t xml:space="preserve"> that the </w:t>
      </w:r>
      <w:r w:rsidR="003B1727">
        <w:rPr>
          <w:rFonts w:asciiTheme="majorHAnsi" w:hAnsiTheme="majorHAnsi" w:cstheme="majorHAnsi"/>
          <w:b/>
          <w:color w:val="012169"/>
          <w:lang w:val="en-AU"/>
        </w:rPr>
        <w:t>Program</w:t>
      </w:r>
      <w:r w:rsidR="003B1727" w:rsidRPr="00222353">
        <w:rPr>
          <w:rFonts w:asciiTheme="majorHAnsi" w:hAnsiTheme="majorHAnsi" w:cstheme="majorHAnsi"/>
          <w:b/>
          <w:color w:val="012169"/>
          <w:lang w:val="en-AU"/>
        </w:rPr>
        <w:t xml:space="preserve"> </w:t>
      </w:r>
      <w:r w:rsidR="00253869" w:rsidRPr="00222353">
        <w:rPr>
          <w:rFonts w:asciiTheme="majorHAnsi" w:hAnsiTheme="majorHAnsi" w:cstheme="majorHAnsi"/>
          <w:b/>
          <w:color w:val="012169"/>
          <w:lang w:val="en-AU"/>
        </w:rPr>
        <w:t xml:space="preserve">led to significant improvements in residents’ </w:t>
      </w:r>
      <w:r w:rsidR="00253869" w:rsidRPr="00DB1FEA">
        <w:rPr>
          <w:rFonts w:asciiTheme="majorHAnsi" w:hAnsiTheme="majorHAnsi" w:cstheme="majorHAnsi"/>
          <w:b/>
          <w:color w:val="012169"/>
          <w:lang w:val="en-AU"/>
        </w:rPr>
        <w:t>quality of life and overall wellbeing</w:t>
      </w:r>
      <w:r w:rsidR="00253869" w:rsidRPr="00222353">
        <w:rPr>
          <w:rFonts w:asciiTheme="majorHAnsi" w:hAnsiTheme="majorHAnsi" w:cstheme="majorHAnsi"/>
          <w:b/>
          <w:color w:val="012169"/>
          <w:lang w:val="en-AU"/>
        </w:rPr>
        <w:t xml:space="preserve">. </w:t>
      </w:r>
      <w:r w:rsidR="00253869" w:rsidRPr="00222353">
        <w:rPr>
          <w:rFonts w:asciiTheme="majorHAnsi" w:hAnsiTheme="majorHAnsi" w:cstheme="majorHAnsi"/>
          <w:b/>
          <w:bCs/>
          <w:color w:val="012169"/>
          <w:lang w:val="en-AU"/>
        </w:rPr>
        <w:t xml:space="preserve">This was </w:t>
      </w:r>
      <w:r w:rsidR="000B0DC5">
        <w:rPr>
          <w:rFonts w:asciiTheme="majorHAnsi" w:hAnsiTheme="majorHAnsi" w:cstheme="majorHAnsi"/>
          <w:b/>
          <w:bCs/>
          <w:color w:val="012169"/>
          <w:lang w:val="en-AU"/>
        </w:rPr>
        <w:t>the</w:t>
      </w:r>
      <w:r w:rsidR="00253869" w:rsidRPr="00222353">
        <w:rPr>
          <w:rFonts w:asciiTheme="majorHAnsi" w:hAnsiTheme="majorHAnsi" w:cstheme="majorHAnsi"/>
          <w:b/>
          <w:bCs/>
          <w:color w:val="012169"/>
          <w:lang w:val="en-AU"/>
        </w:rPr>
        <w:t xml:space="preserve"> </w:t>
      </w:r>
      <w:r w:rsidR="00FE2715" w:rsidRPr="00222353">
        <w:rPr>
          <w:rFonts w:asciiTheme="majorHAnsi" w:hAnsiTheme="majorHAnsi" w:cstheme="majorHAnsi"/>
          <w:b/>
          <w:bCs/>
          <w:color w:val="012169"/>
          <w:lang w:val="en-AU"/>
        </w:rPr>
        <w:t>key</w:t>
      </w:r>
      <w:r w:rsidR="00253869" w:rsidRPr="00222353">
        <w:rPr>
          <w:rFonts w:asciiTheme="majorHAnsi" w:hAnsiTheme="majorHAnsi" w:cstheme="majorHAnsi"/>
          <w:b/>
          <w:bCs/>
          <w:color w:val="012169"/>
          <w:lang w:val="en-AU"/>
        </w:rPr>
        <w:t xml:space="preserve"> driver</w:t>
      </w:r>
      <w:r w:rsidR="006208FA">
        <w:rPr>
          <w:rFonts w:asciiTheme="majorHAnsi" w:hAnsiTheme="majorHAnsi" w:cstheme="majorHAnsi"/>
          <w:b/>
          <w:bCs/>
          <w:color w:val="012169"/>
          <w:lang w:val="en-AU"/>
        </w:rPr>
        <w:t xml:space="preserve"> of strong family/carer</w:t>
      </w:r>
      <w:r w:rsidR="00997D5E" w:rsidRPr="00222353">
        <w:rPr>
          <w:rFonts w:asciiTheme="majorHAnsi" w:hAnsiTheme="majorHAnsi" w:cstheme="majorHAnsi"/>
          <w:b/>
          <w:bCs/>
          <w:color w:val="012169"/>
          <w:lang w:val="en-AU"/>
        </w:rPr>
        <w:t xml:space="preserve"> </w:t>
      </w:r>
      <w:r w:rsidR="00253869" w:rsidRPr="00222353">
        <w:rPr>
          <w:rFonts w:asciiTheme="majorHAnsi" w:hAnsiTheme="majorHAnsi" w:cstheme="majorHAnsi"/>
          <w:b/>
          <w:bCs/>
          <w:color w:val="012169"/>
          <w:lang w:val="en-AU"/>
        </w:rPr>
        <w:t xml:space="preserve">satisfaction with the Program. </w:t>
      </w:r>
    </w:p>
    <w:p w14:paraId="041C13E4" w14:textId="57F9875A" w:rsidR="00320CBC" w:rsidRDefault="008A2A4D" w:rsidP="0095370C">
      <w:pPr>
        <w:rPr>
          <w:lang w:val="en-AU"/>
        </w:rPr>
      </w:pPr>
      <w:r>
        <w:rPr>
          <w:lang w:val="en-AU"/>
        </w:rPr>
        <w:t>Q</w:t>
      </w:r>
      <w:r w:rsidR="00320CBC" w:rsidRPr="0095370C">
        <w:rPr>
          <w:lang w:val="en-AU"/>
        </w:rPr>
        <w:t xml:space="preserve">uality of life in </w:t>
      </w:r>
      <w:r w:rsidR="00974667">
        <w:rPr>
          <w:lang w:val="en-AU"/>
        </w:rPr>
        <w:t>people</w:t>
      </w:r>
      <w:r w:rsidR="00974667" w:rsidRPr="0095370C">
        <w:rPr>
          <w:lang w:val="en-AU"/>
        </w:rPr>
        <w:t xml:space="preserve"> </w:t>
      </w:r>
      <w:r w:rsidR="00320CBC" w:rsidRPr="0095370C">
        <w:rPr>
          <w:lang w:val="en-AU"/>
        </w:rPr>
        <w:t xml:space="preserve">with moderate to </w:t>
      </w:r>
      <w:r w:rsidR="00E41318">
        <w:rPr>
          <w:lang w:val="en-AU"/>
        </w:rPr>
        <w:t xml:space="preserve">very </w:t>
      </w:r>
      <w:r w:rsidR="00320CBC" w:rsidRPr="0095370C">
        <w:rPr>
          <w:lang w:val="en-AU"/>
        </w:rPr>
        <w:t xml:space="preserve">severe dementia can </w:t>
      </w:r>
      <w:r>
        <w:rPr>
          <w:lang w:val="en-AU"/>
        </w:rPr>
        <w:t xml:space="preserve">often </w:t>
      </w:r>
      <w:r w:rsidR="00320CBC" w:rsidRPr="0095370C">
        <w:rPr>
          <w:lang w:val="en-AU"/>
        </w:rPr>
        <w:t xml:space="preserve">be assessed observationally </w:t>
      </w:r>
      <w:r w:rsidR="00AB5DC4">
        <w:rPr>
          <w:lang w:val="en-AU"/>
        </w:rPr>
        <w:t>through</w:t>
      </w:r>
      <w:r w:rsidR="00320CBC" w:rsidRPr="0095370C">
        <w:rPr>
          <w:lang w:val="en-AU"/>
        </w:rPr>
        <w:t xml:space="preserve"> </w:t>
      </w:r>
      <w:r w:rsidR="008150E2">
        <w:rPr>
          <w:lang w:val="en-AU"/>
        </w:rPr>
        <w:t>family</w:t>
      </w:r>
      <w:r w:rsidR="001F6B8F">
        <w:rPr>
          <w:lang w:val="en-AU"/>
        </w:rPr>
        <w:t xml:space="preserve"> members</w:t>
      </w:r>
      <w:r w:rsidR="008150E2">
        <w:rPr>
          <w:lang w:val="en-AU"/>
        </w:rPr>
        <w:t xml:space="preserve"> and care staff by </w:t>
      </w:r>
      <w:r w:rsidR="00320CBC" w:rsidRPr="0095370C">
        <w:rPr>
          <w:lang w:val="en-AU"/>
        </w:rPr>
        <w:t>examining</w:t>
      </w:r>
      <w:r w:rsidR="001633E3">
        <w:rPr>
          <w:lang w:val="en-AU"/>
        </w:rPr>
        <w:t xml:space="preserve"> </w:t>
      </w:r>
      <w:r w:rsidR="0055646C">
        <w:rPr>
          <w:lang w:val="en-AU"/>
        </w:rPr>
        <w:t>the person’s</w:t>
      </w:r>
      <w:r w:rsidR="00320CBC" w:rsidRPr="0095370C">
        <w:rPr>
          <w:lang w:val="en-AU"/>
        </w:rPr>
        <w:t xml:space="preserve"> </w:t>
      </w:r>
      <w:r w:rsidR="001633E3">
        <w:rPr>
          <w:lang w:val="en-AU"/>
        </w:rPr>
        <w:t>affective state, behavioural indicators of discomfort and engagement with the</w:t>
      </w:r>
      <w:r w:rsidR="00751BCD">
        <w:rPr>
          <w:lang w:val="en-AU"/>
        </w:rPr>
        <w:t>ir</w:t>
      </w:r>
      <w:r w:rsidR="001633E3">
        <w:rPr>
          <w:lang w:val="en-AU"/>
        </w:rPr>
        <w:t xml:space="preserve"> environment</w:t>
      </w:r>
      <w:r w:rsidR="00320CBC" w:rsidRPr="0095370C">
        <w:rPr>
          <w:lang w:val="en-AU"/>
        </w:rPr>
        <w:t>.</w:t>
      </w:r>
      <w:r w:rsidR="00320CBC">
        <w:rPr>
          <w:rStyle w:val="FootnoteReference"/>
          <w:lang w:val="en-AU"/>
        </w:rPr>
        <w:footnoteReference w:id="12"/>
      </w:r>
      <w:r>
        <w:rPr>
          <w:lang w:val="en-AU"/>
        </w:rPr>
        <w:t xml:space="preserve"> This is due to the </w:t>
      </w:r>
      <w:r w:rsidR="00751BCD">
        <w:rPr>
          <w:lang w:val="en-AU"/>
        </w:rPr>
        <w:t>level</w:t>
      </w:r>
      <w:r>
        <w:rPr>
          <w:lang w:val="en-AU"/>
        </w:rPr>
        <w:t xml:space="preserve"> of cognitive impairment</w:t>
      </w:r>
      <w:r w:rsidRPr="008A2A4D">
        <w:rPr>
          <w:lang w:val="en-AU"/>
        </w:rPr>
        <w:t xml:space="preserve"> </w:t>
      </w:r>
      <w:r>
        <w:rPr>
          <w:lang w:val="en-AU"/>
        </w:rPr>
        <w:t xml:space="preserve">among people with dementia, making self-reported quality of life </w:t>
      </w:r>
      <w:r w:rsidR="00751BCD">
        <w:rPr>
          <w:lang w:val="en-AU"/>
        </w:rPr>
        <w:t xml:space="preserve">often </w:t>
      </w:r>
      <w:r>
        <w:rPr>
          <w:lang w:val="en-AU"/>
        </w:rPr>
        <w:t>unreliable.</w:t>
      </w:r>
    </w:p>
    <w:p w14:paraId="533F2BB5" w14:textId="59DCCAFF" w:rsidR="00811F01" w:rsidRDefault="006D6DDA" w:rsidP="00D5774A">
      <w:pPr>
        <w:rPr>
          <w:lang w:val="en-AU"/>
        </w:rPr>
      </w:pPr>
      <w:r w:rsidRPr="006D6DDA">
        <w:rPr>
          <w:lang w:val="en-AU"/>
        </w:rPr>
        <w:t xml:space="preserve">The majority of </w:t>
      </w:r>
      <w:r w:rsidR="003B1727">
        <w:rPr>
          <w:lang w:val="en-AU"/>
        </w:rPr>
        <w:t>SDCU</w:t>
      </w:r>
      <w:r w:rsidR="003B1727" w:rsidRPr="006D6DDA">
        <w:rPr>
          <w:lang w:val="en-AU"/>
        </w:rPr>
        <w:t xml:space="preserve"> </w:t>
      </w:r>
      <w:r w:rsidRPr="006D6DDA">
        <w:rPr>
          <w:lang w:val="en-AU"/>
        </w:rPr>
        <w:t>staff</w:t>
      </w:r>
      <w:r w:rsidR="00D7359F">
        <w:rPr>
          <w:lang w:val="en-AU"/>
        </w:rPr>
        <w:t xml:space="preserve">, </w:t>
      </w:r>
      <w:r w:rsidRPr="006D6DDA">
        <w:rPr>
          <w:lang w:val="en-AU"/>
        </w:rPr>
        <w:t>in-reach clinicians and family</w:t>
      </w:r>
      <w:r w:rsidR="00D7359F">
        <w:rPr>
          <w:lang w:val="en-AU"/>
        </w:rPr>
        <w:t>/</w:t>
      </w:r>
      <w:r w:rsidRPr="006D6DDA">
        <w:rPr>
          <w:lang w:val="en-AU"/>
        </w:rPr>
        <w:t xml:space="preserve">carers reported </w:t>
      </w:r>
      <w:r w:rsidR="00C60004">
        <w:rPr>
          <w:lang w:val="en-AU"/>
        </w:rPr>
        <w:t xml:space="preserve">that </w:t>
      </w:r>
      <w:r w:rsidRPr="006D6DDA">
        <w:rPr>
          <w:lang w:val="en-AU"/>
        </w:rPr>
        <w:t>they had observed major improvements in resident</w:t>
      </w:r>
      <w:r w:rsidR="00BB4D31">
        <w:rPr>
          <w:lang w:val="en-AU"/>
        </w:rPr>
        <w:t>s’</w:t>
      </w:r>
      <w:r w:rsidRPr="006D6DDA">
        <w:rPr>
          <w:lang w:val="en-AU"/>
        </w:rPr>
        <w:t xml:space="preserve"> quality of lif</w:t>
      </w:r>
      <w:r w:rsidR="00D5774A">
        <w:rPr>
          <w:lang w:val="en-AU"/>
        </w:rPr>
        <w:t>e</w:t>
      </w:r>
      <w:r w:rsidR="00D57F9B">
        <w:rPr>
          <w:lang w:val="en-AU"/>
        </w:rPr>
        <w:t xml:space="preserve"> </w:t>
      </w:r>
      <w:r w:rsidR="00BB4D31">
        <w:rPr>
          <w:lang w:val="en-AU"/>
        </w:rPr>
        <w:t>over their course of their</w:t>
      </w:r>
      <w:r w:rsidR="00D57F9B">
        <w:rPr>
          <w:lang w:val="en-AU"/>
        </w:rPr>
        <w:t xml:space="preserve"> admission</w:t>
      </w:r>
      <w:r w:rsidR="00D7359F">
        <w:rPr>
          <w:lang w:val="en-AU"/>
        </w:rPr>
        <w:t xml:space="preserve"> </w:t>
      </w:r>
      <w:r w:rsidR="00BB4D31">
        <w:rPr>
          <w:lang w:val="en-AU"/>
        </w:rPr>
        <w:t>to an</w:t>
      </w:r>
      <w:r w:rsidR="00D7359F">
        <w:rPr>
          <w:lang w:val="en-AU"/>
        </w:rPr>
        <w:t xml:space="preserve"> SDCU</w:t>
      </w:r>
      <w:r w:rsidR="00781F1D">
        <w:rPr>
          <w:lang w:val="en-AU"/>
        </w:rPr>
        <w:t xml:space="preserve">. </w:t>
      </w:r>
      <w:r w:rsidR="006A602B">
        <w:rPr>
          <w:lang w:val="en-AU"/>
        </w:rPr>
        <w:t>Th</w:t>
      </w:r>
      <w:r w:rsidR="00D57F9B">
        <w:rPr>
          <w:lang w:val="en-AU"/>
        </w:rPr>
        <w:t>is</w:t>
      </w:r>
      <w:r w:rsidR="006A602B">
        <w:rPr>
          <w:lang w:val="en-AU"/>
        </w:rPr>
        <w:t xml:space="preserve"> was evidenced through reports of</w:t>
      </w:r>
      <w:r w:rsidR="00811F01">
        <w:rPr>
          <w:lang w:val="en-AU"/>
        </w:rPr>
        <w:t>:</w:t>
      </w:r>
    </w:p>
    <w:p w14:paraId="41FA07B3" w14:textId="0664728E" w:rsidR="00244414" w:rsidRDefault="00EF363E" w:rsidP="00C063DC">
      <w:pPr>
        <w:pStyle w:val="ListParagraph"/>
        <w:numPr>
          <w:ilvl w:val="0"/>
          <w:numId w:val="22"/>
        </w:numPr>
        <w:ind w:left="284" w:hanging="284"/>
        <w:contextualSpacing w:val="0"/>
        <w:rPr>
          <w:lang w:val="en-AU"/>
        </w:rPr>
      </w:pPr>
      <w:r w:rsidRPr="00F63F22">
        <w:rPr>
          <w:rFonts w:asciiTheme="majorHAnsi" w:hAnsiTheme="majorHAnsi" w:cstheme="majorHAnsi"/>
          <w:b/>
          <w:lang w:val="en-AU"/>
        </w:rPr>
        <w:t xml:space="preserve">Improved </w:t>
      </w:r>
      <w:r w:rsidR="00D5774A" w:rsidRPr="00F63F22">
        <w:rPr>
          <w:rFonts w:asciiTheme="majorHAnsi" w:hAnsiTheme="majorHAnsi" w:cstheme="majorHAnsi"/>
          <w:b/>
          <w:lang w:val="en-AU"/>
        </w:rPr>
        <w:t>mood</w:t>
      </w:r>
      <w:r w:rsidR="008F4254" w:rsidRPr="00F63F22">
        <w:rPr>
          <w:rFonts w:asciiTheme="majorHAnsi" w:hAnsiTheme="majorHAnsi" w:cstheme="majorHAnsi"/>
          <w:b/>
          <w:lang w:val="en-AU"/>
        </w:rPr>
        <w:t xml:space="preserve"> </w:t>
      </w:r>
      <w:r w:rsidR="00D5774A" w:rsidRPr="00F63F22">
        <w:rPr>
          <w:rFonts w:asciiTheme="majorHAnsi" w:hAnsiTheme="majorHAnsi" w:cstheme="majorHAnsi"/>
          <w:b/>
          <w:lang w:val="en-AU"/>
        </w:rPr>
        <w:t xml:space="preserve">and </w:t>
      </w:r>
      <w:r w:rsidRPr="00F63F22">
        <w:rPr>
          <w:rFonts w:asciiTheme="majorHAnsi" w:hAnsiTheme="majorHAnsi" w:cstheme="majorHAnsi"/>
          <w:b/>
          <w:lang w:val="en-AU"/>
        </w:rPr>
        <w:t>overall demeanour</w:t>
      </w:r>
      <w:r w:rsidR="00EA5F01" w:rsidRPr="00F63F22">
        <w:rPr>
          <w:rFonts w:asciiTheme="majorHAnsi" w:hAnsiTheme="majorHAnsi" w:cstheme="majorHAnsi"/>
          <w:b/>
          <w:lang w:val="en-AU"/>
        </w:rPr>
        <w:t>:</w:t>
      </w:r>
      <w:r w:rsidR="00EA5F01" w:rsidRPr="00244414">
        <w:rPr>
          <w:b/>
          <w:bCs/>
          <w:lang w:val="en-AU"/>
        </w:rPr>
        <w:t xml:space="preserve"> </w:t>
      </w:r>
      <w:r w:rsidR="00852F49">
        <w:rPr>
          <w:lang w:val="en-AU"/>
        </w:rPr>
        <w:t>Significant improvements were observed in residents’</w:t>
      </w:r>
      <w:r w:rsidRPr="00244414">
        <w:rPr>
          <w:lang w:val="en-AU"/>
        </w:rPr>
        <w:t xml:space="preserve"> </w:t>
      </w:r>
      <w:r w:rsidR="001113FC">
        <w:rPr>
          <w:lang w:val="en-AU"/>
        </w:rPr>
        <w:t>mental health and wellbeing</w:t>
      </w:r>
      <w:r w:rsidR="00852F49">
        <w:rPr>
          <w:lang w:val="en-AU"/>
        </w:rPr>
        <w:t xml:space="preserve"> and stakeholders reported residents</w:t>
      </w:r>
      <w:r w:rsidR="0055646C">
        <w:rPr>
          <w:lang w:val="en-AU"/>
        </w:rPr>
        <w:t xml:space="preserve"> </w:t>
      </w:r>
      <w:r w:rsidR="001113FC">
        <w:rPr>
          <w:lang w:val="en-AU"/>
        </w:rPr>
        <w:t xml:space="preserve">often show </w:t>
      </w:r>
      <w:r w:rsidR="00852F49">
        <w:rPr>
          <w:lang w:val="en-AU"/>
        </w:rPr>
        <w:t xml:space="preserve">a calmer demeanour and </w:t>
      </w:r>
      <w:r w:rsidR="001113FC">
        <w:rPr>
          <w:lang w:val="en-AU"/>
        </w:rPr>
        <w:t>more</w:t>
      </w:r>
      <w:r w:rsidR="0052625B">
        <w:rPr>
          <w:lang w:val="en-AU"/>
        </w:rPr>
        <w:t xml:space="preserve"> </w:t>
      </w:r>
      <w:r w:rsidRPr="00244414">
        <w:rPr>
          <w:lang w:val="en-AU"/>
        </w:rPr>
        <w:t xml:space="preserve">positive </w:t>
      </w:r>
      <w:r w:rsidR="00244414" w:rsidRPr="00244414">
        <w:rPr>
          <w:lang w:val="en-AU"/>
        </w:rPr>
        <w:t>expressions and behaviou</w:t>
      </w:r>
      <w:r w:rsidR="001113FC">
        <w:rPr>
          <w:lang w:val="en-AU"/>
        </w:rPr>
        <w:t>rs</w:t>
      </w:r>
      <w:r w:rsidR="00852F49">
        <w:rPr>
          <w:lang w:val="en-AU"/>
        </w:rPr>
        <w:t xml:space="preserve"> over time</w:t>
      </w:r>
      <w:r w:rsidR="0054233E">
        <w:rPr>
          <w:lang w:val="en-AU"/>
        </w:rPr>
        <w:t xml:space="preserve">. </w:t>
      </w:r>
      <w:r w:rsidR="00C87E74">
        <w:rPr>
          <w:lang w:val="en-AU"/>
        </w:rPr>
        <w:t>The majority of f</w:t>
      </w:r>
      <w:r w:rsidR="0054233E">
        <w:rPr>
          <w:lang w:val="en-AU"/>
        </w:rPr>
        <w:t xml:space="preserve">amily members noted their loved one appeared more content in the </w:t>
      </w:r>
      <w:r w:rsidR="003B1727">
        <w:rPr>
          <w:lang w:val="en-AU"/>
        </w:rPr>
        <w:t xml:space="preserve">SDCU </w:t>
      </w:r>
      <w:r w:rsidR="0054233E">
        <w:rPr>
          <w:lang w:val="en-AU"/>
        </w:rPr>
        <w:t xml:space="preserve">compared to previous care settings. </w:t>
      </w:r>
    </w:p>
    <w:p w14:paraId="3BF90E91" w14:textId="7107717F" w:rsidR="00811F01" w:rsidRPr="00244414" w:rsidRDefault="00EA5F01" w:rsidP="00C063DC">
      <w:pPr>
        <w:pStyle w:val="ListParagraph"/>
        <w:numPr>
          <w:ilvl w:val="0"/>
          <w:numId w:val="22"/>
        </w:numPr>
        <w:ind w:left="284" w:hanging="284"/>
        <w:contextualSpacing w:val="0"/>
        <w:rPr>
          <w:lang w:val="en-AU"/>
        </w:rPr>
      </w:pPr>
      <w:r w:rsidRPr="00F63F22">
        <w:rPr>
          <w:rFonts w:asciiTheme="majorHAnsi" w:hAnsiTheme="majorHAnsi" w:cstheme="majorHAnsi"/>
          <w:b/>
          <w:lang w:val="en-AU"/>
        </w:rPr>
        <w:t>I</w:t>
      </w:r>
      <w:r w:rsidR="00D5774A" w:rsidRPr="00F63F22">
        <w:rPr>
          <w:rFonts w:asciiTheme="majorHAnsi" w:hAnsiTheme="majorHAnsi" w:cstheme="majorHAnsi"/>
          <w:b/>
          <w:lang w:val="en-AU"/>
        </w:rPr>
        <w:t xml:space="preserve">ncreased </w:t>
      </w:r>
      <w:r w:rsidR="003702CA" w:rsidRPr="00F63F22">
        <w:rPr>
          <w:rFonts w:asciiTheme="majorHAnsi" w:hAnsiTheme="majorHAnsi" w:cstheme="majorHAnsi"/>
          <w:b/>
          <w:lang w:val="en-AU"/>
        </w:rPr>
        <w:t xml:space="preserve">communication and interaction </w:t>
      </w:r>
      <w:r w:rsidR="00811F01" w:rsidRPr="00F63F22">
        <w:rPr>
          <w:rFonts w:asciiTheme="majorHAnsi" w:hAnsiTheme="majorHAnsi" w:cstheme="majorHAnsi"/>
          <w:b/>
          <w:lang w:val="en-AU"/>
        </w:rPr>
        <w:t>with famil</w:t>
      </w:r>
      <w:r w:rsidR="006616BC" w:rsidRPr="00F63F22">
        <w:rPr>
          <w:rFonts w:asciiTheme="majorHAnsi" w:hAnsiTheme="majorHAnsi" w:cstheme="majorHAnsi"/>
          <w:b/>
          <w:lang w:val="en-AU"/>
        </w:rPr>
        <w:t>y/</w:t>
      </w:r>
      <w:r w:rsidR="00811F01" w:rsidRPr="00F63F22">
        <w:rPr>
          <w:rFonts w:asciiTheme="majorHAnsi" w:hAnsiTheme="majorHAnsi" w:cstheme="majorHAnsi"/>
          <w:b/>
          <w:lang w:val="en-AU"/>
        </w:rPr>
        <w:t>carers</w:t>
      </w:r>
      <w:r w:rsidRPr="00F63F22">
        <w:rPr>
          <w:rFonts w:asciiTheme="majorHAnsi" w:hAnsiTheme="majorHAnsi" w:cstheme="majorHAnsi"/>
          <w:b/>
          <w:lang w:val="en-AU"/>
        </w:rPr>
        <w:t xml:space="preserve">: </w:t>
      </w:r>
      <w:r w:rsidR="004756B3" w:rsidRPr="004756B3">
        <w:rPr>
          <w:lang w:val="en-AU"/>
        </w:rPr>
        <w:t xml:space="preserve">Many anecdotal stories were provided of </w:t>
      </w:r>
      <w:r w:rsidR="006616BC">
        <w:rPr>
          <w:lang w:val="en-AU"/>
        </w:rPr>
        <w:t>residents’</w:t>
      </w:r>
      <w:r w:rsidR="004756B3" w:rsidRPr="004756B3">
        <w:rPr>
          <w:lang w:val="en-AU"/>
        </w:rPr>
        <w:t xml:space="preserve"> </w:t>
      </w:r>
      <w:r w:rsidR="004756B3">
        <w:rPr>
          <w:lang w:val="en-AU"/>
        </w:rPr>
        <w:t xml:space="preserve">improved communication and </w:t>
      </w:r>
      <w:r w:rsidR="004756B3" w:rsidRPr="004756B3">
        <w:rPr>
          <w:lang w:val="en-AU"/>
        </w:rPr>
        <w:t>renewed social engagement with families</w:t>
      </w:r>
      <w:r w:rsidR="006C5608">
        <w:rPr>
          <w:lang w:val="en-AU"/>
        </w:rPr>
        <w:t>/</w:t>
      </w:r>
      <w:r w:rsidR="004756B3" w:rsidRPr="004756B3">
        <w:rPr>
          <w:lang w:val="en-AU"/>
        </w:rPr>
        <w:t xml:space="preserve">carers </w:t>
      </w:r>
      <w:r w:rsidR="004756B3">
        <w:rPr>
          <w:lang w:val="en-AU"/>
        </w:rPr>
        <w:t>as well as more</w:t>
      </w:r>
      <w:r w:rsidRPr="00244414">
        <w:rPr>
          <w:lang w:val="en-AU"/>
        </w:rPr>
        <w:t xml:space="preserve"> positive </w:t>
      </w:r>
      <w:r w:rsidR="004756B3">
        <w:rPr>
          <w:lang w:val="en-AU"/>
        </w:rPr>
        <w:t>interactions</w:t>
      </w:r>
      <w:r w:rsidRPr="00244414">
        <w:rPr>
          <w:lang w:val="en-AU"/>
        </w:rPr>
        <w:t xml:space="preserve"> with </w:t>
      </w:r>
      <w:r w:rsidR="0055646C">
        <w:rPr>
          <w:lang w:val="en-AU"/>
        </w:rPr>
        <w:t>care</w:t>
      </w:r>
      <w:r w:rsidRPr="00244414">
        <w:rPr>
          <w:lang w:val="en-AU"/>
        </w:rPr>
        <w:t xml:space="preserve"> staff</w:t>
      </w:r>
      <w:r w:rsidR="006C5608">
        <w:rPr>
          <w:lang w:val="en-AU"/>
        </w:rPr>
        <w:t xml:space="preserve"> and other residents</w:t>
      </w:r>
      <w:r w:rsidR="004756B3">
        <w:rPr>
          <w:lang w:val="en-AU"/>
        </w:rPr>
        <w:t>. Stakeholders agreed this has</w:t>
      </w:r>
      <w:r w:rsidRPr="00244414">
        <w:rPr>
          <w:lang w:val="en-AU"/>
        </w:rPr>
        <w:t xml:space="preserve"> </w:t>
      </w:r>
      <w:r w:rsidR="004756B3">
        <w:rPr>
          <w:lang w:val="en-AU"/>
        </w:rPr>
        <w:t>fostered</w:t>
      </w:r>
      <w:r w:rsidRPr="00244414">
        <w:rPr>
          <w:lang w:val="en-AU"/>
        </w:rPr>
        <w:t xml:space="preserve"> a </w:t>
      </w:r>
      <w:r w:rsidR="00587C82">
        <w:rPr>
          <w:lang w:val="en-AU"/>
        </w:rPr>
        <w:t>stronger</w:t>
      </w:r>
      <w:r w:rsidRPr="00244414">
        <w:rPr>
          <w:lang w:val="en-AU"/>
        </w:rPr>
        <w:t xml:space="preserve"> sense of belonging</w:t>
      </w:r>
      <w:r w:rsidR="0008620D">
        <w:rPr>
          <w:lang w:val="en-AU"/>
        </w:rPr>
        <w:t xml:space="preserve"> </w:t>
      </w:r>
      <w:r w:rsidRPr="00244414">
        <w:rPr>
          <w:lang w:val="en-AU"/>
        </w:rPr>
        <w:t xml:space="preserve">and human connection than </w:t>
      </w:r>
      <w:r w:rsidR="004756B3">
        <w:rPr>
          <w:lang w:val="en-AU"/>
        </w:rPr>
        <w:t>residents</w:t>
      </w:r>
      <w:r w:rsidRPr="00244414">
        <w:rPr>
          <w:lang w:val="en-AU"/>
        </w:rPr>
        <w:t xml:space="preserve"> experienced at previous facilities. </w:t>
      </w:r>
    </w:p>
    <w:p w14:paraId="22F714E2" w14:textId="11080D9B" w:rsidR="007C39A3" w:rsidRDefault="00253EDF" w:rsidP="00C063DC">
      <w:pPr>
        <w:pStyle w:val="ListParagraph"/>
        <w:numPr>
          <w:ilvl w:val="0"/>
          <w:numId w:val="22"/>
        </w:numPr>
        <w:ind w:left="284" w:hanging="284"/>
        <w:contextualSpacing w:val="0"/>
        <w:rPr>
          <w:lang w:val="en-AU"/>
        </w:rPr>
      </w:pPr>
      <w:r w:rsidRPr="00F63F22">
        <w:rPr>
          <w:rFonts w:asciiTheme="majorHAnsi" w:hAnsiTheme="majorHAnsi" w:cstheme="majorHAnsi"/>
          <w:b/>
          <w:lang w:val="en-AU"/>
        </w:rPr>
        <w:t xml:space="preserve">Improved personal hygiene: </w:t>
      </w:r>
      <w:r w:rsidR="0079401F">
        <w:rPr>
          <w:lang w:val="en-AU"/>
        </w:rPr>
        <w:t xml:space="preserve">Stakeholders reported </w:t>
      </w:r>
      <w:r w:rsidR="00E1081C">
        <w:rPr>
          <w:lang w:val="en-AU"/>
        </w:rPr>
        <w:t xml:space="preserve">personal care tasks can </w:t>
      </w:r>
      <w:r w:rsidR="0055646C">
        <w:rPr>
          <w:lang w:val="en-AU"/>
        </w:rPr>
        <w:t>be</w:t>
      </w:r>
      <w:r w:rsidR="00E1081C">
        <w:rPr>
          <w:lang w:val="en-AU"/>
        </w:rPr>
        <w:t xml:space="preserve"> easier in the SDCU, due to the </w:t>
      </w:r>
      <w:r w:rsidR="00D7359F">
        <w:rPr>
          <w:lang w:val="en-AU"/>
        </w:rPr>
        <w:t>more flexible approach to daily routines</w:t>
      </w:r>
      <w:r w:rsidR="00E1081C">
        <w:rPr>
          <w:lang w:val="en-AU"/>
        </w:rPr>
        <w:t xml:space="preserve">, more positive relationships with between residents and care staff, and reduced levels of aggression (discussed below). </w:t>
      </w:r>
      <w:r w:rsidR="00754C31">
        <w:rPr>
          <w:lang w:val="en-AU"/>
        </w:rPr>
        <w:t>They</w:t>
      </w:r>
      <w:r w:rsidR="00E1081C">
        <w:rPr>
          <w:lang w:val="en-AU"/>
        </w:rPr>
        <w:t xml:space="preserve"> provided examples </w:t>
      </w:r>
      <w:r w:rsidR="00D7359F">
        <w:rPr>
          <w:lang w:val="en-AU"/>
        </w:rPr>
        <w:t>of</w:t>
      </w:r>
      <w:r>
        <w:rPr>
          <w:lang w:val="en-AU"/>
        </w:rPr>
        <w:t xml:space="preserve"> residents</w:t>
      </w:r>
      <w:r w:rsidR="00754C31">
        <w:rPr>
          <w:lang w:val="en-AU"/>
        </w:rPr>
        <w:t xml:space="preserve"> who</w:t>
      </w:r>
      <w:r>
        <w:rPr>
          <w:lang w:val="en-AU"/>
        </w:rPr>
        <w:t xml:space="preserve"> </w:t>
      </w:r>
      <w:r w:rsidR="00B95EBE">
        <w:rPr>
          <w:lang w:val="en-AU"/>
        </w:rPr>
        <w:t xml:space="preserve">had not received regular and thorough personal care </w:t>
      </w:r>
      <w:r>
        <w:rPr>
          <w:lang w:val="en-AU"/>
        </w:rPr>
        <w:t>(e.g., shower, hair wash</w:t>
      </w:r>
      <w:r w:rsidR="00D7359F">
        <w:rPr>
          <w:lang w:val="en-AU"/>
        </w:rPr>
        <w:t xml:space="preserve"> or</w:t>
      </w:r>
      <w:r>
        <w:rPr>
          <w:lang w:val="en-AU"/>
        </w:rPr>
        <w:t xml:space="preserve"> shave) </w:t>
      </w:r>
      <w:r w:rsidR="000217E8">
        <w:rPr>
          <w:lang w:val="en-AU"/>
        </w:rPr>
        <w:t>in</w:t>
      </w:r>
      <w:r>
        <w:rPr>
          <w:lang w:val="en-AU"/>
        </w:rPr>
        <w:t xml:space="preserve"> </w:t>
      </w:r>
      <w:r w:rsidR="00B95EBE">
        <w:rPr>
          <w:lang w:val="en-AU"/>
        </w:rPr>
        <w:t xml:space="preserve">their previous care setting </w:t>
      </w:r>
      <w:r w:rsidR="0044591B">
        <w:rPr>
          <w:lang w:val="en-AU"/>
        </w:rPr>
        <w:t xml:space="preserve">due to high aggression and noted such residents often </w:t>
      </w:r>
      <w:r w:rsidR="00754C31">
        <w:rPr>
          <w:lang w:val="en-AU"/>
        </w:rPr>
        <w:t xml:space="preserve">displayed </w:t>
      </w:r>
      <w:r w:rsidR="007835C6">
        <w:rPr>
          <w:lang w:val="en-AU"/>
        </w:rPr>
        <w:t>improvements</w:t>
      </w:r>
      <w:r w:rsidR="00754C31">
        <w:rPr>
          <w:lang w:val="en-AU"/>
        </w:rPr>
        <w:t xml:space="preserve"> in appearance </w:t>
      </w:r>
      <w:r w:rsidR="00836AB5">
        <w:rPr>
          <w:lang w:val="en-AU"/>
        </w:rPr>
        <w:t>and personal comfort</w:t>
      </w:r>
      <w:r w:rsidR="002F738D">
        <w:rPr>
          <w:lang w:val="en-AU"/>
        </w:rPr>
        <w:t xml:space="preserve"> </w:t>
      </w:r>
      <w:r w:rsidR="00852F49">
        <w:rPr>
          <w:lang w:val="en-AU"/>
        </w:rPr>
        <w:t>after</w:t>
      </w:r>
      <w:r w:rsidR="002F738D">
        <w:rPr>
          <w:lang w:val="en-AU"/>
        </w:rPr>
        <w:t xml:space="preserve"> admission to the SDCU. </w:t>
      </w:r>
    </w:p>
    <w:p w14:paraId="02048E90" w14:textId="59583B0A" w:rsidR="007C39A3" w:rsidRPr="007C39A3" w:rsidRDefault="00CE0FFB" w:rsidP="00C063DC">
      <w:pPr>
        <w:pStyle w:val="ListParagraph"/>
        <w:numPr>
          <w:ilvl w:val="0"/>
          <w:numId w:val="22"/>
        </w:numPr>
        <w:ind w:left="284" w:hanging="284"/>
        <w:contextualSpacing w:val="0"/>
        <w:rPr>
          <w:lang w:val="en-AU"/>
        </w:rPr>
      </w:pPr>
      <w:r w:rsidRPr="00F63F22">
        <w:rPr>
          <w:rFonts w:asciiTheme="majorHAnsi" w:hAnsiTheme="majorHAnsi" w:cstheme="majorHAnsi"/>
          <w:b/>
          <w:lang w:val="en-AU"/>
        </w:rPr>
        <w:t xml:space="preserve">Higher autonomy and </w:t>
      </w:r>
      <w:r w:rsidR="00AD62C4" w:rsidRPr="00F63F22">
        <w:rPr>
          <w:rFonts w:asciiTheme="majorHAnsi" w:hAnsiTheme="majorHAnsi" w:cstheme="majorHAnsi"/>
          <w:b/>
          <w:lang w:val="en-AU"/>
        </w:rPr>
        <w:t>freedom</w:t>
      </w:r>
      <w:r w:rsidRPr="00F63F22">
        <w:rPr>
          <w:rFonts w:asciiTheme="majorHAnsi" w:hAnsiTheme="majorHAnsi" w:cstheme="majorHAnsi"/>
          <w:b/>
          <w:lang w:val="en-AU"/>
        </w:rPr>
        <w:t>:</w:t>
      </w:r>
      <w:r w:rsidRPr="00AD62C4">
        <w:rPr>
          <w:b/>
          <w:bCs/>
          <w:lang w:val="en-AU"/>
        </w:rPr>
        <w:t xml:space="preserve"> </w:t>
      </w:r>
      <w:r w:rsidR="004F7D26">
        <w:rPr>
          <w:lang w:val="en-AU"/>
        </w:rPr>
        <w:t xml:space="preserve">Stakeholders reported </w:t>
      </w:r>
      <w:r w:rsidR="00AD62C4">
        <w:rPr>
          <w:lang w:val="en-AU"/>
        </w:rPr>
        <w:t xml:space="preserve">residents </w:t>
      </w:r>
      <w:r w:rsidR="004F7D26">
        <w:rPr>
          <w:lang w:val="en-AU"/>
        </w:rPr>
        <w:t xml:space="preserve">are less restricted in the SDCU compared to mainstream care settings, with </w:t>
      </w:r>
      <w:r w:rsidR="007C39A3" w:rsidRPr="007C39A3">
        <w:rPr>
          <w:lang w:val="en-AU"/>
        </w:rPr>
        <w:t xml:space="preserve">more </w:t>
      </w:r>
      <w:r w:rsidR="003265F0" w:rsidRPr="007C39A3">
        <w:rPr>
          <w:lang w:val="en-AU"/>
        </w:rPr>
        <w:t>privacy from others</w:t>
      </w:r>
      <w:r w:rsidR="00D7359F">
        <w:rPr>
          <w:lang w:val="en-AU"/>
        </w:rPr>
        <w:t>, ability to set their own daily routine,</w:t>
      </w:r>
      <w:r w:rsidR="003265F0" w:rsidRPr="007C39A3">
        <w:rPr>
          <w:lang w:val="en-AU"/>
        </w:rPr>
        <w:t xml:space="preserve"> </w:t>
      </w:r>
      <w:r w:rsidR="003265F0">
        <w:rPr>
          <w:lang w:val="en-AU"/>
        </w:rPr>
        <w:t>and</w:t>
      </w:r>
      <w:r w:rsidR="003265F0" w:rsidRPr="007C39A3">
        <w:rPr>
          <w:lang w:val="en-AU"/>
        </w:rPr>
        <w:t xml:space="preserve"> </w:t>
      </w:r>
      <w:r w:rsidR="007C39A3" w:rsidRPr="007C39A3">
        <w:rPr>
          <w:lang w:val="en-AU"/>
        </w:rPr>
        <w:t>space to wander</w:t>
      </w:r>
      <w:r w:rsidR="00AD62C4">
        <w:rPr>
          <w:lang w:val="en-AU"/>
        </w:rPr>
        <w:t xml:space="preserve"> freely</w:t>
      </w:r>
      <w:r w:rsidR="007C39A3" w:rsidRPr="007C39A3">
        <w:rPr>
          <w:lang w:val="en-AU"/>
        </w:rPr>
        <w:t xml:space="preserve">. </w:t>
      </w:r>
      <w:r w:rsidR="00C62060" w:rsidRPr="007C39A3">
        <w:rPr>
          <w:lang w:val="en-AU"/>
        </w:rPr>
        <w:t>Th</w:t>
      </w:r>
      <w:r w:rsidR="00C62060">
        <w:rPr>
          <w:lang w:val="en-AU"/>
        </w:rPr>
        <w:t>is was attributed to the</w:t>
      </w:r>
      <w:r w:rsidR="00C62060" w:rsidRPr="007C39A3">
        <w:rPr>
          <w:lang w:val="en-AU"/>
        </w:rPr>
        <w:t xml:space="preserve"> </w:t>
      </w:r>
      <w:r w:rsidR="00C62060">
        <w:rPr>
          <w:lang w:val="en-AU"/>
        </w:rPr>
        <w:t xml:space="preserve">restraint-free </w:t>
      </w:r>
      <w:r w:rsidR="000217E8">
        <w:rPr>
          <w:lang w:val="en-AU"/>
        </w:rPr>
        <w:t>model</w:t>
      </w:r>
      <w:r w:rsidR="00C62060">
        <w:rPr>
          <w:lang w:val="en-AU"/>
        </w:rPr>
        <w:t xml:space="preserve"> of </w:t>
      </w:r>
      <w:r w:rsidR="000217E8">
        <w:rPr>
          <w:lang w:val="en-AU"/>
        </w:rPr>
        <w:t>care</w:t>
      </w:r>
      <w:r w:rsidR="00C62060">
        <w:rPr>
          <w:lang w:val="en-AU"/>
        </w:rPr>
        <w:t xml:space="preserve"> as well as the </w:t>
      </w:r>
      <w:r w:rsidR="00C62060" w:rsidRPr="007C39A3">
        <w:rPr>
          <w:lang w:val="en-AU"/>
        </w:rPr>
        <w:t>spacious and less clinical unit des</w:t>
      </w:r>
      <w:r w:rsidR="00751BCD">
        <w:rPr>
          <w:lang w:val="en-AU"/>
        </w:rPr>
        <w:t>ign</w:t>
      </w:r>
      <w:r w:rsidR="00C62060">
        <w:rPr>
          <w:lang w:val="en-AU"/>
        </w:rPr>
        <w:t>.</w:t>
      </w:r>
    </w:p>
    <w:p w14:paraId="267211BC" w14:textId="5E966684" w:rsidR="00253EDF" w:rsidRPr="00EA5F01" w:rsidRDefault="00253EDF" w:rsidP="00C063DC">
      <w:pPr>
        <w:pStyle w:val="ListParagraph"/>
        <w:numPr>
          <w:ilvl w:val="0"/>
          <w:numId w:val="22"/>
        </w:numPr>
        <w:ind w:left="284" w:hanging="284"/>
        <w:contextualSpacing w:val="0"/>
        <w:rPr>
          <w:b/>
          <w:bCs/>
          <w:lang w:val="en-AU"/>
        </w:rPr>
      </w:pPr>
      <w:r w:rsidRPr="00F63F22">
        <w:rPr>
          <w:rFonts w:asciiTheme="majorHAnsi" w:hAnsiTheme="majorHAnsi" w:cstheme="majorHAnsi"/>
          <w:b/>
          <w:lang w:val="en-AU"/>
        </w:rPr>
        <w:t xml:space="preserve">Decreased desire to </w:t>
      </w:r>
      <w:r w:rsidR="001717FC" w:rsidRPr="00F63F22">
        <w:rPr>
          <w:rFonts w:asciiTheme="majorHAnsi" w:hAnsiTheme="majorHAnsi" w:cstheme="majorHAnsi"/>
          <w:b/>
          <w:lang w:val="en-AU"/>
        </w:rPr>
        <w:t>leave</w:t>
      </w:r>
      <w:r w:rsidRPr="00F63F22">
        <w:rPr>
          <w:rFonts w:asciiTheme="majorHAnsi" w:hAnsiTheme="majorHAnsi" w:cstheme="majorHAnsi"/>
          <w:b/>
          <w:lang w:val="en-AU"/>
        </w:rPr>
        <w:t>:</w:t>
      </w:r>
      <w:r>
        <w:rPr>
          <w:lang w:val="en-AU"/>
        </w:rPr>
        <w:t xml:space="preserve"> Family members believed their loved one felt more at home in the SDCU compared to their previous care setting, as they no longer vocalised a need to leave the </w:t>
      </w:r>
      <w:r w:rsidR="00AC100F">
        <w:rPr>
          <w:lang w:val="en-AU"/>
        </w:rPr>
        <w:t>SDCU</w:t>
      </w:r>
      <w:r w:rsidR="00502B03">
        <w:rPr>
          <w:lang w:val="en-AU"/>
        </w:rPr>
        <w:t xml:space="preserve"> and ‘return home’</w:t>
      </w:r>
      <w:r>
        <w:rPr>
          <w:lang w:val="en-AU"/>
        </w:rPr>
        <w:t xml:space="preserve">. Program staff also </w:t>
      </w:r>
      <w:r w:rsidR="00502B03">
        <w:rPr>
          <w:lang w:val="en-AU"/>
        </w:rPr>
        <w:t>agreed</w:t>
      </w:r>
      <w:r>
        <w:rPr>
          <w:lang w:val="en-AU"/>
        </w:rPr>
        <w:t xml:space="preserve"> that SDCU residents </w:t>
      </w:r>
      <w:r w:rsidR="00385AB3">
        <w:rPr>
          <w:lang w:val="en-AU"/>
        </w:rPr>
        <w:t>rarely made</w:t>
      </w:r>
      <w:r>
        <w:rPr>
          <w:lang w:val="en-AU"/>
        </w:rPr>
        <w:t xml:space="preserve"> attempts to </w:t>
      </w:r>
      <w:r w:rsidR="00751BCD">
        <w:rPr>
          <w:lang w:val="en-AU"/>
        </w:rPr>
        <w:t>leave</w:t>
      </w:r>
      <w:r>
        <w:rPr>
          <w:lang w:val="en-AU"/>
        </w:rPr>
        <w:t xml:space="preserve"> the unit, which they </w:t>
      </w:r>
      <w:r w:rsidR="00643F34">
        <w:rPr>
          <w:lang w:val="en-AU"/>
        </w:rPr>
        <w:t>noted can be</w:t>
      </w:r>
      <w:r>
        <w:rPr>
          <w:lang w:val="en-AU"/>
        </w:rPr>
        <w:t xml:space="preserve"> common </w:t>
      </w:r>
      <w:r w:rsidR="006D52FE">
        <w:rPr>
          <w:lang w:val="en-AU"/>
        </w:rPr>
        <w:t xml:space="preserve">among </w:t>
      </w:r>
      <w:r w:rsidR="00D7359F">
        <w:rPr>
          <w:lang w:val="en-AU"/>
        </w:rPr>
        <w:t xml:space="preserve">people with dementia </w:t>
      </w:r>
      <w:r>
        <w:rPr>
          <w:lang w:val="en-AU"/>
        </w:rPr>
        <w:t xml:space="preserve">in mainstream settings. </w:t>
      </w:r>
    </w:p>
    <w:p w14:paraId="21C191F5" w14:textId="25281290" w:rsidR="00D5774A" w:rsidRDefault="00EA5F01" w:rsidP="00C063DC">
      <w:pPr>
        <w:pStyle w:val="ListParagraph"/>
        <w:numPr>
          <w:ilvl w:val="0"/>
          <w:numId w:val="22"/>
        </w:numPr>
        <w:ind w:left="284" w:hanging="284"/>
        <w:contextualSpacing w:val="0"/>
        <w:rPr>
          <w:lang w:val="en-AU"/>
        </w:rPr>
      </w:pPr>
      <w:r w:rsidRPr="00F63F22">
        <w:rPr>
          <w:rFonts w:asciiTheme="majorHAnsi" w:hAnsiTheme="majorHAnsi" w:cstheme="majorHAnsi"/>
          <w:b/>
          <w:lang w:val="en-AU"/>
        </w:rPr>
        <w:t>I</w:t>
      </w:r>
      <w:r w:rsidR="00811F01" w:rsidRPr="00F63F22">
        <w:rPr>
          <w:rFonts w:asciiTheme="majorHAnsi" w:hAnsiTheme="majorHAnsi" w:cstheme="majorHAnsi"/>
          <w:b/>
          <w:lang w:val="en-AU"/>
        </w:rPr>
        <w:t xml:space="preserve">ncreased </w:t>
      </w:r>
      <w:r w:rsidR="00D5774A" w:rsidRPr="00F63F22">
        <w:rPr>
          <w:rFonts w:asciiTheme="majorHAnsi" w:hAnsiTheme="majorHAnsi" w:cstheme="majorHAnsi"/>
          <w:b/>
          <w:lang w:val="en-AU"/>
        </w:rPr>
        <w:t xml:space="preserve">engagement in </w:t>
      </w:r>
      <w:r w:rsidR="00811F01" w:rsidRPr="00F63F22">
        <w:rPr>
          <w:rFonts w:asciiTheme="majorHAnsi" w:hAnsiTheme="majorHAnsi" w:cstheme="majorHAnsi"/>
          <w:b/>
          <w:lang w:val="en-AU"/>
        </w:rPr>
        <w:t xml:space="preserve">daily tasks and </w:t>
      </w:r>
      <w:r w:rsidR="00D5774A" w:rsidRPr="00F63F22">
        <w:rPr>
          <w:rFonts w:asciiTheme="majorHAnsi" w:hAnsiTheme="majorHAnsi" w:cstheme="majorHAnsi"/>
          <w:b/>
          <w:lang w:val="en-AU"/>
        </w:rPr>
        <w:t>activitie</w:t>
      </w:r>
      <w:r w:rsidR="00811F01" w:rsidRPr="00F63F22">
        <w:rPr>
          <w:rFonts w:asciiTheme="majorHAnsi" w:hAnsiTheme="majorHAnsi" w:cstheme="majorHAnsi"/>
          <w:b/>
          <w:lang w:val="en-AU"/>
        </w:rPr>
        <w:t>s</w:t>
      </w:r>
      <w:r w:rsidRPr="00F63F22">
        <w:rPr>
          <w:rFonts w:asciiTheme="majorHAnsi" w:hAnsiTheme="majorHAnsi" w:cstheme="majorHAnsi"/>
          <w:b/>
          <w:lang w:val="en-AU"/>
        </w:rPr>
        <w:t>:</w:t>
      </w:r>
      <w:r w:rsidRPr="00EA5F01">
        <w:rPr>
          <w:b/>
          <w:bCs/>
          <w:lang w:val="en-AU"/>
        </w:rPr>
        <w:t xml:space="preserve"> </w:t>
      </w:r>
      <w:r w:rsidR="00852F49">
        <w:rPr>
          <w:lang w:val="en-AU"/>
        </w:rPr>
        <w:t>Stakeholders observed</w:t>
      </w:r>
      <w:r w:rsidR="004E2C9E" w:rsidRPr="004E2C9E">
        <w:rPr>
          <w:lang w:val="en-AU"/>
        </w:rPr>
        <w:t xml:space="preserve"> higher </w:t>
      </w:r>
      <w:r w:rsidR="00CF43C3">
        <w:rPr>
          <w:lang w:val="en-AU"/>
        </w:rPr>
        <w:t>participation</w:t>
      </w:r>
      <w:r w:rsidR="004E2C9E" w:rsidRPr="004E2C9E">
        <w:rPr>
          <w:lang w:val="en-AU"/>
        </w:rPr>
        <w:t xml:space="preserve"> in daily cleaning</w:t>
      </w:r>
      <w:r w:rsidR="00CF43C3">
        <w:rPr>
          <w:lang w:val="en-AU"/>
        </w:rPr>
        <w:t xml:space="preserve"> and personal care tasks, as well as engagement in enrichment activities (</w:t>
      </w:r>
      <w:r w:rsidR="00F40AAD">
        <w:rPr>
          <w:lang w:val="en-AU"/>
        </w:rPr>
        <w:t>e.g.,</w:t>
      </w:r>
      <w:r w:rsidR="00CF43C3">
        <w:rPr>
          <w:lang w:val="en-AU"/>
        </w:rPr>
        <w:t xml:space="preserve"> </w:t>
      </w:r>
      <w:r w:rsidR="004E2C9E" w:rsidRPr="004E2C9E">
        <w:rPr>
          <w:lang w:val="en-AU"/>
        </w:rPr>
        <w:t>craft</w:t>
      </w:r>
      <w:r w:rsidR="00CF43C3">
        <w:rPr>
          <w:lang w:val="en-AU"/>
        </w:rPr>
        <w:t xml:space="preserve">, </w:t>
      </w:r>
      <w:r w:rsidR="009465B4">
        <w:rPr>
          <w:lang w:val="en-AU"/>
        </w:rPr>
        <w:t>movies</w:t>
      </w:r>
      <w:r w:rsidR="00CF43C3">
        <w:rPr>
          <w:lang w:val="en-AU"/>
        </w:rPr>
        <w:t xml:space="preserve"> or </w:t>
      </w:r>
      <w:r w:rsidR="004E2C9E" w:rsidRPr="004E2C9E">
        <w:rPr>
          <w:lang w:val="en-AU"/>
        </w:rPr>
        <w:t>listening to music</w:t>
      </w:r>
      <w:r w:rsidR="00CF43C3">
        <w:rPr>
          <w:lang w:val="en-AU"/>
        </w:rPr>
        <w:t>)</w:t>
      </w:r>
      <w:r w:rsidR="00D7359F">
        <w:rPr>
          <w:lang w:val="en-AU"/>
        </w:rPr>
        <w:t xml:space="preserve"> compared to their previous care setting</w:t>
      </w:r>
      <w:r w:rsidR="00852F49">
        <w:rPr>
          <w:lang w:val="en-AU"/>
        </w:rPr>
        <w:t xml:space="preserve"> (discussed in</w:t>
      </w:r>
      <w:r w:rsidR="007D35AE">
        <w:rPr>
          <w:lang w:val="en-AU"/>
        </w:rPr>
        <w:t xml:space="preserve"> Section </w:t>
      </w:r>
      <w:r w:rsidR="007D35AE">
        <w:rPr>
          <w:lang w:val="en-AU"/>
        </w:rPr>
        <w:fldChar w:fldCharType="begin"/>
      </w:r>
      <w:r w:rsidR="007D35AE">
        <w:rPr>
          <w:lang w:val="en-AU"/>
        </w:rPr>
        <w:instrText xml:space="preserve"> REF _Ref122254502 \n \h </w:instrText>
      </w:r>
      <w:r w:rsidR="007D35AE">
        <w:rPr>
          <w:lang w:val="en-AU"/>
        </w:rPr>
      </w:r>
      <w:r w:rsidR="007D35AE">
        <w:rPr>
          <w:lang w:val="en-AU"/>
        </w:rPr>
        <w:fldChar w:fldCharType="separate"/>
      </w:r>
      <w:r w:rsidR="00D32536">
        <w:rPr>
          <w:lang w:val="en-AU"/>
        </w:rPr>
        <w:t>3.2</w:t>
      </w:r>
      <w:r w:rsidR="007D35AE">
        <w:rPr>
          <w:lang w:val="en-AU"/>
        </w:rPr>
        <w:fldChar w:fldCharType="end"/>
      </w:r>
      <w:r w:rsidR="00852F49">
        <w:rPr>
          <w:lang w:val="en-AU"/>
        </w:rPr>
        <w:t>).</w:t>
      </w:r>
    </w:p>
    <w:p w14:paraId="3ECF3367" w14:textId="568B63DD" w:rsidR="007F4E48" w:rsidRDefault="007F4E48" w:rsidP="007F4E48">
      <w:pPr>
        <w:rPr>
          <w:lang w:val="en-AU"/>
        </w:rPr>
      </w:pPr>
      <w:r>
        <w:rPr>
          <w:lang w:val="en-AU"/>
        </w:rPr>
        <w:t xml:space="preserve">Consistent with the </w:t>
      </w:r>
      <w:r w:rsidRPr="003150DA">
        <w:rPr>
          <w:rFonts w:asciiTheme="majorHAnsi" w:hAnsiTheme="majorHAnsi" w:cstheme="majorHAnsi"/>
          <w:b/>
          <w:lang w:val="en-AU"/>
        </w:rPr>
        <w:t>Interim Report (2021)</w:t>
      </w:r>
      <w:r>
        <w:rPr>
          <w:lang w:val="en-AU"/>
        </w:rPr>
        <w:t xml:space="preserve">, </w:t>
      </w:r>
      <w:r w:rsidR="00A50E5A">
        <w:rPr>
          <w:lang w:val="en-AU"/>
        </w:rPr>
        <w:t xml:space="preserve">the significant impact on residents’ </w:t>
      </w:r>
      <w:r>
        <w:rPr>
          <w:lang w:val="en-AU"/>
        </w:rPr>
        <w:t xml:space="preserve">quality of life </w:t>
      </w:r>
      <w:r w:rsidR="00A50E5A">
        <w:rPr>
          <w:lang w:val="en-AU"/>
        </w:rPr>
        <w:t>was identified as a major benefit of the Program among family/carers and Program staff</w:t>
      </w:r>
      <w:r w:rsidR="006A1D3C">
        <w:rPr>
          <w:lang w:val="en-AU"/>
        </w:rPr>
        <w:t xml:space="preserve"> and was </w:t>
      </w:r>
      <w:r w:rsidR="00666579">
        <w:rPr>
          <w:lang w:val="en-AU"/>
        </w:rPr>
        <w:t xml:space="preserve">a primary reason </w:t>
      </w:r>
      <w:r w:rsidR="001717F9">
        <w:rPr>
          <w:lang w:val="en-AU"/>
        </w:rPr>
        <w:t>for</w:t>
      </w:r>
      <w:r w:rsidR="00017A95">
        <w:rPr>
          <w:lang w:val="en-AU"/>
        </w:rPr>
        <w:t xml:space="preserve"> </w:t>
      </w:r>
      <w:r>
        <w:rPr>
          <w:lang w:val="en-AU"/>
        </w:rPr>
        <w:t>famil</w:t>
      </w:r>
      <w:r w:rsidR="005C3915">
        <w:rPr>
          <w:lang w:val="en-AU"/>
        </w:rPr>
        <w:t>y/</w:t>
      </w:r>
      <w:r>
        <w:rPr>
          <w:lang w:val="en-AU"/>
        </w:rPr>
        <w:t>carers</w:t>
      </w:r>
      <w:r w:rsidR="001717F9">
        <w:rPr>
          <w:lang w:val="en-AU"/>
        </w:rPr>
        <w:t>’</w:t>
      </w:r>
      <w:r>
        <w:rPr>
          <w:lang w:val="en-AU"/>
        </w:rPr>
        <w:t xml:space="preserve"> </w:t>
      </w:r>
      <w:r w:rsidR="001717F9">
        <w:rPr>
          <w:lang w:val="en-AU"/>
        </w:rPr>
        <w:t>high satisfaction</w:t>
      </w:r>
      <w:r>
        <w:rPr>
          <w:lang w:val="en-AU"/>
        </w:rPr>
        <w:t xml:space="preserve"> with the </w:t>
      </w:r>
      <w:r w:rsidR="003B1727">
        <w:rPr>
          <w:lang w:val="en-AU"/>
        </w:rPr>
        <w:t>Program</w:t>
      </w:r>
      <w:r>
        <w:rPr>
          <w:lang w:val="en-AU"/>
        </w:rPr>
        <w:t>.</w:t>
      </w:r>
    </w:p>
    <w:p w14:paraId="31FAC6DE" w14:textId="7F88046D" w:rsidR="004E3FB7" w:rsidRPr="00505358" w:rsidRDefault="000217E8" w:rsidP="00505358">
      <w:pPr>
        <w:pStyle w:val="Caption"/>
      </w:pPr>
      <w:bookmarkStart w:id="67" w:name="_Hlk122618230"/>
      <w:r>
        <w:t>Figure</w:t>
      </w:r>
      <w:r w:rsidR="004E3FB7" w:rsidRPr="00505358">
        <w:t xml:space="preserve"> </w:t>
      </w:r>
      <w:r w:rsidR="00990867" w:rsidRPr="00505358">
        <w:fldChar w:fldCharType="begin"/>
      </w:r>
      <w:r w:rsidR="00990867" w:rsidRPr="00505358">
        <w:instrText xml:space="preserve"> STYLEREF 1 \s </w:instrText>
      </w:r>
      <w:r w:rsidR="00990867" w:rsidRPr="00505358">
        <w:fldChar w:fldCharType="separate"/>
      </w:r>
      <w:r w:rsidR="00D32536">
        <w:rPr>
          <w:noProof/>
        </w:rPr>
        <w:t>5</w:t>
      </w:r>
      <w:r w:rsidR="00990867" w:rsidRPr="00505358">
        <w:fldChar w:fldCharType="end"/>
      </w:r>
      <w:r w:rsidR="00990867" w:rsidRPr="00505358">
        <w:t>.</w:t>
      </w:r>
      <w:r w:rsidR="008875A8">
        <w:fldChar w:fldCharType="begin"/>
      </w:r>
      <w:r w:rsidR="008875A8">
        <w:instrText xml:space="preserve"> SEQ Figure \* ARABIC \s 1 </w:instrText>
      </w:r>
      <w:r w:rsidR="008875A8">
        <w:fldChar w:fldCharType="separate"/>
      </w:r>
      <w:r w:rsidR="00D32536">
        <w:rPr>
          <w:noProof/>
        </w:rPr>
        <w:t>2</w:t>
      </w:r>
      <w:r w:rsidR="008875A8">
        <w:fldChar w:fldCharType="end"/>
      </w:r>
      <w:r w:rsidR="004E3FB7" w:rsidRPr="00505358">
        <w:t xml:space="preserve"> Quotes representing dominant qualitative themes from consultations and the </w:t>
      </w:r>
      <w:r w:rsidR="003B1727">
        <w:t>Program</w:t>
      </w:r>
      <w:r w:rsidR="003B1727" w:rsidRPr="00505358">
        <w:t xml:space="preserve"> </w:t>
      </w:r>
      <w:r w:rsidR="004E3FB7" w:rsidRPr="00505358">
        <w:t>staff survey related to quality of life among Program residents.</w:t>
      </w:r>
      <w:bookmarkEnd w:id="67"/>
      <w:r w:rsidR="001D20C8" w:rsidRPr="00505358">
        <w:t xml:space="preserve"> </w:t>
      </w:r>
      <w:r w:rsidR="004E3FB7" w:rsidRPr="00505358">
        <w:t xml:space="preserve"> </w:t>
      </w:r>
    </w:p>
    <w:p w14:paraId="0350A335" w14:textId="58CE6876" w:rsidR="00814DFF" w:rsidRDefault="00A37F12" w:rsidP="00C146D8">
      <w:pPr>
        <w:spacing w:after="0"/>
        <w:rPr>
          <w:color w:val="007CB0" w:themeColor="accent6"/>
          <w:lang w:val="en-AU"/>
        </w:rPr>
      </w:pPr>
      <w:r w:rsidRPr="00A37F12">
        <w:rPr>
          <w:noProof/>
        </w:rPr>
        <w:drawing>
          <wp:inline distT="0" distB="0" distL="0" distR="0" wp14:anchorId="077E1733" wp14:editId="0350D235">
            <wp:extent cx="6319520" cy="2912110"/>
            <wp:effectExtent l="0" t="0" r="5080" b="2540"/>
            <wp:docPr id="29" name="Picture 29" descr="This image is a range of quotes from stakeholder consultation in relation to quality of life among Program resi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mage is a range of quotes from stakeholder consultation in relation to quality of life among Program resident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19520" cy="2912110"/>
                    </a:xfrm>
                    <a:prstGeom prst="rect">
                      <a:avLst/>
                    </a:prstGeom>
                    <a:noFill/>
                    <a:ln>
                      <a:noFill/>
                    </a:ln>
                  </pic:spPr>
                </pic:pic>
              </a:graphicData>
            </a:graphic>
          </wp:inline>
        </w:drawing>
      </w:r>
    </w:p>
    <w:p w14:paraId="461EF721" w14:textId="5E8FA457" w:rsidR="00CC528B" w:rsidRDefault="00CC528B" w:rsidP="00CC528B">
      <w:pPr>
        <w:rPr>
          <w:color w:val="53565A" w:themeColor="background2"/>
          <w:sz w:val="16"/>
          <w:szCs w:val="18"/>
        </w:rPr>
      </w:pPr>
      <w:r w:rsidRPr="009847EB">
        <w:rPr>
          <w:color w:val="53565A" w:themeColor="background2"/>
          <w:sz w:val="16"/>
          <w:szCs w:val="18"/>
        </w:rPr>
        <w:t>Source: Deloitte Access Economics analysis of stakeholder consultation</w:t>
      </w:r>
      <w:r w:rsidR="00DA7F6D">
        <w:rPr>
          <w:color w:val="53565A" w:themeColor="background2"/>
          <w:sz w:val="16"/>
          <w:szCs w:val="18"/>
        </w:rPr>
        <w:t>s</w:t>
      </w:r>
      <w:r w:rsidRPr="009847EB">
        <w:rPr>
          <w:color w:val="53565A" w:themeColor="background2"/>
          <w:sz w:val="16"/>
          <w:szCs w:val="18"/>
        </w:rPr>
        <w:t>, 2022</w:t>
      </w:r>
    </w:p>
    <w:p w14:paraId="176F02CE" w14:textId="0A6DB8FB" w:rsidR="00F44DB7" w:rsidRPr="00576A49" w:rsidRDefault="00F44DB7" w:rsidP="00F44DB7">
      <w:pPr>
        <w:pStyle w:val="Heading3"/>
        <w:spacing w:after="0"/>
        <w:rPr>
          <w:lang w:val="en-AU"/>
        </w:rPr>
      </w:pPr>
      <w:bookmarkStart w:id="68" w:name="_Ref124752172"/>
      <w:r>
        <w:rPr>
          <w:lang w:val="en-AU"/>
        </w:rPr>
        <w:t xml:space="preserve">Settled BPSD </w:t>
      </w:r>
      <w:bookmarkEnd w:id="68"/>
    </w:p>
    <w:p w14:paraId="35A51107" w14:textId="187642E5" w:rsidR="00AD3B5B" w:rsidRPr="00877034" w:rsidRDefault="00B168C5" w:rsidP="00F4373B">
      <w:pPr>
        <w:rPr>
          <w:b/>
        </w:rPr>
      </w:pPr>
      <w:r>
        <w:rPr>
          <w:rFonts w:asciiTheme="majorHAnsi" w:hAnsiTheme="majorHAnsi" w:cstheme="majorHAnsi"/>
          <w:b/>
          <w:bCs/>
          <w:color w:val="012169"/>
          <w:lang w:val="en-AU"/>
        </w:rPr>
        <w:t>There was b</w:t>
      </w:r>
      <w:r w:rsidR="00857F41" w:rsidRPr="00F4373B">
        <w:rPr>
          <w:rFonts w:asciiTheme="majorHAnsi" w:hAnsiTheme="majorHAnsi" w:cstheme="majorHAnsi"/>
          <w:b/>
          <w:bCs/>
          <w:color w:val="012169"/>
          <w:lang w:val="en-AU"/>
        </w:rPr>
        <w:t>road</w:t>
      </w:r>
      <w:r w:rsidR="00857F41" w:rsidRPr="00F4373B">
        <w:rPr>
          <w:rFonts w:asciiTheme="majorHAnsi" w:hAnsiTheme="majorHAnsi" w:cstheme="majorHAnsi"/>
          <w:b/>
          <w:color w:val="012169"/>
          <w:lang w:val="en-AU"/>
        </w:rPr>
        <w:t xml:space="preserve"> consensus across </w:t>
      </w:r>
      <w:r w:rsidR="00A723FF" w:rsidRPr="00F4373B">
        <w:rPr>
          <w:rFonts w:asciiTheme="majorHAnsi" w:hAnsiTheme="majorHAnsi" w:cstheme="majorHAnsi"/>
          <w:b/>
          <w:color w:val="012169"/>
          <w:lang w:val="en-AU"/>
        </w:rPr>
        <w:t xml:space="preserve">all </w:t>
      </w:r>
      <w:r w:rsidR="00857F41" w:rsidRPr="00F4373B">
        <w:rPr>
          <w:rFonts w:asciiTheme="majorHAnsi" w:hAnsiTheme="majorHAnsi" w:cstheme="majorHAnsi"/>
          <w:b/>
          <w:color w:val="012169"/>
          <w:lang w:val="en-AU"/>
        </w:rPr>
        <w:t>stakeholder</w:t>
      </w:r>
      <w:r w:rsidR="00A723FF" w:rsidRPr="00F4373B">
        <w:rPr>
          <w:rFonts w:asciiTheme="majorHAnsi" w:hAnsiTheme="majorHAnsi" w:cstheme="majorHAnsi"/>
          <w:b/>
          <w:color w:val="012169"/>
          <w:lang w:val="en-AU"/>
        </w:rPr>
        <w:t xml:space="preserve"> groups</w:t>
      </w:r>
      <w:r w:rsidR="008B1789" w:rsidRPr="00F4373B">
        <w:rPr>
          <w:rFonts w:asciiTheme="majorHAnsi" w:hAnsiTheme="majorHAnsi" w:cstheme="majorHAnsi"/>
          <w:b/>
          <w:color w:val="012169"/>
          <w:lang w:val="en-AU"/>
        </w:rPr>
        <w:t xml:space="preserve"> </w:t>
      </w:r>
      <w:r w:rsidR="00857F41" w:rsidRPr="00F4373B">
        <w:rPr>
          <w:rFonts w:asciiTheme="majorHAnsi" w:hAnsiTheme="majorHAnsi" w:cstheme="majorHAnsi"/>
          <w:b/>
          <w:color w:val="012169"/>
          <w:lang w:val="en-AU"/>
        </w:rPr>
        <w:t xml:space="preserve">that the </w:t>
      </w:r>
      <w:r w:rsidR="00F4373B" w:rsidRPr="00F4373B">
        <w:rPr>
          <w:rFonts w:asciiTheme="majorHAnsi" w:hAnsiTheme="majorHAnsi" w:cstheme="majorHAnsi"/>
          <w:b/>
          <w:bCs/>
          <w:color w:val="012169"/>
          <w:lang w:val="en-AU"/>
        </w:rPr>
        <w:t>Program</w:t>
      </w:r>
      <w:r w:rsidR="00857F41" w:rsidRPr="00F4373B">
        <w:rPr>
          <w:rFonts w:asciiTheme="majorHAnsi" w:hAnsiTheme="majorHAnsi" w:cstheme="majorHAnsi"/>
          <w:b/>
          <w:color w:val="012169"/>
          <w:lang w:val="en-AU"/>
        </w:rPr>
        <w:t xml:space="preserve"> is highly effective in achieving its goal of managing </w:t>
      </w:r>
      <w:r w:rsidR="00F32E27">
        <w:rPr>
          <w:rFonts w:asciiTheme="majorHAnsi" w:hAnsiTheme="majorHAnsi" w:cstheme="majorHAnsi"/>
          <w:b/>
          <w:color w:val="012169"/>
          <w:lang w:val="en-AU"/>
        </w:rPr>
        <w:t xml:space="preserve">very severe </w:t>
      </w:r>
      <w:r w:rsidR="00857F41" w:rsidRPr="00F4373B">
        <w:rPr>
          <w:rFonts w:asciiTheme="majorHAnsi" w:hAnsiTheme="majorHAnsi" w:cstheme="majorHAnsi"/>
          <w:b/>
          <w:color w:val="012169"/>
          <w:lang w:val="en-AU"/>
        </w:rPr>
        <w:t>BPSD</w:t>
      </w:r>
      <w:r w:rsidR="00A723FF" w:rsidRPr="00F4373B">
        <w:rPr>
          <w:rFonts w:asciiTheme="majorHAnsi" w:hAnsiTheme="majorHAnsi" w:cstheme="majorHAnsi"/>
          <w:b/>
          <w:color w:val="012169"/>
          <w:lang w:val="en-AU"/>
        </w:rPr>
        <w:t xml:space="preserve">. This is evidenced by the number of successful transitions </w:t>
      </w:r>
      <w:r w:rsidR="00F3039A">
        <w:rPr>
          <w:rFonts w:asciiTheme="majorHAnsi" w:hAnsiTheme="majorHAnsi" w:cstheme="majorHAnsi"/>
          <w:b/>
          <w:color w:val="012169"/>
          <w:lang w:val="en-AU"/>
        </w:rPr>
        <w:t>to less intensive care settings</w:t>
      </w:r>
      <w:r w:rsidR="009C1DAA">
        <w:rPr>
          <w:rFonts w:asciiTheme="majorHAnsi" w:hAnsiTheme="majorHAnsi" w:cstheme="majorHAnsi"/>
          <w:b/>
          <w:color w:val="012169"/>
          <w:lang w:val="en-AU"/>
        </w:rPr>
        <w:t xml:space="preserve"> and</w:t>
      </w:r>
      <w:r w:rsidR="007C3593" w:rsidRPr="00F4373B">
        <w:rPr>
          <w:rFonts w:asciiTheme="majorHAnsi" w:hAnsiTheme="majorHAnsi" w:cstheme="majorHAnsi"/>
          <w:b/>
          <w:color w:val="012169"/>
          <w:lang w:val="en-AU"/>
        </w:rPr>
        <w:t xml:space="preserve"> </w:t>
      </w:r>
      <w:r w:rsidR="00B45A2F">
        <w:rPr>
          <w:rFonts w:asciiTheme="majorHAnsi" w:hAnsiTheme="majorHAnsi" w:cstheme="majorHAnsi"/>
          <w:b/>
          <w:bCs/>
          <w:color w:val="012169"/>
          <w:lang w:val="en-AU"/>
        </w:rPr>
        <w:t xml:space="preserve">observed </w:t>
      </w:r>
      <w:r w:rsidR="00B45A2F" w:rsidRPr="00F4373B">
        <w:rPr>
          <w:rFonts w:asciiTheme="majorHAnsi" w:hAnsiTheme="majorHAnsi" w:cstheme="majorHAnsi"/>
          <w:b/>
          <w:bCs/>
          <w:color w:val="012169"/>
          <w:lang w:val="en-AU"/>
        </w:rPr>
        <w:t>reduction in behaviour</w:t>
      </w:r>
      <w:r w:rsidR="00A15D4F">
        <w:rPr>
          <w:rFonts w:asciiTheme="majorHAnsi" w:hAnsiTheme="majorHAnsi" w:cstheme="majorHAnsi"/>
          <w:b/>
          <w:bCs/>
          <w:color w:val="012169"/>
          <w:lang w:val="en-AU"/>
        </w:rPr>
        <w:t xml:space="preserve">al </w:t>
      </w:r>
      <w:r w:rsidR="00722200">
        <w:rPr>
          <w:rFonts w:asciiTheme="majorHAnsi" w:hAnsiTheme="majorHAnsi" w:cstheme="majorHAnsi"/>
          <w:b/>
          <w:bCs/>
          <w:color w:val="012169"/>
          <w:lang w:val="en-AU"/>
        </w:rPr>
        <w:t>incidents</w:t>
      </w:r>
      <w:r w:rsidR="001B7B06">
        <w:t>.</w:t>
      </w:r>
    </w:p>
    <w:p w14:paraId="5FF3C7DF" w14:textId="45E9EEA3" w:rsidR="008C0355" w:rsidRDefault="00ED283E" w:rsidP="00CC1C23">
      <w:pPr>
        <w:rPr>
          <w:lang w:val="en-AU"/>
        </w:rPr>
      </w:pPr>
      <w:r w:rsidRPr="00CF69F1">
        <w:rPr>
          <w:lang w:val="en-AU"/>
        </w:rPr>
        <w:t>The majority of</w:t>
      </w:r>
      <w:r w:rsidR="00A33450" w:rsidRPr="00CF69F1">
        <w:rPr>
          <w:lang w:val="en-AU"/>
        </w:rPr>
        <w:t xml:space="preserve"> stakeholders </w:t>
      </w:r>
      <w:r w:rsidRPr="00CF69F1">
        <w:rPr>
          <w:lang w:val="en-AU"/>
        </w:rPr>
        <w:t>(</w:t>
      </w:r>
      <w:r w:rsidR="008C0355">
        <w:rPr>
          <w:lang w:val="en-AU"/>
        </w:rPr>
        <w:t>SDCU</w:t>
      </w:r>
      <w:r w:rsidR="00C14957" w:rsidRPr="00CF69F1">
        <w:rPr>
          <w:lang w:val="en-AU"/>
        </w:rPr>
        <w:t xml:space="preserve"> </w:t>
      </w:r>
      <w:r w:rsidRPr="00CF69F1">
        <w:rPr>
          <w:lang w:val="en-AU"/>
        </w:rPr>
        <w:t xml:space="preserve">staff, in-reach </w:t>
      </w:r>
      <w:r w:rsidR="00F013CE" w:rsidRPr="00CF69F1">
        <w:rPr>
          <w:lang w:val="en-AU"/>
        </w:rPr>
        <w:t xml:space="preserve">clinicians </w:t>
      </w:r>
      <w:r w:rsidRPr="00514F9C">
        <w:rPr>
          <w:lang w:val="en-AU"/>
        </w:rPr>
        <w:t xml:space="preserve">and family/carers) </w:t>
      </w:r>
      <w:r w:rsidR="001922B6">
        <w:rPr>
          <w:lang w:val="en-AU"/>
        </w:rPr>
        <w:t>consulted</w:t>
      </w:r>
      <w:r w:rsidR="00A872A9">
        <w:rPr>
          <w:lang w:val="en-AU"/>
        </w:rPr>
        <w:t xml:space="preserve"> </w:t>
      </w:r>
      <w:r w:rsidR="00A33450" w:rsidRPr="00514F9C">
        <w:rPr>
          <w:lang w:val="en-AU"/>
        </w:rPr>
        <w:t>agree</w:t>
      </w:r>
      <w:r w:rsidR="003A5F6D" w:rsidRPr="00514F9C">
        <w:rPr>
          <w:lang w:val="en-AU"/>
        </w:rPr>
        <w:t xml:space="preserve">d </w:t>
      </w:r>
      <w:r w:rsidR="003917BB" w:rsidRPr="00514F9C">
        <w:rPr>
          <w:lang w:val="en-AU"/>
        </w:rPr>
        <w:t xml:space="preserve">that </w:t>
      </w:r>
      <w:r w:rsidR="00327E05">
        <w:rPr>
          <w:lang w:val="en-AU"/>
        </w:rPr>
        <w:t>most</w:t>
      </w:r>
      <w:r w:rsidR="003917BB" w:rsidRPr="00514F9C">
        <w:rPr>
          <w:lang w:val="en-AU"/>
        </w:rPr>
        <w:t xml:space="preserve"> </w:t>
      </w:r>
      <w:r w:rsidR="003A5F6D" w:rsidRPr="00514F9C">
        <w:rPr>
          <w:lang w:val="en-AU"/>
        </w:rPr>
        <w:t>residents</w:t>
      </w:r>
      <w:r w:rsidR="00D20FCB" w:rsidRPr="00514F9C">
        <w:rPr>
          <w:lang w:val="en-AU"/>
        </w:rPr>
        <w:t xml:space="preserve"> </w:t>
      </w:r>
      <w:r w:rsidR="007D5FC4" w:rsidRPr="00514F9C">
        <w:rPr>
          <w:lang w:val="en-AU"/>
        </w:rPr>
        <w:t>experience</w:t>
      </w:r>
      <w:r w:rsidR="00D20FCB" w:rsidRPr="00514F9C">
        <w:rPr>
          <w:lang w:val="en-AU"/>
        </w:rPr>
        <w:t xml:space="preserve"> reduced BPSD </w:t>
      </w:r>
      <w:r w:rsidR="008C34C2">
        <w:rPr>
          <w:lang w:val="en-AU"/>
        </w:rPr>
        <w:t>over their stay in the SDCU</w:t>
      </w:r>
      <w:r w:rsidR="008D1F5E">
        <w:rPr>
          <w:lang w:val="en-AU"/>
        </w:rPr>
        <w:t xml:space="preserve">. </w:t>
      </w:r>
      <w:r w:rsidR="008C0355">
        <w:rPr>
          <w:lang w:val="en-AU"/>
        </w:rPr>
        <w:t xml:space="preserve">These insights are supported by </w:t>
      </w:r>
      <w:r w:rsidR="00A145B3">
        <w:rPr>
          <w:lang w:val="en-AU"/>
        </w:rPr>
        <w:t>Program discharge dat</w:t>
      </w:r>
      <w:r w:rsidR="00977D69">
        <w:rPr>
          <w:lang w:val="en-AU"/>
        </w:rPr>
        <w:t>a</w:t>
      </w:r>
      <w:r w:rsidR="009903CE">
        <w:rPr>
          <w:lang w:val="en-AU"/>
        </w:rPr>
        <w:t xml:space="preserve">, which showed that </w:t>
      </w:r>
      <w:r w:rsidR="006616D3">
        <w:rPr>
          <w:lang w:val="en-AU"/>
        </w:rPr>
        <w:t>approximately two-thirds</w:t>
      </w:r>
      <w:r w:rsidR="00102797">
        <w:rPr>
          <w:lang w:val="en-AU"/>
        </w:rPr>
        <w:t xml:space="preserve"> of Program discharges transfer</w:t>
      </w:r>
      <w:r w:rsidR="00E1692E">
        <w:rPr>
          <w:lang w:val="en-AU"/>
        </w:rPr>
        <w:t>red</w:t>
      </w:r>
      <w:r w:rsidR="00102797">
        <w:rPr>
          <w:lang w:val="en-AU"/>
        </w:rPr>
        <w:t xml:space="preserve"> to less intensive care settings</w:t>
      </w:r>
      <w:r w:rsidR="00F40352">
        <w:rPr>
          <w:lang w:val="en-AU"/>
        </w:rPr>
        <w:t xml:space="preserve"> due to settled BPSD</w:t>
      </w:r>
      <w:r w:rsidR="00502105">
        <w:rPr>
          <w:lang w:val="en-AU"/>
        </w:rPr>
        <w:t>, and less than 10% of these resulted in a bounce-back.</w:t>
      </w:r>
      <w:r w:rsidR="005210C4">
        <w:rPr>
          <w:lang w:val="en-AU"/>
        </w:rPr>
        <w:t xml:space="preserve"> </w:t>
      </w:r>
      <w:r w:rsidR="00392D8B">
        <w:rPr>
          <w:lang w:val="en-AU"/>
        </w:rPr>
        <w:t>It is also worth</w:t>
      </w:r>
      <w:r w:rsidR="009866DE">
        <w:rPr>
          <w:lang w:val="en-AU"/>
        </w:rPr>
        <w:t xml:space="preserve"> noting </w:t>
      </w:r>
      <w:r w:rsidR="00392D8B">
        <w:rPr>
          <w:lang w:val="en-AU"/>
        </w:rPr>
        <w:t>here that</w:t>
      </w:r>
      <w:r w:rsidR="009866DE">
        <w:rPr>
          <w:lang w:val="en-AU"/>
        </w:rPr>
        <w:t xml:space="preserve"> the </w:t>
      </w:r>
      <w:r w:rsidR="005210C4">
        <w:rPr>
          <w:lang w:val="en-AU"/>
        </w:rPr>
        <w:t xml:space="preserve">‘other’ </w:t>
      </w:r>
      <w:r w:rsidR="00DF3364">
        <w:rPr>
          <w:lang w:val="en-AU"/>
        </w:rPr>
        <w:t>37</w:t>
      </w:r>
      <w:r w:rsidR="009866DE">
        <w:rPr>
          <w:lang w:val="en-AU"/>
        </w:rPr>
        <w:t xml:space="preserve">% of </w:t>
      </w:r>
      <w:r w:rsidR="005210C4">
        <w:rPr>
          <w:lang w:val="en-AU"/>
        </w:rPr>
        <w:t>discharge</w:t>
      </w:r>
      <w:r w:rsidR="00244427">
        <w:rPr>
          <w:lang w:val="en-AU"/>
        </w:rPr>
        <w:t xml:space="preserve">s were </w:t>
      </w:r>
      <w:r w:rsidR="00AC2B2F">
        <w:rPr>
          <w:lang w:val="en-AU"/>
        </w:rPr>
        <w:t>typically</w:t>
      </w:r>
      <w:r w:rsidR="00392D8B">
        <w:rPr>
          <w:lang w:val="en-AU"/>
        </w:rPr>
        <w:t xml:space="preserve"> </w:t>
      </w:r>
      <w:r w:rsidR="00AC2B2F">
        <w:rPr>
          <w:lang w:val="en-AU"/>
        </w:rPr>
        <w:t>due to</w:t>
      </w:r>
      <w:r w:rsidR="005210C4">
        <w:rPr>
          <w:lang w:val="en-AU"/>
        </w:rPr>
        <w:t xml:space="preserve"> </w:t>
      </w:r>
      <w:r w:rsidR="00DF3364">
        <w:rPr>
          <w:lang w:val="en-AU"/>
        </w:rPr>
        <w:t>changes in care needs</w:t>
      </w:r>
      <w:r w:rsidR="00A8595C">
        <w:rPr>
          <w:lang w:val="en-AU"/>
        </w:rPr>
        <w:t>, rather than because BPSD ha</w:t>
      </w:r>
      <w:r w:rsidR="007B6D79">
        <w:rPr>
          <w:lang w:val="en-AU"/>
        </w:rPr>
        <w:t>d</w:t>
      </w:r>
      <w:r w:rsidR="00A8595C">
        <w:rPr>
          <w:lang w:val="en-AU"/>
        </w:rPr>
        <w:t xml:space="preserve"> escalated</w:t>
      </w:r>
      <w:r w:rsidR="00244427">
        <w:rPr>
          <w:lang w:val="en-AU"/>
        </w:rPr>
        <w:t xml:space="preserve"> (i.e., it </w:t>
      </w:r>
      <w:r w:rsidR="00A91AF5">
        <w:rPr>
          <w:lang w:val="en-AU"/>
        </w:rPr>
        <w:t xml:space="preserve">is </w:t>
      </w:r>
      <w:r w:rsidR="00DF3364">
        <w:rPr>
          <w:lang w:val="en-AU"/>
        </w:rPr>
        <w:t xml:space="preserve">reflective of </w:t>
      </w:r>
      <w:r w:rsidR="003F0FDC">
        <w:rPr>
          <w:lang w:val="en-AU"/>
        </w:rPr>
        <w:t xml:space="preserve">residents’ </w:t>
      </w:r>
      <w:r w:rsidR="00DF3364">
        <w:rPr>
          <w:lang w:val="en-AU"/>
        </w:rPr>
        <w:t>underlying health</w:t>
      </w:r>
      <w:r w:rsidR="00244427">
        <w:rPr>
          <w:lang w:val="en-AU"/>
        </w:rPr>
        <w:t>, rathe</w:t>
      </w:r>
      <w:r w:rsidR="00392D8B">
        <w:rPr>
          <w:lang w:val="en-AU"/>
        </w:rPr>
        <w:t>r</w:t>
      </w:r>
      <w:r w:rsidR="00244427">
        <w:rPr>
          <w:lang w:val="en-AU"/>
        </w:rPr>
        <w:t xml:space="preserve"> than the efficacy of the </w:t>
      </w:r>
      <w:r w:rsidR="00DF3364">
        <w:rPr>
          <w:lang w:val="en-AU"/>
        </w:rPr>
        <w:t>Program model of care</w:t>
      </w:r>
      <w:r w:rsidR="00AC2B2F">
        <w:rPr>
          <w:lang w:val="en-AU"/>
        </w:rPr>
        <w:t>)</w:t>
      </w:r>
      <w:r w:rsidR="00244427">
        <w:rPr>
          <w:lang w:val="en-AU"/>
        </w:rPr>
        <w:t>.</w:t>
      </w:r>
    </w:p>
    <w:p w14:paraId="7702372D" w14:textId="57C35422" w:rsidR="00CC1C23" w:rsidRPr="0046433D" w:rsidRDefault="00065BE1" w:rsidP="00CC1C23">
      <w:pPr>
        <w:rPr>
          <w:b/>
          <w:bCs/>
        </w:rPr>
      </w:pPr>
      <w:r>
        <w:rPr>
          <w:lang w:val="en-AU"/>
        </w:rPr>
        <w:t>Stakeholders</w:t>
      </w:r>
      <w:r w:rsidR="00CC1C23">
        <w:rPr>
          <w:lang w:val="en-AU"/>
        </w:rPr>
        <w:t xml:space="preserve"> attributed the</w:t>
      </w:r>
      <w:r w:rsidR="00CC1C23" w:rsidRPr="00EC48C0">
        <w:rPr>
          <w:lang w:val="en-AU"/>
        </w:rPr>
        <w:t xml:space="preserve"> successful management of </w:t>
      </w:r>
      <w:r w:rsidR="005D4655">
        <w:rPr>
          <w:lang w:val="en-AU"/>
        </w:rPr>
        <w:t xml:space="preserve">very severe </w:t>
      </w:r>
      <w:r w:rsidR="00CC1C23" w:rsidRPr="00EC48C0">
        <w:rPr>
          <w:lang w:val="en-AU"/>
        </w:rPr>
        <w:t xml:space="preserve">BPSD </w:t>
      </w:r>
      <w:r w:rsidR="00CC1C23">
        <w:rPr>
          <w:lang w:val="en-AU"/>
        </w:rPr>
        <w:t>to</w:t>
      </w:r>
      <w:r w:rsidR="00CC1C23" w:rsidRPr="00EC48C0">
        <w:rPr>
          <w:lang w:val="en-AU"/>
        </w:rPr>
        <w:t xml:space="preserve"> the</w:t>
      </w:r>
      <w:r w:rsidR="007C3593">
        <w:rPr>
          <w:lang w:val="en-AU"/>
        </w:rPr>
        <w:t xml:space="preserve"> </w:t>
      </w:r>
      <w:r w:rsidR="00EF3680">
        <w:rPr>
          <w:lang w:val="en-AU"/>
        </w:rPr>
        <w:t>bespoke</w:t>
      </w:r>
      <w:r w:rsidR="007C3593" w:rsidRPr="0046433D">
        <w:rPr>
          <w:lang w:val="en-AU"/>
        </w:rPr>
        <w:t xml:space="preserve"> unit design, person-centred and restraint-free </w:t>
      </w:r>
      <w:r w:rsidR="00B225F2">
        <w:rPr>
          <w:lang w:val="en-AU"/>
        </w:rPr>
        <w:t>m</w:t>
      </w:r>
      <w:r w:rsidR="0046433D" w:rsidRPr="0046433D">
        <w:rPr>
          <w:lang w:val="en-AU"/>
        </w:rPr>
        <w:t xml:space="preserve">odel of </w:t>
      </w:r>
      <w:r w:rsidR="00B225F2">
        <w:rPr>
          <w:lang w:val="en-AU"/>
        </w:rPr>
        <w:t>c</w:t>
      </w:r>
      <w:r w:rsidR="0046433D" w:rsidRPr="0046433D">
        <w:rPr>
          <w:lang w:val="en-AU"/>
        </w:rPr>
        <w:t>are</w:t>
      </w:r>
      <w:r w:rsidR="003F0FDC">
        <w:rPr>
          <w:lang w:val="en-AU"/>
        </w:rPr>
        <w:t>,</w:t>
      </w:r>
      <w:r w:rsidR="0046433D" w:rsidRPr="0046433D">
        <w:rPr>
          <w:lang w:val="en-AU"/>
        </w:rPr>
        <w:t xml:space="preserve"> and the higher staff ratios (discussed in Section </w:t>
      </w:r>
      <w:r w:rsidR="0046433D" w:rsidRPr="0046433D">
        <w:rPr>
          <w:lang w:val="en-AU"/>
        </w:rPr>
        <w:fldChar w:fldCharType="begin"/>
      </w:r>
      <w:r w:rsidR="0046433D" w:rsidRPr="0046433D">
        <w:rPr>
          <w:lang w:val="en-AU"/>
        </w:rPr>
        <w:instrText xml:space="preserve"> REF _Ref124163520 \r \h  \* MERGEFORMAT </w:instrText>
      </w:r>
      <w:r w:rsidR="0046433D" w:rsidRPr="0046433D">
        <w:rPr>
          <w:lang w:val="en-AU"/>
        </w:rPr>
      </w:r>
      <w:r w:rsidR="0046433D" w:rsidRPr="0046433D">
        <w:rPr>
          <w:lang w:val="en-AU"/>
        </w:rPr>
        <w:fldChar w:fldCharType="separate"/>
      </w:r>
      <w:r w:rsidR="00D32536">
        <w:rPr>
          <w:lang w:val="en-AU"/>
        </w:rPr>
        <w:t>3</w:t>
      </w:r>
      <w:r w:rsidR="0046433D" w:rsidRPr="0046433D">
        <w:rPr>
          <w:lang w:val="en-AU"/>
        </w:rPr>
        <w:fldChar w:fldCharType="end"/>
      </w:r>
      <w:r w:rsidR="0046433D" w:rsidRPr="0046433D">
        <w:rPr>
          <w:lang w:val="en-AU"/>
        </w:rPr>
        <w:t>).</w:t>
      </w:r>
      <w:r w:rsidR="0046433D">
        <w:rPr>
          <w:lang w:val="en-AU"/>
        </w:rPr>
        <w:t xml:space="preserve"> Stakeholders did</w:t>
      </w:r>
      <w:r w:rsidR="0046433D">
        <w:t xml:space="preserve"> </w:t>
      </w:r>
      <w:r w:rsidR="001922B6">
        <w:t>note th</w:t>
      </w:r>
      <w:r w:rsidR="009A6718">
        <w:t>e caveat that</w:t>
      </w:r>
      <w:r w:rsidR="00ED4A9A" w:rsidRPr="0068005D">
        <w:t xml:space="preserve"> other </w:t>
      </w:r>
      <w:r w:rsidR="00CC1C23" w:rsidRPr="0068005D">
        <w:t xml:space="preserve">factors </w:t>
      </w:r>
      <w:r w:rsidR="006A3AA7">
        <w:t>may influence</w:t>
      </w:r>
      <w:r w:rsidR="00EE5915">
        <w:t xml:space="preserve"> whether or not</w:t>
      </w:r>
      <w:r w:rsidR="006A3AA7">
        <w:t xml:space="preserve"> </w:t>
      </w:r>
      <w:r w:rsidR="00EE5915" w:rsidRPr="0068005D">
        <w:t>behavior</w:t>
      </w:r>
      <w:r w:rsidR="00EE5915">
        <w:t xml:space="preserve">s will </w:t>
      </w:r>
      <w:r w:rsidR="00CC1C23" w:rsidRPr="0068005D">
        <w:t>settl</w:t>
      </w:r>
      <w:r w:rsidR="00EE5915">
        <w:t>e</w:t>
      </w:r>
      <w:r w:rsidR="0046433D">
        <w:t xml:space="preserve">, </w:t>
      </w:r>
      <w:r w:rsidR="005532BB">
        <w:t>including</w:t>
      </w:r>
      <w:r w:rsidR="00CC1C23" w:rsidRPr="0068005D">
        <w:t xml:space="preserve"> </w:t>
      </w:r>
      <w:r w:rsidR="002A5216">
        <w:t xml:space="preserve">the trajectory of </w:t>
      </w:r>
      <w:r w:rsidR="001E0AE7">
        <w:t>dementia</w:t>
      </w:r>
      <w:r w:rsidR="002A5216">
        <w:t xml:space="preserve"> </w:t>
      </w:r>
      <w:r w:rsidR="00FE5929">
        <w:t>as well as</w:t>
      </w:r>
      <w:r w:rsidR="0068005D" w:rsidRPr="0068005D">
        <w:t xml:space="preserve"> </w:t>
      </w:r>
      <w:r w:rsidR="00A43BBA">
        <w:t xml:space="preserve">the </w:t>
      </w:r>
      <w:r w:rsidR="0068005D" w:rsidRPr="0068005D">
        <w:t xml:space="preserve">underlying medical complexity </w:t>
      </w:r>
      <w:r w:rsidR="00FE5929">
        <w:t>(e.g.</w:t>
      </w:r>
      <w:r w:rsidR="003F0FDC">
        <w:t>,</w:t>
      </w:r>
      <w:r w:rsidR="00FE5929">
        <w:t xml:space="preserve"> residents</w:t>
      </w:r>
      <w:r w:rsidR="00CC1C23" w:rsidRPr="0068005D">
        <w:t xml:space="preserve"> </w:t>
      </w:r>
      <w:r w:rsidR="00FE5929">
        <w:t>require palliative care</w:t>
      </w:r>
      <w:r w:rsidR="00CC1C23" w:rsidRPr="0068005D">
        <w:t>)</w:t>
      </w:r>
      <w:r w:rsidR="0068005D">
        <w:t xml:space="preserve">. </w:t>
      </w:r>
    </w:p>
    <w:p w14:paraId="4A9ED9C2" w14:textId="62D43456" w:rsidR="00126929" w:rsidRPr="009E3617" w:rsidRDefault="006877BF" w:rsidP="006877BF">
      <w:pPr>
        <w:tabs>
          <w:tab w:val="left" w:pos="3706"/>
        </w:tabs>
        <w:spacing w:after="0"/>
        <w:rPr>
          <w:u w:val="single"/>
        </w:rPr>
      </w:pPr>
      <w:r>
        <w:rPr>
          <w:u w:val="single"/>
        </w:rPr>
        <w:t>B</w:t>
      </w:r>
      <w:r w:rsidR="00126929">
        <w:rPr>
          <w:u w:val="single"/>
        </w:rPr>
        <w:t>ehavioural incidents</w:t>
      </w:r>
    </w:p>
    <w:p w14:paraId="4B14C2D0" w14:textId="565150E6" w:rsidR="00126929" w:rsidRDefault="00126929" w:rsidP="00126929">
      <w:r>
        <w:t xml:space="preserve">Stakeholders broadly </w:t>
      </w:r>
      <w:r w:rsidRPr="001D20C8">
        <w:t xml:space="preserve">agreed that the </w:t>
      </w:r>
      <w:r w:rsidR="00BC1C18">
        <w:t>main</w:t>
      </w:r>
      <w:r w:rsidRPr="001D20C8">
        <w:t xml:space="preserve"> area of improvement in residents’ BPSD </w:t>
      </w:r>
      <w:r w:rsidR="00AE45D2">
        <w:t>was</w:t>
      </w:r>
      <w:r w:rsidRPr="001D20C8">
        <w:t xml:space="preserve"> a reduction in agitation and aggression. The </w:t>
      </w:r>
      <w:r w:rsidR="00586C25">
        <w:t>m</w:t>
      </w:r>
      <w:r>
        <w:t xml:space="preserve">odel of </w:t>
      </w:r>
      <w:r w:rsidR="00586C25">
        <w:t>c</w:t>
      </w:r>
      <w:r>
        <w:t xml:space="preserve">are was perceived to be highly effective at reducing physical aggression, </w:t>
      </w:r>
      <w:r w:rsidR="00322BE8">
        <w:t>however</w:t>
      </w:r>
      <w:r>
        <w:t xml:space="preserve"> stakeholders’ views were more varied on its ability to reduce verbal aggression. </w:t>
      </w:r>
    </w:p>
    <w:p w14:paraId="76828F82" w14:textId="6433113C" w:rsidR="00126929" w:rsidRPr="00FF5F24" w:rsidRDefault="00C824E9" w:rsidP="00126929">
      <w:r>
        <w:t>These q</w:t>
      </w:r>
      <w:r w:rsidR="00126929">
        <w:t xml:space="preserve">ualitative findings </w:t>
      </w:r>
      <w:r w:rsidR="00DF2C45">
        <w:t>were</w:t>
      </w:r>
      <w:r w:rsidR="00126929">
        <w:t xml:space="preserve"> supported by case study analysis performed on </w:t>
      </w:r>
      <w:r w:rsidR="00CF672B">
        <w:t>the clinical data</w:t>
      </w:r>
      <w:r w:rsidR="004B356C">
        <w:t xml:space="preserve"> </w:t>
      </w:r>
      <w:r w:rsidR="00CF672B">
        <w:t xml:space="preserve">provided by </w:t>
      </w:r>
      <w:r w:rsidR="00126929">
        <w:t>one SDCU</w:t>
      </w:r>
      <w:r w:rsidR="004B356C">
        <w:t xml:space="preserve"> which recorded the number of behavioural incidents</w:t>
      </w:r>
      <w:r w:rsidR="001F4BFF">
        <w:rPr>
          <w:rStyle w:val="FootnoteReference"/>
        </w:rPr>
        <w:footnoteReference w:id="13"/>
      </w:r>
      <w:r w:rsidR="004B356C">
        <w:t xml:space="preserve"> </w:t>
      </w:r>
      <w:r w:rsidR="0044591B">
        <w:t>per</w:t>
      </w:r>
      <w:r w:rsidR="004B356C">
        <w:t xml:space="preserve"> resident.</w:t>
      </w:r>
      <w:r w:rsidR="00126929">
        <w:rPr>
          <w:rStyle w:val="FootnoteReference"/>
        </w:rPr>
        <w:footnoteReference w:id="14"/>
      </w:r>
      <w:r w:rsidR="00126929">
        <w:t xml:space="preserve"> </w:t>
      </w:r>
      <w:r w:rsidR="004B356C">
        <w:t>Analysis</w:t>
      </w:r>
      <w:r w:rsidR="00126929">
        <w:t xml:space="preserve"> </w:t>
      </w:r>
      <w:r w:rsidR="00F370D6">
        <w:t>showed</w:t>
      </w:r>
      <w:r w:rsidR="00126929">
        <w:t xml:space="preserve"> that residents who were discharged from the Program exhibited</w:t>
      </w:r>
      <w:r w:rsidR="00CF672B">
        <w:t>,</w:t>
      </w:r>
      <w:r w:rsidR="00126929">
        <w:t xml:space="preserve"> on average, a decrease in the number of behavioural incidents over the length of their stay (</w:t>
      </w:r>
      <w:r w:rsidR="000217E8">
        <w:fldChar w:fldCharType="begin"/>
      </w:r>
      <w:r w:rsidR="000217E8">
        <w:instrText xml:space="preserve"> REF _Ref125367602 \h </w:instrText>
      </w:r>
      <w:r w:rsidR="000217E8">
        <w:fldChar w:fldCharType="separate"/>
      </w:r>
      <w:r w:rsidR="00D32536">
        <w:t>Figure</w:t>
      </w:r>
      <w:r w:rsidR="00D32536" w:rsidRPr="00505358">
        <w:t xml:space="preserve"> </w:t>
      </w:r>
      <w:r w:rsidR="00D32536">
        <w:rPr>
          <w:noProof/>
        </w:rPr>
        <w:t>5</w:t>
      </w:r>
      <w:r w:rsidR="00D32536" w:rsidRPr="00505358">
        <w:t>.</w:t>
      </w:r>
      <w:r w:rsidR="00D32536">
        <w:rPr>
          <w:noProof/>
        </w:rPr>
        <w:t>3</w:t>
      </w:r>
      <w:r w:rsidR="000217E8">
        <w:fldChar w:fldCharType="end"/>
      </w:r>
      <w:r w:rsidR="00126929">
        <w:t xml:space="preserve">). </w:t>
      </w:r>
    </w:p>
    <w:p w14:paraId="09C8684A" w14:textId="124A6381" w:rsidR="00126929" w:rsidRPr="00505358" w:rsidRDefault="000217E8" w:rsidP="00505358">
      <w:pPr>
        <w:pStyle w:val="Caption"/>
      </w:pPr>
      <w:bookmarkStart w:id="69" w:name="_Ref125367602"/>
      <w:r>
        <w:t>Figure</w:t>
      </w:r>
      <w:r w:rsidR="00126929" w:rsidRPr="00505358">
        <w:t xml:space="preserve"> </w:t>
      </w:r>
      <w:r w:rsidR="00126929" w:rsidRPr="00505358">
        <w:fldChar w:fldCharType="begin"/>
      </w:r>
      <w:r w:rsidR="00126929" w:rsidRPr="00505358">
        <w:instrText xml:space="preserve"> STYLEREF 1 \s </w:instrText>
      </w:r>
      <w:r w:rsidR="00126929" w:rsidRPr="00505358">
        <w:fldChar w:fldCharType="separate"/>
      </w:r>
      <w:r w:rsidR="00D32536">
        <w:rPr>
          <w:noProof/>
        </w:rPr>
        <w:t>5</w:t>
      </w:r>
      <w:r w:rsidR="00126929" w:rsidRPr="00505358">
        <w:fldChar w:fldCharType="end"/>
      </w:r>
      <w:r w:rsidR="00126929" w:rsidRPr="00505358">
        <w:t>.</w:t>
      </w:r>
      <w:r w:rsidR="008875A8">
        <w:fldChar w:fldCharType="begin"/>
      </w:r>
      <w:r w:rsidR="008875A8">
        <w:instrText xml:space="preserve"> SEQ Figure \* ARABIC \s 1 </w:instrText>
      </w:r>
      <w:r w:rsidR="008875A8">
        <w:fldChar w:fldCharType="separate"/>
      </w:r>
      <w:r w:rsidR="00D32536">
        <w:rPr>
          <w:noProof/>
        </w:rPr>
        <w:t>3</w:t>
      </w:r>
      <w:r w:rsidR="008875A8">
        <w:fldChar w:fldCharType="end"/>
      </w:r>
      <w:bookmarkEnd w:id="69"/>
      <w:r w:rsidR="00126929" w:rsidRPr="00505358">
        <w:t xml:space="preserve"> Case study analysis: The average number of aggressive behavioural incidents recorded per resident, by time from admission (discharged residents)</w:t>
      </w:r>
    </w:p>
    <w:p w14:paraId="68558E4F" w14:textId="4D4D2CC6" w:rsidR="00126929" w:rsidRDefault="00A97D35" w:rsidP="00126929">
      <w:pPr>
        <w:spacing w:after="0"/>
        <w:jc w:val="center"/>
        <w:rPr>
          <w:b/>
          <w:bCs/>
        </w:rPr>
      </w:pPr>
      <w:r w:rsidRPr="00A97D35">
        <w:rPr>
          <w:noProof/>
        </w:rPr>
        <w:drawing>
          <wp:inline distT="0" distB="0" distL="0" distR="0" wp14:anchorId="18355FE6" wp14:editId="5BB9FEAD">
            <wp:extent cx="6115050" cy="2933700"/>
            <wp:effectExtent l="0" t="0" r="0" b="0"/>
            <wp:docPr id="54" name="Picture 54" descr="This image is a line graph showing a decrease in the average number of behavioural incidents per resident between the first three months, and at 12-15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image is a line graph showing a decrease in the average number of behavioural incidents per resident between the first three months, and at 12-15 months.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2748"/>
                    <a:stretch/>
                  </pic:blipFill>
                  <pic:spPr bwMode="auto">
                    <a:xfrm>
                      <a:off x="0" y="0"/>
                      <a:ext cx="611505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35416C14" w14:textId="20D77A4F" w:rsidR="00126929" w:rsidRPr="009847EB" w:rsidRDefault="00126929" w:rsidP="00126929">
      <w:pPr>
        <w:spacing w:after="0"/>
        <w:rPr>
          <w:color w:val="53565A" w:themeColor="background2"/>
          <w:sz w:val="16"/>
          <w:szCs w:val="18"/>
        </w:rPr>
      </w:pPr>
      <w:r w:rsidRPr="009847EB">
        <w:rPr>
          <w:color w:val="53565A" w:themeColor="background2"/>
          <w:sz w:val="16"/>
          <w:szCs w:val="18"/>
        </w:rPr>
        <w:t xml:space="preserve">Source: Deloitte Access Economics analysis of secondary data from one </w:t>
      </w:r>
      <w:r w:rsidR="000F3CE4">
        <w:rPr>
          <w:color w:val="53565A" w:themeColor="background2"/>
          <w:sz w:val="16"/>
          <w:szCs w:val="18"/>
        </w:rPr>
        <w:t>SDCU</w:t>
      </w:r>
      <w:r w:rsidRPr="009847EB">
        <w:rPr>
          <w:color w:val="53565A" w:themeColor="background2"/>
          <w:sz w:val="16"/>
          <w:szCs w:val="18"/>
        </w:rPr>
        <w:t>, 2022.</w:t>
      </w:r>
    </w:p>
    <w:p w14:paraId="29DC0D04" w14:textId="0C62B1BA" w:rsidR="00126929" w:rsidRPr="009847EB" w:rsidRDefault="00126929" w:rsidP="00D5183E">
      <w:pPr>
        <w:rPr>
          <w:color w:val="53565A" w:themeColor="background2"/>
          <w:sz w:val="16"/>
          <w:szCs w:val="18"/>
        </w:rPr>
      </w:pPr>
      <w:r w:rsidRPr="009847EB">
        <w:rPr>
          <w:color w:val="53565A" w:themeColor="background2"/>
          <w:sz w:val="16"/>
          <w:szCs w:val="18"/>
        </w:rPr>
        <w:t xml:space="preserve">Note i: Analysis was performed on a cohort of 27 residents who had been discharged from the Program. The sample size decreases over time as the Program is transitional and there is no minimum stay period, meaning residents transition out of the </w:t>
      </w:r>
      <w:r w:rsidR="00F832EB">
        <w:rPr>
          <w:color w:val="53565A" w:themeColor="background2"/>
          <w:sz w:val="16"/>
          <w:szCs w:val="18"/>
        </w:rPr>
        <w:t>SDCU</w:t>
      </w:r>
      <w:r w:rsidRPr="009847EB">
        <w:rPr>
          <w:color w:val="53565A" w:themeColor="background2"/>
          <w:sz w:val="16"/>
          <w:szCs w:val="18"/>
        </w:rPr>
        <w:t xml:space="preserve"> once they are ready to be cared for in a mainstream setting.</w:t>
      </w:r>
    </w:p>
    <w:p w14:paraId="46B657C2" w14:textId="7775CCC7" w:rsidR="000217E8" w:rsidRDefault="000217E8" w:rsidP="000217E8">
      <w:pPr>
        <w:pStyle w:val="Caption"/>
      </w:pPr>
      <w:r>
        <w:t xml:space="preserve">Figure </w:t>
      </w:r>
      <w:r w:rsidR="00126929" w:rsidRPr="00FF1BD9">
        <w:fldChar w:fldCharType="begin"/>
      </w:r>
      <w:r w:rsidR="00126929" w:rsidRPr="00FF1BD9">
        <w:instrText xml:space="preserve"> STYLEREF 1 \s </w:instrText>
      </w:r>
      <w:r w:rsidR="00126929" w:rsidRPr="00FF1BD9">
        <w:fldChar w:fldCharType="separate"/>
      </w:r>
      <w:r w:rsidR="00D32536">
        <w:rPr>
          <w:noProof/>
        </w:rPr>
        <w:t>5</w:t>
      </w:r>
      <w:r w:rsidR="00126929" w:rsidRPr="00FF1BD9">
        <w:fldChar w:fldCharType="end"/>
      </w:r>
      <w:r>
        <w:t>.</w:t>
      </w:r>
      <w:r w:rsidR="008875A8">
        <w:fldChar w:fldCharType="begin"/>
      </w:r>
      <w:r w:rsidR="008875A8">
        <w:instrText xml:space="preserve"> SEQ Figure \* ARABIC \s 1 </w:instrText>
      </w:r>
      <w:r w:rsidR="008875A8">
        <w:fldChar w:fldCharType="separate"/>
      </w:r>
      <w:r w:rsidR="00D32536">
        <w:rPr>
          <w:noProof/>
        </w:rPr>
        <w:t>4</w:t>
      </w:r>
      <w:r w:rsidR="008875A8">
        <w:fldChar w:fldCharType="end"/>
      </w:r>
      <w:r>
        <w:t xml:space="preserve"> </w:t>
      </w:r>
      <w:r w:rsidRPr="00FF1BD9">
        <w:t xml:space="preserve">Quotes representing dominant qualitative themes from consultations and the </w:t>
      </w:r>
      <w:r>
        <w:t>Program</w:t>
      </w:r>
      <w:r w:rsidRPr="00FF1BD9">
        <w:t xml:space="preserve"> staff survey related to reduced aggression among Program residents.</w:t>
      </w:r>
    </w:p>
    <w:p w14:paraId="6FA661E1" w14:textId="77777777" w:rsidR="00126929" w:rsidRPr="007849F5" w:rsidRDefault="00126929" w:rsidP="00126929">
      <w:pPr>
        <w:spacing w:after="0"/>
      </w:pPr>
      <w:r w:rsidRPr="00054391">
        <w:rPr>
          <w:noProof/>
        </w:rPr>
        <w:drawing>
          <wp:inline distT="0" distB="0" distL="0" distR="0" wp14:anchorId="134FB14C" wp14:editId="45F60CE6">
            <wp:extent cx="6319520" cy="1736090"/>
            <wp:effectExtent l="0" t="0" r="5080" b="0"/>
            <wp:docPr id="6" name="Picture 6" descr="This image shows quotes from stakeholder consultation relating to reduced aggression among Program residents. &#10;Quote 1 from a family member: “Absolutely, [the SDCP] has been a complete turnaround. At the previous nursing home we were receiving notifications [on aggressive incidents] a couple times a week. Since they have been in the SDCU there have been maybe 2 notifications in 6 months and they were very early on.&quot;&#10;Quote 2 from an SDCP staff member: “The majority of [residents] have a massive reduction in behaviour. A few come in and you get the DSA report and you get scared thinking it will be a nightmare but after a few weeks you wonder why they are here because they settle so quickly.”&#10;Quote 3: “It has gotten to the point where she is not aggressive at all anymore. I do not know if that is dementia progression or a combination with the staff treatment, but I honestly do not think she would be in the same situation if she was not there. I honestly think the care and support she has received at SDCP has helped her to get to the point where she is not so aggress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quotes from stakeholder consultation relating to reduced aggression among Program residents. &#10;Quote 1 from a family member: “Absolutely, [the SDCP] has been a complete turnaround. At the previous nursing home we were receiving notifications [on aggressive incidents] a couple times a week. Since they have been in the SDCU there have been maybe 2 notifications in 6 months and they were very early on.&quot;&#10;Quote 2 from an SDCP staff member: “The majority of [residents] have a massive reduction in behaviour. A few come in and you get the DSA report and you get scared thinking it will be a nightmare but after a few weeks you wonder why they are here because they settle so quickly.”&#10;Quote 3: “It has gotten to the point where she is not aggressive at all anymore. I do not know if that is dementia progression or a combination with the staff treatment, but I honestly do not think she would be in the same situation if she was not there. I honestly think the care and support she has received at SDCP has helped her to get to the point where she is not so aggressive.”&#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19520" cy="1736090"/>
                    </a:xfrm>
                    <a:prstGeom prst="rect">
                      <a:avLst/>
                    </a:prstGeom>
                    <a:noFill/>
                    <a:ln>
                      <a:noFill/>
                    </a:ln>
                  </pic:spPr>
                </pic:pic>
              </a:graphicData>
            </a:graphic>
          </wp:inline>
        </w:drawing>
      </w:r>
    </w:p>
    <w:p w14:paraId="5D05E74D" w14:textId="77777777" w:rsidR="00126929" w:rsidRPr="009847EB" w:rsidRDefault="00126929" w:rsidP="00126929">
      <w:pPr>
        <w:rPr>
          <w:color w:val="53565A" w:themeColor="background2"/>
          <w:sz w:val="16"/>
          <w:szCs w:val="18"/>
        </w:rPr>
      </w:pPr>
      <w:r w:rsidRPr="009847EB">
        <w:rPr>
          <w:color w:val="53565A" w:themeColor="background2"/>
          <w:sz w:val="16"/>
          <w:szCs w:val="18"/>
        </w:rPr>
        <w:t>Source: Deloitte Access Economics analysis of stakeholder consultation</w:t>
      </w:r>
      <w:r>
        <w:rPr>
          <w:color w:val="53565A" w:themeColor="background2"/>
          <w:sz w:val="16"/>
          <w:szCs w:val="18"/>
        </w:rPr>
        <w:t>s</w:t>
      </w:r>
      <w:r w:rsidRPr="009847EB">
        <w:rPr>
          <w:color w:val="53565A" w:themeColor="background2"/>
          <w:sz w:val="16"/>
          <w:szCs w:val="18"/>
        </w:rPr>
        <w:t>, 2022</w:t>
      </w:r>
    </w:p>
    <w:p w14:paraId="206852A1" w14:textId="58C71361" w:rsidR="00623830" w:rsidRDefault="00623830" w:rsidP="00623830">
      <w:pPr>
        <w:rPr>
          <w:lang w:val="en-AU"/>
        </w:rPr>
      </w:pPr>
      <w:r>
        <w:t xml:space="preserve">It is worth noting that </w:t>
      </w:r>
      <w:r w:rsidRPr="000F380A">
        <w:t xml:space="preserve">BPSD </w:t>
      </w:r>
      <w:r>
        <w:rPr>
          <w:lang w:val="en-AU"/>
        </w:rPr>
        <w:t>can</w:t>
      </w:r>
      <w:r w:rsidRPr="00394E38">
        <w:rPr>
          <w:lang w:val="en-AU"/>
        </w:rPr>
        <w:t xml:space="preserve"> </w:t>
      </w:r>
      <w:r>
        <w:rPr>
          <w:lang w:val="en-AU"/>
        </w:rPr>
        <w:t xml:space="preserve">often </w:t>
      </w:r>
      <w:r w:rsidRPr="00394E38">
        <w:rPr>
          <w:lang w:val="en-AU"/>
        </w:rPr>
        <w:t xml:space="preserve">worsen </w:t>
      </w:r>
      <w:r>
        <w:rPr>
          <w:lang w:val="en-AU"/>
        </w:rPr>
        <w:t xml:space="preserve">following a residents’ admission to the SDCU before showing an improvement over time. This trend was observed across most SDCUs and was attributed to the higher uncertainty and unfamiliar environment at admission which increases stress and behavioural triggers for new residents. Stakeholders noted it can often </w:t>
      </w:r>
      <w:r w:rsidRPr="00394E38">
        <w:rPr>
          <w:lang w:val="en-AU"/>
        </w:rPr>
        <w:t xml:space="preserve">take </w:t>
      </w:r>
      <w:r>
        <w:rPr>
          <w:lang w:val="en-AU"/>
        </w:rPr>
        <w:t>several weeks</w:t>
      </w:r>
      <w:r w:rsidRPr="00394E38">
        <w:rPr>
          <w:lang w:val="en-AU"/>
        </w:rPr>
        <w:t xml:space="preserve"> </w:t>
      </w:r>
      <w:r w:rsidRPr="00D10171">
        <w:rPr>
          <w:lang w:val="en-AU"/>
        </w:rPr>
        <w:t xml:space="preserve">to </w:t>
      </w:r>
      <w:r>
        <w:rPr>
          <w:lang w:val="en-AU"/>
        </w:rPr>
        <w:t xml:space="preserve">observe improvements in new residents, as it takes time for them </w:t>
      </w:r>
      <w:r w:rsidRPr="00D10171">
        <w:rPr>
          <w:lang w:val="en-AU"/>
        </w:rPr>
        <w:t xml:space="preserve">to </w:t>
      </w:r>
      <w:r>
        <w:rPr>
          <w:lang w:val="en-AU"/>
        </w:rPr>
        <w:t xml:space="preserve">settle into their new environment and for </w:t>
      </w:r>
      <w:r w:rsidR="000F3CE4">
        <w:rPr>
          <w:lang w:val="en-AU"/>
        </w:rPr>
        <w:t xml:space="preserve">SDCU </w:t>
      </w:r>
      <w:r>
        <w:rPr>
          <w:lang w:val="en-AU"/>
        </w:rPr>
        <w:t xml:space="preserve">staff to develop a deeper understanding of their needs to further tailor care planning. </w:t>
      </w:r>
    </w:p>
    <w:p w14:paraId="5D36AB26" w14:textId="6C24FA68" w:rsidR="00623830" w:rsidRDefault="00623830" w:rsidP="00623830">
      <w:r>
        <w:t xml:space="preserve">Residents’ BPSD can also fluctuate over their time in the SDCU. Across the majority of sites, Program staff reported that new admissions </w:t>
      </w:r>
      <w:r w:rsidRPr="00E471D5">
        <w:t>increase triggers</w:t>
      </w:r>
      <w:r>
        <w:t xml:space="preserve"> for other residents within the unit, which can lead to a temporary exacerbation of their BPSD. To manage this risk, some SDCUs roster </w:t>
      </w:r>
      <w:r w:rsidRPr="001D20C8">
        <w:t>additional staff during periods of new admissions to increase supervision and reduce the disruption to existing residents.</w:t>
      </w:r>
    </w:p>
    <w:p w14:paraId="0DABC08E" w14:textId="410B4043" w:rsidR="000217E8" w:rsidRDefault="000217E8" w:rsidP="000217E8">
      <w:pPr>
        <w:pStyle w:val="Caption"/>
      </w:pPr>
      <w:r>
        <w:t xml:space="preserve">Figure </w:t>
      </w:r>
      <w:r w:rsidR="00915F8B">
        <w:fldChar w:fldCharType="begin"/>
      </w:r>
      <w:r w:rsidR="00915F8B">
        <w:instrText xml:space="preserve"> STYLEREF 1 \s </w:instrText>
      </w:r>
      <w:r w:rsidR="00915F8B">
        <w:fldChar w:fldCharType="separate"/>
      </w:r>
      <w:r w:rsidR="00D32536">
        <w:rPr>
          <w:noProof/>
        </w:rPr>
        <w:t>5</w:t>
      </w:r>
      <w:r w:rsidR="00915F8B">
        <w:fldChar w:fldCharType="end"/>
      </w:r>
      <w:r>
        <w:t>.</w:t>
      </w:r>
      <w:r w:rsidR="008875A8">
        <w:fldChar w:fldCharType="begin"/>
      </w:r>
      <w:r w:rsidR="008875A8">
        <w:instrText xml:space="preserve"> SEQ Figure \* ARABIC \s 1 </w:instrText>
      </w:r>
      <w:r w:rsidR="008875A8">
        <w:fldChar w:fldCharType="separate"/>
      </w:r>
      <w:r w:rsidR="00D32536">
        <w:rPr>
          <w:noProof/>
        </w:rPr>
        <w:t>5</w:t>
      </w:r>
      <w:r w:rsidR="008875A8">
        <w:fldChar w:fldCharType="end"/>
      </w:r>
      <w:r>
        <w:t xml:space="preserve"> </w:t>
      </w:r>
      <w:r w:rsidRPr="00FF1BD9">
        <w:t xml:space="preserve">Quotes representing dominant qualitative themes from consultations and the </w:t>
      </w:r>
      <w:r>
        <w:t>Program</w:t>
      </w:r>
      <w:r w:rsidRPr="00FF1BD9">
        <w:t xml:space="preserve"> staff survey related to temporary exacerbation of symptoms during new admissions.</w:t>
      </w:r>
    </w:p>
    <w:p w14:paraId="5707BB90" w14:textId="77777777" w:rsidR="00623830" w:rsidRDefault="00623830" w:rsidP="00623830">
      <w:pPr>
        <w:spacing w:after="0"/>
      </w:pPr>
      <w:r w:rsidRPr="002F5C0D">
        <w:rPr>
          <w:noProof/>
        </w:rPr>
        <w:drawing>
          <wp:inline distT="0" distB="0" distL="0" distR="0" wp14:anchorId="246DB74C" wp14:editId="7690AE61">
            <wp:extent cx="6319520" cy="1579880"/>
            <wp:effectExtent l="0" t="0" r="5080" b="1270"/>
            <wp:docPr id="61" name="Picture 61" descr="This image shows quotes from SDCP staff members related to temporary exacerbations of symptoms during new admissions. &#10;Quote 1: “We generally notice the stabilisation of symptoms. [During] the first week people are pretty settled. The second week is when we get a spike in agitation and aggression. But then we know them a little better and use non-pharmacological strategies. Then after a month, we know what non-pharmacological [strategies] will work and if the medications need to be changed.”&#10;Quote 2: “Usually, patient escalation occurs around discharge dates and acceptance of new patients. Sometimes [we see changes] immediately or within a week later. Generally, [BPSD symptoms] settle down and de-escalate over time. [Symptoms] also increased during COVID because staff were in full PPE which created a new level of angst to residents.”&#10;Quote 3: “When we have new admissions, the incidents change because it changes the dynamics, and relationships within the cottage. But after a while after the residents settle in, the incidents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image shows quotes from SDCP staff members related to temporary exacerbations of symptoms during new admissions. &#10;Quote 1: “We generally notice the stabilisation of symptoms. [During] the first week people are pretty settled. The second week is when we get a spike in agitation and aggression. But then we know them a little better and use non-pharmacological strategies. Then after a month, we know what non-pharmacological [strategies] will work and if the medications need to be changed.”&#10;Quote 2: “Usually, patient escalation occurs around discharge dates and acceptance of new patients. Sometimes [we see changes] immediately or within a week later. Generally, [BPSD symptoms] settle down and de-escalate over time. [Symptoms] also increased during COVID because staff were in full PPE which created a new level of angst to residents.”&#10;Quote 3: “When we have new admissions, the incidents change because it changes the dynamics, and relationships within the cottage. But after a while after the residents settle in, the incidents decrease.”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19520" cy="1579880"/>
                    </a:xfrm>
                    <a:prstGeom prst="rect">
                      <a:avLst/>
                    </a:prstGeom>
                    <a:noFill/>
                    <a:ln>
                      <a:noFill/>
                    </a:ln>
                  </pic:spPr>
                </pic:pic>
              </a:graphicData>
            </a:graphic>
          </wp:inline>
        </w:drawing>
      </w:r>
    </w:p>
    <w:p w14:paraId="5EB36D1C" w14:textId="77777777" w:rsidR="00623830" w:rsidRPr="00A81C9A" w:rsidRDefault="00623830" w:rsidP="00623830">
      <w:pPr>
        <w:rPr>
          <w:color w:val="53565A" w:themeColor="background2"/>
          <w:sz w:val="16"/>
          <w:szCs w:val="18"/>
        </w:rPr>
      </w:pPr>
      <w:r w:rsidRPr="009847EB">
        <w:rPr>
          <w:color w:val="53565A" w:themeColor="background2"/>
          <w:sz w:val="16"/>
          <w:szCs w:val="18"/>
        </w:rPr>
        <w:t>Source: Deloitte Access Economics analysis of stakeholder consultation</w:t>
      </w:r>
      <w:r>
        <w:rPr>
          <w:color w:val="53565A" w:themeColor="background2"/>
          <w:sz w:val="16"/>
          <w:szCs w:val="18"/>
        </w:rPr>
        <w:t>s</w:t>
      </w:r>
      <w:r w:rsidRPr="009847EB">
        <w:rPr>
          <w:color w:val="53565A" w:themeColor="background2"/>
          <w:sz w:val="16"/>
          <w:szCs w:val="18"/>
        </w:rPr>
        <w:t>, 2022</w:t>
      </w:r>
    </w:p>
    <w:p w14:paraId="3329253F" w14:textId="06BE460A" w:rsidR="009E3617" w:rsidRPr="009E3617" w:rsidRDefault="00703023" w:rsidP="00B25A58">
      <w:pPr>
        <w:spacing w:after="0"/>
        <w:rPr>
          <w:u w:val="single"/>
        </w:rPr>
      </w:pPr>
      <w:r>
        <w:rPr>
          <w:u w:val="single"/>
        </w:rPr>
        <w:t>C</w:t>
      </w:r>
      <w:r w:rsidR="009E3617">
        <w:rPr>
          <w:u w:val="single"/>
        </w:rPr>
        <w:t>ognitive functioning scores:</w:t>
      </w:r>
    </w:p>
    <w:p w14:paraId="1E36CA73" w14:textId="43E46750" w:rsidR="004727A7" w:rsidRDefault="00623830" w:rsidP="00911266">
      <w:r>
        <w:t xml:space="preserve">To assess </w:t>
      </w:r>
      <w:r w:rsidR="00FF4961">
        <w:t>improvements to resident</w:t>
      </w:r>
      <w:r w:rsidR="0085199E">
        <w:t xml:space="preserve"> cognitive and behavioural</w:t>
      </w:r>
      <w:r w:rsidR="00AA206C">
        <w:t xml:space="preserve"> </w:t>
      </w:r>
      <w:r w:rsidR="00FF4961">
        <w:t>functioning</w:t>
      </w:r>
      <w:r>
        <w:t xml:space="preserve">, </w:t>
      </w:r>
      <w:r w:rsidR="00781190">
        <w:t>SDCUs</w:t>
      </w:r>
      <w:r>
        <w:t xml:space="preserve"> </w:t>
      </w:r>
      <w:r w:rsidR="00AA206C">
        <w:t xml:space="preserve">were encouraged </w:t>
      </w:r>
      <w:r>
        <w:t xml:space="preserve">to use </w:t>
      </w:r>
      <w:r w:rsidR="0052785A">
        <w:t xml:space="preserve">the </w:t>
      </w:r>
      <w:r w:rsidR="005E4E6B">
        <w:t>Neuropsychiatric Inventory-Nursing Home (NPI-NH) tool</w:t>
      </w:r>
      <w:r>
        <w:t xml:space="preserve">. </w:t>
      </w:r>
      <w:r w:rsidR="005E4E6B">
        <w:t>The NPI-NH</w:t>
      </w:r>
      <w:r w:rsidR="00B231F2">
        <w:t xml:space="preserve"> </w:t>
      </w:r>
      <w:r w:rsidR="00055C77">
        <w:t>is</w:t>
      </w:r>
      <w:r w:rsidR="009260C6">
        <w:t xml:space="preserve"> a validated tool commonly</w:t>
      </w:r>
      <w:r w:rsidR="00055C77">
        <w:t xml:space="preserve"> used to assess and characterise the neuropsychiatric symptoms for patients in nursing homes</w:t>
      </w:r>
      <w:r w:rsidR="00991AEF">
        <w:t>. Scores are recorded a</w:t>
      </w:r>
      <w:r w:rsidR="00055C77">
        <w:t>cross twelve domains</w:t>
      </w:r>
      <w:r w:rsidR="00055C77">
        <w:rPr>
          <w:rStyle w:val="FootnoteReference"/>
        </w:rPr>
        <w:footnoteReference w:id="15"/>
      </w:r>
      <w:r w:rsidR="00055C77">
        <w:t xml:space="preserve"> and an overall score is then taken</w:t>
      </w:r>
      <w:r w:rsidR="000032F4">
        <w:t>, with a</w:t>
      </w:r>
      <w:r w:rsidR="00055C77">
        <w:t xml:space="preserve"> higher score indicat</w:t>
      </w:r>
      <w:r w:rsidR="000032F4">
        <w:t>ing</w:t>
      </w:r>
      <w:r w:rsidR="00055C77">
        <w:t xml:space="preserve"> </w:t>
      </w:r>
      <w:r w:rsidR="000032F4">
        <w:t xml:space="preserve">higher </w:t>
      </w:r>
      <w:r w:rsidR="00DB7377">
        <w:t>severi</w:t>
      </w:r>
      <w:r w:rsidR="005613D5">
        <w:t xml:space="preserve">ty. </w:t>
      </w:r>
      <w:r w:rsidR="004727A7">
        <w:rPr>
          <w:lang w:val="en-AU"/>
        </w:rPr>
        <w:t>It is worth noting however, that aggregate NPI-NH scores are not the best indicator of Program efficacy</w:t>
      </w:r>
      <w:r w:rsidR="001C6867">
        <w:rPr>
          <w:lang w:val="en-AU"/>
        </w:rPr>
        <w:t xml:space="preserve"> </w:t>
      </w:r>
      <w:r w:rsidR="004727A7">
        <w:rPr>
          <w:lang w:val="en-AU"/>
        </w:rPr>
        <w:t xml:space="preserve">for two </w:t>
      </w:r>
      <w:r w:rsidR="001C6867">
        <w:rPr>
          <w:lang w:val="en-AU"/>
        </w:rPr>
        <w:t>primary r</w:t>
      </w:r>
      <w:r w:rsidR="004727A7">
        <w:rPr>
          <w:lang w:val="en-AU"/>
        </w:rPr>
        <w:t>easons:</w:t>
      </w:r>
    </w:p>
    <w:p w14:paraId="4097AB82" w14:textId="2C5C4BCB" w:rsidR="004727A7" w:rsidRDefault="00190739" w:rsidP="00C063DC">
      <w:pPr>
        <w:pStyle w:val="ListParagraph"/>
        <w:numPr>
          <w:ilvl w:val="0"/>
          <w:numId w:val="33"/>
        </w:numPr>
        <w:ind w:left="284" w:hanging="284"/>
        <w:rPr>
          <w:lang w:val="en-AU"/>
        </w:rPr>
      </w:pPr>
      <w:r w:rsidRPr="00F95610">
        <w:rPr>
          <w:rFonts w:asciiTheme="majorHAnsi" w:hAnsiTheme="majorHAnsi" w:cstheme="majorHAnsi"/>
          <w:b/>
          <w:bCs/>
          <w:lang w:val="en-AU"/>
        </w:rPr>
        <w:t xml:space="preserve">The </w:t>
      </w:r>
      <w:r w:rsidR="0024304B">
        <w:rPr>
          <w:rFonts w:asciiTheme="majorHAnsi" w:hAnsiTheme="majorHAnsi" w:cstheme="majorHAnsi"/>
          <w:b/>
          <w:bCs/>
          <w:lang w:val="en-AU"/>
        </w:rPr>
        <w:t>Program’s</w:t>
      </w:r>
      <w:r w:rsidR="0024304B" w:rsidRPr="00F95610">
        <w:rPr>
          <w:rFonts w:asciiTheme="majorHAnsi" w:hAnsiTheme="majorHAnsi" w:cstheme="majorHAnsi"/>
          <w:b/>
          <w:bCs/>
          <w:lang w:val="en-AU"/>
        </w:rPr>
        <w:t xml:space="preserve"> </w:t>
      </w:r>
      <w:r w:rsidR="0071207B">
        <w:rPr>
          <w:rFonts w:asciiTheme="majorHAnsi" w:hAnsiTheme="majorHAnsi" w:cstheme="majorHAnsi"/>
          <w:b/>
          <w:bCs/>
          <w:lang w:val="en-AU"/>
        </w:rPr>
        <w:t>mod</w:t>
      </w:r>
      <w:r w:rsidRPr="00F95610">
        <w:rPr>
          <w:rFonts w:asciiTheme="majorHAnsi" w:hAnsiTheme="majorHAnsi" w:cstheme="majorHAnsi"/>
          <w:b/>
          <w:bCs/>
          <w:lang w:val="en-AU"/>
        </w:rPr>
        <w:t xml:space="preserve">el of </w:t>
      </w:r>
      <w:r w:rsidR="0071207B">
        <w:rPr>
          <w:rFonts w:asciiTheme="majorHAnsi" w:hAnsiTheme="majorHAnsi" w:cstheme="majorHAnsi"/>
          <w:b/>
          <w:bCs/>
          <w:lang w:val="en-AU"/>
        </w:rPr>
        <w:t>c</w:t>
      </w:r>
      <w:r w:rsidRPr="00F95610">
        <w:rPr>
          <w:rFonts w:asciiTheme="majorHAnsi" w:hAnsiTheme="majorHAnsi" w:cstheme="majorHAnsi"/>
          <w:b/>
          <w:bCs/>
          <w:lang w:val="en-AU"/>
        </w:rPr>
        <w:t xml:space="preserve">are targets some, but not all, </w:t>
      </w:r>
      <w:r w:rsidR="004727A7" w:rsidRPr="00F95610">
        <w:rPr>
          <w:rFonts w:asciiTheme="majorHAnsi" w:hAnsiTheme="majorHAnsi" w:cstheme="majorHAnsi"/>
          <w:b/>
          <w:bCs/>
          <w:lang w:val="en-AU"/>
        </w:rPr>
        <w:t>NPI-NH domains.</w:t>
      </w:r>
      <w:r w:rsidR="004727A7" w:rsidRPr="00F95610">
        <w:rPr>
          <w:rFonts w:asciiTheme="majorHAnsi" w:hAnsiTheme="majorHAnsi" w:cstheme="majorHAnsi"/>
          <w:lang w:val="en-AU"/>
        </w:rPr>
        <w:t xml:space="preserve"> </w:t>
      </w:r>
      <w:r w:rsidR="00E22937" w:rsidRPr="000E64DC">
        <w:t>The objectives of the Program mainly relate to the agitation and aggression domains.</w:t>
      </w:r>
    </w:p>
    <w:p w14:paraId="159B7C03" w14:textId="642D8566" w:rsidR="004727A7" w:rsidRDefault="008B638A" w:rsidP="00C063DC">
      <w:pPr>
        <w:pStyle w:val="ListParagraph"/>
        <w:numPr>
          <w:ilvl w:val="0"/>
          <w:numId w:val="33"/>
        </w:numPr>
        <w:ind w:left="284" w:hanging="284"/>
        <w:rPr>
          <w:lang w:val="en-AU"/>
        </w:rPr>
      </w:pPr>
      <w:r w:rsidRPr="00F95610">
        <w:rPr>
          <w:rFonts w:asciiTheme="majorHAnsi" w:hAnsiTheme="majorHAnsi" w:cstheme="majorHAnsi"/>
          <w:b/>
          <w:lang w:val="en-AU"/>
        </w:rPr>
        <w:t xml:space="preserve">Each domain is </w:t>
      </w:r>
      <w:r w:rsidR="009811BD" w:rsidRPr="00F95610">
        <w:rPr>
          <w:rFonts w:asciiTheme="majorHAnsi" w:hAnsiTheme="majorHAnsi" w:cstheme="majorHAnsi"/>
          <w:b/>
          <w:lang w:val="en-AU"/>
        </w:rPr>
        <w:t>rated</w:t>
      </w:r>
      <w:r w:rsidRPr="00F95610">
        <w:rPr>
          <w:rFonts w:asciiTheme="majorHAnsi" w:hAnsiTheme="majorHAnsi" w:cstheme="majorHAnsi"/>
          <w:b/>
          <w:lang w:val="en-AU"/>
        </w:rPr>
        <w:t xml:space="preserve"> </w:t>
      </w:r>
      <w:r w:rsidR="009811BD" w:rsidRPr="00F95610">
        <w:rPr>
          <w:rFonts w:asciiTheme="majorHAnsi" w:hAnsiTheme="majorHAnsi" w:cstheme="majorHAnsi"/>
          <w:b/>
          <w:lang w:val="en-AU"/>
        </w:rPr>
        <w:t>according to three metrics</w:t>
      </w:r>
      <w:r w:rsidR="004727A7" w:rsidRPr="00F95610">
        <w:rPr>
          <w:rFonts w:asciiTheme="majorHAnsi" w:hAnsiTheme="majorHAnsi" w:cstheme="majorHAnsi"/>
          <w:b/>
          <w:lang w:val="en-AU"/>
        </w:rPr>
        <w:t>.</w:t>
      </w:r>
      <w:r w:rsidR="004727A7">
        <w:rPr>
          <w:lang w:val="en-AU"/>
        </w:rPr>
        <w:t xml:space="preserve"> </w:t>
      </w:r>
      <w:r w:rsidR="00087446">
        <w:rPr>
          <w:lang w:val="en-AU"/>
        </w:rPr>
        <w:t>As t</w:t>
      </w:r>
      <w:r w:rsidR="004727A7">
        <w:rPr>
          <w:lang w:val="en-AU"/>
        </w:rPr>
        <w:t xml:space="preserve">he </w:t>
      </w:r>
      <w:r w:rsidR="00087446">
        <w:rPr>
          <w:lang w:val="en-AU"/>
        </w:rPr>
        <w:t xml:space="preserve">NPI-NH </w:t>
      </w:r>
      <w:r w:rsidR="004727A7">
        <w:rPr>
          <w:lang w:val="en-AU"/>
        </w:rPr>
        <w:t xml:space="preserve">tool scores each domain on frequency, severity and </w:t>
      </w:r>
      <w:r w:rsidR="00C16611">
        <w:rPr>
          <w:lang w:val="en-AU"/>
        </w:rPr>
        <w:t xml:space="preserve">occupational </w:t>
      </w:r>
      <w:r w:rsidR="004727A7">
        <w:rPr>
          <w:lang w:val="en-AU"/>
        </w:rPr>
        <w:t>disruptiveness</w:t>
      </w:r>
      <w:r w:rsidR="00087446">
        <w:rPr>
          <w:lang w:val="en-AU"/>
        </w:rPr>
        <w:t xml:space="preserve">, a higher </w:t>
      </w:r>
      <w:r w:rsidR="004727A7">
        <w:rPr>
          <w:lang w:val="en-AU"/>
        </w:rPr>
        <w:t>score may be due to changes in one of these criteria.</w:t>
      </w:r>
      <w:r w:rsidR="00087446">
        <w:rPr>
          <w:lang w:val="en-AU"/>
        </w:rPr>
        <w:t xml:space="preserve"> </w:t>
      </w:r>
      <w:r w:rsidR="00241B08">
        <w:rPr>
          <w:lang w:val="en-AU"/>
        </w:rPr>
        <w:t>However, g</w:t>
      </w:r>
      <w:r w:rsidR="004727A7">
        <w:rPr>
          <w:lang w:val="en-AU"/>
        </w:rPr>
        <w:t xml:space="preserve">iven </w:t>
      </w:r>
      <w:r w:rsidR="007A3B58">
        <w:rPr>
          <w:lang w:val="en-AU"/>
        </w:rPr>
        <w:t>the</w:t>
      </w:r>
      <w:r w:rsidR="004727A7">
        <w:rPr>
          <w:lang w:val="en-AU"/>
        </w:rPr>
        <w:t xml:space="preserve"> progression of BPSD</w:t>
      </w:r>
      <w:r w:rsidR="007A3B58">
        <w:rPr>
          <w:lang w:val="en-AU"/>
        </w:rPr>
        <w:t xml:space="preserve"> for residents, the definition of ‘success’ in their care goals</w:t>
      </w:r>
      <w:r w:rsidR="005A7E4D">
        <w:rPr>
          <w:lang w:val="en-AU"/>
        </w:rPr>
        <w:t xml:space="preserve"> may relate more to one metric</w:t>
      </w:r>
      <w:r w:rsidR="00C16611">
        <w:rPr>
          <w:lang w:val="en-AU"/>
        </w:rPr>
        <w:t xml:space="preserve"> (e.g.</w:t>
      </w:r>
      <w:r w:rsidR="004F1F9F">
        <w:rPr>
          <w:lang w:val="en-AU"/>
        </w:rPr>
        <w:t>,</w:t>
      </w:r>
      <w:r w:rsidR="00C16611">
        <w:rPr>
          <w:lang w:val="en-AU"/>
        </w:rPr>
        <w:t xml:space="preserve"> reducing the severity of symptoms but not the frequency)</w:t>
      </w:r>
      <w:r w:rsidR="005A7E4D">
        <w:rPr>
          <w:lang w:val="en-AU"/>
        </w:rPr>
        <w:t>.</w:t>
      </w:r>
    </w:p>
    <w:p w14:paraId="1440276F" w14:textId="7AB32EF6" w:rsidR="003D1B12" w:rsidRPr="00A73670" w:rsidRDefault="00FF3DCD" w:rsidP="003D1B12">
      <w:r>
        <w:rPr>
          <w:lang w:val="en-AU"/>
        </w:rPr>
        <w:t xml:space="preserve">Accordingly, to measure the extent to which the Program has </w:t>
      </w:r>
      <w:r w:rsidR="00EE152F">
        <w:rPr>
          <w:lang w:val="en-AU"/>
        </w:rPr>
        <w:t>contributed</w:t>
      </w:r>
      <w:r>
        <w:rPr>
          <w:lang w:val="en-AU"/>
        </w:rPr>
        <w:t xml:space="preserve"> to </w:t>
      </w:r>
      <w:r w:rsidR="00EE152F">
        <w:rPr>
          <w:lang w:val="en-AU"/>
        </w:rPr>
        <w:t>a reduction</w:t>
      </w:r>
      <w:r>
        <w:rPr>
          <w:lang w:val="en-AU"/>
        </w:rPr>
        <w:t xml:space="preserve"> in </w:t>
      </w:r>
      <w:r w:rsidR="001354DC">
        <w:rPr>
          <w:lang w:val="en-AU"/>
        </w:rPr>
        <w:t>BPSD</w:t>
      </w:r>
      <w:r>
        <w:rPr>
          <w:lang w:val="en-AU"/>
        </w:rPr>
        <w:t>, data on individual domain</w:t>
      </w:r>
      <w:r w:rsidR="000030A3">
        <w:rPr>
          <w:lang w:val="en-AU"/>
        </w:rPr>
        <w:t>s</w:t>
      </w:r>
      <w:r>
        <w:rPr>
          <w:lang w:val="en-AU"/>
        </w:rPr>
        <w:t xml:space="preserve"> and metric</w:t>
      </w:r>
      <w:r w:rsidR="00C64179">
        <w:rPr>
          <w:lang w:val="en-AU"/>
        </w:rPr>
        <w:t>s</w:t>
      </w:r>
      <w:r>
        <w:rPr>
          <w:lang w:val="en-AU"/>
        </w:rPr>
        <w:t xml:space="preserve"> </w:t>
      </w:r>
      <w:r w:rsidR="000030A3">
        <w:rPr>
          <w:lang w:val="en-AU"/>
        </w:rPr>
        <w:t>would ideally</w:t>
      </w:r>
      <w:r>
        <w:rPr>
          <w:lang w:val="en-AU"/>
        </w:rPr>
        <w:t xml:space="preserve"> be </w:t>
      </w:r>
      <w:r w:rsidR="000030A3">
        <w:rPr>
          <w:lang w:val="en-AU"/>
        </w:rPr>
        <w:t>assessed</w:t>
      </w:r>
      <w:r>
        <w:rPr>
          <w:lang w:val="en-AU"/>
        </w:rPr>
        <w:t xml:space="preserve">. </w:t>
      </w:r>
      <w:r w:rsidR="00087890">
        <w:t xml:space="preserve">However, </w:t>
      </w:r>
      <w:r w:rsidR="000B295D">
        <w:t>such analysis was not possible due to gaps in the secondary data provided by SDCUs.</w:t>
      </w:r>
      <w:r w:rsidR="004F6D71">
        <w:t xml:space="preserve"> </w:t>
      </w:r>
      <w:r w:rsidR="002F0F36">
        <w:t>O</w:t>
      </w:r>
      <w:r w:rsidR="00797A6A">
        <w:t>f the ten SDCU sites, f</w:t>
      </w:r>
      <w:r w:rsidR="00797A6A" w:rsidRPr="00797A6A">
        <w:t>ive provided data on NPI-NH score</w:t>
      </w:r>
      <w:r w:rsidR="004F6D71">
        <w:t>s</w:t>
      </w:r>
      <w:r w:rsidR="00CC47D8">
        <w:t xml:space="preserve">, with </w:t>
      </w:r>
      <w:r w:rsidR="00967588">
        <w:t xml:space="preserve">only </w:t>
      </w:r>
      <w:r w:rsidR="00CC47D8">
        <w:t xml:space="preserve">two sites providing </w:t>
      </w:r>
      <w:r w:rsidR="004B18BE">
        <w:t>NPI-NH scores broken down by domain</w:t>
      </w:r>
      <w:r w:rsidR="00B43314">
        <w:t>. As a result of this</w:t>
      </w:r>
      <w:r w:rsidR="004F6D71">
        <w:t xml:space="preserve"> small sample size</w:t>
      </w:r>
      <w:r w:rsidR="00B43314">
        <w:t>,</w:t>
      </w:r>
      <w:r w:rsidR="00CE5A43">
        <w:t xml:space="preserve"> n</w:t>
      </w:r>
      <w:r w:rsidR="004F6D71">
        <w:t xml:space="preserve">o major trends </w:t>
      </w:r>
      <w:r w:rsidR="001754CB">
        <w:t xml:space="preserve">could be </w:t>
      </w:r>
      <w:r w:rsidR="00B43314">
        <w:t>analysed</w:t>
      </w:r>
      <w:r w:rsidR="001754CB">
        <w:t xml:space="preserve"> at a </w:t>
      </w:r>
      <w:r w:rsidR="00B43314">
        <w:t>domain level</w:t>
      </w:r>
      <w:r w:rsidR="004F6D71">
        <w:t xml:space="preserve">. When looking at aggregate NPI-NH scores, </w:t>
      </w:r>
      <w:r w:rsidR="00CC7378">
        <w:t>t</w:t>
      </w:r>
      <w:r w:rsidR="00E50496">
        <w:t>here was</w:t>
      </w:r>
      <w:r w:rsidR="004F6D71">
        <w:t xml:space="preserve"> also</w:t>
      </w:r>
      <w:r w:rsidR="00E50496">
        <w:t xml:space="preserve"> high variation across sites in the average scor</w:t>
      </w:r>
      <w:r w:rsidR="00D43949">
        <w:t>e</w:t>
      </w:r>
      <w:r w:rsidR="004F6D71">
        <w:t xml:space="preserve"> at admission,</w:t>
      </w:r>
      <w:r w:rsidR="00D66E3B">
        <w:t xml:space="preserve"> which s</w:t>
      </w:r>
      <w:r w:rsidR="00E50496">
        <w:t>uggest</w:t>
      </w:r>
      <w:r w:rsidR="00D66E3B">
        <w:t>s</w:t>
      </w:r>
      <w:r w:rsidR="00E50496">
        <w:t xml:space="preserve"> the</w:t>
      </w:r>
      <w:r w:rsidR="00F75E7B">
        <w:t xml:space="preserve"> </w:t>
      </w:r>
      <w:r w:rsidR="00E50496">
        <w:t>tool was applied differently across SDCUs</w:t>
      </w:r>
      <w:r w:rsidR="00D66E3B">
        <w:t>.</w:t>
      </w:r>
      <w:r w:rsidR="00CC7378">
        <w:t xml:space="preserve"> NPI-NH scores were also not consistently captured at three-month intervals until discharge, limiting the ability to map changes </w:t>
      </w:r>
      <w:r w:rsidR="004F6D71">
        <w:t xml:space="preserve">in scores </w:t>
      </w:r>
      <w:r w:rsidR="00CC7378">
        <w:t xml:space="preserve">over time. </w:t>
      </w:r>
      <w:r w:rsidR="003D1B12">
        <w:t xml:space="preserve">Accordingly, </w:t>
      </w:r>
      <w:r w:rsidR="003D1B12">
        <w:rPr>
          <w:lang w:val="en-AU"/>
        </w:rPr>
        <w:t xml:space="preserve">there is an opportunity to work with, and provide standardised training to, SDCUs to promote the consistent capture of NPI-NH scores at a domain level to facilitate stronger resident monitoring and Program evaluation activities. </w:t>
      </w:r>
      <w:r w:rsidR="00A73670">
        <w:t xml:space="preserve">The implications of data collection limitations are </w:t>
      </w:r>
      <w:r w:rsidR="00A73670" w:rsidRPr="00575856">
        <w:t>discussed further in Section</w:t>
      </w:r>
      <w:r w:rsidR="00AB5C16">
        <w:t xml:space="preserve"> </w:t>
      </w:r>
      <w:r w:rsidR="00AB5C16">
        <w:fldChar w:fldCharType="begin"/>
      </w:r>
      <w:r w:rsidR="00AB5C16">
        <w:instrText xml:space="preserve"> REF _Ref124176156 \r \h </w:instrText>
      </w:r>
      <w:r w:rsidR="00AB5C16">
        <w:fldChar w:fldCharType="separate"/>
      </w:r>
      <w:r w:rsidR="00D32536">
        <w:t>7</w:t>
      </w:r>
      <w:r w:rsidR="00AB5C16">
        <w:fldChar w:fldCharType="end"/>
      </w:r>
      <w:r w:rsidR="00A73670" w:rsidRPr="00575856">
        <w:t>.</w:t>
      </w:r>
    </w:p>
    <w:p w14:paraId="1A99A582" w14:textId="33786B1F" w:rsidR="00412502" w:rsidRDefault="00CD4639" w:rsidP="004C5393">
      <w:pPr>
        <w:rPr>
          <w:spacing w:val="-2"/>
        </w:rPr>
      </w:pPr>
      <w:r>
        <w:rPr>
          <w:lang w:val="en-AU"/>
        </w:rPr>
        <w:t>While analysis could not be performed by domain</w:t>
      </w:r>
      <w:r w:rsidR="00C82471">
        <w:t xml:space="preserve">, </w:t>
      </w:r>
      <w:r>
        <w:t>analysis on aggregate NPI-NH scores</w:t>
      </w:r>
      <w:r w:rsidR="00C82471">
        <w:t xml:space="preserve"> </w:t>
      </w:r>
      <w:r w:rsidR="00481F2F">
        <w:t xml:space="preserve">instead </w:t>
      </w:r>
      <w:r w:rsidR="00C82471">
        <w:t>looked at the directional change</w:t>
      </w:r>
      <w:r w:rsidR="00385AD8">
        <w:rPr>
          <w:rStyle w:val="FootnoteReference"/>
        </w:rPr>
        <w:footnoteReference w:id="16"/>
      </w:r>
      <w:r w:rsidR="00C82471">
        <w:t xml:space="preserve"> </w:t>
      </w:r>
      <w:r w:rsidR="00385AD8">
        <w:t>for</w:t>
      </w:r>
      <w:r w:rsidR="00481F2F">
        <w:t xml:space="preserve"> resi</w:t>
      </w:r>
      <w:r w:rsidR="00385AD8">
        <w:t>de</w:t>
      </w:r>
      <w:r w:rsidR="00481F2F">
        <w:t>nts</w:t>
      </w:r>
      <w:r w:rsidR="00385AD8">
        <w:t xml:space="preserve"> </w:t>
      </w:r>
      <w:r w:rsidR="005F1089">
        <w:t>who were discharged due to settled BPSD</w:t>
      </w:r>
      <w:r w:rsidR="002402EA">
        <w:t xml:space="preserve">. </w:t>
      </w:r>
      <w:r w:rsidR="00A341EE">
        <w:t>As shown</w:t>
      </w:r>
      <w:r w:rsidR="00D17904">
        <w:t xml:space="preserve"> in</w:t>
      </w:r>
      <w:r w:rsidR="000217E8">
        <w:t xml:space="preserve"> </w:t>
      </w:r>
      <w:r w:rsidR="000217E8">
        <w:fldChar w:fldCharType="begin"/>
      </w:r>
      <w:r w:rsidR="000217E8">
        <w:instrText xml:space="preserve"> REF _Ref125367660 \h </w:instrText>
      </w:r>
      <w:r w:rsidR="000217E8">
        <w:fldChar w:fldCharType="separate"/>
      </w:r>
      <w:r w:rsidR="00D32536">
        <w:t xml:space="preserve">Figure </w:t>
      </w:r>
      <w:r w:rsidR="00D32536">
        <w:rPr>
          <w:noProof/>
        </w:rPr>
        <w:t>5</w:t>
      </w:r>
      <w:r w:rsidR="00D32536" w:rsidRPr="00FF1BD9">
        <w:t>.</w:t>
      </w:r>
      <w:r w:rsidR="00D32536">
        <w:rPr>
          <w:noProof/>
        </w:rPr>
        <w:t>6</w:t>
      </w:r>
      <w:r w:rsidR="000217E8">
        <w:fldChar w:fldCharType="end"/>
      </w:r>
      <w:r w:rsidR="00A341EE">
        <w:t xml:space="preserve">, of the residents who were discharged due to settled BPSD, </w:t>
      </w:r>
      <w:r w:rsidR="004C5393">
        <w:t xml:space="preserve">only </w:t>
      </w:r>
      <w:r w:rsidR="00A341EE">
        <w:t>55</w:t>
      </w:r>
      <w:r w:rsidR="00FF5B23">
        <w:t xml:space="preserve">% </w:t>
      </w:r>
      <w:r w:rsidR="00AF5934">
        <w:t xml:space="preserve">showed </w:t>
      </w:r>
      <w:r w:rsidR="005F1089">
        <w:t>a decrease</w:t>
      </w:r>
      <w:r w:rsidR="00AF5934">
        <w:t xml:space="preserve"> in aggregate</w:t>
      </w:r>
      <w:r w:rsidR="005F1089">
        <w:t xml:space="preserve"> NPI-NH score between their first and final assessment</w:t>
      </w:r>
      <w:r w:rsidR="005E55DB">
        <w:t xml:space="preserve">. </w:t>
      </w:r>
      <w:r w:rsidR="00F37D1A">
        <w:rPr>
          <w:spacing w:val="-2"/>
        </w:rPr>
        <w:t>Due to limitations in the data provided, it is not possible to accurately deduce the reason for this trend, as the drivers behind an increased or decreased NPI-NH score (being the individual domain scores) were not captured</w:t>
      </w:r>
      <w:r w:rsidR="00204457">
        <w:rPr>
          <w:spacing w:val="-2"/>
        </w:rPr>
        <w:t xml:space="preserve">. </w:t>
      </w:r>
      <w:r w:rsidR="00FA1AED">
        <w:rPr>
          <w:spacing w:val="-2"/>
        </w:rPr>
        <w:t xml:space="preserve">Further, given the Program’s model of care targets some, but not all, NPI-NH domains and each aggregate NPI-NH domain is rated across three metrics (as mentioned above), </w:t>
      </w:r>
      <w:r w:rsidR="00335903">
        <w:rPr>
          <w:spacing w:val="-2"/>
        </w:rPr>
        <w:t>the aggregate NPI-NH score is not necessarily indicative of whether a resident showed settled or exacerbated behaviours</w:t>
      </w:r>
      <w:r w:rsidR="00EC1986">
        <w:rPr>
          <w:spacing w:val="-2"/>
        </w:rPr>
        <w:t>.</w:t>
      </w:r>
      <w:r w:rsidR="00171A87">
        <w:rPr>
          <w:spacing w:val="-2"/>
        </w:rPr>
        <w:t xml:space="preserve"> </w:t>
      </w:r>
    </w:p>
    <w:p w14:paraId="0DE0246E" w14:textId="6DEA623E" w:rsidR="00412502" w:rsidRPr="00FF1BD9" w:rsidRDefault="000217E8" w:rsidP="00412502">
      <w:pPr>
        <w:pStyle w:val="Caption"/>
      </w:pPr>
      <w:bookmarkStart w:id="70" w:name="_Ref125367660"/>
      <w:r>
        <w:t>Figure</w:t>
      </w:r>
      <w:r w:rsidR="004A344D">
        <w:t xml:space="preserve"> </w:t>
      </w:r>
      <w:r w:rsidR="00412502" w:rsidRPr="00FF1BD9">
        <w:fldChar w:fldCharType="begin"/>
      </w:r>
      <w:r w:rsidR="00412502" w:rsidRPr="00FF1BD9">
        <w:instrText xml:space="preserve"> STYLEREF 1 \s </w:instrText>
      </w:r>
      <w:r w:rsidR="00412502" w:rsidRPr="00FF1BD9">
        <w:fldChar w:fldCharType="separate"/>
      </w:r>
      <w:r w:rsidR="00D32536">
        <w:rPr>
          <w:noProof/>
        </w:rPr>
        <w:t>5</w:t>
      </w:r>
      <w:r w:rsidR="00412502" w:rsidRPr="00FF1BD9">
        <w:fldChar w:fldCharType="end"/>
      </w:r>
      <w:r w:rsidR="00412502" w:rsidRPr="00FF1BD9">
        <w:t>.</w:t>
      </w:r>
      <w:r w:rsidR="008875A8">
        <w:fldChar w:fldCharType="begin"/>
      </w:r>
      <w:r w:rsidR="008875A8">
        <w:instrText xml:space="preserve"> SEQ Figure \* ARABIC \s 1 </w:instrText>
      </w:r>
      <w:r w:rsidR="008875A8">
        <w:fldChar w:fldCharType="separate"/>
      </w:r>
      <w:r w:rsidR="00D32536">
        <w:rPr>
          <w:noProof/>
        </w:rPr>
        <w:t>6</w:t>
      </w:r>
      <w:r w:rsidR="008875A8">
        <w:fldChar w:fldCharType="end"/>
      </w:r>
      <w:bookmarkEnd w:id="70"/>
      <w:r w:rsidR="00412502" w:rsidRPr="00FF1BD9">
        <w:t xml:space="preserve"> Proportion of discharged residents whose NPI-NH score decreased, increased and did not change between admission and discharge (n=</w:t>
      </w:r>
      <w:r w:rsidR="00412502">
        <w:t>31</w:t>
      </w:r>
      <w:r w:rsidR="00412502" w:rsidRPr="00FF1BD9">
        <w:t>)</w:t>
      </w:r>
    </w:p>
    <w:p w14:paraId="6AE247DB" w14:textId="14A22C45" w:rsidR="00412502" w:rsidRDefault="006166DD" w:rsidP="00412502">
      <w:pPr>
        <w:spacing w:after="0"/>
        <w:jc w:val="center"/>
        <w:rPr>
          <w:lang w:val="en-AU"/>
        </w:rPr>
      </w:pPr>
      <w:r w:rsidRPr="006166DD">
        <w:rPr>
          <w:noProof/>
        </w:rPr>
        <w:drawing>
          <wp:inline distT="0" distB="0" distL="0" distR="0" wp14:anchorId="63BCF190" wp14:editId="0413776E">
            <wp:extent cx="5419725" cy="5133975"/>
            <wp:effectExtent l="0" t="0" r="9525" b="9525"/>
            <wp:docPr id="58" name="Picture 58" descr="This image shows a vertical bar chart of the proportion of residents discharged due to settled BPSD. The findings are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image shows a vertical bar chart of the proportion of residents discharged due to settled BPSD. The findings are described above.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9725" cy="5133975"/>
                    </a:xfrm>
                    <a:prstGeom prst="rect">
                      <a:avLst/>
                    </a:prstGeom>
                    <a:noFill/>
                    <a:ln>
                      <a:noFill/>
                    </a:ln>
                  </pic:spPr>
                </pic:pic>
              </a:graphicData>
            </a:graphic>
          </wp:inline>
        </w:drawing>
      </w:r>
    </w:p>
    <w:p w14:paraId="05EB89BC" w14:textId="230DDF93" w:rsidR="00412502" w:rsidRPr="009847EB" w:rsidRDefault="00412502" w:rsidP="00412502">
      <w:pPr>
        <w:spacing w:after="170"/>
        <w:rPr>
          <w:color w:val="53565A" w:themeColor="background2"/>
          <w:sz w:val="16"/>
          <w:szCs w:val="18"/>
        </w:rPr>
      </w:pPr>
      <w:r w:rsidRPr="009847EB">
        <w:rPr>
          <w:color w:val="53565A" w:themeColor="background2"/>
          <w:sz w:val="16"/>
          <w:szCs w:val="18"/>
        </w:rPr>
        <w:t xml:space="preserve">Source: Deloitte Access Economics analysis of secondary data from four </w:t>
      </w:r>
      <w:r w:rsidR="0024304B">
        <w:rPr>
          <w:color w:val="53565A" w:themeColor="background2"/>
          <w:sz w:val="16"/>
          <w:szCs w:val="18"/>
        </w:rPr>
        <w:t>SDCUs</w:t>
      </w:r>
      <w:r w:rsidRPr="009847EB">
        <w:rPr>
          <w:color w:val="53565A" w:themeColor="background2"/>
          <w:sz w:val="16"/>
          <w:szCs w:val="18"/>
        </w:rPr>
        <w:t>, 2022</w:t>
      </w:r>
    </w:p>
    <w:p w14:paraId="5F329580" w14:textId="2A1A9633" w:rsidR="00663031" w:rsidRDefault="00BE11B4" w:rsidP="00663031">
      <w:pPr>
        <w:rPr>
          <w:lang w:val="en-AU"/>
        </w:rPr>
      </w:pPr>
      <w:r>
        <w:rPr>
          <w:lang w:val="en-AU"/>
        </w:rPr>
        <w:t xml:space="preserve">Given the </w:t>
      </w:r>
      <w:r w:rsidR="0038437E">
        <w:rPr>
          <w:lang w:val="en-AU"/>
        </w:rPr>
        <w:t>inconsistent capture of</w:t>
      </w:r>
      <w:r>
        <w:rPr>
          <w:lang w:val="en-AU"/>
        </w:rPr>
        <w:t xml:space="preserve"> NPI-NH dat</w:t>
      </w:r>
      <w:r w:rsidR="0038437E">
        <w:rPr>
          <w:lang w:val="en-AU"/>
        </w:rPr>
        <w:t>a</w:t>
      </w:r>
      <w:r w:rsidR="005E55DB">
        <w:rPr>
          <w:lang w:val="en-AU"/>
        </w:rPr>
        <w:t xml:space="preserve">, there is </w:t>
      </w:r>
      <w:r w:rsidR="00A73670">
        <w:rPr>
          <w:lang w:val="en-AU"/>
        </w:rPr>
        <w:t xml:space="preserve">also </w:t>
      </w:r>
      <w:r w:rsidR="00663031">
        <w:t>an opportunity to</w:t>
      </w:r>
      <w:r w:rsidR="005E55DB">
        <w:t xml:space="preserve"> work with </w:t>
      </w:r>
      <w:r>
        <w:t>providers</w:t>
      </w:r>
      <w:r w:rsidR="005E55DB">
        <w:t xml:space="preserve"> to</w:t>
      </w:r>
      <w:r w:rsidR="00663031">
        <w:t xml:space="preserve"> explore </w:t>
      </w:r>
      <w:r w:rsidR="00A73670">
        <w:t>any other</w:t>
      </w:r>
      <w:r w:rsidR="00663031">
        <w:t xml:space="preserve"> </w:t>
      </w:r>
      <w:r w:rsidR="00B56D82">
        <w:t>measures</w:t>
      </w:r>
      <w:r w:rsidR="00663031">
        <w:t xml:space="preserve"> </w:t>
      </w:r>
      <w:r>
        <w:t>SDCU</w:t>
      </w:r>
      <w:r w:rsidR="0038437E">
        <w:t>s</w:t>
      </w:r>
      <w:r>
        <w:t xml:space="preserve"> use</w:t>
      </w:r>
      <w:r w:rsidR="00663031">
        <w:t xml:space="preserve"> to monitor residents’ progress and</w:t>
      </w:r>
      <w:r w:rsidR="00B56D82">
        <w:t xml:space="preserve"> determine readiness for discharge. This could help inform </w:t>
      </w:r>
      <w:r w:rsidR="00663031">
        <w:t>future learning for Phase Two sites, including valuable tools to</w:t>
      </w:r>
      <w:r w:rsidR="009C63B2">
        <w:t xml:space="preserve"> </w:t>
      </w:r>
      <w:r w:rsidR="00A73670">
        <w:t>tracking behavioural changes, structuring resident</w:t>
      </w:r>
      <w:r w:rsidR="00663031" w:rsidRPr="00663031">
        <w:rPr>
          <w:lang w:val="en-AU"/>
        </w:rPr>
        <w:t xml:space="preserve"> goals and set</w:t>
      </w:r>
      <w:r w:rsidR="00A73670">
        <w:rPr>
          <w:lang w:val="en-AU"/>
        </w:rPr>
        <w:t>ting</w:t>
      </w:r>
      <w:r w:rsidR="00663031" w:rsidRPr="00663031">
        <w:rPr>
          <w:lang w:val="en-AU"/>
        </w:rPr>
        <w:t xml:space="preserve"> expectations with families about what ‘success’ looks like for discharge</w:t>
      </w:r>
      <w:r w:rsidR="001A0830">
        <w:rPr>
          <w:lang w:val="en-AU"/>
        </w:rPr>
        <w:t>.</w:t>
      </w:r>
    </w:p>
    <w:p w14:paraId="06E67929" w14:textId="5932BAFC" w:rsidR="005B1DB3" w:rsidRPr="007D75D1" w:rsidRDefault="00192BEF" w:rsidP="004E5731">
      <w:pPr>
        <w:pStyle w:val="Heading4thematicstatement"/>
        <w:spacing w:after="170"/>
        <w:rPr>
          <w:rFonts w:asciiTheme="majorHAnsi" w:hAnsiTheme="majorHAnsi" w:cstheme="majorHAnsi"/>
        </w:rPr>
      </w:pPr>
      <w:r w:rsidRPr="007D75D1">
        <w:rPr>
          <w:rFonts w:asciiTheme="majorHAnsi" w:hAnsiTheme="majorHAnsi" w:cstheme="majorHAnsi"/>
        </w:rPr>
        <w:t>There is a</w:t>
      </w:r>
      <w:r w:rsidR="004F75B1" w:rsidRPr="007D75D1">
        <w:rPr>
          <w:rFonts w:asciiTheme="majorHAnsi" w:hAnsiTheme="majorHAnsi" w:cstheme="majorHAnsi"/>
        </w:rPr>
        <w:t xml:space="preserve"> small</w:t>
      </w:r>
      <w:r w:rsidR="003F1834" w:rsidRPr="007D75D1">
        <w:rPr>
          <w:rFonts w:asciiTheme="majorHAnsi" w:hAnsiTheme="majorHAnsi" w:cstheme="majorHAnsi"/>
        </w:rPr>
        <w:t xml:space="preserve"> proportion of residents </w:t>
      </w:r>
      <w:r w:rsidRPr="007D75D1">
        <w:rPr>
          <w:rFonts w:asciiTheme="majorHAnsi" w:hAnsiTheme="majorHAnsi" w:cstheme="majorHAnsi"/>
        </w:rPr>
        <w:t xml:space="preserve">whose </w:t>
      </w:r>
      <w:r w:rsidR="00B82512" w:rsidRPr="007D75D1">
        <w:rPr>
          <w:rFonts w:asciiTheme="majorHAnsi" w:hAnsiTheme="majorHAnsi" w:cstheme="majorHAnsi"/>
        </w:rPr>
        <w:t>BPSD does</w:t>
      </w:r>
      <w:r w:rsidR="003F1834" w:rsidRPr="007D75D1">
        <w:rPr>
          <w:rFonts w:asciiTheme="majorHAnsi" w:hAnsiTheme="majorHAnsi" w:cstheme="majorHAnsi"/>
        </w:rPr>
        <w:t xml:space="preserve"> not settle </w:t>
      </w:r>
      <w:r w:rsidRPr="007D75D1">
        <w:rPr>
          <w:rFonts w:asciiTheme="majorHAnsi" w:hAnsiTheme="majorHAnsi" w:cstheme="majorHAnsi"/>
        </w:rPr>
        <w:t>over time</w:t>
      </w:r>
      <w:r w:rsidR="00D10347">
        <w:rPr>
          <w:rFonts w:asciiTheme="majorHAnsi" w:hAnsiTheme="majorHAnsi" w:cstheme="majorHAnsi"/>
        </w:rPr>
        <w:t>,</w:t>
      </w:r>
      <w:r w:rsidRPr="007D75D1">
        <w:rPr>
          <w:rFonts w:asciiTheme="majorHAnsi" w:hAnsiTheme="majorHAnsi" w:cstheme="majorHAnsi"/>
        </w:rPr>
        <w:t xml:space="preserve"> </w:t>
      </w:r>
      <w:r w:rsidR="004F75B1" w:rsidRPr="007D75D1">
        <w:rPr>
          <w:rFonts w:asciiTheme="majorHAnsi" w:hAnsiTheme="majorHAnsi" w:cstheme="majorHAnsi"/>
        </w:rPr>
        <w:t>a</w:t>
      </w:r>
      <w:r w:rsidRPr="007D75D1">
        <w:rPr>
          <w:rFonts w:asciiTheme="majorHAnsi" w:hAnsiTheme="majorHAnsi" w:cstheme="majorHAnsi"/>
        </w:rPr>
        <w:t>s</w:t>
      </w:r>
      <w:r w:rsidR="0084568F" w:rsidRPr="007D75D1">
        <w:rPr>
          <w:rFonts w:asciiTheme="majorHAnsi" w:hAnsiTheme="majorHAnsi" w:cstheme="majorHAnsi"/>
        </w:rPr>
        <w:t xml:space="preserve"> </w:t>
      </w:r>
      <w:r w:rsidR="003F1834" w:rsidRPr="007D75D1">
        <w:rPr>
          <w:rFonts w:asciiTheme="majorHAnsi" w:hAnsiTheme="majorHAnsi" w:cstheme="majorHAnsi"/>
        </w:rPr>
        <w:t xml:space="preserve">their </w:t>
      </w:r>
      <w:r w:rsidR="00263CD5" w:rsidRPr="007D75D1">
        <w:rPr>
          <w:rFonts w:asciiTheme="majorHAnsi" w:hAnsiTheme="majorHAnsi" w:cstheme="majorHAnsi"/>
        </w:rPr>
        <w:t xml:space="preserve">type of dementia or </w:t>
      </w:r>
      <w:r w:rsidR="004056A7" w:rsidRPr="007D75D1">
        <w:rPr>
          <w:rFonts w:asciiTheme="majorHAnsi" w:hAnsiTheme="majorHAnsi" w:cstheme="majorHAnsi"/>
        </w:rPr>
        <w:t xml:space="preserve">a </w:t>
      </w:r>
      <w:r w:rsidR="00263CD5" w:rsidRPr="007D75D1">
        <w:rPr>
          <w:rFonts w:asciiTheme="majorHAnsi" w:hAnsiTheme="majorHAnsi" w:cstheme="majorHAnsi"/>
        </w:rPr>
        <w:t>comorbidity</w:t>
      </w:r>
      <w:r w:rsidRPr="007D75D1">
        <w:rPr>
          <w:rFonts w:asciiTheme="majorHAnsi" w:hAnsiTheme="majorHAnsi" w:cstheme="majorHAnsi"/>
        </w:rPr>
        <w:t xml:space="preserve"> is </w:t>
      </w:r>
      <w:r w:rsidR="00B4061D" w:rsidRPr="007D75D1">
        <w:rPr>
          <w:rFonts w:asciiTheme="majorHAnsi" w:hAnsiTheme="majorHAnsi" w:cstheme="majorHAnsi"/>
        </w:rPr>
        <w:t xml:space="preserve">less responsive </w:t>
      </w:r>
      <w:r w:rsidRPr="007D75D1">
        <w:rPr>
          <w:rFonts w:asciiTheme="majorHAnsi" w:hAnsiTheme="majorHAnsi" w:cstheme="majorHAnsi"/>
        </w:rPr>
        <w:t xml:space="preserve">to the </w:t>
      </w:r>
      <w:r w:rsidR="00E17E87">
        <w:rPr>
          <w:rFonts w:asciiTheme="majorHAnsi" w:hAnsiTheme="majorHAnsi" w:cstheme="majorHAnsi"/>
          <w:bCs/>
        </w:rPr>
        <w:t>m</w:t>
      </w:r>
      <w:r w:rsidR="00C170F5" w:rsidRPr="007D75D1">
        <w:rPr>
          <w:rFonts w:asciiTheme="majorHAnsi" w:hAnsiTheme="majorHAnsi" w:cstheme="majorHAnsi"/>
          <w:bCs/>
        </w:rPr>
        <w:t>odel</w:t>
      </w:r>
      <w:r w:rsidRPr="007D75D1">
        <w:rPr>
          <w:rFonts w:asciiTheme="majorHAnsi" w:hAnsiTheme="majorHAnsi" w:cstheme="majorHAnsi"/>
        </w:rPr>
        <w:t xml:space="preserve"> of </w:t>
      </w:r>
      <w:r w:rsidR="00E17E87">
        <w:rPr>
          <w:rFonts w:asciiTheme="majorHAnsi" w:hAnsiTheme="majorHAnsi" w:cstheme="majorHAnsi"/>
          <w:bCs/>
        </w:rPr>
        <w:t>c</w:t>
      </w:r>
      <w:r w:rsidR="00C170F5" w:rsidRPr="007D75D1">
        <w:rPr>
          <w:rFonts w:asciiTheme="majorHAnsi" w:hAnsiTheme="majorHAnsi" w:cstheme="majorHAnsi"/>
          <w:bCs/>
        </w:rPr>
        <w:t>are</w:t>
      </w:r>
      <w:r w:rsidRPr="007D75D1">
        <w:rPr>
          <w:rFonts w:asciiTheme="majorHAnsi" w:hAnsiTheme="majorHAnsi" w:cstheme="majorHAnsi"/>
          <w:bCs/>
        </w:rPr>
        <w:t>.</w:t>
      </w:r>
      <w:r w:rsidRPr="007D75D1">
        <w:rPr>
          <w:rFonts w:asciiTheme="majorHAnsi" w:hAnsiTheme="majorHAnsi" w:cstheme="majorHAnsi"/>
        </w:rPr>
        <w:t xml:space="preserve"> Stakeholders identified this as a potential barrier to </w:t>
      </w:r>
      <w:r w:rsidR="003203EF" w:rsidRPr="007D75D1">
        <w:rPr>
          <w:rFonts w:asciiTheme="majorHAnsi" w:hAnsiTheme="majorHAnsi" w:cstheme="majorHAnsi"/>
        </w:rPr>
        <w:t>the Program’s success</w:t>
      </w:r>
      <w:r w:rsidR="008D12F4" w:rsidRPr="007D75D1">
        <w:rPr>
          <w:rFonts w:asciiTheme="majorHAnsi" w:hAnsiTheme="majorHAnsi" w:cstheme="majorHAnsi"/>
        </w:rPr>
        <w:t xml:space="preserve"> </w:t>
      </w:r>
      <w:r w:rsidRPr="007D75D1">
        <w:rPr>
          <w:rFonts w:asciiTheme="majorHAnsi" w:hAnsiTheme="majorHAnsi" w:cstheme="majorHAnsi"/>
        </w:rPr>
        <w:t xml:space="preserve">due </w:t>
      </w:r>
      <w:r w:rsidR="008D12F4" w:rsidRPr="007D75D1">
        <w:rPr>
          <w:rFonts w:asciiTheme="majorHAnsi" w:hAnsiTheme="majorHAnsi" w:cstheme="majorHAnsi"/>
        </w:rPr>
        <w:t xml:space="preserve">to the more resource-intensive care </w:t>
      </w:r>
      <w:r w:rsidR="003203EF" w:rsidRPr="007D75D1">
        <w:rPr>
          <w:rFonts w:asciiTheme="majorHAnsi" w:hAnsiTheme="majorHAnsi" w:cstheme="majorHAnsi"/>
        </w:rPr>
        <w:t xml:space="preserve">required </w:t>
      </w:r>
      <w:r w:rsidR="008D12F4" w:rsidRPr="007D75D1">
        <w:rPr>
          <w:rFonts w:asciiTheme="majorHAnsi" w:hAnsiTheme="majorHAnsi" w:cstheme="majorHAnsi"/>
        </w:rPr>
        <w:t xml:space="preserve">and </w:t>
      </w:r>
      <w:r w:rsidR="003203EF" w:rsidRPr="007D75D1">
        <w:rPr>
          <w:rFonts w:asciiTheme="majorHAnsi" w:hAnsiTheme="majorHAnsi" w:cstheme="majorHAnsi"/>
        </w:rPr>
        <w:t xml:space="preserve">additional </w:t>
      </w:r>
      <w:r w:rsidR="008D12F4" w:rsidRPr="007D75D1">
        <w:rPr>
          <w:rFonts w:asciiTheme="majorHAnsi" w:hAnsiTheme="majorHAnsi" w:cstheme="majorHAnsi"/>
        </w:rPr>
        <w:t xml:space="preserve">safety </w:t>
      </w:r>
      <w:r w:rsidR="003203EF" w:rsidRPr="007D75D1">
        <w:rPr>
          <w:rFonts w:asciiTheme="majorHAnsi" w:hAnsiTheme="majorHAnsi" w:cstheme="majorHAnsi"/>
        </w:rPr>
        <w:t>implications</w:t>
      </w:r>
      <w:r w:rsidR="00EF6035" w:rsidRPr="007D75D1">
        <w:rPr>
          <w:rFonts w:asciiTheme="majorHAnsi" w:hAnsiTheme="majorHAnsi" w:cstheme="majorHAnsi"/>
        </w:rPr>
        <w:t xml:space="preserve"> for residents and staff</w:t>
      </w:r>
      <w:r w:rsidR="008D12F4" w:rsidRPr="007D75D1">
        <w:rPr>
          <w:rFonts w:asciiTheme="majorHAnsi" w:hAnsiTheme="majorHAnsi" w:cstheme="majorHAnsi"/>
        </w:rPr>
        <w:t>.</w:t>
      </w:r>
    </w:p>
    <w:p w14:paraId="034C7F33" w14:textId="5FFF884F" w:rsidR="005B1DB3" w:rsidRPr="005B1DB3" w:rsidRDefault="00C170F5" w:rsidP="0018410D">
      <w:pPr>
        <w:rPr>
          <w:b/>
          <w:bCs/>
        </w:rPr>
      </w:pPr>
      <w:r>
        <w:t xml:space="preserve">Stakeholders </w:t>
      </w:r>
      <w:r w:rsidR="005E3DC2">
        <w:t>reported</w:t>
      </w:r>
      <w:r>
        <w:t xml:space="preserve"> </w:t>
      </w:r>
      <w:r w:rsidR="00EA2290">
        <w:t>some</w:t>
      </w:r>
      <w:r>
        <w:t xml:space="preserve"> </w:t>
      </w:r>
      <w:r w:rsidR="00EA2290">
        <w:t>resident</w:t>
      </w:r>
      <w:r w:rsidR="00ED130A">
        <w:t>s</w:t>
      </w:r>
      <w:r w:rsidR="005E3DC2">
        <w:t xml:space="preserve"> do not show an improvement after 12 months in the Program and in some cases, exhibit escalated behaviours. </w:t>
      </w:r>
      <w:r w:rsidR="00E154F9">
        <w:t>These</w:t>
      </w:r>
      <w:r w:rsidR="00EF6035">
        <w:t xml:space="preserve"> </w:t>
      </w:r>
      <w:r w:rsidR="006958CD">
        <w:t>resident</w:t>
      </w:r>
      <w:r w:rsidR="00E62170">
        <w:t xml:space="preserve">s </w:t>
      </w:r>
      <w:r w:rsidR="00EF6035">
        <w:t xml:space="preserve">were believed to </w:t>
      </w:r>
      <w:r w:rsidR="00B4061D">
        <w:t>have</w:t>
      </w:r>
      <w:r w:rsidR="006958CD">
        <w:t xml:space="preserve"> </w:t>
      </w:r>
      <w:r w:rsidR="00E62170">
        <w:t xml:space="preserve">BPSD </w:t>
      </w:r>
      <w:r w:rsidR="00B4061D">
        <w:t xml:space="preserve">that </w:t>
      </w:r>
      <w:r w:rsidR="00E62170">
        <w:t xml:space="preserve">is </w:t>
      </w:r>
      <w:r w:rsidR="006958CD">
        <w:t>less</w:t>
      </w:r>
      <w:r w:rsidR="00A7118E">
        <w:t xml:space="preserve"> </w:t>
      </w:r>
      <w:r w:rsidR="009571C7" w:rsidRPr="00875E57">
        <w:t>triggered by their environmen</w:t>
      </w:r>
      <w:r w:rsidR="00073DC8">
        <w:t>t</w:t>
      </w:r>
      <w:r w:rsidR="0014301A">
        <w:t xml:space="preserve"> and may instead be driven by other factors relevant to their type of dementia or other pre-existing </w:t>
      </w:r>
      <w:r w:rsidR="00EB117B">
        <w:t>diagnosis (e.g., other cognitive impairment o</w:t>
      </w:r>
      <w:r w:rsidR="00A8661A">
        <w:t>r</w:t>
      </w:r>
      <w:r w:rsidR="00EB117B">
        <w:t xml:space="preserve"> psychiatric illness)</w:t>
      </w:r>
      <w:r w:rsidR="0014301A">
        <w:t xml:space="preserve">. </w:t>
      </w:r>
    </w:p>
    <w:p w14:paraId="7B5E0B6A" w14:textId="58DEEBAE" w:rsidR="00975483" w:rsidRDefault="00E154F9" w:rsidP="00DB7650">
      <w:pPr>
        <w:rPr>
          <w:color w:val="000000" w:themeColor="text1"/>
        </w:rPr>
      </w:pPr>
      <w:r>
        <w:t>It was noted that</w:t>
      </w:r>
      <w:r w:rsidR="000D0F3D">
        <w:t xml:space="preserve"> </w:t>
      </w:r>
      <w:r w:rsidR="006958CD">
        <w:t xml:space="preserve">some </w:t>
      </w:r>
      <w:r w:rsidR="006C042B">
        <w:t>residents</w:t>
      </w:r>
      <w:r w:rsidR="007B623C">
        <w:t xml:space="preserve"> </w:t>
      </w:r>
      <w:r w:rsidR="006958CD">
        <w:t xml:space="preserve">who </w:t>
      </w:r>
      <w:r w:rsidR="007B623C">
        <w:t>do not settl</w:t>
      </w:r>
      <w:r w:rsidR="00CF59E6">
        <w:t xml:space="preserve">e </w:t>
      </w:r>
      <w:r w:rsidR="006C042B">
        <w:t xml:space="preserve">after twelve months </w:t>
      </w:r>
      <w:r w:rsidR="00CF59E6">
        <w:t xml:space="preserve">cannot be </w:t>
      </w:r>
      <w:r w:rsidR="0018410D">
        <w:t xml:space="preserve">easily </w:t>
      </w:r>
      <w:r w:rsidR="003E299E">
        <w:t>discharged</w:t>
      </w:r>
      <w:r w:rsidR="007B623C">
        <w:t xml:space="preserve"> to a mainstream </w:t>
      </w:r>
      <w:r w:rsidR="002242FB">
        <w:t>RACF</w:t>
      </w:r>
      <w:r w:rsidR="003203EF">
        <w:t xml:space="preserve">, </w:t>
      </w:r>
      <w:r w:rsidR="006958CD">
        <w:t>re</w:t>
      </w:r>
      <w:r w:rsidR="003203EF">
        <w:t>sulting in</w:t>
      </w:r>
      <w:r w:rsidR="006958CD">
        <w:t xml:space="preserve"> prolonged stay in the SDCU</w:t>
      </w:r>
      <w:r w:rsidR="003E299E">
        <w:t xml:space="preserve">. </w:t>
      </w:r>
      <w:r w:rsidR="00874F4E">
        <w:t xml:space="preserve">This </w:t>
      </w:r>
      <w:r w:rsidR="00FB162F">
        <w:t>can impact</w:t>
      </w:r>
      <w:r w:rsidR="00215BDC">
        <w:t xml:space="preserve"> the Program’s success </w:t>
      </w:r>
      <w:r w:rsidR="006958CD">
        <w:t xml:space="preserve">as it </w:t>
      </w:r>
      <w:r w:rsidR="00215BDC">
        <w:t xml:space="preserve">increases the resources required </w:t>
      </w:r>
      <w:r w:rsidR="00EA2290">
        <w:t xml:space="preserve">for the </w:t>
      </w:r>
      <w:r w:rsidR="000D0F3D">
        <w:t>SDCU</w:t>
      </w:r>
      <w:r w:rsidR="00EA2290">
        <w:t xml:space="preserve"> to</w:t>
      </w:r>
      <w:r w:rsidR="00215BDC">
        <w:t xml:space="preserve"> provide </w:t>
      </w:r>
      <w:r w:rsidR="00EA2290">
        <w:t xml:space="preserve">safe and quality care. </w:t>
      </w:r>
      <w:r w:rsidR="00E25C5E">
        <w:t>Stakeholders a</w:t>
      </w:r>
      <w:r w:rsidR="0037709C">
        <w:t>t</w:t>
      </w:r>
      <w:r w:rsidR="00E25C5E">
        <w:t xml:space="preserve"> </w:t>
      </w:r>
      <w:r w:rsidR="003203EF">
        <w:t>a small number of</w:t>
      </w:r>
      <w:r w:rsidR="00E25C5E">
        <w:t xml:space="preserve"> sites noted thi</w:t>
      </w:r>
      <w:r w:rsidR="0037709C">
        <w:t xml:space="preserve">s can also impede Program uptake, as </w:t>
      </w:r>
      <w:r w:rsidR="003203EF">
        <w:t>the</w:t>
      </w:r>
      <w:r w:rsidR="0037709C">
        <w:t xml:space="preserve"> </w:t>
      </w:r>
      <w:r w:rsidR="00014C49">
        <w:t xml:space="preserve">resident’s </w:t>
      </w:r>
      <w:r w:rsidR="0037709C">
        <w:t>com</w:t>
      </w:r>
      <w:r w:rsidR="007B623C">
        <w:t xml:space="preserve">plex behaviours must be factored into suitability assessments </w:t>
      </w:r>
      <w:r w:rsidR="007B623C" w:rsidRPr="0073318F">
        <w:rPr>
          <w:color w:val="000000" w:themeColor="text1"/>
        </w:rPr>
        <w:t xml:space="preserve">for Program applicants to ensure </w:t>
      </w:r>
      <w:r w:rsidR="008977A2" w:rsidRPr="0073318F">
        <w:rPr>
          <w:color w:val="000000" w:themeColor="text1"/>
        </w:rPr>
        <w:t>resident and staff</w:t>
      </w:r>
      <w:r w:rsidR="007B623C" w:rsidRPr="0073318F">
        <w:rPr>
          <w:color w:val="000000" w:themeColor="text1"/>
        </w:rPr>
        <w:t xml:space="preserve"> safety</w:t>
      </w:r>
      <w:r w:rsidR="008C6FDB" w:rsidRPr="0073318F">
        <w:rPr>
          <w:color w:val="000000" w:themeColor="text1"/>
        </w:rPr>
        <w:t xml:space="preserve">. This </w:t>
      </w:r>
      <w:r w:rsidR="00FB162F" w:rsidRPr="0073318F">
        <w:rPr>
          <w:color w:val="000000" w:themeColor="text1"/>
        </w:rPr>
        <w:t xml:space="preserve">was identified as a </w:t>
      </w:r>
      <w:r w:rsidR="008C6FDB" w:rsidRPr="0073318F">
        <w:rPr>
          <w:color w:val="000000" w:themeColor="text1"/>
        </w:rPr>
        <w:t xml:space="preserve">reason why a </w:t>
      </w:r>
      <w:r>
        <w:rPr>
          <w:color w:val="000000" w:themeColor="text1"/>
        </w:rPr>
        <w:t>SDCU</w:t>
      </w:r>
      <w:r w:rsidR="00FB162F" w:rsidRPr="0073318F">
        <w:rPr>
          <w:color w:val="000000" w:themeColor="text1"/>
        </w:rPr>
        <w:t xml:space="preserve"> may</w:t>
      </w:r>
      <w:r w:rsidR="008C6FDB" w:rsidRPr="0073318F">
        <w:rPr>
          <w:color w:val="000000" w:themeColor="text1"/>
        </w:rPr>
        <w:t xml:space="preserve"> operate below full capacity</w:t>
      </w:r>
      <w:r w:rsidR="00B0175B" w:rsidRPr="0073318F">
        <w:rPr>
          <w:color w:val="000000" w:themeColor="text1"/>
        </w:rPr>
        <w:t xml:space="preserve">, </w:t>
      </w:r>
      <w:r w:rsidR="00AF4C08" w:rsidRPr="0073318F">
        <w:rPr>
          <w:color w:val="000000" w:themeColor="text1"/>
        </w:rPr>
        <w:t xml:space="preserve">as the provider may have limited options for </w:t>
      </w:r>
      <w:r w:rsidR="00B86B05" w:rsidRPr="0073318F">
        <w:rPr>
          <w:color w:val="000000" w:themeColor="text1"/>
        </w:rPr>
        <w:t>the type of applicant they can accept into the existing resident mix</w:t>
      </w:r>
      <w:r w:rsidR="008977A2" w:rsidRPr="0073318F">
        <w:rPr>
          <w:color w:val="000000" w:themeColor="text1"/>
        </w:rPr>
        <w:t>.</w:t>
      </w:r>
      <w:r w:rsidR="00014C49" w:rsidRPr="0073318F">
        <w:rPr>
          <w:color w:val="000000" w:themeColor="text1"/>
        </w:rPr>
        <w:t xml:space="preserve"> </w:t>
      </w:r>
    </w:p>
    <w:p w14:paraId="50C2D152" w14:textId="5E2D7F0F" w:rsidR="00FC0F34" w:rsidRPr="00437768" w:rsidRDefault="00FC0F34" w:rsidP="00FC0F34">
      <w:pPr>
        <w:pStyle w:val="Heading3"/>
        <w:spacing w:after="0"/>
        <w:rPr>
          <w:lang w:val="en-AU"/>
        </w:rPr>
      </w:pPr>
      <w:bookmarkStart w:id="71" w:name="_Ref124502818"/>
      <w:bookmarkStart w:id="72" w:name="_Ref124759990"/>
      <w:bookmarkStart w:id="73" w:name="_Ref127268293"/>
      <w:r w:rsidRPr="00437768">
        <w:rPr>
          <w:lang w:val="en-AU"/>
        </w:rPr>
        <w:t xml:space="preserve">Reduced use of chemical restraints and </w:t>
      </w:r>
      <w:bookmarkEnd w:id="71"/>
      <w:bookmarkEnd w:id="72"/>
      <w:r w:rsidRPr="00437768">
        <w:rPr>
          <w:lang w:val="en-AU"/>
        </w:rPr>
        <w:t>psychotropic</w:t>
      </w:r>
      <w:r w:rsidR="0053250D">
        <w:rPr>
          <w:lang w:val="en-AU"/>
        </w:rPr>
        <w:t xml:space="preserve"> medications</w:t>
      </w:r>
      <w:bookmarkEnd w:id="73"/>
    </w:p>
    <w:p w14:paraId="2BECCC2D" w14:textId="0A3C304A" w:rsidR="00FC0F34" w:rsidRPr="00FC0F34" w:rsidRDefault="00332D2F" w:rsidP="00FC0F34">
      <w:pPr>
        <w:pStyle w:val="Heading4thematicstatement"/>
        <w:spacing w:after="170"/>
        <w:rPr>
          <w:rFonts w:asciiTheme="majorHAnsi" w:hAnsiTheme="majorHAnsi" w:cstheme="majorHAnsi"/>
        </w:rPr>
      </w:pPr>
      <w:r>
        <w:rPr>
          <w:rFonts w:asciiTheme="majorHAnsi" w:hAnsiTheme="majorHAnsi" w:cstheme="majorHAnsi"/>
        </w:rPr>
        <w:t>There was c</w:t>
      </w:r>
      <w:r w:rsidR="00DB45ED">
        <w:rPr>
          <w:rFonts w:asciiTheme="majorHAnsi" w:hAnsiTheme="majorHAnsi" w:cstheme="majorHAnsi"/>
        </w:rPr>
        <w:t>onsensus across in-reach clinicians</w:t>
      </w:r>
      <w:r w:rsidR="00FC0F34">
        <w:rPr>
          <w:rFonts w:asciiTheme="majorHAnsi" w:hAnsiTheme="majorHAnsi" w:cstheme="majorHAnsi"/>
        </w:rPr>
        <w:t xml:space="preserve"> that the </w:t>
      </w:r>
      <w:r w:rsidR="0024304B">
        <w:rPr>
          <w:rFonts w:asciiTheme="majorHAnsi" w:hAnsiTheme="majorHAnsi" w:cstheme="majorHAnsi"/>
        </w:rPr>
        <w:t xml:space="preserve">Program’s </w:t>
      </w:r>
      <w:r w:rsidR="00BD006D">
        <w:rPr>
          <w:rFonts w:asciiTheme="majorHAnsi" w:hAnsiTheme="majorHAnsi" w:cstheme="majorHAnsi"/>
        </w:rPr>
        <w:t>m</w:t>
      </w:r>
      <w:r w:rsidR="00FC0F34">
        <w:rPr>
          <w:rFonts w:asciiTheme="majorHAnsi" w:hAnsiTheme="majorHAnsi" w:cstheme="majorHAnsi"/>
        </w:rPr>
        <w:t xml:space="preserve">odel of </w:t>
      </w:r>
      <w:r w:rsidR="00BD006D">
        <w:rPr>
          <w:rFonts w:asciiTheme="majorHAnsi" w:hAnsiTheme="majorHAnsi" w:cstheme="majorHAnsi"/>
        </w:rPr>
        <w:t>c</w:t>
      </w:r>
      <w:r w:rsidR="00FC0F34">
        <w:rPr>
          <w:rFonts w:asciiTheme="majorHAnsi" w:hAnsiTheme="majorHAnsi" w:cstheme="majorHAnsi"/>
        </w:rPr>
        <w:t xml:space="preserve">are </w:t>
      </w:r>
      <w:r w:rsidR="00DB45ED">
        <w:rPr>
          <w:rFonts w:asciiTheme="majorHAnsi" w:hAnsiTheme="majorHAnsi" w:cstheme="majorHAnsi"/>
        </w:rPr>
        <w:t>is</w:t>
      </w:r>
      <w:r w:rsidR="00FC0F34">
        <w:rPr>
          <w:rFonts w:asciiTheme="majorHAnsi" w:hAnsiTheme="majorHAnsi" w:cstheme="majorHAnsi"/>
        </w:rPr>
        <w:t xml:space="preserve"> effective in reducing the </w:t>
      </w:r>
      <w:r w:rsidR="00BD006D">
        <w:rPr>
          <w:rFonts w:asciiTheme="majorHAnsi" w:hAnsiTheme="majorHAnsi" w:cstheme="majorHAnsi"/>
        </w:rPr>
        <w:t xml:space="preserve">need </w:t>
      </w:r>
      <w:r w:rsidR="00DB45ED">
        <w:rPr>
          <w:rFonts w:asciiTheme="majorHAnsi" w:hAnsiTheme="majorHAnsi" w:cstheme="majorHAnsi"/>
        </w:rPr>
        <w:t xml:space="preserve">for, </w:t>
      </w:r>
      <w:r w:rsidR="00BD006D">
        <w:rPr>
          <w:rFonts w:asciiTheme="majorHAnsi" w:hAnsiTheme="majorHAnsi" w:cstheme="majorHAnsi"/>
        </w:rPr>
        <w:t xml:space="preserve">and </w:t>
      </w:r>
      <w:r w:rsidR="00FC0F34">
        <w:rPr>
          <w:rFonts w:asciiTheme="majorHAnsi" w:hAnsiTheme="majorHAnsi" w:cstheme="majorHAnsi"/>
        </w:rPr>
        <w:t>use of</w:t>
      </w:r>
      <w:r w:rsidR="00DB45ED">
        <w:rPr>
          <w:rFonts w:asciiTheme="majorHAnsi" w:hAnsiTheme="majorHAnsi" w:cstheme="majorHAnsi"/>
        </w:rPr>
        <w:t>,</w:t>
      </w:r>
      <w:r w:rsidR="00FC0F34">
        <w:rPr>
          <w:rFonts w:asciiTheme="majorHAnsi" w:hAnsiTheme="majorHAnsi" w:cstheme="majorHAnsi"/>
        </w:rPr>
        <w:t xml:space="preserve"> chemical restraints </w:t>
      </w:r>
      <w:r w:rsidR="006C6C5D">
        <w:rPr>
          <w:rFonts w:asciiTheme="majorHAnsi" w:hAnsiTheme="majorHAnsi" w:cstheme="majorHAnsi"/>
        </w:rPr>
        <w:t>in the care provided to</w:t>
      </w:r>
      <w:r w:rsidR="00FC0F34">
        <w:rPr>
          <w:rFonts w:asciiTheme="majorHAnsi" w:hAnsiTheme="majorHAnsi" w:cstheme="majorHAnsi"/>
        </w:rPr>
        <w:t xml:space="preserve"> Program residents</w:t>
      </w:r>
      <w:r w:rsidR="00FC0F34" w:rsidRPr="002D57E6">
        <w:rPr>
          <w:rFonts w:asciiTheme="majorHAnsi" w:hAnsiTheme="majorHAnsi" w:cstheme="majorHAnsi"/>
        </w:rPr>
        <w:t xml:space="preserve">. </w:t>
      </w:r>
    </w:p>
    <w:p w14:paraId="5E9D7148" w14:textId="7A3F42D6" w:rsidR="00332D2F" w:rsidRDefault="00332D2F" w:rsidP="00332D2F">
      <w:r>
        <w:t>Over the last several years, there has been an increased focus on the prescribing of psychotropic medications in the aged care system, including antipsychotics, anxiolytics/hypnotics (particularly benzodiazepines) and antidepressants.</w:t>
      </w:r>
      <w:r>
        <w:rPr>
          <w:rStyle w:val="FootnoteReference"/>
        </w:rPr>
        <w:footnoteReference w:id="17"/>
      </w:r>
      <w:r>
        <w:t xml:space="preserve"> The Royal Commission highlighted the high usage of these medication classes within residential aged care, noting their potential to be used as chemical restraints. Stakeholders consulted for this evaluation also observed that hospital environments are poorly suited to patients with BPSD, and that environmental triggers within inpatient settings can exacerbate symptoms. Based on reports from in-reach clinicians and families/carers, it is understood that prior to entry into the Program, most Program residents were vulnerable to medication prescribing patterns </w:t>
      </w:r>
      <w:r w:rsidR="000E4D58">
        <w:t>that</w:t>
      </w:r>
      <w:r>
        <w:t xml:space="preserve"> prioritised reductions in behaviours of concern, with the potential for associated risks including oversedation. </w:t>
      </w:r>
    </w:p>
    <w:p w14:paraId="55753109" w14:textId="287665DE" w:rsidR="00B90A93" w:rsidRDefault="00EA1B1D" w:rsidP="00FC0F34">
      <w:r>
        <w:t>In-reach clinicians consulted</w:t>
      </w:r>
      <w:r w:rsidR="00FC0F34" w:rsidRPr="00AF5E66">
        <w:t xml:space="preserve"> </w:t>
      </w:r>
      <w:r w:rsidR="00C7099B">
        <w:t xml:space="preserve">for this evaluation </w:t>
      </w:r>
      <w:r w:rsidR="00FC0F34" w:rsidRPr="00AF5E66">
        <w:t xml:space="preserve">reported </w:t>
      </w:r>
      <w:r w:rsidR="00B90A93">
        <w:t>a reduction in the</w:t>
      </w:r>
      <w:r w:rsidR="00FC0F34">
        <w:t xml:space="preserve"> </w:t>
      </w:r>
      <w:r w:rsidR="00B90A93">
        <w:t>us</w:t>
      </w:r>
      <w:r w:rsidR="00C23797">
        <w:t>e</w:t>
      </w:r>
      <w:r w:rsidR="00B90A93">
        <w:t xml:space="preserve"> of</w:t>
      </w:r>
      <w:r w:rsidR="00FC0F34">
        <w:t xml:space="preserve"> psychotropic</w:t>
      </w:r>
      <w:r w:rsidR="00F9470E">
        <w:t xml:space="preserve"> medications</w:t>
      </w:r>
      <w:r w:rsidR="00FC0F34">
        <w:t xml:space="preserve"> for many residents</w:t>
      </w:r>
      <w:r w:rsidR="000E4D58">
        <w:t xml:space="preserve"> in the Program</w:t>
      </w:r>
      <w:r w:rsidR="00A46B5E">
        <w:t>, thus</w:t>
      </w:r>
      <w:r w:rsidR="003C313B">
        <w:t xml:space="preserve"> reducing their</w:t>
      </w:r>
      <w:r w:rsidR="003C313B" w:rsidRPr="00502A84">
        <w:t xml:space="preserve"> </w:t>
      </w:r>
      <w:r w:rsidR="003C313B">
        <w:t>level of sedation and other commonly experienced side effects.</w:t>
      </w:r>
      <w:r w:rsidR="003C313B">
        <w:rPr>
          <w:rStyle w:val="FootnoteReference"/>
        </w:rPr>
        <w:footnoteReference w:id="18"/>
      </w:r>
      <w:r w:rsidR="00D046CF">
        <w:t xml:space="preserve"> </w:t>
      </w:r>
      <w:r w:rsidR="00694B1B">
        <w:t xml:space="preserve">These stakeholders </w:t>
      </w:r>
      <w:r w:rsidR="003C621C">
        <w:t>highlighted</w:t>
      </w:r>
      <w:r w:rsidR="00694B1B">
        <w:t xml:space="preserve"> the following</w:t>
      </w:r>
      <w:r w:rsidR="003C621C">
        <w:t xml:space="preserve"> Program</w:t>
      </w:r>
      <w:r w:rsidR="00694B1B">
        <w:t xml:space="preserve"> factors</w:t>
      </w:r>
      <w:r w:rsidR="00F47517">
        <w:t xml:space="preserve"> </w:t>
      </w:r>
      <w:r w:rsidR="003C621C">
        <w:t xml:space="preserve">as </w:t>
      </w:r>
      <w:r w:rsidR="00F47517">
        <w:t>enabl</w:t>
      </w:r>
      <w:r w:rsidR="003C621C">
        <w:t>ing</w:t>
      </w:r>
      <w:r w:rsidR="00F47517">
        <w:t xml:space="preserve"> the reduced use of chemical restraints:</w:t>
      </w:r>
    </w:p>
    <w:p w14:paraId="071F0D86" w14:textId="2F4C778F" w:rsidR="00B90A93" w:rsidRDefault="00C23797" w:rsidP="00CF08D2">
      <w:pPr>
        <w:pStyle w:val="ListParagraph"/>
        <w:numPr>
          <w:ilvl w:val="0"/>
          <w:numId w:val="36"/>
        </w:numPr>
      </w:pPr>
      <w:r>
        <w:t>T</w:t>
      </w:r>
      <w:r w:rsidR="005C01F6">
        <w:t>he successful management of</w:t>
      </w:r>
      <w:r w:rsidR="00FC0F34">
        <w:t xml:space="preserve"> </w:t>
      </w:r>
      <w:r w:rsidR="00CA603E">
        <w:t xml:space="preserve">very severe </w:t>
      </w:r>
      <w:r w:rsidR="00FC0F34">
        <w:t>BPSD through non-pharmacological strategies</w:t>
      </w:r>
      <w:r w:rsidR="005C01F6">
        <w:t xml:space="preserve"> (discussed </w:t>
      </w:r>
      <w:r w:rsidR="0000103D">
        <w:t xml:space="preserve">in Section </w:t>
      </w:r>
      <w:r w:rsidR="0000103D">
        <w:fldChar w:fldCharType="begin"/>
      </w:r>
      <w:r w:rsidR="0000103D">
        <w:instrText xml:space="preserve"> REF _Ref124752172 \r \h </w:instrText>
      </w:r>
      <w:r w:rsidR="0000103D">
        <w:fldChar w:fldCharType="separate"/>
      </w:r>
      <w:r w:rsidR="00D32536">
        <w:t>5.2.2</w:t>
      </w:r>
      <w:r w:rsidR="0000103D">
        <w:fldChar w:fldCharType="end"/>
      </w:r>
      <w:r w:rsidR="005C01F6">
        <w:t xml:space="preserve">) </w:t>
      </w:r>
      <w:r w:rsidR="00FC0F34">
        <w:t>reduc</w:t>
      </w:r>
      <w:r w:rsidR="005C01F6">
        <w:t>es</w:t>
      </w:r>
      <w:r w:rsidR="00FC0F34">
        <w:t xml:space="preserve"> the need for pharmacological intervention</w:t>
      </w:r>
      <w:r w:rsidR="001767ED">
        <w:t xml:space="preserve">, especially instances of </w:t>
      </w:r>
      <w:r w:rsidR="004913FA">
        <w:t>‘as required’ administration</w:t>
      </w:r>
      <w:r w:rsidR="00B90A93">
        <w:t>.</w:t>
      </w:r>
    </w:p>
    <w:p w14:paraId="1868F7F7" w14:textId="696CDAD3" w:rsidR="007E2D87" w:rsidRDefault="00C23797" w:rsidP="00CF08D2">
      <w:pPr>
        <w:pStyle w:val="ListParagraph"/>
        <w:numPr>
          <w:ilvl w:val="0"/>
          <w:numId w:val="36"/>
        </w:numPr>
      </w:pPr>
      <w:r>
        <w:t>T</w:t>
      </w:r>
      <w:r w:rsidR="007E2D87">
        <w:t xml:space="preserve">he higher </w:t>
      </w:r>
      <w:r w:rsidR="0000103D">
        <w:t xml:space="preserve">level of staff supervision and regular </w:t>
      </w:r>
      <w:r w:rsidR="007E2D87">
        <w:t>specialist input</w:t>
      </w:r>
      <w:r w:rsidR="006C6C5D">
        <w:t xml:space="preserve"> </w:t>
      </w:r>
      <w:r w:rsidR="000E4D58">
        <w:t>(</w:t>
      </w:r>
      <w:r w:rsidR="0000103D">
        <w:t xml:space="preserve">discussed in Section </w:t>
      </w:r>
      <w:r w:rsidR="0000103D">
        <w:fldChar w:fldCharType="begin"/>
      </w:r>
      <w:r w:rsidR="0000103D">
        <w:instrText xml:space="preserve"> REF _Ref123897179 \r \h </w:instrText>
      </w:r>
      <w:r w:rsidR="0000103D">
        <w:fldChar w:fldCharType="separate"/>
      </w:r>
      <w:r w:rsidR="00D32536">
        <w:t>3.1</w:t>
      </w:r>
      <w:r w:rsidR="0000103D">
        <w:fldChar w:fldCharType="end"/>
      </w:r>
      <w:r w:rsidR="0000103D">
        <w:t xml:space="preserve">) </w:t>
      </w:r>
      <w:r w:rsidR="007E2D87">
        <w:t>facilitates more timely and tailored medication changes</w:t>
      </w:r>
      <w:r w:rsidR="0000103D">
        <w:t xml:space="preserve">, </w:t>
      </w:r>
      <w:r w:rsidR="006C6C5D">
        <w:t>allow</w:t>
      </w:r>
      <w:r w:rsidR="0000103D">
        <w:t>ing</w:t>
      </w:r>
      <w:r w:rsidR="006C6C5D">
        <w:t xml:space="preserve"> staff </w:t>
      </w:r>
      <w:r w:rsidR="007E2D87">
        <w:t xml:space="preserve">to find an optimal care plan with the lowest effective dose of psychotropics. </w:t>
      </w:r>
    </w:p>
    <w:p w14:paraId="425A9567" w14:textId="6171680D" w:rsidR="006C6C5D" w:rsidRDefault="005C4253" w:rsidP="00FC0F34">
      <w:r>
        <w:t>This theme was highlighted with the caveat</w:t>
      </w:r>
      <w:r w:rsidR="00FC0F34">
        <w:t xml:space="preserve"> that it not always be possible to cease the use of psychotropic</w:t>
      </w:r>
      <w:r w:rsidR="00842B94">
        <w:t xml:space="preserve"> medications</w:t>
      </w:r>
      <w:r w:rsidR="00FC0F34">
        <w:t xml:space="preserve"> for </w:t>
      </w:r>
      <w:r w:rsidR="00FA69D5">
        <w:t>residents</w:t>
      </w:r>
      <w:r w:rsidR="00FC0F34">
        <w:t xml:space="preserve"> with </w:t>
      </w:r>
      <w:r w:rsidR="009E49DD">
        <w:t xml:space="preserve">very </w:t>
      </w:r>
      <w:r w:rsidR="00FC0F34">
        <w:t>severe BPSD due to their severity of their symptoms</w:t>
      </w:r>
      <w:r w:rsidR="00842B94">
        <w:t xml:space="preserve"> and the </w:t>
      </w:r>
      <w:r>
        <w:t>progressive</w:t>
      </w:r>
      <w:r w:rsidR="00842B94">
        <w:t xml:space="preserve"> nature of their </w:t>
      </w:r>
      <w:r>
        <w:t>condition</w:t>
      </w:r>
      <w:r w:rsidR="00FC0F34">
        <w:t>.</w:t>
      </w:r>
      <w:r w:rsidR="008B6DE1">
        <w:t xml:space="preserve"> It is also noted that</w:t>
      </w:r>
      <w:r w:rsidR="00FC0F34">
        <w:t xml:space="preserve"> medication deprescribing </w:t>
      </w:r>
      <w:r w:rsidR="006C6C5D">
        <w:t xml:space="preserve">and </w:t>
      </w:r>
      <w:r w:rsidR="004435AF">
        <w:t xml:space="preserve">the </w:t>
      </w:r>
      <w:r w:rsidR="006C6C5D">
        <w:t xml:space="preserve">reduced use of psychotropics also </w:t>
      </w:r>
      <w:r w:rsidR="004435AF">
        <w:t>benefits the broader aged care sector by facilitating</w:t>
      </w:r>
      <w:r w:rsidR="006C6C5D">
        <w:t xml:space="preserve"> the quality use of medicine</w:t>
      </w:r>
      <w:r w:rsidR="004435AF">
        <w:t>s. This is discussed further in Section</w:t>
      </w:r>
      <w:r w:rsidR="007E17D8">
        <w:t xml:space="preserve"> </w:t>
      </w:r>
      <w:r w:rsidR="007E17D8">
        <w:fldChar w:fldCharType="begin"/>
      </w:r>
      <w:r w:rsidR="007E17D8">
        <w:instrText xml:space="preserve"> REF _Ref129248047 \r \h </w:instrText>
      </w:r>
      <w:r w:rsidR="007E17D8">
        <w:fldChar w:fldCharType="separate"/>
      </w:r>
      <w:r w:rsidR="00D32536">
        <w:t>5.2.4</w:t>
      </w:r>
      <w:r w:rsidR="007E17D8">
        <w:fldChar w:fldCharType="end"/>
      </w:r>
      <w:r w:rsidR="004435AF">
        <w:t>.</w:t>
      </w:r>
    </w:p>
    <w:p w14:paraId="0B97D330" w14:textId="7134F788" w:rsidR="00FC0F34" w:rsidRPr="00054391" w:rsidRDefault="000217E8" w:rsidP="00FC0F34">
      <w:pPr>
        <w:pStyle w:val="Caption"/>
        <w:rPr>
          <w:u w:val="single"/>
        </w:rPr>
      </w:pPr>
      <w:r>
        <w:t>Figure</w:t>
      </w:r>
      <w:r w:rsidR="00FC0F34">
        <w:t xml:space="preserve"> </w:t>
      </w:r>
      <w:r w:rsidR="00FC0F34">
        <w:fldChar w:fldCharType="begin"/>
      </w:r>
      <w:r w:rsidR="00FC0F34">
        <w:instrText xml:space="preserve"> STYLEREF 1 \s </w:instrText>
      </w:r>
      <w:r w:rsidR="00FC0F34">
        <w:fldChar w:fldCharType="separate"/>
      </w:r>
      <w:r w:rsidR="00D32536">
        <w:rPr>
          <w:noProof/>
        </w:rPr>
        <w:t>5</w:t>
      </w:r>
      <w:r w:rsidR="00FC0F34">
        <w:fldChar w:fldCharType="end"/>
      </w:r>
      <w:r w:rsidR="00FC0F34">
        <w:t>.</w:t>
      </w:r>
      <w:r w:rsidR="008875A8">
        <w:fldChar w:fldCharType="begin"/>
      </w:r>
      <w:r w:rsidR="008875A8">
        <w:instrText xml:space="preserve"> SEQ Figure \* ARABIC \s 1 </w:instrText>
      </w:r>
      <w:r w:rsidR="008875A8">
        <w:fldChar w:fldCharType="separate"/>
      </w:r>
      <w:r w:rsidR="00D32536">
        <w:rPr>
          <w:noProof/>
        </w:rPr>
        <w:t>7</w:t>
      </w:r>
      <w:r w:rsidR="008875A8">
        <w:fldChar w:fldCharType="end"/>
      </w:r>
      <w:r w:rsidR="00FC0F34">
        <w:t xml:space="preserve"> </w:t>
      </w:r>
      <w:r w:rsidR="00FC0F34" w:rsidRPr="00054391">
        <w:t xml:space="preserve">Quotes representing dominant qualitative themes from consultations and the </w:t>
      </w:r>
      <w:r w:rsidR="0024304B">
        <w:t>Program</w:t>
      </w:r>
      <w:r w:rsidR="0024304B" w:rsidRPr="00054391">
        <w:t xml:space="preserve"> </w:t>
      </w:r>
      <w:r w:rsidR="00FC0F34" w:rsidRPr="00054391">
        <w:t>staff survey related to medication usage among Program residents</w:t>
      </w:r>
      <w:r w:rsidR="00FC0F34">
        <w:t>.</w:t>
      </w:r>
    </w:p>
    <w:p w14:paraId="5A8D99EC" w14:textId="77777777" w:rsidR="00FC0F34" w:rsidRDefault="00FC0F34" w:rsidP="00FC0F34">
      <w:pPr>
        <w:keepNext/>
        <w:spacing w:after="0"/>
      </w:pPr>
      <w:r w:rsidRPr="00054391">
        <w:rPr>
          <w:noProof/>
        </w:rPr>
        <w:drawing>
          <wp:inline distT="0" distB="0" distL="0" distR="0" wp14:anchorId="72488327" wp14:editId="545F565F">
            <wp:extent cx="6319520" cy="2254250"/>
            <wp:effectExtent l="0" t="0" r="5080" b="0"/>
            <wp:docPr id="475882776" name="Picture 475882776" descr="This image shows quotes from SDCP staff members in relation to medication usage among Program residents. &#10;Quote 1: “Medications are massively reduced. They are often on tons of sedatives, antipsychotics, lots and lots of medication – they are completely ‘chokkas’. When the resident comes in, the psychogeriatrician does not mess with the medication for about a month while we get to know them and then they look at how we can reduce it. We ask the care staff in CRT meetings how they think the resident is going. We monitor the reduction in medication really closely.”&#10;Quote 2: “[The staff] know their residents so well. They are able to see the early signs and early triggers. They intervene quickly. They can use all those non-pharmacological techniques before even needing to go for the psychotropics.” &#10;Quote 3: “I think everyone has had reduced medications. When they come in, quite a few times PRN has been administered prior to transfer so trying to get baseline of the client can take 24-48 hours. But once we have baseline we look at medications and there [are] a few that… we have decreased so we eventually find a good mix for that client [by] swapping medications and mainly reducing the number of medications overall.”&#10;Quote 4: “We have so many strategies for [symptom management] prior to medication. Some [residents] are on some regular [medications] but staff are always looking to change or decrease those. It is very flexible. Given the amount of people who have come in [to SDCP]… the decrease in medication is definitely notic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2776" name="Picture 475882776" descr="This image shows quotes from SDCP staff members in relation to medication usage among Program residents. &#10;Quote 1: “Medications are massively reduced. They are often on tons of sedatives, antipsychotics, lots and lots of medication – they are completely ‘chokkas’. When the resident comes in, the psychogeriatrician does not mess with the medication for about a month while we get to know them and then they look at how we can reduce it. We ask the care staff in CRT meetings how they think the resident is going. We monitor the reduction in medication really closely.”&#10;Quote 2: “[The staff] know their residents so well. They are able to see the early signs and early triggers. They intervene quickly. They can use all those non-pharmacological techniques before even needing to go for the psychotropics.” &#10;Quote 3: “I think everyone has had reduced medications. When they come in, quite a few times PRN has been administered prior to transfer so trying to get baseline of the client can take 24-48 hours. But once we have baseline we look at medications and there [are] a few that… we have decreased so we eventually find a good mix for that client [by] swapping medications and mainly reducing the number of medications overall.”&#10;Quote 4: “We have so many strategies for [symptom management] prior to medication. Some [residents] are on some regular [medications] but staff are always looking to change or decrease those. It is very flexible. Given the amount of people who have come in [to SDCP]… the decrease in medication is definitely noticeabl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19520" cy="2254250"/>
                    </a:xfrm>
                    <a:prstGeom prst="rect">
                      <a:avLst/>
                    </a:prstGeom>
                    <a:noFill/>
                    <a:ln>
                      <a:noFill/>
                    </a:ln>
                  </pic:spPr>
                </pic:pic>
              </a:graphicData>
            </a:graphic>
          </wp:inline>
        </w:drawing>
      </w:r>
    </w:p>
    <w:p w14:paraId="39162A3D" w14:textId="3672D5B9" w:rsidR="00FC0F34" w:rsidRDefault="00FC0F34" w:rsidP="00DB7650">
      <w:pPr>
        <w:rPr>
          <w:color w:val="000000" w:themeColor="text1"/>
        </w:rPr>
      </w:pPr>
      <w:r w:rsidRPr="009847EB">
        <w:rPr>
          <w:color w:val="53565A" w:themeColor="background2"/>
          <w:sz w:val="16"/>
          <w:szCs w:val="18"/>
        </w:rPr>
        <w:t>Source: Deloitte Access Economics analysis of stakeholder consultation, 2022</w:t>
      </w:r>
    </w:p>
    <w:p w14:paraId="08354897" w14:textId="1F5336DE" w:rsidR="00F56AFD" w:rsidRDefault="00F56AFD" w:rsidP="00861EA9">
      <w:pPr>
        <w:pStyle w:val="Heading3"/>
        <w:spacing w:after="0"/>
        <w:rPr>
          <w:lang w:val="en-AU"/>
        </w:rPr>
      </w:pPr>
      <w:bookmarkStart w:id="74" w:name="_Ref129248047"/>
      <w:bookmarkStart w:id="75" w:name="_Ref124238788"/>
      <w:r>
        <w:rPr>
          <w:lang w:val="en-AU"/>
        </w:rPr>
        <w:t xml:space="preserve">Improved </w:t>
      </w:r>
      <w:r w:rsidR="001F2000">
        <w:rPr>
          <w:lang w:val="en-AU"/>
        </w:rPr>
        <w:t xml:space="preserve">access to tailored </w:t>
      </w:r>
      <w:r w:rsidR="005B75C2">
        <w:rPr>
          <w:lang w:val="en-AU"/>
        </w:rPr>
        <w:t>medication management</w:t>
      </w:r>
      <w:bookmarkEnd w:id="74"/>
    </w:p>
    <w:p w14:paraId="111BD9B2" w14:textId="0DFB7D8F" w:rsidR="002E5C10" w:rsidRPr="00482492" w:rsidRDefault="002E5C10" w:rsidP="002E5C10">
      <w:pPr>
        <w:rPr>
          <w:rFonts w:asciiTheme="majorHAnsi" w:hAnsiTheme="majorHAnsi" w:cstheme="majorHAnsi"/>
          <w:b/>
          <w:color w:val="012169"/>
          <w:lang w:val="en-AU"/>
        </w:rPr>
      </w:pPr>
      <w:r w:rsidRPr="00482492">
        <w:rPr>
          <w:rFonts w:asciiTheme="majorHAnsi" w:hAnsiTheme="majorHAnsi" w:cstheme="majorHAnsi"/>
          <w:b/>
          <w:color w:val="012169"/>
          <w:lang w:val="en-AU"/>
        </w:rPr>
        <w:t>The</w:t>
      </w:r>
      <w:r w:rsidRPr="00482492" w:rsidDel="00DE2862">
        <w:rPr>
          <w:rFonts w:asciiTheme="majorHAnsi" w:hAnsiTheme="majorHAnsi" w:cstheme="majorHAnsi"/>
          <w:b/>
          <w:color w:val="012169"/>
          <w:lang w:val="en-AU"/>
        </w:rPr>
        <w:t xml:space="preserve"> </w:t>
      </w:r>
      <w:r>
        <w:rPr>
          <w:rFonts w:asciiTheme="majorHAnsi" w:hAnsiTheme="majorHAnsi" w:cstheme="majorHAnsi"/>
          <w:b/>
          <w:color w:val="012169"/>
          <w:lang w:val="en-AU"/>
        </w:rPr>
        <w:t>Program’s</w:t>
      </w:r>
      <w:r w:rsidRPr="00482492">
        <w:rPr>
          <w:rFonts w:asciiTheme="majorHAnsi" w:hAnsiTheme="majorHAnsi" w:cstheme="majorHAnsi"/>
          <w:b/>
          <w:color w:val="012169"/>
          <w:lang w:val="en-AU"/>
        </w:rPr>
        <w:t xml:space="preserve"> </w:t>
      </w:r>
      <w:r>
        <w:rPr>
          <w:rFonts w:asciiTheme="majorHAnsi" w:hAnsiTheme="majorHAnsi" w:cstheme="majorHAnsi"/>
          <w:b/>
          <w:bCs/>
          <w:color w:val="012169"/>
          <w:lang w:val="en-AU"/>
        </w:rPr>
        <w:t>m</w:t>
      </w:r>
      <w:r w:rsidRPr="00482492">
        <w:rPr>
          <w:rFonts w:asciiTheme="majorHAnsi" w:hAnsiTheme="majorHAnsi" w:cstheme="majorHAnsi"/>
          <w:b/>
          <w:bCs/>
          <w:color w:val="012169"/>
          <w:lang w:val="en-AU"/>
        </w:rPr>
        <w:t>odel</w:t>
      </w:r>
      <w:r w:rsidRPr="00482492">
        <w:rPr>
          <w:rFonts w:asciiTheme="majorHAnsi" w:hAnsiTheme="majorHAnsi" w:cstheme="majorHAnsi"/>
          <w:b/>
          <w:color w:val="012169"/>
          <w:lang w:val="en-AU"/>
        </w:rPr>
        <w:t xml:space="preserve"> of </w:t>
      </w:r>
      <w:r>
        <w:rPr>
          <w:rFonts w:asciiTheme="majorHAnsi" w:hAnsiTheme="majorHAnsi" w:cstheme="majorHAnsi"/>
          <w:b/>
          <w:bCs/>
          <w:color w:val="012169"/>
          <w:lang w:val="en-AU"/>
        </w:rPr>
        <w:t>c</w:t>
      </w:r>
      <w:r w:rsidRPr="00482492">
        <w:rPr>
          <w:rFonts w:asciiTheme="majorHAnsi" w:hAnsiTheme="majorHAnsi" w:cstheme="majorHAnsi"/>
          <w:b/>
          <w:bCs/>
          <w:color w:val="012169"/>
          <w:lang w:val="en-AU"/>
        </w:rPr>
        <w:t>are</w:t>
      </w:r>
      <w:r w:rsidRPr="00482492">
        <w:rPr>
          <w:rFonts w:asciiTheme="majorHAnsi" w:hAnsiTheme="majorHAnsi" w:cstheme="majorHAnsi"/>
          <w:b/>
          <w:color w:val="012169"/>
          <w:lang w:val="en-AU"/>
        </w:rPr>
        <w:t xml:space="preserve"> </w:t>
      </w:r>
      <w:r w:rsidR="00817778">
        <w:rPr>
          <w:rFonts w:asciiTheme="majorHAnsi" w:hAnsiTheme="majorHAnsi" w:cstheme="majorHAnsi"/>
          <w:b/>
          <w:color w:val="012169"/>
          <w:lang w:val="en-AU"/>
        </w:rPr>
        <w:t>increases oversight over</w:t>
      </w:r>
      <w:r w:rsidR="009348A6">
        <w:rPr>
          <w:rFonts w:asciiTheme="majorHAnsi" w:hAnsiTheme="majorHAnsi" w:cstheme="majorHAnsi"/>
          <w:b/>
          <w:color w:val="012169"/>
          <w:lang w:val="en-AU"/>
        </w:rPr>
        <w:t xml:space="preserve"> the management of resident medications</w:t>
      </w:r>
      <w:r w:rsidRPr="00482492">
        <w:rPr>
          <w:rFonts w:asciiTheme="majorHAnsi" w:hAnsiTheme="majorHAnsi" w:cstheme="majorHAnsi"/>
          <w:b/>
          <w:color w:val="012169"/>
          <w:lang w:val="en-AU"/>
        </w:rPr>
        <w:t xml:space="preserve">. </w:t>
      </w:r>
    </w:p>
    <w:p w14:paraId="41E9865E" w14:textId="79682F04" w:rsidR="005B75C2" w:rsidRPr="0079620C" w:rsidRDefault="009927D4" w:rsidP="0079620C">
      <w:r>
        <w:t xml:space="preserve">Separate to reduced usage of chemical restraints and psychotropic medications, </w:t>
      </w:r>
      <w:r w:rsidR="002F79DB">
        <w:t>improved medication management in the</w:t>
      </w:r>
      <w:r w:rsidR="001F2000">
        <w:t xml:space="preserve"> Program cohort is </w:t>
      </w:r>
      <w:r w:rsidR="00703718">
        <w:t xml:space="preserve">also facilitated by </w:t>
      </w:r>
      <w:r w:rsidR="002E5C10">
        <w:t>frequent</w:t>
      </w:r>
      <w:r w:rsidR="002E5C10" w:rsidRPr="00AF5E66">
        <w:t xml:space="preserve"> </w:t>
      </w:r>
      <w:r w:rsidR="002E5C10">
        <w:t xml:space="preserve">medication </w:t>
      </w:r>
      <w:r w:rsidR="002E5C10" w:rsidRPr="00AF5E66">
        <w:t>review</w:t>
      </w:r>
      <w:r w:rsidR="002E5C10">
        <w:t>s</w:t>
      </w:r>
      <w:r w:rsidR="002E5C10" w:rsidRPr="00AF5E66">
        <w:t xml:space="preserve"> </w:t>
      </w:r>
      <w:r w:rsidR="002E5C10">
        <w:t>performed by specialist in-reach clinicians</w:t>
      </w:r>
      <w:r w:rsidR="002F79DB">
        <w:t xml:space="preserve">. These reviews are informed by </w:t>
      </w:r>
      <w:r w:rsidR="00C4488F">
        <w:t xml:space="preserve">a level of staff supervision </w:t>
      </w:r>
      <w:r w:rsidR="002E5C10">
        <w:t>that is able better able to monitor residents’ progress</w:t>
      </w:r>
      <w:r w:rsidR="002F79DB">
        <w:t>,</w:t>
      </w:r>
      <w:r w:rsidR="002E5C10">
        <w:t xml:space="preserve"> and </w:t>
      </w:r>
      <w:r w:rsidR="002F79DB">
        <w:t xml:space="preserve">in the process </w:t>
      </w:r>
      <w:r w:rsidR="002E5C10">
        <w:t>identify unmet needs which may exacerbate BPSD (such as constipation or pain). This allows the implementation of more timely and tailored medication changes, including additional medications where clinically indicated to optimise resident wellbeing.</w:t>
      </w:r>
      <w:r w:rsidR="00013131">
        <w:rPr>
          <w:rStyle w:val="FootnoteReference"/>
        </w:rPr>
        <w:footnoteReference w:id="19"/>
      </w:r>
      <w:r w:rsidR="007D4EF2" w:rsidRPr="007D4EF2">
        <w:t xml:space="preserve"> </w:t>
      </w:r>
      <w:r w:rsidR="007D4EF2">
        <w:t>The National Medicines Policy (updated in 2022) contains four central pillars, including quality use of medicines and medicines safety. Actions that support this pillar may include “</w:t>
      </w:r>
      <w:r w:rsidR="007D4EF2" w:rsidRPr="00E90BC4">
        <w:rPr>
          <w:i/>
          <w:iCs/>
        </w:rPr>
        <w:t>monitoring outcomes; reporting adverse events; managing symptoms or side effects; minimising misuse, overuse and underuse; and empowering and supporting people to make decisions to use medicines safely and effectively</w:t>
      </w:r>
      <w:r w:rsidR="007D4EF2">
        <w:t>.</w:t>
      </w:r>
      <w:r w:rsidR="007D4EF2">
        <w:rPr>
          <w:rStyle w:val="FootnoteReference"/>
        </w:rPr>
        <w:footnoteReference w:id="20"/>
      </w:r>
    </w:p>
    <w:p w14:paraId="6F211900" w14:textId="207373FC" w:rsidR="00861EA9" w:rsidRPr="00576A49" w:rsidRDefault="00861EA9" w:rsidP="00861EA9">
      <w:pPr>
        <w:pStyle w:val="Heading3"/>
        <w:spacing w:after="0"/>
        <w:rPr>
          <w:lang w:val="en-AU"/>
        </w:rPr>
      </w:pPr>
      <w:r>
        <w:rPr>
          <w:lang w:val="en-AU"/>
        </w:rPr>
        <w:t>Improv</w:t>
      </w:r>
      <w:r w:rsidRPr="00ED0E81">
        <w:rPr>
          <w:color w:val="53565A"/>
          <w:lang w:val="en-AU"/>
        </w:rPr>
        <w:t xml:space="preserve">ed access to </w:t>
      </w:r>
      <w:r w:rsidR="00625308" w:rsidRPr="00ED0E81">
        <w:rPr>
          <w:color w:val="53565A"/>
          <w:lang w:val="en-AU"/>
        </w:rPr>
        <w:t>specialised</w:t>
      </w:r>
      <w:r w:rsidR="00625308">
        <w:rPr>
          <w:lang w:val="en-AU"/>
        </w:rPr>
        <w:t xml:space="preserve"> </w:t>
      </w:r>
      <w:r w:rsidR="009A0462">
        <w:rPr>
          <w:lang w:val="en-AU"/>
        </w:rPr>
        <w:t>dementia care</w:t>
      </w:r>
      <w:bookmarkEnd w:id="75"/>
      <w:r w:rsidR="00625308">
        <w:rPr>
          <w:lang w:val="en-AU"/>
        </w:rPr>
        <w:t xml:space="preserve"> that meets care needs</w:t>
      </w:r>
    </w:p>
    <w:p w14:paraId="24A0826F" w14:textId="691D1BE8" w:rsidR="00A82436" w:rsidRPr="002D57E6" w:rsidRDefault="0058000F" w:rsidP="004E5731">
      <w:pPr>
        <w:pStyle w:val="Heading4thematicstatement"/>
        <w:spacing w:after="170"/>
        <w:rPr>
          <w:rFonts w:asciiTheme="majorHAnsi" w:hAnsiTheme="majorHAnsi" w:cstheme="majorHAnsi"/>
        </w:rPr>
      </w:pPr>
      <w:bookmarkStart w:id="76" w:name="_Hlk123893438"/>
      <w:r w:rsidRPr="002D57E6">
        <w:rPr>
          <w:rFonts w:asciiTheme="majorHAnsi" w:hAnsiTheme="majorHAnsi" w:cstheme="majorHAnsi"/>
        </w:rPr>
        <w:t>The majority of stakeholders strongly agreed th</w:t>
      </w:r>
      <w:r w:rsidR="00A82436" w:rsidRPr="002D57E6">
        <w:rPr>
          <w:rFonts w:asciiTheme="majorHAnsi" w:hAnsiTheme="majorHAnsi" w:cstheme="majorHAnsi"/>
        </w:rPr>
        <w:t>e Program has</w:t>
      </w:r>
      <w:r w:rsidRPr="002D57E6">
        <w:rPr>
          <w:rFonts w:asciiTheme="majorHAnsi" w:hAnsiTheme="majorHAnsi" w:cstheme="majorHAnsi"/>
        </w:rPr>
        <w:t xml:space="preserve"> improve</w:t>
      </w:r>
      <w:r w:rsidR="00A82436" w:rsidRPr="002D57E6">
        <w:rPr>
          <w:rFonts w:asciiTheme="majorHAnsi" w:hAnsiTheme="majorHAnsi" w:cstheme="majorHAnsi"/>
        </w:rPr>
        <w:t>d</w:t>
      </w:r>
      <w:r w:rsidRPr="002D57E6">
        <w:rPr>
          <w:rFonts w:asciiTheme="majorHAnsi" w:hAnsiTheme="majorHAnsi" w:cstheme="majorHAnsi"/>
        </w:rPr>
        <w:t xml:space="preserve"> access to </w:t>
      </w:r>
      <w:r w:rsidR="00AF07B2" w:rsidRPr="002D57E6">
        <w:rPr>
          <w:rFonts w:asciiTheme="majorHAnsi" w:hAnsiTheme="majorHAnsi" w:cstheme="majorHAnsi"/>
        </w:rPr>
        <w:t>spe</w:t>
      </w:r>
      <w:r w:rsidR="0008335B" w:rsidRPr="002D57E6">
        <w:rPr>
          <w:rFonts w:asciiTheme="majorHAnsi" w:hAnsiTheme="majorHAnsi" w:cstheme="majorHAnsi"/>
        </w:rPr>
        <w:t>cialised</w:t>
      </w:r>
      <w:r w:rsidRPr="002D57E6">
        <w:rPr>
          <w:rFonts w:asciiTheme="majorHAnsi" w:hAnsiTheme="majorHAnsi" w:cstheme="majorHAnsi"/>
        </w:rPr>
        <w:t xml:space="preserve"> care </w:t>
      </w:r>
      <w:r w:rsidR="0008335B" w:rsidRPr="002D57E6">
        <w:rPr>
          <w:rFonts w:asciiTheme="majorHAnsi" w:hAnsiTheme="majorHAnsi" w:cstheme="majorHAnsi"/>
        </w:rPr>
        <w:t>th</w:t>
      </w:r>
      <w:r w:rsidR="0026054F">
        <w:rPr>
          <w:rFonts w:asciiTheme="majorHAnsi" w:hAnsiTheme="majorHAnsi" w:cstheme="majorHAnsi"/>
        </w:rPr>
        <w:t>at</w:t>
      </w:r>
      <w:r w:rsidR="0008335B" w:rsidRPr="002D57E6">
        <w:rPr>
          <w:rFonts w:asciiTheme="majorHAnsi" w:hAnsiTheme="majorHAnsi" w:cstheme="majorHAnsi"/>
        </w:rPr>
        <w:t xml:space="preserve"> more appropriately mee</w:t>
      </w:r>
      <w:r w:rsidR="00E565F5">
        <w:rPr>
          <w:rFonts w:asciiTheme="majorHAnsi" w:hAnsiTheme="majorHAnsi" w:cstheme="majorHAnsi"/>
        </w:rPr>
        <w:t>t</w:t>
      </w:r>
      <w:r w:rsidR="0008335B" w:rsidRPr="002D57E6">
        <w:rPr>
          <w:rFonts w:asciiTheme="majorHAnsi" w:hAnsiTheme="majorHAnsi" w:cstheme="majorHAnsi"/>
        </w:rPr>
        <w:t>s the care needs of</w:t>
      </w:r>
      <w:r w:rsidRPr="002D57E6">
        <w:rPr>
          <w:rFonts w:asciiTheme="majorHAnsi" w:hAnsiTheme="majorHAnsi" w:cstheme="majorHAnsi"/>
        </w:rPr>
        <w:t xml:space="preserve"> p</w:t>
      </w:r>
      <w:r w:rsidR="0008335B" w:rsidRPr="002D57E6">
        <w:rPr>
          <w:rFonts w:asciiTheme="majorHAnsi" w:hAnsiTheme="majorHAnsi" w:cstheme="majorHAnsi"/>
        </w:rPr>
        <w:t>eople</w:t>
      </w:r>
      <w:r w:rsidRPr="002D57E6">
        <w:rPr>
          <w:rFonts w:asciiTheme="majorHAnsi" w:hAnsiTheme="majorHAnsi" w:cstheme="majorHAnsi"/>
        </w:rPr>
        <w:t xml:space="preserve"> with </w:t>
      </w:r>
      <w:r w:rsidR="00D046CF">
        <w:rPr>
          <w:rFonts w:asciiTheme="majorHAnsi" w:hAnsiTheme="majorHAnsi" w:cstheme="majorHAnsi"/>
        </w:rPr>
        <w:t>very</w:t>
      </w:r>
      <w:r w:rsidRPr="002D57E6">
        <w:rPr>
          <w:rFonts w:asciiTheme="majorHAnsi" w:hAnsiTheme="majorHAnsi" w:cstheme="majorHAnsi"/>
        </w:rPr>
        <w:t xml:space="preserve"> severe BPSD. </w:t>
      </w:r>
    </w:p>
    <w:p w14:paraId="51213567" w14:textId="32CD674A" w:rsidR="00A82436" w:rsidRDefault="00A82436" w:rsidP="00A82436">
      <w:r>
        <w:t xml:space="preserve">As mentioned in the </w:t>
      </w:r>
      <w:r w:rsidRPr="00974494">
        <w:rPr>
          <w:rFonts w:asciiTheme="majorHAnsi" w:hAnsiTheme="majorHAnsi" w:cstheme="majorHAnsi"/>
          <w:b/>
        </w:rPr>
        <w:t>Interim Report (2020)</w:t>
      </w:r>
      <w:r>
        <w:t>, the Program’s design was informed by a rigorous evidence base, including a review of comparable models locally and overseas, extensive consultation with industry and governmental stakeholder groups, and the provision of expert advice from dementia researchers.</w:t>
      </w:r>
      <w:r w:rsidRPr="00A82436">
        <w:t xml:space="preserve"> </w:t>
      </w:r>
      <w:r w:rsidR="0073318F">
        <w:t>As discussed earlier in this Report, s</w:t>
      </w:r>
      <w:r w:rsidR="00424366">
        <w:t>takeholders across most sites felt that</w:t>
      </w:r>
      <w:r>
        <w:t xml:space="preserve"> SDCUs have successfully implemented the best-practice principles that are embedded within the SDCP Framework</w:t>
      </w:r>
      <w:r w:rsidR="00340826">
        <w:t>, including:</w:t>
      </w:r>
    </w:p>
    <w:p w14:paraId="03BDAB74" w14:textId="2C7F4DC1" w:rsidR="00A82436" w:rsidRPr="00424366" w:rsidRDefault="00A82436" w:rsidP="00C063DC">
      <w:pPr>
        <w:pStyle w:val="ListParagraph"/>
        <w:numPr>
          <w:ilvl w:val="0"/>
          <w:numId w:val="10"/>
        </w:numPr>
        <w:ind w:left="284" w:hanging="284"/>
      </w:pPr>
      <w:r w:rsidRPr="00424366">
        <w:t>person-</w:t>
      </w:r>
      <w:r w:rsidR="00974494" w:rsidRPr="00424366">
        <w:t>centered</w:t>
      </w:r>
      <w:r w:rsidRPr="00424366">
        <w:t xml:space="preserve"> and restraint-free approach to care (see</w:t>
      </w:r>
      <w:r w:rsidR="00340826">
        <w:t xml:space="preserve"> Section </w:t>
      </w:r>
      <w:r w:rsidR="00340826">
        <w:fldChar w:fldCharType="begin"/>
      </w:r>
      <w:r w:rsidR="00340826">
        <w:instrText xml:space="preserve"> REF _Ref123897161 \w \h </w:instrText>
      </w:r>
      <w:r w:rsidR="00340826">
        <w:fldChar w:fldCharType="separate"/>
      </w:r>
      <w:r w:rsidR="00D32536">
        <w:t>3.2</w:t>
      </w:r>
      <w:r w:rsidR="00340826">
        <w:fldChar w:fldCharType="end"/>
      </w:r>
      <w:r w:rsidRPr="00424366">
        <w:t>)</w:t>
      </w:r>
    </w:p>
    <w:p w14:paraId="1E67337F" w14:textId="08746A54" w:rsidR="00A82436" w:rsidRPr="00424366" w:rsidRDefault="00A82436" w:rsidP="00C063DC">
      <w:pPr>
        <w:pStyle w:val="ListParagraph"/>
        <w:numPr>
          <w:ilvl w:val="0"/>
          <w:numId w:val="10"/>
        </w:numPr>
        <w:ind w:left="284" w:hanging="284"/>
      </w:pPr>
      <w:r w:rsidRPr="00424366">
        <w:t xml:space="preserve">supported decision-making with family/carers (see </w:t>
      </w:r>
      <w:r w:rsidR="00340826">
        <w:t xml:space="preserve">Section </w:t>
      </w:r>
      <w:r w:rsidR="00340826">
        <w:fldChar w:fldCharType="begin"/>
      </w:r>
      <w:r w:rsidR="00340826">
        <w:instrText xml:space="preserve"> REF _Ref123897171 \w \h </w:instrText>
      </w:r>
      <w:r w:rsidR="00340826">
        <w:fldChar w:fldCharType="separate"/>
      </w:r>
      <w:r w:rsidR="00D32536">
        <w:t>3.2</w:t>
      </w:r>
      <w:r w:rsidR="00340826">
        <w:fldChar w:fldCharType="end"/>
      </w:r>
      <w:r w:rsidR="00340826">
        <w:t>)</w:t>
      </w:r>
    </w:p>
    <w:p w14:paraId="6E8E8C45" w14:textId="61433109" w:rsidR="00A82436" w:rsidRDefault="00424366" w:rsidP="00C063DC">
      <w:pPr>
        <w:pStyle w:val="ListParagraph"/>
        <w:numPr>
          <w:ilvl w:val="0"/>
          <w:numId w:val="10"/>
        </w:numPr>
        <w:ind w:left="284" w:hanging="284"/>
      </w:pPr>
      <w:r w:rsidRPr="00424366">
        <w:t>multidisciplinary approach to care and increased access to specialist input (see</w:t>
      </w:r>
      <w:r w:rsidR="00340826">
        <w:t xml:space="preserve"> Section </w:t>
      </w:r>
      <w:r w:rsidR="00340826">
        <w:fldChar w:fldCharType="begin"/>
      </w:r>
      <w:r w:rsidR="00340826">
        <w:instrText xml:space="preserve"> REF _Ref123897179 \w \h </w:instrText>
      </w:r>
      <w:r w:rsidR="00340826">
        <w:fldChar w:fldCharType="separate"/>
      </w:r>
      <w:r w:rsidR="00D32536">
        <w:t>3.1</w:t>
      </w:r>
      <w:r w:rsidR="00340826">
        <w:fldChar w:fldCharType="end"/>
      </w:r>
      <w:r w:rsidRPr="00424366">
        <w:t>).</w:t>
      </w:r>
    </w:p>
    <w:p w14:paraId="5780CDC9" w14:textId="09580211" w:rsidR="008A71FF" w:rsidRDefault="00340826" w:rsidP="008A71FF">
      <w:r>
        <w:t xml:space="preserve">Program staff and family/carers across most sites felt the Program </w:t>
      </w:r>
      <w:r w:rsidR="00BF5046">
        <w:t>is</w:t>
      </w:r>
      <w:r>
        <w:t xml:space="preserve"> invaluable in providing people wit</w:t>
      </w:r>
      <w:r w:rsidR="006E7E40">
        <w:t>h</w:t>
      </w:r>
      <w:r w:rsidR="00F50DD0">
        <w:t xml:space="preserve"> very severe</w:t>
      </w:r>
      <w:r w:rsidR="006E7E40">
        <w:t xml:space="preserve"> </w:t>
      </w:r>
      <w:r w:rsidR="00BF5046">
        <w:t>BPSD</w:t>
      </w:r>
      <w:r>
        <w:t xml:space="preserve"> access to safe and high-quality care</w:t>
      </w:r>
      <w:r w:rsidR="00DE2D1D">
        <w:t xml:space="preserve"> that meets their specialised care needs</w:t>
      </w:r>
      <w:r w:rsidR="00C54DFE">
        <w:t>.</w:t>
      </w:r>
      <w:r>
        <w:t xml:space="preserve"> They agreed the Program has addressed several barriers which previously limited access to appropriate care for people with </w:t>
      </w:r>
      <w:r w:rsidR="00A03B9A">
        <w:t>very severe</w:t>
      </w:r>
      <w:r>
        <w:t xml:space="preserve"> BPSD, including inadequate staff training on best-practice </w:t>
      </w:r>
      <w:r w:rsidR="00F170D0">
        <w:t>behavioral management</w:t>
      </w:r>
      <w:r>
        <w:t xml:space="preserve"> strategies, inadequate infrastructure, and difficulties accessing specialist </w:t>
      </w:r>
      <w:r w:rsidR="00657164">
        <w:t xml:space="preserve">clinical </w:t>
      </w:r>
      <w:r>
        <w:t>input.</w:t>
      </w:r>
      <w:r>
        <w:rPr>
          <w:rStyle w:val="FootnoteReference"/>
        </w:rPr>
        <w:footnoteReference w:id="21"/>
      </w:r>
      <w:r>
        <w:t xml:space="preserve">  </w:t>
      </w:r>
      <w:r w:rsidR="00FF1BD9">
        <w:t xml:space="preserve">Program staff, DSA staff and family/carers across most </w:t>
      </w:r>
      <w:r w:rsidR="00144BFB">
        <w:t>SDCUs</w:t>
      </w:r>
      <w:r w:rsidR="00FF1BD9">
        <w:t xml:space="preserve"> </w:t>
      </w:r>
      <w:r w:rsidR="00144BFB">
        <w:t>felt</w:t>
      </w:r>
      <w:r w:rsidR="00FF1BD9">
        <w:t xml:space="preserve"> the Program ha</w:t>
      </w:r>
      <w:r w:rsidR="00657164">
        <w:t>d</w:t>
      </w:r>
      <w:r w:rsidR="00FF1BD9">
        <w:t xml:space="preserve"> addressed a large </w:t>
      </w:r>
      <w:r w:rsidR="00E72F93">
        <w:t xml:space="preserve">service </w:t>
      </w:r>
      <w:r w:rsidR="00FF1BD9">
        <w:t xml:space="preserve">gap in dementia care options </w:t>
      </w:r>
      <w:r w:rsidR="00E72F93">
        <w:t>in</w:t>
      </w:r>
      <w:r w:rsidR="00FF1BD9">
        <w:t xml:space="preserve"> their region. </w:t>
      </w:r>
    </w:p>
    <w:p w14:paraId="7CB135B7" w14:textId="4B73636E" w:rsidR="00E920DE" w:rsidRPr="005019DD" w:rsidRDefault="000217E8" w:rsidP="005019DD">
      <w:pPr>
        <w:pStyle w:val="Caption"/>
      </w:pPr>
      <w:r>
        <w:t>Figure</w:t>
      </w:r>
      <w:r w:rsidR="00234BB5">
        <w:t xml:space="preserve"> </w:t>
      </w:r>
      <w:r w:rsidR="00990867" w:rsidRPr="005019DD">
        <w:fldChar w:fldCharType="begin"/>
      </w:r>
      <w:r w:rsidR="00990867" w:rsidRPr="005019DD">
        <w:instrText xml:space="preserve"> STYLEREF 1 \s </w:instrText>
      </w:r>
      <w:r w:rsidR="00990867" w:rsidRPr="005019DD">
        <w:fldChar w:fldCharType="separate"/>
      </w:r>
      <w:r w:rsidR="00D32536">
        <w:rPr>
          <w:noProof/>
        </w:rPr>
        <w:t>5</w:t>
      </w:r>
      <w:r w:rsidR="00990867" w:rsidRPr="005019DD">
        <w:fldChar w:fldCharType="end"/>
      </w:r>
      <w:r w:rsidR="00990867" w:rsidRPr="005019DD">
        <w:t>.</w:t>
      </w:r>
      <w:r w:rsidR="008875A8">
        <w:fldChar w:fldCharType="begin"/>
      </w:r>
      <w:r w:rsidR="008875A8">
        <w:instrText xml:space="preserve"> SEQ Figure \* ARABIC \s 1 </w:instrText>
      </w:r>
      <w:r w:rsidR="008875A8">
        <w:fldChar w:fldCharType="separate"/>
      </w:r>
      <w:r w:rsidR="00D32536">
        <w:rPr>
          <w:noProof/>
        </w:rPr>
        <w:t>8</w:t>
      </w:r>
      <w:r w:rsidR="008875A8">
        <w:fldChar w:fldCharType="end"/>
      </w:r>
      <w:r w:rsidR="00E920DE" w:rsidRPr="005019DD">
        <w:t xml:space="preserve"> Quotes representing dominant qualitative themes from consultations and the </w:t>
      </w:r>
      <w:r w:rsidR="0024304B">
        <w:t>Program</w:t>
      </w:r>
      <w:r w:rsidR="0024304B" w:rsidRPr="005019DD">
        <w:t xml:space="preserve"> </w:t>
      </w:r>
      <w:r w:rsidR="00E920DE" w:rsidRPr="005019DD">
        <w:t>staff survey related to quality of life among Program residents.</w:t>
      </w:r>
    </w:p>
    <w:p w14:paraId="2E30B2DE" w14:textId="7EB3F4C0" w:rsidR="009F51C0" w:rsidRPr="004915D0" w:rsidRDefault="00054391" w:rsidP="00BA79E5">
      <w:pPr>
        <w:spacing w:after="120"/>
        <w:rPr>
          <w:b/>
          <w:bCs/>
        </w:rPr>
      </w:pPr>
      <w:r w:rsidRPr="00054391">
        <w:rPr>
          <w:noProof/>
        </w:rPr>
        <w:drawing>
          <wp:inline distT="0" distB="0" distL="0" distR="0" wp14:anchorId="3066E328" wp14:editId="211F51E0">
            <wp:extent cx="6319520" cy="1322070"/>
            <wp:effectExtent l="0" t="0" r="0" b="0"/>
            <wp:docPr id="5" name="Picture 5" descr="This image shows quotes from family members related to quality of life. &#10;Quote 1: “[The SDCP] is exactly what society needs. There are just so many high care dementia patients… and so many [mainstream RACFs] in the area say they do high care dementia but they cannot handle it. We went through 3 or 4 [mainstream RACFs] in our area who said they could help but it turned out they could not.”&#10;Quote 2: “Making more places like [the SDCP] available…would be good. More people going into nursing homes absolutely terrifies me. It is such a comfort to me knowing my mum is [in the SDCU].”&#10;Quote 3: “After seeing him in facilities before which were not tailored to this health issue, [the SDCU] copes with it really well. There is no overreaction… if one thing did not work, they were good at continually trying to better his care and make it better for him and fo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quotes from family members related to quality of life. &#10;Quote 1: “[The SDCP] is exactly what society needs. There are just so many high care dementia patients… and so many [mainstream RACFs] in the area say they do high care dementia but they cannot handle it. We went through 3 or 4 [mainstream RACFs] in our area who said they could help but it turned out they could not.”&#10;Quote 2: “Making more places like [the SDCP] available…would be good. More people going into nursing homes absolutely terrifies me. It is such a comfort to me knowing my mum is [in the SDCU].”&#10;Quote 3: “After seeing him in facilities before which were not tailored to this health issue, [the SDCU] copes with it really well. There is no overreaction… if one thing did not work, they were good at continually trying to better his care and make it better for him and for u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19520" cy="1322070"/>
                    </a:xfrm>
                    <a:prstGeom prst="rect">
                      <a:avLst/>
                    </a:prstGeom>
                    <a:noFill/>
                    <a:ln>
                      <a:noFill/>
                    </a:ln>
                  </pic:spPr>
                </pic:pic>
              </a:graphicData>
            </a:graphic>
          </wp:inline>
        </w:drawing>
      </w:r>
    </w:p>
    <w:p w14:paraId="048E9822" w14:textId="7BDD5C67" w:rsidR="00BA79E5" w:rsidRPr="004915D0" w:rsidRDefault="00BA79E5" w:rsidP="004915D0">
      <w:pPr>
        <w:rPr>
          <w:b/>
          <w:bCs/>
        </w:rPr>
      </w:pPr>
      <w:r w:rsidRPr="009847EB">
        <w:rPr>
          <w:color w:val="53565A" w:themeColor="background2"/>
          <w:sz w:val="16"/>
          <w:szCs w:val="18"/>
        </w:rPr>
        <w:t>Source: Deloitte Access Economics analysis of stakeholder consultatio</w:t>
      </w:r>
      <w:r>
        <w:rPr>
          <w:color w:val="53565A" w:themeColor="background2"/>
          <w:sz w:val="16"/>
          <w:szCs w:val="18"/>
        </w:rPr>
        <w:t>ns</w:t>
      </w:r>
      <w:r w:rsidRPr="009847EB">
        <w:rPr>
          <w:color w:val="53565A" w:themeColor="background2"/>
          <w:sz w:val="16"/>
          <w:szCs w:val="18"/>
        </w:rPr>
        <w:t>, 2022</w:t>
      </w:r>
    </w:p>
    <w:p w14:paraId="121E3372" w14:textId="6D200FF6" w:rsidR="00D06E70" w:rsidRPr="0004675C" w:rsidRDefault="00FF506C" w:rsidP="004E5731">
      <w:pPr>
        <w:pStyle w:val="Heading4thematicstatement"/>
        <w:spacing w:after="170"/>
        <w:rPr>
          <w:rFonts w:asciiTheme="majorHAnsi" w:hAnsiTheme="majorHAnsi" w:cstheme="majorHAnsi"/>
        </w:rPr>
      </w:pPr>
      <w:bookmarkStart w:id="77" w:name="_Hlk119668159"/>
      <w:bookmarkEnd w:id="76"/>
      <w:r w:rsidRPr="0004675C">
        <w:rPr>
          <w:rFonts w:asciiTheme="majorHAnsi" w:hAnsiTheme="majorHAnsi" w:cstheme="majorHAnsi"/>
        </w:rPr>
        <w:t>The Program</w:t>
      </w:r>
      <w:r w:rsidR="0036173E" w:rsidRPr="0004675C">
        <w:rPr>
          <w:rFonts w:asciiTheme="majorHAnsi" w:hAnsiTheme="majorHAnsi" w:cstheme="majorHAnsi"/>
        </w:rPr>
        <w:t xml:space="preserve"> has</w:t>
      </w:r>
      <w:r w:rsidR="00E73688" w:rsidRPr="0004675C">
        <w:rPr>
          <w:rFonts w:asciiTheme="majorHAnsi" w:hAnsiTheme="majorHAnsi" w:cstheme="majorHAnsi"/>
        </w:rPr>
        <w:t xml:space="preserve"> in</w:t>
      </w:r>
      <w:r w:rsidR="00D06E70" w:rsidRPr="0004675C">
        <w:rPr>
          <w:rFonts w:asciiTheme="majorHAnsi" w:hAnsiTheme="majorHAnsi" w:cstheme="majorHAnsi"/>
        </w:rPr>
        <w:t>crease</w:t>
      </w:r>
      <w:r w:rsidR="0036173E" w:rsidRPr="0004675C">
        <w:rPr>
          <w:rFonts w:asciiTheme="majorHAnsi" w:hAnsiTheme="majorHAnsi" w:cstheme="majorHAnsi"/>
        </w:rPr>
        <w:t>d</w:t>
      </w:r>
      <w:r w:rsidR="00D06E70" w:rsidRPr="0004675C">
        <w:rPr>
          <w:rFonts w:asciiTheme="majorHAnsi" w:hAnsiTheme="majorHAnsi" w:cstheme="majorHAnsi"/>
        </w:rPr>
        <w:t xml:space="preserve"> </w:t>
      </w:r>
      <w:r w:rsidR="00320A2B">
        <w:rPr>
          <w:rFonts w:asciiTheme="majorHAnsi" w:hAnsiTheme="majorHAnsi" w:cstheme="majorHAnsi"/>
          <w:bCs/>
        </w:rPr>
        <w:t>many</w:t>
      </w:r>
      <w:r w:rsidR="0036173E" w:rsidRPr="0004675C">
        <w:rPr>
          <w:rFonts w:asciiTheme="majorHAnsi" w:hAnsiTheme="majorHAnsi" w:cstheme="majorHAnsi"/>
        </w:rPr>
        <w:t xml:space="preserve"> </w:t>
      </w:r>
      <w:r w:rsidR="00E73688" w:rsidRPr="0004675C">
        <w:rPr>
          <w:rFonts w:asciiTheme="majorHAnsi" w:hAnsiTheme="majorHAnsi" w:cstheme="majorHAnsi"/>
        </w:rPr>
        <w:t>residen</w:t>
      </w:r>
      <w:r w:rsidR="007932DE" w:rsidRPr="0004675C">
        <w:rPr>
          <w:rFonts w:asciiTheme="majorHAnsi" w:hAnsiTheme="majorHAnsi" w:cstheme="majorHAnsi"/>
        </w:rPr>
        <w:t>ts’</w:t>
      </w:r>
      <w:r w:rsidR="00E73688" w:rsidRPr="0004675C">
        <w:rPr>
          <w:rFonts w:asciiTheme="majorHAnsi" w:hAnsiTheme="majorHAnsi" w:cstheme="majorHAnsi"/>
        </w:rPr>
        <w:t xml:space="preserve"> </w:t>
      </w:r>
      <w:r w:rsidR="00D06E70" w:rsidRPr="0004675C">
        <w:rPr>
          <w:rFonts w:asciiTheme="majorHAnsi" w:hAnsiTheme="majorHAnsi" w:cstheme="majorHAnsi"/>
        </w:rPr>
        <w:t xml:space="preserve">access to mainstream </w:t>
      </w:r>
      <w:r w:rsidR="00FB049B">
        <w:rPr>
          <w:rFonts w:asciiTheme="majorHAnsi" w:hAnsiTheme="majorHAnsi" w:cstheme="majorHAnsi"/>
          <w:bCs/>
        </w:rPr>
        <w:t>RACF</w:t>
      </w:r>
      <w:r w:rsidR="007932DE" w:rsidRPr="0004675C">
        <w:rPr>
          <w:rFonts w:asciiTheme="majorHAnsi" w:hAnsiTheme="majorHAnsi" w:cstheme="majorHAnsi"/>
        </w:rPr>
        <w:t xml:space="preserve"> options</w:t>
      </w:r>
      <w:r w:rsidR="00231261" w:rsidRPr="0004675C">
        <w:rPr>
          <w:rFonts w:asciiTheme="majorHAnsi" w:hAnsiTheme="majorHAnsi" w:cstheme="majorHAnsi"/>
        </w:rPr>
        <w:t>.</w:t>
      </w:r>
    </w:p>
    <w:p w14:paraId="3130C28D" w14:textId="1C770B3F" w:rsidR="0009031B" w:rsidRDefault="007504E1" w:rsidP="00AF5A79">
      <w:pPr>
        <w:rPr>
          <w:lang w:val="en-AU"/>
        </w:rPr>
      </w:pPr>
      <w:r w:rsidRPr="00AF5A79">
        <w:rPr>
          <w:lang w:val="en-AU"/>
        </w:rPr>
        <w:t xml:space="preserve">Stakeholders </w:t>
      </w:r>
      <w:r w:rsidR="00A0229D" w:rsidRPr="00AF5A79">
        <w:rPr>
          <w:lang w:val="en-AU"/>
        </w:rPr>
        <w:t xml:space="preserve">across several </w:t>
      </w:r>
      <w:r w:rsidR="005A228F">
        <w:rPr>
          <w:lang w:val="en-AU"/>
        </w:rPr>
        <w:t>jur</w:t>
      </w:r>
      <w:r w:rsidR="00216CD9">
        <w:rPr>
          <w:lang w:val="en-AU"/>
        </w:rPr>
        <w:t xml:space="preserve">isdictions </w:t>
      </w:r>
      <w:r w:rsidR="00E37AC1">
        <w:rPr>
          <w:lang w:val="en-AU"/>
        </w:rPr>
        <w:t>o</w:t>
      </w:r>
      <w:r w:rsidR="00A0229D" w:rsidRPr="00AF5A79">
        <w:rPr>
          <w:lang w:val="en-AU"/>
        </w:rPr>
        <w:t>bserved a</w:t>
      </w:r>
      <w:r w:rsidRPr="00AF5A79">
        <w:rPr>
          <w:lang w:val="en-AU"/>
        </w:rPr>
        <w:t xml:space="preserve"> </w:t>
      </w:r>
      <w:r w:rsidR="00216CD9">
        <w:rPr>
          <w:lang w:val="en-AU"/>
        </w:rPr>
        <w:t>reluctance</w:t>
      </w:r>
      <w:r w:rsidRPr="00AF5A79">
        <w:rPr>
          <w:lang w:val="en-AU"/>
        </w:rPr>
        <w:t xml:space="preserve"> among mainstream RACFs </w:t>
      </w:r>
      <w:r w:rsidR="002A2E8D" w:rsidRPr="00AF5A79">
        <w:rPr>
          <w:lang w:val="en-AU"/>
        </w:rPr>
        <w:t xml:space="preserve">in their region </w:t>
      </w:r>
      <w:r w:rsidRPr="00AF5A79">
        <w:rPr>
          <w:lang w:val="en-AU"/>
        </w:rPr>
        <w:t>to accept p</w:t>
      </w:r>
      <w:r w:rsidR="00216CD9">
        <w:rPr>
          <w:lang w:val="en-AU"/>
        </w:rPr>
        <w:t xml:space="preserve">eople </w:t>
      </w:r>
      <w:r w:rsidRPr="00AF5A79">
        <w:rPr>
          <w:lang w:val="en-AU"/>
        </w:rPr>
        <w:t xml:space="preserve">with </w:t>
      </w:r>
      <w:r w:rsidR="00216CD9">
        <w:rPr>
          <w:lang w:val="en-AU"/>
        </w:rPr>
        <w:t>BPSD</w:t>
      </w:r>
      <w:r w:rsidR="00264019">
        <w:rPr>
          <w:lang w:val="en-AU"/>
        </w:rPr>
        <w:t>,</w:t>
      </w:r>
      <w:r w:rsidR="0009031B">
        <w:rPr>
          <w:lang w:val="en-AU"/>
        </w:rPr>
        <w:t xml:space="preserve"> even whe</w:t>
      </w:r>
      <w:r w:rsidR="003C4311">
        <w:rPr>
          <w:lang w:val="en-AU"/>
        </w:rPr>
        <w:t>n their</w:t>
      </w:r>
      <w:r w:rsidR="0009031B">
        <w:rPr>
          <w:lang w:val="en-AU"/>
        </w:rPr>
        <w:t xml:space="preserve"> BPSD ha</w:t>
      </w:r>
      <w:r w:rsidR="001A69BF">
        <w:rPr>
          <w:lang w:val="en-AU"/>
        </w:rPr>
        <w:t>d</w:t>
      </w:r>
      <w:r w:rsidR="0009031B">
        <w:rPr>
          <w:lang w:val="en-AU"/>
        </w:rPr>
        <w:t xml:space="preserve"> settled. This can result in prolonged stay in acute care settings due to the limited care options availabl</w:t>
      </w:r>
      <w:r w:rsidR="003C4311">
        <w:rPr>
          <w:lang w:val="en-AU"/>
        </w:rPr>
        <w:t>e</w:t>
      </w:r>
      <w:r w:rsidR="006D7CCE">
        <w:rPr>
          <w:lang w:val="en-AU"/>
        </w:rPr>
        <w:t xml:space="preserve"> </w:t>
      </w:r>
      <w:r w:rsidR="003C4311">
        <w:rPr>
          <w:lang w:val="en-AU"/>
        </w:rPr>
        <w:t>(</w:t>
      </w:r>
      <w:r w:rsidR="00715BF0">
        <w:rPr>
          <w:lang w:val="en-AU"/>
        </w:rPr>
        <w:t xml:space="preserve">the impact of the Program in minimising </w:t>
      </w:r>
      <w:r w:rsidR="00EF0849">
        <w:rPr>
          <w:lang w:val="en-AU"/>
        </w:rPr>
        <w:t xml:space="preserve">prolonged stay in acute care is </w:t>
      </w:r>
      <w:r w:rsidR="003C4311">
        <w:rPr>
          <w:lang w:val="en-AU"/>
        </w:rPr>
        <w:t>discussed further in Section</w:t>
      </w:r>
      <w:r w:rsidR="0013310F">
        <w:rPr>
          <w:lang w:val="en-AU"/>
        </w:rPr>
        <w:t xml:space="preserve"> </w:t>
      </w:r>
      <w:r w:rsidR="0013310F">
        <w:rPr>
          <w:lang w:val="en-AU"/>
        </w:rPr>
        <w:fldChar w:fldCharType="begin"/>
      </w:r>
      <w:r w:rsidR="0013310F">
        <w:rPr>
          <w:lang w:val="en-AU"/>
        </w:rPr>
        <w:instrText xml:space="preserve"> REF _Ref125358641 \n \h </w:instrText>
      </w:r>
      <w:r w:rsidR="0013310F">
        <w:rPr>
          <w:lang w:val="en-AU"/>
        </w:rPr>
      </w:r>
      <w:r w:rsidR="0013310F">
        <w:rPr>
          <w:lang w:val="en-AU"/>
        </w:rPr>
        <w:fldChar w:fldCharType="separate"/>
      </w:r>
      <w:r w:rsidR="00D32536">
        <w:rPr>
          <w:lang w:val="en-AU"/>
        </w:rPr>
        <w:t>6</w:t>
      </w:r>
      <w:r w:rsidR="0013310F">
        <w:rPr>
          <w:lang w:val="en-AU"/>
        </w:rPr>
        <w:fldChar w:fldCharType="end"/>
      </w:r>
      <w:r w:rsidR="003C4311">
        <w:rPr>
          <w:lang w:val="en-AU"/>
        </w:rPr>
        <w:t>)</w:t>
      </w:r>
      <w:r w:rsidR="0009031B">
        <w:rPr>
          <w:lang w:val="en-AU"/>
        </w:rPr>
        <w:t xml:space="preserve">. </w:t>
      </w:r>
    </w:p>
    <w:p w14:paraId="53FB9263" w14:textId="41A7F754" w:rsidR="00884118" w:rsidRDefault="009B6B97" w:rsidP="00AF5A79">
      <w:pPr>
        <w:rPr>
          <w:lang w:val="en-AU"/>
        </w:rPr>
      </w:pPr>
      <w:r>
        <w:rPr>
          <w:lang w:val="en-AU"/>
        </w:rPr>
        <w:t>Stakeholders noted</w:t>
      </w:r>
      <w:r w:rsidR="00E37AC1">
        <w:rPr>
          <w:lang w:val="en-AU"/>
        </w:rPr>
        <w:t xml:space="preserve"> t</w:t>
      </w:r>
      <w:r w:rsidR="00E37AC1" w:rsidRPr="00AF5A79">
        <w:rPr>
          <w:lang w:val="en-AU"/>
        </w:rPr>
        <w:t xml:space="preserve">he Program’s success in settling BPSD </w:t>
      </w:r>
      <w:r w:rsidR="00D9444A">
        <w:rPr>
          <w:lang w:val="en-AU"/>
        </w:rPr>
        <w:t>helps to overcome th</w:t>
      </w:r>
      <w:r w:rsidR="0062676A">
        <w:rPr>
          <w:lang w:val="en-AU"/>
        </w:rPr>
        <w:t>is</w:t>
      </w:r>
      <w:r w:rsidR="00D9444A">
        <w:rPr>
          <w:lang w:val="en-AU"/>
        </w:rPr>
        <w:t xml:space="preserve"> stigma associated with BPSD and </w:t>
      </w:r>
      <w:r w:rsidR="00E37AC1" w:rsidRPr="00AF5A79">
        <w:rPr>
          <w:lang w:val="en-AU"/>
        </w:rPr>
        <w:t xml:space="preserve">provides </w:t>
      </w:r>
      <w:r w:rsidR="00002C52">
        <w:rPr>
          <w:lang w:val="en-AU"/>
        </w:rPr>
        <w:t>confidence</w:t>
      </w:r>
      <w:r w:rsidR="00E37AC1" w:rsidRPr="00AF5A79">
        <w:rPr>
          <w:lang w:val="en-AU"/>
        </w:rPr>
        <w:t xml:space="preserve"> to mainstream </w:t>
      </w:r>
      <w:r w:rsidR="00B176D8">
        <w:rPr>
          <w:lang w:val="en-AU"/>
        </w:rPr>
        <w:t>RACF</w:t>
      </w:r>
      <w:r w:rsidR="005F0CAC">
        <w:rPr>
          <w:lang w:val="en-AU"/>
        </w:rPr>
        <w:t>s</w:t>
      </w:r>
      <w:r w:rsidR="00E37AC1" w:rsidRPr="00AF5A79">
        <w:rPr>
          <w:lang w:val="en-AU"/>
        </w:rPr>
        <w:t xml:space="preserve"> that a resident can b</w:t>
      </w:r>
      <w:r w:rsidR="00E37AC1">
        <w:rPr>
          <w:lang w:val="en-AU"/>
        </w:rPr>
        <w:t>e cared</w:t>
      </w:r>
      <w:r w:rsidR="00E37AC1" w:rsidRPr="00AF5A79">
        <w:rPr>
          <w:lang w:val="en-AU"/>
        </w:rPr>
        <w:t xml:space="preserve"> for in a mainstream setting</w:t>
      </w:r>
      <w:r w:rsidR="0009031B">
        <w:rPr>
          <w:lang w:val="en-AU"/>
        </w:rPr>
        <w:t xml:space="preserve">. </w:t>
      </w:r>
      <w:r w:rsidR="00D9444A">
        <w:rPr>
          <w:lang w:val="en-AU"/>
        </w:rPr>
        <w:t>T</w:t>
      </w:r>
      <w:r w:rsidR="003C4311">
        <w:rPr>
          <w:lang w:val="en-AU"/>
        </w:rPr>
        <w:t>his is</w:t>
      </w:r>
      <w:r w:rsidR="00E07E0C">
        <w:rPr>
          <w:lang w:val="en-AU"/>
        </w:rPr>
        <w:t xml:space="preserve"> </w:t>
      </w:r>
      <w:r w:rsidR="00BC3F76">
        <w:rPr>
          <w:lang w:val="en-AU"/>
        </w:rPr>
        <w:t>enabled</w:t>
      </w:r>
      <w:r w:rsidR="003C4311" w:rsidRPr="00AF5A79">
        <w:rPr>
          <w:lang w:val="en-AU"/>
        </w:rPr>
        <w:t xml:space="preserve"> by </w:t>
      </w:r>
      <w:r w:rsidR="003C4311">
        <w:rPr>
          <w:lang w:val="en-AU"/>
        </w:rPr>
        <w:t xml:space="preserve">the </w:t>
      </w:r>
      <w:r w:rsidR="002B6B56">
        <w:rPr>
          <w:lang w:val="en-AU"/>
        </w:rPr>
        <w:t xml:space="preserve">SDCU </w:t>
      </w:r>
      <w:r w:rsidR="003C4311">
        <w:rPr>
          <w:lang w:val="en-AU"/>
        </w:rPr>
        <w:t xml:space="preserve">discharge planning process </w:t>
      </w:r>
      <w:r w:rsidR="003C4311" w:rsidRPr="00AF5A79">
        <w:rPr>
          <w:lang w:val="en-AU"/>
        </w:rPr>
        <w:t xml:space="preserve">(discussed in Section </w:t>
      </w:r>
      <w:r w:rsidR="003C4311">
        <w:rPr>
          <w:lang w:val="en-AU"/>
        </w:rPr>
        <w:fldChar w:fldCharType="begin"/>
      </w:r>
      <w:r w:rsidR="003C4311">
        <w:rPr>
          <w:lang w:val="en-AU"/>
        </w:rPr>
        <w:instrText xml:space="preserve"> REF _Ref123918872 \r \h </w:instrText>
      </w:r>
      <w:r w:rsidR="003C4311">
        <w:rPr>
          <w:lang w:val="en-AU"/>
        </w:rPr>
      </w:r>
      <w:r w:rsidR="003C4311">
        <w:rPr>
          <w:lang w:val="en-AU"/>
        </w:rPr>
        <w:fldChar w:fldCharType="separate"/>
      </w:r>
      <w:r w:rsidR="00D32536">
        <w:rPr>
          <w:lang w:val="en-AU"/>
        </w:rPr>
        <w:t>4</w:t>
      </w:r>
      <w:r w:rsidR="003C4311">
        <w:rPr>
          <w:lang w:val="en-AU"/>
        </w:rPr>
        <w:fldChar w:fldCharType="end"/>
      </w:r>
      <w:r w:rsidR="003C4311" w:rsidRPr="00AF5A79">
        <w:rPr>
          <w:lang w:val="en-AU"/>
        </w:rPr>
        <w:t xml:space="preserve">) </w:t>
      </w:r>
      <w:r w:rsidR="003C4311">
        <w:rPr>
          <w:lang w:val="en-AU"/>
        </w:rPr>
        <w:t xml:space="preserve">which </w:t>
      </w:r>
      <w:r w:rsidR="00B32F14">
        <w:rPr>
          <w:lang w:val="en-AU"/>
        </w:rPr>
        <w:t>focuses on increasing</w:t>
      </w:r>
      <w:r w:rsidR="003C4311">
        <w:rPr>
          <w:lang w:val="en-AU"/>
        </w:rPr>
        <w:t xml:space="preserve"> the capability and confidence of </w:t>
      </w:r>
      <w:r w:rsidR="00E37AC1">
        <w:rPr>
          <w:lang w:val="en-AU"/>
        </w:rPr>
        <w:t>staff</w:t>
      </w:r>
      <w:r w:rsidR="00BC3F76">
        <w:rPr>
          <w:lang w:val="en-AU"/>
        </w:rPr>
        <w:t xml:space="preserve"> in </w:t>
      </w:r>
      <w:r w:rsidR="003C4311">
        <w:rPr>
          <w:lang w:val="en-AU"/>
        </w:rPr>
        <w:t xml:space="preserve">mainstream </w:t>
      </w:r>
      <w:r w:rsidR="00BC3F76">
        <w:rPr>
          <w:lang w:val="en-AU"/>
        </w:rPr>
        <w:t>RACFs</w:t>
      </w:r>
      <w:r w:rsidR="003C4311">
        <w:rPr>
          <w:lang w:val="en-AU"/>
        </w:rPr>
        <w:t xml:space="preserve"> </w:t>
      </w:r>
      <w:r w:rsidR="00B32F14">
        <w:rPr>
          <w:lang w:val="en-AU"/>
        </w:rPr>
        <w:t>to</w:t>
      </w:r>
      <w:r w:rsidR="003C4311" w:rsidRPr="00AF5A79">
        <w:rPr>
          <w:lang w:val="en-AU"/>
        </w:rPr>
        <w:t xml:space="preserve"> care</w:t>
      </w:r>
      <w:r w:rsidR="00B32F14">
        <w:rPr>
          <w:lang w:val="en-AU"/>
        </w:rPr>
        <w:t xml:space="preserve"> for this cohort</w:t>
      </w:r>
      <w:r w:rsidR="00E37AC1" w:rsidRPr="00AF5A79">
        <w:rPr>
          <w:lang w:val="en-AU"/>
        </w:rPr>
        <w:t>.</w:t>
      </w:r>
      <w:r w:rsidR="003C4311">
        <w:rPr>
          <w:lang w:val="en-AU"/>
        </w:rPr>
        <w:t xml:space="preserve"> </w:t>
      </w:r>
      <w:r w:rsidR="005852C7">
        <w:rPr>
          <w:lang w:val="en-AU"/>
        </w:rPr>
        <w:t>The design feature of the Program</w:t>
      </w:r>
      <w:r w:rsidR="005F3BF6">
        <w:rPr>
          <w:lang w:val="en-AU"/>
        </w:rPr>
        <w:t xml:space="preserve">, whereby all SDCUs are co-located with </w:t>
      </w:r>
      <w:r w:rsidR="009635C5">
        <w:rPr>
          <w:lang w:val="en-AU"/>
        </w:rPr>
        <w:t xml:space="preserve">a mainstream RACF (operated by the same provider) </w:t>
      </w:r>
      <w:r w:rsidR="00A02567">
        <w:rPr>
          <w:lang w:val="en-AU"/>
        </w:rPr>
        <w:t xml:space="preserve">also enables </w:t>
      </w:r>
      <w:r w:rsidR="007C5F6B">
        <w:rPr>
          <w:lang w:val="en-AU"/>
        </w:rPr>
        <w:t>better</w:t>
      </w:r>
      <w:r w:rsidR="00A34989">
        <w:rPr>
          <w:lang w:val="en-AU"/>
        </w:rPr>
        <w:t xml:space="preserve"> access to mainstream </w:t>
      </w:r>
      <w:r w:rsidR="007C5F6B">
        <w:rPr>
          <w:lang w:val="en-AU"/>
        </w:rPr>
        <w:t>RACFs</w:t>
      </w:r>
      <w:r w:rsidR="00A34989">
        <w:rPr>
          <w:lang w:val="en-AU"/>
        </w:rPr>
        <w:t xml:space="preserve">, </w:t>
      </w:r>
      <w:r w:rsidR="003C4311" w:rsidRPr="00661DC4">
        <w:rPr>
          <w:lang w:val="en-AU"/>
        </w:rPr>
        <w:t xml:space="preserve">as </w:t>
      </w:r>
      <w:r w:rsidR="00C55E11" w:rsidRPr="00661DC4">
        <w:rPr>
          <w:lang w:val="en-AU"/>
        </w:rPr>
        <w:t>the</w:t>
      </w:r>
      <w:r w:rsidR="00D96155" w:rsidRPr="00661DC4">
        <w:rPr>
          <w:lang w:val="en-AU"/>
        </w:rPr>
        <w:t xml:space="preserve"> resident </w:t>
      </w:r>
      <w:r w:rsidR="00C66697">
        <w:rPr>
          <w:lang w:val="en-AU"/>
        </w:rPr>
        <w:t>is</w:t>
      </w:r>
      <w:r w:rsidR="00D96155" w:rsidRPr="00661DC4">
        <w:rPr>
          <w:lang w:val="en-AU"/>
        </w:rPr>
        <w:t xml:space="preserve"> not </w:t>
      </w:r>
      <w:r w:rsidR="00C66697">
        <w:rPr>
          <w:lang w:val="en-AU"/>
        </w:rPr>
        <w:t>required</w:t>
      </w:r>
      <w:r w:rsidR="00D96155" w:rsidRPr="00661DC4">
        <w:rPr>
          <w:lang w:val="en-AU"/>
        </w:rPr>
        <w:t xml:space="preserve"> to apply to an external </w:t>
      </w:r>
      <w:r w:rsidR="00C66697">
        <w:rPr>
          <w:lang w:val="en-AU"/>
        </w:rPr>
        <w:t xml:space="preserve">RACF </w:t>
      </w:r>
      <w:r w:rsidR="00D96155" w:rsidRPr="00661DC4">
        <w:rPr>
          <w:lang w:val="en-AU"/>
        </w:rPr>
        <w:t>provider</w:t>
      </w:r>
      <w:r w:rsidR="00D96155" w:rsidRPr="00D96155">
        <w:rPr>
          <w:color w:val="FF0000"/>
          <w:lang w:val="en-AU"/>
        </w:rPr>
        <w:t xml:space="preserve"> </w:t>
      </w:r>
      <w:r w:rsidR="00C67C39">
        <w:rPr>
          <w:lang w:val="en-AU"/>
        </w:rPr>
        <w:t>and</w:t>
      </w:r>
      <w:r w:rsidR="0050765B">
        <w:rPr>
          <w:lang w:val="en-AU"/>
        </w:rPr>
        <w:t xml:space="preserve"> </w:t>
      </w:r>
      <w:r w:rsidR="00933950">
        <w:rPr>
          <w:lang w:val="en-AU"/>
        </w:rPr>
        <w:t>Program</w:t>
      </w:r>
      <w:r w:rsidR="001D313B">
        <w:rPr>
          <w:lang w:val="en-AU"/>
        </w:rPr>
        <w:t xml:space="preserve"> </w:t>
      </w:r>
      <w:r w:rsidR="003C4311">
        <w:rPr>
          <w:lang w:val="en-AU"/>
        </w:rPr>
        <w:t xml:space="preserve">staff can more easily </w:t>
      </w:r>
      <w:r w:rsidR="004E5CE9">
        <w:rPr>
          <w:lang w:val="en-AU"/>
        </w:rPr>
        <w:t>support</w:t>
      </w:r>
      <w:r w:rsidR="00C67C39">
        <w:rPr>
          <w:lang w:val="en-AU"/>
        </w:rPr>
        <w:t xml:space="preserve"> care staff</w:t>
      </w:r>
      <w:r w:rsidR="003C4311">
        <w:rPr>
          <w:lang w:val="en-AU"/>
        </w:rPr>
        <w:t xml:space="preserve"> </w:t>
      </w:r>
      <w:r w:rsidR="00D96155">
        <w:rPr>
          <w:lang w:val="en-AU"/>
        </w:rPr>
        <w:t xml:space="preserve">in the co-located unit </w:t>
      </w:r>
      <w:r w:rsidR="003C4311">
        <w:rPr>
          <w:lang w:val="en-AU"/>
        </w:rPr>
        <w:t>to sustain long-term symptom management</w:t>
      </w:r>
      <w:r w:rsidR="007E7C72">
        <w:rPr>
          <w:lang w:val="en-AU"/>
        </w:rPr>
        <w:t xml:space="preserve"> (discussed in Section </w:t>
      </w:r>
      <w:r w:rsidR="007E7C72">
        <w:rPr>
          <w:lang w:val="en-AU"/>
        </w:rPr>
        <w:fldChar w:fldCharType="begin"/>
      </w:r>
      <w:r w:rsidR="007E7C72">
        <w:rPr>
          <w:lang w:val="en-AU"/>
        </w:rPr>
        <w:instrText xml:space="preserve"> REF _Ref124236683 \r \h </w:instrText>
      </w:r>
      <w:r w:rsidR="007E7C72">
        <w:rPr>
          <w:lang w:val="en-AU"/>
        </w:rPr>
      </w:r>
      <w:r w:rsidR="007E7C72">
        <w:rPr>
          <w:lang w:val="en-AU"/>
        </w:rPr>
        <w:fldChar w:fldCharType="separate"/>
      </w:r>
      <w:r w:rsidR="00D32536">
        <w:rPr>
          <w:lang w:val="en-AU"/>
        </w:rPr>
        <w:t>4</w:t>
      </w:r>
      <w:r w:rsidR="007E7C72">
        <w:rPr>
          <w:lang w:val="en-AU"/>
        </w:rPr>
        <w:fldChar w:fldCharType="end"/>
      </w:r>
      <w:r w:rsidR="007E7C72">
        <w:rPr>
          <w:lang w:val="en-AU"/>
        </w:rPr>
        <w:t>).</w:t>
      </w:r>
      <w:r w:rsidR="00661DC4">
        <w:rPr>
          <w:lang w:val="en-AU"/>
        </w:rPr>
        <w:t xml:space="preserve"> </w:t>
      </w:r>
    </w:p>
    <w:p w14:paraId="1075DCAF" w14:textId="13283D3B" w:rsidR="00AF5A79" w:rsidRDefault="00884118" w:rsidP="00AF5A79">
      <w:pPr>
        <w:rPr>
          <w:lang w:val="en-AU"/>
        </w:rPr>
      </w:pPr>
      <w:r>
        <w:rPr>
          <w:lang w:val="en-AU"/>
        </w:rPr>
        <w:t>At a system-level, by</w:t>
      </w:r>
      <w:r w:rsidR="00661DC4">
        <w:rPr>
          <w:lang w:val="en-AU"/>
        </w:rPr>
        <w:t xml:space="preserve"> improving access to mainstream RACFs, </w:t>
      </w:r>
      <w:r w:rsidR="00BC18F8">
        <w:rPr>
          <w:lang w:val="en-AU"/>
        </w:rPr>
        <w:t>the</w:t>
      </w:r>
      <w:r w:rsidR="00BA14DA">
        <w:rPr>
          <w:lang w:val="en-AU"/>
        </w:rPr>
        <w:t xml:space="preserve"> Program </w:t>
      </w:r>
      <w:r w:rsidR="00E1534E">
        <w:rPr>
          <w:lang w:val="en-AU"/>
        </w:rPr>
        <w:t xml:space="preserve">is able to release capacity to inpatient psychogeriatric services </w:t>
      </w:r>
      <w:r w:rsidR="00D66851">
        <w:rPr>
          <w:lang w:val="en-AU"/>
        </w:rPr>
        <w:t xml:space="preserve">over the long term (where the resident would typically reside </w:t>
      </w:r>
      <w:r w:rsidR="00C753C2">
        <w:rPr>
          <w:lang w:val="en-AU"/>
        </w:rPr>
        <w:t>indefinitely in the absence of the Program).</w:t>
      </w:r>
      <w:r w:rsidR="002A6F04">
        <w:rPr>
          <w:lang w:val="en-AU"/>
        </w:rPr>
        <w:t xml:space="preserve"> This is discussed further in </w:t>
      </w:r>
      <w:r w:rsidR="00DE5190">
        <w:rPr>
          <w:lang w:val="en-AU"/>
        </w:rPr>
        <w:fldChar w:fldCharType="begin"/>
      </w:r>
      <w:r w:rsidR="00DE5190">
        <w:rPr>
          <w:lang w:val="en-AU"/>
        </w:rPr>
        <w:instrText xml:space="preserve"> REF _Ref125307266 \r \h </w:instrText>
      </w:r>
      <w:r w:rsidR="00DE5190">
        <w:rPr>
          <w:lang w:val="en-AU"/>
        </w:rPr>
      </w:r>
      <w:r w:rsidR="00DE5190">
        <w:rPr>
          <w:lang w:val="en-AU"/>
        </w:rPr>
        <w:fldChar w:fldCharType="separate"/>
      </w:r>
      <w:r w:rsidR="00D32536">
        <w:rPr>
          <w:lang w:val="en-AU"/>
        </w:rPr>
        <w:t>6.2.1</w:t>
      </w:r>
      <w:r w:rsidR="00DE5190">
        <w:rPr>
          <w:lang w:val="en-AU"/>
        </w:rPr>
        <w:fldChar w:fldCharType="end"/>
      </w:r>
      <w:r w:rsidR="002A6F04">
        <w:rPr>
          <w:lang w:val="en-AU"/>
        </w:rPr>
        <w:t>.</w:t>
      </w:r>
    </w:p>
    <w:p w14:paraId="3EFD7252" w14:textId="3670E9F5" w:rsidR="00E41BFD" w:rsidRDefault="00E17E87" w:rsidP="00E17E87">
      <w:pPr>
        <w:pStyle w:val="Heading2"/>
        <w:spacing w:after="0"/>
        <w:ind w:left="578" w:hanging="578"/>
        <w:rPr>
          <w:lang w:val="en-AU"/>
        </w:rPr>
      </w:pPr>
      <w:bookmarkStart w:id="78" w:name="_Ref124176378"/>
      <w:r>
        <w:rPr>
          <w:lang w:val="en-AU"/>
        </w:rPr>
        <w:t>Benefits for f</w:t>
      </w:r>
      <w:r w:rsidR="00E41BFD">
        <w:rPr>
          <w:lang w:val="en-AU"/>
        </w:rPr>
        <w:t>amilies</w:t>
      </w:r>
      <w:r>
        <w:rPr>
          <w:lang w:val="en-AU"/>
        </w:rPr>
        <w:t>/</w:t>
      </w:r>
      <w:r w:rsidR="00E41BFD">
        <w:rPr>
          <w:lang w:val="en-AU"/>
        </w:rPr>
        <w:t>carers of Program residents</w:t>
      </w:r>
      <w:bookmarkEnd w:id="78"/>
    </w:p>
    <w:p w14:paraId="41007C8C" w14:textId="0D4885B7" w:rsidR="003E6AE9" w:rsidRPr="00576A49" w:rsidRDefault="00F26B3E" w:rsidP="003E6AE9">
      <w:pPr>
        <w:pStyle w:val="Heading3"/>
        <w:spacing w:after="0"/>
        <w:rPr>
          <w:lang w:val="en-AU"/>
        </w:rPr>
      </w:pPr>
      <w:r>
        <w:rPr>
          <w:lang w:val="en-AU"/>
        </w:rPr>
        <w:t>Improved mental health and wellbeing</w:t>
      </w:r>
    </w:p>
    <w:p w14:paraId="1BBAF175" w14:textId="61FC0FD8" w:rsidR="00886C78" w:rsidRPr="005B2474" w:rsidRDefault="00F40647" w:rsidP="004E5731">
      <w:pPr>
        <w:pStyle w:val="Heading4thematicstatement"/>
        <w:spacing w:after="170"/>
        <w:rPr>
          <w:rFonts w:asciiTheme="majorHAnsi" w:hAnsiTheme="majorHAnsi" w:cstheme="majorHAnsi"/>
        </w:rPr>
      </w:pPr>
      <w:r>
        <w:rPr>
          <w:rFonts w:asciiTheme="majorHAnsi" w:hAnsiTheme="majorHAnsi" w:cstheme="majorHAnsi"/>
          <w:bCs/>
        </w:rPr>
        <w:t>C</w:t>
      </w:r>
      <w:r w:rsidR="00CF3F2F" w:rsidRPr="005B2474">
        <w:rPr>
          <w:rFonts w:asciiTheme="majorHAnsi" w:hAnsiTheme="majorHAnsi" w:cstheme="majorHAnsi"/>
          <w:bCs/>
        </w:rPr>
        <w:t>onsensus</w:t>
      </w:r>
      <w:r w:rsidR="00CF3F2F" w:rsidRPr="005B2474">
        <w:rPr>
          <w:rFonts w:asciiTheme="majorHAnsi" w:hAnsiTheme="majorHAnsi" w:cstheme="majorHAnsi"/>
        </w:rPr>
        <w:t xml:space="preserve"> that the </w:t>
      </w:r>
      <w:r w:rsidR="00B0105F">
        <w:rPr>
          <w:rFonts w:asciiTheme="majorHAnsi" w:hAnsiTheme="majorHAnsi" w:cstheme="majorHAnsi"/>
          <w:bCs/>
        </w:rPr>
        <w:t>Program</w:t>
      </w:r>
      <w:r w:rsidR="00CF3F2F" w:rsidRPr="005B2474">
        <w:rPr>
          <w:rFonts w:asciiTheme="majorHAnsi" w:hAnsiTheme="majorHAnsi" w:cstheme="majorHAnsi"/>
        </w:rPr>
        <w:t xml:space="preserve"> has led to a reduction in caregiver burden for family</w:t>
      </w:r>
      <w:r w:rsidR="007A1C99" w:rsidRPr="005B2474">
        <w:rPr>
          <w:rFonts w:asciiTheme="majorHAnsi" w:hAnsiTheme="majorHAnsi" w:cstheme="majorHAnsi"/>
        </w:rPr>
        <w:t>/</w:t>
      </w:r>
      <w:r w:rsidR="00CF3F2F" w:rsidRPr="005B2474">
        <w:rPr>
          <w:rFonts w:asciiTheme="majorHAnsi" w:hAnsiTheme="majorHAnsi" w:cstheme="majorHAnsi"/>
        </w:rPr>
        <w:t>carers of resident</w:t>
      </w:r>
      <w:r w:rsidR="003D4B11" w:rsidRPr="005B2474">
        <w:rPr>
          <w:rFonts w:asciiTheme="majorHAnsi" w:hAnsiTheme="majorHAnsi" w:cstheme="majorHAnsi"/>
        </w:rPr>
        <w:t>s</w:t>
      </w:r>
      <w:r w:rsidR="008A3444" w:rsidRPr="005B2474">
        <w:rPr>
          <w:rFonts w:asciiTheme="majorHAnsi" w:hAnsiTheme="majorHAnsi" w:cstheme="majorHAnsi"/>
        </w:rPr>
        <w:t>.</w:t>
      </w:r>
      <w:r w:rsidR="00672B9F" w:rsidRPr="005B2474">
        <w:rPr>
          <w:rFonts w:asciiTheme="majorHAnsi" w:hAnsiTheme="majorHAnsi" w:cstheme="majorHAnsi"/>
        </w:rPr>
        <w:t xml:space="preserve"> </w:t>
      </w:r>
    </w:p>
    <w:p w14:paraId="46024257" w14:textId="6CA0F779" w:rsidR="009121F1" w:rsidRDefault="00377754" w:rsidP="009121F1">
      <w:r>
        <w:rPr>
          <w:lang w:val="en-AU"/>
        </w:rPr>
        <w:t>The majority of f</w:t>
      </w:r>
      <w:r w:rsidRPr="009121F1">
        <w:rPr>
          <w:lang w:val="en-AU"/>
        </w:rPr>
        <w:t>amil</w:t>
      </w:r>
      <w:r>
        <w:rPr>
          <w:lang w:val="en-AU"/>
        </w:rPr>
        <w:t>y/</w:t>
      </w:r>
      <w:r w:rsidRPr="009121F1">
        <w:rPr>
          <w:lang w:val="en-AU"/>
        </w:rPr>
        <w:t>carer</w:t>
      </w:r>
      <w:r>
        <w:rPr>
          <w:lang w:val="en-AU"/>
        </w:rPr>
        <w:t xml:space="preserve">s </w:t>
      </w:r>
      <w:r w:rsidRPr="009121F1">
        <w:rPr>
          <w:lang w:val="en-AU"/>
        </w:rPr>
        <w:t>reported a</w:t>
      </w:r>
      <w:r>
        <w:rPr>
          <w:lang w:val="en-AU"/>
        </w:rPr>
        <w:t xml:space="preserve"> </w:t>
      </w:r>
      <w:r w:rsidR="00795546">
        <w:rPr>
          <w:lang w:val="en-AU"/>
        </w:rPr>
        <w:t>reduction</w:t>
      </w:r>
      <w:r w:rsidRPr="009121F1">
        <w:rPr>
          <w:lang w:val="en-AU"/>
        </w:rPr>
        <w:t xml:space="preserve"> in </w:t>
      </w:r>
      <w:r w:rsidR="00795546">
        <w:rPr>
          <w:lang w:val="en-AU"/>
        </w:rPr>
        <w:t>distress</w:t>
      </w:r>
      <w:r w:rsidRPr="009121F1">
        <w:rPr>
          <w:lang w:val="en-AU"/>
        </w:rPr>
        <w:t xml:space="preserve"> </w:t>
      </w:r>
      <w:r w:rsidR="006E596B">
        <w:rPr>
          <w:lang w:val="en-AU"/>
        </w:rPr>
        <w:t xml:space="preserve">and burden </w:t>
      </w:r>
      <w:r w:rsidRPr="009121F1">
        <w:rPr>
          <w:lang w:val="en-AU"/>
        </w:rPr>
        <w:t>once their loved one was admitted to the SDCU.</w:t>
      </w:r>
      <w:r>
        <w:rPr>
          <w:lang w:val="en-AU"/>
        </w:rPr>
        <w:t xml:space="preserve"> </w:t>
      </w:r>
      <w:r w:rsidR="00AB4999">
        <w:rPr>
          <w:lang w:val="en-AU"/>
        </w:rPr>
        <w:t>F</w:t>
      </w:r>
      <w:r w:rsidR="00FB0E85">
        <w:rPr>
          <w:lang w:val="en-AU"/>
        </w:rPr>
        <w:t>amily/carer</w:t>
      </w:r>
      <w:r w:rsidR="007756D3">
        <w:rPr>
          <w:lang w:val="en-AU"/>
        </w:rPr>
        <w:t>s</w:t>
      </w:r>
      <w:r w:rsidRPr="009121F1">
        <w:rPr>
          <w:lang w:val="en-AU"/>
        </w:rPr>
        <w:t xml:space="preserve"> </w:t>
      </w:r>
      <w:r w:rsidR="0084548F">
        <w:rPr>
          <w:lang w:val="en-AU"/>
        </w:rPr>
        <w:t xml:space="preserve">reflected on their </w:t>
      </w:r>
      <w:r w:rsidR="003812B1">
        <w:rPr>
          <w:lang w:val="en-AU"/>
        </w:rPr>
        <w:t xml:space="preserve">personal </w:t>
      </w:r>
      <w:r w:rsidR="0084548F">
        <w:rPr>
          <w:lang w:val="en-AU"/>
        </w:rPr>
        <w:t>experience</w:t>
      </w:r>
      <w:r w:rsidRPr="009121F1">
        <w:rPr>
          <w:lang w:val="en-AU"/>
        </w:rPr>
        <w:t xml:space="preserve"> seeking </w:t>
      </w:r>
      <w:r w:rsidR="0084548F">
        <w:rPr>
          <w:lang w:val="en-AU"/>
        </w:rPr>
        <w:t xml:space="preserve">care </w:t>
      </w:r>
      <w:r w:rsidRPr="009121F1">
        <w:rPr>
          <w:lang w:val="en-AU"/>
        </w:rPr>
        <w:t xml:space="preserve">for their loved one </w:t>
      </w:r>
      <w:r w:rsidR="004D0313">
        <w:rPr>
          <w:lang w:val="en-AU"/>
        </w:rPr>
        <w:t>prior to admission to the SDCU, noting it was often</w:t>
      </w:r>
      <w:r>
        <w:rPr>
          <w:lang w:val="en-AU"/>
        </w:rPr>
        <w:t xml:space="preserve"> highly </w:t>
      </w:r>
      <w:r w:rsidRPr="009121F1">
        <w:rPr>
          <w:lang w:val="en-AU"/>
        </w:rPr>
        <w:t>distressing and frustratin</w:t>
      </w:r>
      <w:r>
        <w:rPr>
          <w:lang w:val="en-AU"/>
        </w:rPr>
        <w:t xml:space="preserve">g </w:t>
      </w:r>
      <w:r w:rsidRPr="009121F1">
        <w:rPr>
          <w:lang w:val="en-AU"/>
        </w:rPr>
        <w:t>due to limited appropriate accommodation option</w:t>
      </w:r>
      <w:r>
        <w:rPr>
          <w:lang w:val="en-AU"/>
        </w:rPr>
        <w:t xml:space="preserve">s, </w:t>
      </w:r>
      <w:r w:rsidRPr="009121F1">
        <w:rPr>
          <w:lang w:val="en-AU"/>
        </w:rPr>
        <w:t>reluctance among mainstream RACFs to accept their loved one</w:t>
      </w:r>
      <w:r w:rsidR="0090727A">
        <w:rPr>
          <w:lang w:val="en-AU"/>
        </w:rPr>
        <w:t>,</w:t>
      </w:r>
      <w:r w:rsidRPr="008E60BD">
        <w:rPr>
          <w:lang w:val="en-AU"/>
        </w:rPr>
        <w:t xml:space="preserve"> </w:t>
      </w:r>
      <w:r w:rsidRPr="009121F1">
        <w:rPr>
          <w:lang w:val="en-AU"/>
        </w:rPr>
        <w:t xml:space="preserve">a high frequency of </w:t>
      </w:r>
      <w:r w:rsidR="0090727A">
        <w:rPr>
          <w:lang w:val="en-AU"/>
        </w:rPr>
        <w:t>behavioural</w:t>
      </w:r>
      <w:r w:rsidRPr="009121F1">
        <w:rPr>
          <w:lang w:val="en-AU"/>
        </w:rPr>
        <w:t xml:space="preserve"> incidents</w:t>
      </w:r>
      <w:r w:rsidR="0090727A">
        <w:rPr>
          <w:lang w:val="en-AU"/>
        </w:rPr>
        <w:t>, and the tendency of</w:t>
      </w:r>
      <w:r>
        <w:rPr>
          <w:lang w:val="en-AU"/>
        </w:rPr>
        <w:t xml:space="preserve"> care </w:t>
      </w:r>
      <w:r w:rsidR="0090727A">
        <w:rPr>
          <w:lang w:val="en-AU"/>
        </w:rPr>
        <w:t>providers to rely on chemical restraints</w:t>
      </w:r>
      <w:r w:rsidRPr="009121F1">
        <w:rPr>
          <w:lang w:val="en-AU"/>
        </w:rPr>
        <w:t xml:space="preserve"> as </w:t>
      </w:r>
      <w:r w:rsidR="0090727A">
        <w:rPr>
          <w:lang w:val="en-AU"/>
        </w:rPr>
        <w:t>a management technique</w:t>
      </w:r>
      <w:r>
        <w:rPr>
          <w:lang w:val="en-AU"/>
        </w:rPr>
        <w:t xml:space="preserve">. </w:t>
      </w:r>
    </w:p>
    <w:p w14:paraId="3E94DCF9" w14:textId="68D4AFA8" w:rsidR="008F3B3E" w:rsidRDefault="001C61F7" w:rsidP="008F3B3E">
      <w:r>
        <w:rPr>
          <w:lang w:val="en-AU"/>
        </w:rPr>
        <w:t>F</w:t>
      </w:r>
      <w:r w:rsidR="003C65C6">
        <w:rPr>
          <w:lang w:val="en-AU"/>
        </w:rPr>
        <w:t>amily</w:t>
      </w:r>
      <w:r w:rsidR="00EC1AF4">
        <w:t xml:space="preserve">/carers </w:t>
      </w:r>
      <w:r w:rsidR="00D07DC3">
        <w:t xml:space="preserve">noted </w:t>
      </w:r>
      <w:r w:rsidR="00EC1AF4">
        <w:t>tha</w:t>
      </w:r>
      <w:r w:rsidR="00EC43E8">
        <w:t>t the</w:t>
      </w:r>
      <w:r w:rsidR="004A48C6">
        <w:t>ir</w:t>
      </w:r>
      <w:r w:rsidR="00EC43E8">
        <w:t xml:space="preserve"> </w:t>
      </w:r>
      <w:r w:rsidR="00D07DC3">
        <w:t>own</w:t>
      </w:r>
      <w:r w:rsidR="00EC43E8">
        <w:t xml:space="preserve"> mental health </w:t>
      </w:r>
      <w:r w:rsidR="00D07DC3">
        <w:t>tended to improve</w:t>
      </w:r>
      <w:r w:rsidR="00EC43E8" w:rsidRPr="00054391">
        <w:t xml:space="preserve"> once they began to see improvements in their loved one’s quality of life and BPSD </w:t>
      </w:r>
      <w:r w:rsidR="00054391" w:rsidRPr="00054391">
        <w:t xml:space="preserve">(see Section </w:t>
      </w:r>
      <w:r w:rsidR="00054391" w:rsidRPr="00054391">
        <w:fldChar w:fldCharType="begin"/>
      </w:r>
      <w:r w:rsidR="00054391" w:rsidRPr="00054391">
        <w:instrText xml:space="preserve"> REF _Ref123904728 \r \h </w:instrText>
      </w:r>
      <w:r w:rsidR="00054391" w:rsidRPr="00054391">
        <w:fldChar w:fldCharType="separate"/>
      </w:r>
      <w:r w:rsidR="00D32536">
        <w:t>5.2</w:t>
      </w:r>
      <w:r w:rsidR="00054391" w:rsidRPr="00054391">
        <w:fldChar w:fldCharType="end"/>
      </w:r>
      <w:r w:rsidR="00054391" w:rsidRPr="00054391">
        <w:t xml:space="preserve">). </w:t>
      </w:r>
      <w:r w:rsidR="008F3B3E">
        <w:t>Several famil</w:t>
      </w:r>
      <w:r w:rsidR="001D5F32">
        <w:t>ies/carers</w:t>
      </w:r>
      <w:r w:rsidR="008F3B3E">
        <w:t xml:space="preserve"> noted they</w:t>
      </w:r>
      <w:r>
        <w:t xml:space="preserve"> were</w:t>
      </w:r>
      <w:r w:rsidR="008F3B3E">
        <w:t xml:space="preserve"> more often </w:t>
      </w:r>
      <w:r>
        <w:t>contacted by</w:t>
      </w:r>
      <w:r w:rsidR="008F3B3E">
        <w:t xml:space="preserve"> </w:t>
      </w:r>
      <w:r w:rsidR="0073282A">
        <w:t xml:space="preserve">Program </w:t>
      </w:r>
      <w:r w:rsidR="008F3B3E">
        <w:t>staff with positive updates on their loved one’s progress as opposed to negative incidents</w:t>
      </w:r>
      <w:r w:rsidR="005A3139">
        <w:t>,</w:t>
      </w:r>
      <w:r w:rsidR="00CA19CB">
        <w:t xml:space="preserve"> which </w:t>
      </w:r>
      <w:r w:rsidR="005A3139">
        <w:t>was a change from their experience</w:t>
      </w:r>
      <w:r w:rsidR="00A55923">
        <w:t xml:space="preserve"> </w:t>
      </w:r>
      <w:r w:rsidR="005A3139">
        <w:t>prior</w:t>
      </w:r>
      <w:r w:rsidR="00CA19CB">
        <w:t xml:space="preserve"> to </w:t>
      </w:r>
      <w:r w:rsidR="00A55923">
        <w:t xml:space="preserve">the </w:t>
      </w:r>
      <w:r w:rsidR="005A3139">
        <w:t>SDCU.</w:t>
      </w:r>
    </w:p>
    <w:p w14:paraId="480A4764" w14:textId="3587472C" w:rsidR="000C572F" w:rsidRDefault="001C61F7" w:rsidP="000C572F">
      <w:r>
        <w:t xml:space="preserve">DSA and </w:t>
      </w:r>
      <w:r w:rsidR="000C572F">
        <w:t>Program staff expressed similar views. They noted many famil</w:t>
      </w:r>
      <w:r w:rsidR="00F37E5C">
        <w:t>ies</w:t>
      </w:r>
      <w:r w:rsidR="000C572F">
        <w:t xml:space="preserve">/carers </w:t>
      </w:r>
      <w:r>
        <w:t xml:space="preserve">often </w:t>
      </w:r>
      <w:r w:rsidR="000C572F">
        <w:t>exhibit symptoms of burnout (such as irritability, anxiety</w:t>
      </w:r>
      <w:r>
        <w:t xml:space="preserve"> </w:t>
      </w:r>
      <w:r w:rsidR="000C572F">
        <w:t xml:space="preserve">and fatigue) during the referral and transition in processes but show major improvements in overall wellbeing </w:t>
      </w:r>
      <w:r w:rsidR="004C1FCC">
        <w:t>following</w:t>
      </w:r>
      <w:r w:rsidR="000C572F">
        <w:t xml:space="preserve"> </w:t>
      </w:r>
      <w:r w:rsidR="00C03C98">
        <w:t>admission</w:t>
      </w:r>
      <w:r w:rsidR="000C572F">
        <w:t>.</w:t>
      </w:r>
      <w:r w:rsidR="00373AE2">
        <w:t xml:space="preserve"> Stakeholders provided many examples where family/carers had more positive interactions with staff</w:t>
      </w:r>
      <w:r w:rsidR="009C60A1">
        <w:t xml:space="preserve">, </w:t>
      </w:r>
      <w:r>
        <w:t xml:space="preserve">appeared more content when visiting the SDCU, </w:t>
      </w:r>
      <w:r w:rsidR="00373AE2">
        <w:t xml:space="preserve">were more </w:t>
      </w:r>
      <w:r w:rsidR="00383224">
        <w:t>hopeful about their loved one’s future</w:t>
      </w:r>
      <w:r w:rsidR="009C60A1">
        <w:t xml:space="preserve">, and </w:t>
      </w:r>
      <w:r>
        <w:t>regularly e</w:t>
      </w:r>
      <w:r w:rsidR="009C60A1">
        <w:t>xpressed how happy they were with the SDC</w:t>
      </w:r>
      <w:r w:rsidR="00A5510C">
        <w:t>U</w:t>
      </w:r>
      <w:r w:rsidR="009C60A1">
        <w:t>.</w:t>
      </w:r>
    </w:p>
    <w:p w14:paraId="63F59E70" w14:textId="6B766451" w:rsidR="001F57B7" w:rsidRPr="00886C78" w:rsidRDefault="00196E24" w:rsidP="000F7D47">
      <w:r>
        <w:t xml:space="preserve">Several </w:t>
      </w:r>
      <w:r w:rsidR="000F7D47">
        <w:t>family members</w:t>
      </w:r>
      <w:r>
        <w:t xml:space="preserve"> also reported that h</w:t>
      </w:r>
      <w:r w:rsidR="001F57B7">
        <w:t xml:space="preserve">aving access to specialist </w:t>
      </w:r>
      <w:r>
        <w:t>input</w:t>
      </w:r>
      <w:r w:rsidR="001F57B7">
        <w:t>, allied health and personal care in the same residence reduce</w:t>
      </w:r>
      <w:r w:rsidR="00653EC5">
        <w:t>d</w:t>
      </w:r>
      <w:r w:rsidR="001F57B7">
        <w:t xml:space="preserve"> the physical</w:t>
      </w:r>
      <w:r w:rsidR="00415E54">
        <w:t>, economic</w:t>
      </w:r>
      <w:r w:rsidR="001F57B7">
        <w:t xml:space="preserve"> and emotional burden of coordinating the</w:t>
      </w:r>
      <w:r>
        <w:t xml:space="preserve">ir loved one’s </w:t>
      </w:r>
      <w:r w:rsidR="001F57B7">
        <w:t>care</w:t>
      </w:r>
      <w:r>
        <w:t xml:space="preserve">. </w:t>
      </w:r>
      <w:r w:rsidR="00894D4A">
        <w:t>They</w:t>
      </w:r>
      <w:r w:rsidR="00C9268D">
        <w:t xml:space="preserve"> reported </w:t>
      </w:r>
      <w:r w:rsidR="00E91B92">
        <w:t>that prior to the</w:t>
      </w:r>
      <w:r w:rsidR="00C9268D">
        <w:t xml:space="preserve"> </w:t>
      </w:r>
      <w:r w:rsidR="00AA5FCF">
        <w:t xml:space="preserve">SDCU, </w:t>
      </w:r>
      <w:r w:rsidR="009959CD">
        <w:t xml:space="preserve">their experience caring for their loved one </w:t>
      </w:r>
      <w:r w:rsidR="00C9268D">
        <w:t>was</w:t>
      </w:r>
      <w:r w:rsidR="001F57B7">
        <w:t xml:space="preserve"> a time</w:t>
      </w:r>
      <w:r w:rsidR="00653EC5">
        <w:t>-consuming</w:t>
      </w:r>
      <w:r w:rsidR="00B32BB4">
        <w:t xml:space="preserve">, confusing and </w:t>
      </w:r>
      <w:r w:rsidR="000C572F">
        <w:t>stressful</w:t>
      </w:r>
      <w:r w:rsidR="001F57B7">
        <w:t xml:space="preserve"> proces</w:t>
      </w:r>
      <w:r w:rsidR="00B32BB4">
        <w:t>s</w:t>
      </w:r>
      <w:r>
        <w:t xml:space="preserve"> to </w:t>
      </w:r>
      <w:r w:rsidR="0035450B" w:rsidRPr="00E83BFB">
        <w:t>arrange</w:t>
      </w:r>
      <w:r>
        <w:t xml:space="preserve"> the necessary </w:t>
      </w:r>
      <w:r w:rsidR="0035450B" w:rsidRPr="00E83BFB">
        <w:t xml:space="preserve">supports across a range of services (e.g., specialist appointments, </w:t>
      </w:r>
      <w:r w:rsidR="00980734">
        <w:t>hospital presentations,</w:t>
      </w:r>
      <w:r w:rsidR="0035450B" w:rsidRPr="00E83BFB">
        <w:t xml:space="preserve"> personal care, NDIS </w:t>
      </w:r>
      <w:r>
        <w:t>support</w:t>
      </w:r>
      <w:r w:rsidR="0035450B" w:rsidRPr="00E83BFB">
        <w:t>, etc.)</w:t>
      </w:r>
      <w:r w:rsidRPr="00E83BFB">
        <w:t>.</w:t>
      </w:r>
      <w:r>
        <w:t xml:space="preserve"> </w:t>
      </w:r>
    </w:p>
    <w:p w14:paraId="71CDA0F5" w14:textId="442782D5" w:rsidR="00FA578A" w:rsidRPr="005019DD" w:rsidRDefault="000217E8" w:rsidP="005019DD">
      <w:pPr>
        <w:pStyle w:val="Caption"/>
      </w:pPr>
      <w:r>
        <w:t>Figure</w:t>
      </w:r>
      <w:r w:rsidR="00FA578A" w:rsidRPr="005019DD">
        <w:t xml:space="preserve"> </w:t>
      </w:r>
      <w:r w:rsidR="00990867" w:rsidRPr="005019DD">
        <w:fldChar w:fldCharType="begin"/>
      </w:r>
      <w:r w:rsidR="00990867" w:rsidRPr="005019DD">
        <w:instrText xml:space="preserve"> STYLEREF 1 \s </w:instrText>
      </w:r>
      <w:r w:rsidR="00990867" w:rsidRPr="005019DD">
        <w:fldChar w:fldCharType="separate"/>
      </w:r>
      <w:r w:rsidR="00D32536">
        <w:rPr>
          <w:noProof/>
        </w:rPr>
        <w:t>5</w:t>
      </w:r>
      <w:r w:rsidR="00990867" w:rsidRPr="005019DD">
        <w:fldChar w:fldCharType="end"/>
      </w:r>
      <w:r w:rsidR="00990867" w:rsidRPr="005019DD">
        <w:t>.</w:t>
      </w:r>
      <w:r w:rsidR="008875A8">
        <w:fldChar w:fldCharType="begin"/>
      </w:r>
      <w:r w:rsidR="008875A8">
        <w:instrText xml:space="preserve"> SEQ Figure \* ARABIC \s 1 </w:instrText>
      </w:r>
      <w:r w:rsidR="008875A8">
        <w:fldChar w:fldCharType="separate"/>
      </w:r>
      <w:r w:rsidR="00D32536">
        <w:rPr>
          <w:noProof/>
        </w:rPr>
        <w:t>9</w:t>
      </w:r>
      <w:r w:rsidR="008875A8">
        <w:fldChar w:fldCharType="end"/>
      </w:r>
      <w:r w:rsidR="00FA578A" w:rsidRPr="005019DD">
        <w:t xml:space="preserve"> Quotes representing dominant qualitative themes from consultations and the </w:t>
      </w:r>
      <w:r w:rsidR="0073282A">
        <w:t>Program</w:t>
      </w:r>
      <w:r w:rsidR="0073282A" w:rsidRPr="005019DD">
        <w:t xml:space="preserve"> </w:t>
      </w:r>
      <w:r w:rsidR="00FA578A" w:rsidRPr="005019DD">
        <w:t xml:space="preserve">staff survey related to </w:t>
      </w:r>
      <w:r w:rsidR="00236E45" w:rsidRPr="005019DD">
        <w:t>reduced caregiver burden among families and carers</w:t>
      </w:r>
      <w:r w:rsidR="00FA578A" w:rsidRPr="005019DD">
        <w:t>.</w:t>
      </w:r>
    </w:p>
    <w:p w14:paraId="2471923D" w14:textId="7CDE39BA" w:rsidR="008F6A67" w:rsidRDefault="00054391" w:rsidP="00D5636F">
      <w:pPr>
        <w:spacing w:after="0"/>
      </w:pPr>
      <w:r w:rsidRPr="00054391">
        <w:rPr>
          <w:noProof/>
        </w:rPr>
        <w:drawing>
          <wp:inline distT="0" distB="0" distL="0" distR="0" wp14:anchorId="771448E8" wp14:editId="16232EE1">
            <wp:extent cx="6319520" cy="2379980"/>
            <wp:effectExtent l="0" t="0" r="5080" b="1270"/>
            <wp:docPr id="475882773" name="Picture 475882773" descr="This image shows a number of quotes from stakeholder consultation related to reduced caregiver burden among families and carers. &#10;Quote 1 from a family member: “To have that ability of not having to worry about him is incredible after 3 years of worrying and stressing and not knowing what to do about it is incredible.” &#10;Quote 2 from a family member:  “Every day I am just very grateful. Previously I would have to travel 2.5hrs to [his previous home] to visit and it was a massive burden just to get him basic care. But now I can feel comfortable and relieved that he has been cared for properly and I know he is happy and healthy.”  &#10;Quote 3 from an SDCP staff member: “[Talking] about the resident and their family, I cannot stress this enough. They come in so distressed and [after the SDCP] they have faith in the aged care system again.” &#10;Quote 4 from a family member: “Before, I never felt comfortable going away but now, I feel comfortable to go away for a weekend holiday because I know she will be taken care of in such a good way. I just have that peace of mind and it is such a relief.” &#10;Quote 5 from an SDCP staff member: “[Families] go on a massive journey to get here. But we have received lots of positive feedback that they trust us and they feel listened to. A lot of them are very tense and blunt when they arrive but it is nice to see them relax as they spend more time here and get to know 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2773" name="Picture 475882773" descr="This image shows a number of quotes from stakeholder consultation related to reduced caregiver burden among families and carers. &#10;Quote 1 from a family member: “To have that ability of not having to worry about him is incredible after 3 years of worrying and stressing and not knowing what to do about it is incredible.” &#10;Quote 2 from a family member:  “Every day I am just very grateful. Previously I would have to travel 2.5hrs to [his previous home] to visit and it was a massive burden just to get him basic care. But now I can feel comfortable and relieved that he has been cared for properly and I know he is happy and healthy.”  &#10;Quote 3 from an SDCP staff member: “[Talking] about the resident and their family, I cannot stress this enough. They come in so distressed and [after the SDCP] they have faith in the aged care system again.” &#10;Quote 4 from a family member: “Before, I never felt comfortable going away but now, I feel comfortable to go away for a weekend holiday because I know she will be taken care of in such a good way. I just have that peace of mind and it is such a relief.” &#10;Quote 5 from an SDCP staff member: “[Families] go on a massive journey to get here. But we have received lots of positive feedback that they trust us and they feel listened to. A lot of them are very tense and blunt when they arrive but it is nice to see them relax as they spend more time here and get to know us.”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19520" cy="2379980"/>
                    </a:xfrm>
                    <a:prstGeom prst="rect">
                      <a:avLst/>
                    </a:prstGeom>
                    <a:noFill/>
                    <a:ln>
                      <a:noFill/>
                    </a:ln>
                  </pic:spPr>
                </pic:pic>
              </a:graphicData>
            </a:graphic>
          </wp:inline>
        </w:drawing>
      </w:r>
    </w:p>
    <w:p w14:paraId="6A595AC2" w14:textId="1B7755DE" w:rsidR="009847EB" w:rsidRPr="009847EB" w:rsidRDefault="009847EB" w:rsidP="00302A18">
      <w:pPr>
        <w:rPr>
          <w:color w:val="53565A" w:themeColor="background2"/>
          <w:sz w:val="16"/>
          <w:szCs w:val="18"/>
        </w:rPr>
      </w:pPr>
      <w:r w:rsidRPr="009847EB">
        <w:rPr>
          <w:color w:val="53565A" w:themeColor="background2"/>
          <w:sz w:val="16"/>
          <w:szCs w:val="18"/>
        </w:rPr>
        <w:t>Source: Deloitte Access Economics analysis of stakeholder consultatio</w:t>
      </w:r>
      <w:r w:rsidR="008C0E3E">
        <w:rPr>
          <w:color w:val="53565A" w:themeColor="background2"/>
          <w:sz w:val="16"/>
          <w:szCs w:val="18"/>
        </w:rPr>
        <w:t>ns</w:t>
      </w:r>
      <w:r w:rsidRPr="009847EB">
        <w:rPr>
          <w:color w:val="53565A" w:themeColor="background2"/>
          <w:sz w:val="16"/>
          <w:szCs w:val="18"/>
        </w:rPr>
        <w:t>, 2022</w:t>
      </w:r>
    </w:p>
    <w:p w14:paraId="39D528EA" w14:textId="3CB910B2" w:rsidR="00F07060" w:rsidRPr="00980734" w:rsidRDefault="00980734" w:rsidP="004E5731">
      <w:pPr>
        <w:pStyle w:val="Heading4thematicstatement"/>
        <w:spacing w:after="170"/>
        <w:rPr>
          <w:rFonts w:asciiTheme="majorHAnsi" w:hAnsiTheme="majorHAnsi" w:cstheme="majorHAnsi"/>
        </w:rPr>
      </w:pPr>
      <w:r>
        <w:rPr>
          <w:rFonts w:asciiTheme="majorHAnsi" w:hAnsiTheme="majorHAnsi" w:cstheme="majorHAnsi"/>
          <w:bCs/>
        </w:rPr>
        <w:t>Many families</w:t>
      </w:r>
      <w:r w:rsidR="00F07060" w:rsidRPr="00980734">
        <w:rPr>
          <w:rFonts w:asciiTheme="majorHAnsi" w:hAnsiTheme="majorHAnsi" w:cstheme="majorHAnsi"/>
        </w:rPr>
        <w:t>/carers experienced improved relationships with their loved one following admission.</w:t>
      </w:r>
    </w:p>
    <w:p w14:paraId="6B800A17" w14:textId="49C9EDB5" w:rsidR="009D17FC" w:rsidRPr="00AE2EE5" w:rsidRDefault="00DC2398" w:rsidP="00115868">
      <w:r>
        <w:rPr>
          <w:lang w:val="en-AU"/>
        </w:rPr>
        <w:t>T</w:t>
      </w:r>
      <w:r w:rsidR="006D5587">
        <w:rPr>
          <w:lang w:val="en-AU"/>
        </w:rPr>
        <w:t xml:space="preserve">he </w:t>
      </w:r>
      <w:r w:rsidR="0060081E" w:rsidRPr="006E408C">
        <w:rPr>
          <w:lang w:val="en-AU"/>
        </w:rPr>
        <w:t xml:space="preserve">reduction in </w:t>
      </w:r>
      <w:r w:rsidR="008F57DB">
        <w:rPr>
          <w:lang w:val="en-AU"/>
        </w:rPr>
        <w:t xml:space="preserve">residents’ </w:t>
      </w:r>
      <w:r w:rsidR="00A95EBD">
        <w:rPr>
          <w:lang w:val="en-AU"/>
        </w:rPr>
        <w:t xml:space="preserve">BPSD </w:t>
      </w:r>
      <w:r w:rsidR="00650750">
        <w:rPr>
          <w:lang w:val="en-AU"/>
        </w:rPr>
        <w:t>and</w:t>
      </w:r>
      <w:r w:rsidR="006B64D7">
        <w:rPr>
          <w:lang w:val="en-AU"/>
        </w:rPr>
        <w:t xml:space="preserve"> </w:t>
      </w:r>
      <w:r w:rsidR="00A95EBD">
        <w:rPr>
          <w:lang w:val="en-AU"/>
        </w:rPr>
        <w:t>improve</w:t>
      </w:r>
      <w:r w:rsidR="00650750">
        <w:rPr>
          <w:lang w:val="en-AU"/>
        </w:rPr>
        <w:t>d</w:t>
      </w:r>
      <w:r w:rsidR="003907DA">
        <w:rPr>
          <w:lang w:val="en-AU"/>
        </w:rPr>
        <w:t xml:space="preserve"> </w:t>
      </w:r>
      <w:r w:rsidR="006E408C">
        <w:rPr>
          <w:lang w:val="en-AU"/>
        </w:rPr>
        <w:t>communication and socialisation</w:t>
      </w:r>
      <w:r>
        <w:rPr>
          <w:lang w:val="en-AU"/>
        </w:rPr>
        <w:t xml:space="preserve"> </w:t>
      </w:r>
      <w:r w:rsidR="00650750">
        <w:rPr>
          <w:lang w:val="en-AU"/>
        </w:rPr>
        <w:t xml:space="preserve">among residents (discussed in Section </w:t>
      </w:r>
      <w:r w:rsidR="00650750">
        <w:rPr>
          <w:highlight w:val="yellow"/>
          <w:lang w:val="en-AU"/>
        </w:rPr>
        <w:fldChar w:fldCharType="begin"/>
      </w:r>
      <w:r w:rsidR="00650750">
        <w:rPr>
          <w:lang w:val="en-AU"/>
        </w:rPr>
        <w:instrText xml:space="preserve"> REF _Ref123904728 \r \h </w:instrText>
      </w:r>
      <w:r w:rsidR="00650750">
        <w:rPr>
          <w:highlight w:val="yellow"/>
          <w:lang w:val="en-AU"/>
        </w:rPr>
      </w:r>
      <w:r w:rsidR="00650750">
        <w:rPr>
          <w:highlight w:val="yellow"/>
          <w:lang w:val="en-AU"/>
        </w:rPr>
        <w:fldChar w:fldCharType="separate"/>
      </w:r>
      <w:r w:rsidR="00D32536">
        <w:rPr>
          <w:lang w:val="en-AU"/>
        </w:rPr>
        <w:t>5.2</w:t>
      </w:r>
      <w:r w:rsidR="00650750">
        <w:rPr>
          <w:highlight w:val="yellow"/>
          <w:lang w:val="en-AU"/>
        </w:rPr>
        <w:fldChar w:fldCharType="end"/>
      </w:r>
      <w:r w:rsidR="00650750">
        <w:rPr>
          <w:lang w:val="en-AU"/>
        </w:rPr>
        <w:t>) was reported to facilitate more positive</w:t>
      </w:r>
      <w:r w:rsidR="00F26B3E">
        <w:t xml:space="preserve"> </w:t>
      </w:r>
      <w:r>
        <w:t>relationships between residents and family/carers</w:t>
      </w:r>
      <w:r w:rsidR="00650750">
        <w:t xml:space="preserve"> and in turn, </w:t>
      </w:r>
      <w:r w:rsidR="00650750">
        <w:rPr>
          <w:lang w:val="en-AU"/>
        </w:rPr>
        <w:t xml:space="preserve">improve </w:t>
      </w:r>
      <w:r w:rsidR="00DA1885">
        <w:rPr>
          <w:lang w:val="en-AU"/>
        </w:rPr>
        <w:t xml:space="preserve">family/carer wellbeing. </w:t>
      </w:r>
      <w:r w:rsidR="002E38F4">
        <w:t>These f</w:t>
      </w:r>
      <w:r w:rsidR="00EC1214">
        <w:t>amil</w:t>
      </w:r>
      <w:r w:rsidR="002E38F4">
        <w:t>ies</w:t>
      </w:r>
      <w:r w:rsidR="00EC1214">
        <w:t xml:space="preserve">/carers </w:t>
      </w:r>
      <w:r w:rsidR="00E141C7">
        <w:t>noted that f</w:t>
      </w:r>
      <w:r w:rsidR="00E141C7" w:rsidRPr="00EC1214">
        <w:t>ollowing</w:t>
      </w:r>
      <w:r w:rsidR="00E141C7">
        <w:t xml:space="preserve"> </w:t>
      </w:r>
      <w:r w:rsidR="00E141C7" w:rsidRPr="00EC1214">
        <w:t xml:space="preserve">many years of </w:t>
      </w:r>
      <w:r w:rsidR="002E38F4" w:rsidRPr="00EC1214">
        <w:t>ag</w:t>
      </w:r>
      <w:r w:rsidR="002E38F4">
        <w:t>itative</w:t>
      </w:r>
      <w:r w:rsidR="00E141C7">
        <w:t xml:space="preserve"> </w:t>
      </w:r>
      <w:r w:rsidR="00E141C7" w:rsidRPr="00EC1214">
        <w:t>behaviour</w:t>
      </w:r>
      <w:r w:rsidR="00E141C7">
        <w:t xml:space="preserve"> </w:t>
      </w:r>
      <w:r w:rsidR="00E141C7" w:rsidRPr="00EC1214">
        <w:t>managed by</w:t>
      </w:r>
      <w:r w:rsidR="00E141C7">
        <w:t xml:space="preserve"> </w:t>
      </w:r>
      <w:r w:rsidR="00E141C7" w:rsidRPr="00EC1214">
        <w:t xml:space="preserve">pharmacological </w:t>
      </w:r>
      <w:r w:rsidR="005366F5">
        <w:t>intervention</w:t>
      </w:r>
      <w:r w:rsidR="00E141C7">
        <w:t xml:space="preserve">, </w:t>
      </w:r>
      <w:r w:rsidR="00D37855">
        <w:t xml:space="preserve">their loved one is </w:t>
      </w:r>
      <w:r w:rsidR="00005758">
        <w:t>now</w:t>
      </w:r>
      <w:r w:rsidR="00D37855">
        <w:t xml:space="preserve"> calmer, more sociable</w:t>
      </w:r>
      <w:r w:rsidR="008232F0">
        <w:t xml:space="preserve">, and willing to engage </w:t>
      </w:r>
      <w:r w:rsidR="00D37855">
        <w:t>with</w:t>
      </w:r>
      <w:r w:rsidR="00BC27F3">
        <w:t xml:space="preserve"> care staff, family and friends.</w:t>
      </w:r>
    </w:p>
    <w:p w14:paraId="3917C8C7" w14:textId="3955D330" w:rsidR="006F23E4" w:rsidRPr="00D5636F" w:rsidRDefault="00F07060" w:rsidP="009B61D3">
      <w:r>
        <w:t xml:space="preserve">This benefit was not observed across all family/carers of Program residents. Program staff across several sites highlighted that people with </w:t>
      </w:r>
      <w:r w:rsidR="00DC7C1E">
        <w:t>very</w:t>
      </w:r>
      <w:r>
        <w:t xml:space="preserve"> severe BPSD often experience estranged relationships for many reasons, including </w:t>
      </w:r>
      <w:r w:rsidR="00C96ADA">
        <w:t xml:space="preserve">the resident’s age and </w:t>
      </w:r>
      <w:r>
        <w:t xml:space="preserve">severity of behaviours. </w:t>
      </w:r>
      <w:r w:rsidR="003907DA">
        <w:t>I</w:t>
      </w:r>
      <w:r w:rsidR="00C96ADA">
        <w:t>t was common for some</w:t>
      </w:r>
      <w:r>
        <w:t xml:space="preserve"> residents </w:t>
      </w:r>
      <w:r w:rsidR="00C96ADA">
        <w:t>to</w:t>
      </w:r>
      <w:r>
        <w:t xml:space="preserve"> receive </w:t>
      </w:r>
      <w:r w:rsidR="00C96ADA">
        <w:t>limited or</w:t>
      </w:r>
      <w:r>
        <w:t xml:space="preserve"> no contact </w:t>
      </w:r>
      <w:r w:rsidR="00F46E51">
        <w:t>from their family/carer</w:t>
      </w:r>
      <w:r w:rsidR="00C96ADA">
        <w:t>s</w:t>
      </w:r>
      <w:r w:rsidR="00B80A94">
        <w:t xml:space="preserve"> throughout the </w:t>
      </w:r>
      <w:r w:rsidR="00C96ADA">
        <w:t xml:space="preserve">Program. </w:t>
      </w:r>
      <w:r w:rsidR="0073282A">
        <w:t>Program</w:t>
      </w:r>
      <w:r w:rsidR="00C96ADA">
        <w:t xml:space="preserve"> staff at some sites</w:t>
      </w:r>
      <w:r w:rsidR="00F46E51">
        <w:t xml:space="preserve"> </w:t>
      </w:r>
      <w:r w:rsidR="00C96ADA">
        <w:t xml:space="preserve">however, </w:t>
      </w:r>
      <w:r w:rsidR="00F46E51">
        <w:t>provide</w:t>
      </w:r>
      <w:r w:rsidR="00107872">
        <w:t>d</w:t>
      </w:r>
      <w:r w:rsidR="00F46E51">
        <w:t xml:space="preserve"> examples where family/carers ha</w:t>
      </w:r>
      <w:r w:rsidR="008224BA">
        <w:t>d</w:t>
      </w:r>
      <w:r w:rsidR="00F46E51">
        <w:t xml:space="preserve"> reconnected with their loved one and visited the SDCU on several occasions</w:t>
      </w:r>
      <w:r w:rsidR="00670D30">
        <w:t xml:space="preserve"> once they understood the residents’ BPSD had settled</w:t>
      </w:r>
      <w:r w:rsidR="00F46E51">
        <w:t>.</w:t>
      </w:r>
    </w:p>
    <w:p w14:paraId="78199311" w14:textId="7435514D" w:rsidR="00CE6D47" w:rsidRPr="00494B8B" w:rsidRDefault="000217E8" w:rsidP="000217E8">
      <w:pPr>
        <w:pStyle w:val="Caption"/>
      </w:pPr>
      <w:r>
        <w:t>Figure</w:t>
      </w:r>
      <w:r w:rsidR="00234BB5">
        <w:t xml:space="preserve"> </w:t>
      </w:r>
      <w:r w:rsidR="00990867" w:rsidRPr="00494B8B">
        <w:fldChar w:fldCharType="begin"/>
      </w:r>
      <w:r w:rsidR="00990867" w:rsidRPr="00494B8B">
        <w:instrText xml:space="preserve"> STYLEREF 1 \s </w:instrText>
      </w:r>
      <w:r w:rsidR="00990867" w:rsidRPr="00494B8B">
        <w:fldChar w:fldCharType="separate"/>
      </w:r>
      <w:r w:rsidR="00D32536">
        <w:rPr>
          <w:noProof/>
        </w:rPr>
        <w:t>5</w:t>
      </w:r>
      <w:r w:rsidR="00990867" w:rsidRPr="00494B8B">
        <w:fldChar w:fldCharType="end"/>
      </w:r>
      <w:r w:rsidR="00990867" w:rsidRPr="00494B8B">
        <w:t>.</w:t>
      </w:r>
      <w:r w:rsidR="008875A8">
        <w:fldChar w:fldCharType="begin"/>
      </w:r>
      <w:r w:rsidR="008875A8">
        <w:instrText xml:space="preserve"> SEQ Figure \* ARABIC \s 1 </w:instrText>
      </w:r>
      <w:r w:rsidR="008875A8">
        <w:fldChar w:fldCharType="separate"/>
      </w:r>
      <w:r w:rsidR="00D32536">
        <w:rPr>
          <w:noProof/>
        </w:rPr>
        <w:t>10</w:t>
      </w:r>
      <w:r w:rsidR="008875A8">
        <w:fldChar w:fldCharType="end"/>
      </w:r>
      <w:r w:rsidR="00CE6D47" w:rsidRPr="00494B8B">
        <w:t xml:space="preserve"> Quotes representing dominant qualitative themes from consultations and the </w:t>
      </w:r>
      <w:r w:rsidR="0073282A">
        <w:t>Program</w:t>
      </w:r>
      <w:r w:rsidR="0073282A" w:rsidRPr="00494B8B">
        <w:t xml:space="preserve"> </w:t>
      </w:r>
      <w:r w:rsidR="00CE6D47" w:rsidRPr="00494B8B">
        <w:t>staff survey related to improved relationships between residents and their</w:t>
      </w:r>
      <w:r w:rsidR="00E219B4" w:rsidRPr="00494B8B">
        <w:t xml:space="preserve"> families and carers</w:t>
      </w:r>
      <w:r w:rsidR="00CE6D47" w:rsidRPr="00494B8B">
        <w:t>.</w:t>
      </w:r>
    </w:p>
    <w:p w14:paraId="02C19716" w14:textId="02728378" w:rsidR="004C463F" w:rsidRDefault="00054391" w:rsidP="00107872">
      <w:pPr>
        <w:spacing w:after="0"/>
        <w:rPr>
          <w:b/>
          <w:bCs/>
        </w:rPr>
      </w:pPr>
      <w:r w:rsidRPr="00054391">
        <w:rPr>
          <w:noProof/>
        </w:rPr>
        <w:drawing>
          <wp:inline distT="0" distB="0" distL="0" distR="0" wp14:anchorId="5E07A007" wp14:editId="70AA1B84">
            <wp:extent cx="5705856" cy="1930428"/>
            <wp:effectExtent l="0" t="0" r="9525" b="0"/>
            <wp:docPr id="475882774" name="Picture 475882774" descr="This image shows quotes from stakeholder consultation in relation to improved relationships between residents and their families and carers. &#10;Quote 1: “ [At the previous facility] I would only stay 10 minutes because she did not engage and… I did not feel comfortable. It was getting really hard to go see her – she would get angry and scream… and hit you. But at [the SDCU] I can spend more time. It is a calmer situation where they… let mum be herself and she is able to relax. We can now have a nice quiet time… and go for a walk outside in the garden.”&#10;Quote 2: “A resident came in who was estranged from his family. They really just did not come in at all. We had a meeting with them and we told them he had improved. [When they visited] they seemed to have their dad and father-in-law back. They even brought the grandkids in to see them. That was really nice to see – the family connecting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2774" name="Picture 475882774" descr="This image shows quotes from stakeholder consultation in relation to improved relationships between residents and their families and carers. &#10;Quote 1: “ [At the previous facility] I would only stay 10 minutes because she did not engage and… I did not feel comfortable. It was getting really hard to go see her – she would get angry and scream… and hit you. But at [the SDCU] I can spend more time. It is a calmer situation where they… let mum be herself and she is able to relax. We can now have a nice quiet time… and go for a walk outside in the garden.”&#10;Quote 2: “A resident came in who was estranged from his family. They really just did not come in at all. We had a meeting with them and we told them he had improved. [When they visited] they seemed to have their dad and father-in-law back. They even brought the grandkids in to see them. That was really nice to see – the family connecting agai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796" cy="1933791"/>
                    </a:xfrm>
                    <a:prstGeom prst="rect">
                      <a:avLst/>
                    </a:prstGeom>
                    <a:noFill/>
                    <a:ln>
                      <a:noFill/>
                    </a:ln>
                  </pic:spPr>
                </pic:pic>
              </a:graphicData>
            </a:graphic>
          </wp:inline>
        </w:drawing>
      </w:r>
    </w:p>
    <w:p w14:paraId="57E79FE1" w14:textId="6CE54D90" w:rsidR="009847EB" w:rsidRDefault="009847EB" w:rsidP="009B61D3">
      <w:pPr>
        <w:rPr>
          <w:color w:val="53565A" w:themeColor="background2"/>
          <w:sz w:val="16"/>
          <w:szCs w:val="18"/>
        </w:rPr>
      </w:pPr>
      <w:r w:rsidRPr="009847EB">
        <w:rPr>
          <w:color w:val="53565A" w:themeColor="background2"/>
          <w:sz w:val="16"/>
          <w:szCs w:val="18"/>
        </w:rPr>
        <w:t>Source: Deloitte Access Economics analysis of stakeholder consultation</w:t>
      </w:r>
      <w:r w:rsidR="009E22E3">
        <w:rPr>
          <w:color w:val="53565A" w:themeColor="background2"/>
          <w:sz w:val="16"/>
          <w:szCs w:val="18"/>
        </w:rPr>
        <w:t>s</w:t>
      </w:r>
      <w:r w:rsidRPr="009847EB">
        <w:rPr>
          <w:color w:val="53565A" w:themeColor="background2"/>
          <w:sz w:val="16"/>
          <w:szCs w:val="18"/>
        </w:rPr>
        <w:t>, 2022</w:t>
      </w:r>
    </w:p>
    <w:p w14:paraId="290606C5" w14:textId="7D5C2E39" w:rsidR="009F6D5A" w:rsidRPr="00576A49" w:rsidRDefault="009F6D5A" w:rsidP="009F6D5A">
      <w:pPr>
        <w:pStyle w:val="Heading3"/>
        <w:spacing w:after="0"/>
        <w:rPr>
          <w:lang w:val="en-AU"/>
        </w:rPr>
      </w:pPr>
      <w:r>
        <w:rPr>
          <w:lang w:val="en-AU"/>
        </w:rPr>
        <w:t>Stronger support network</w:t>
      </w:r>
    </w:p>
    <w:p w14:paraId="47DAB7B5" w14:textId="1C248EA5" w:rsidR="00AE2EE5" w:rsidRPr="00482492" w:rsidRDefault="00487550" w:rsidP="004E5731">
      <w:pPr>
        <w:pStyle w:val="Heading4thematicstatement"/>
        <w:spacing w:after="170"/>
        <w:rPr>
          <w:rFonts w:asciiTheme="majorHAnsi" w:hAnsiTheme="majorHAnsi" w:cstheme="majorHAnsi"/>
        </w:rPr>
      </w:pPr>
      <w:r w:rsidRPr="00482492">
        <w:rPr>
          <w:rFonts w:asciiTheme="majorHAnsi" w:hAnsiTheme="majorHAnsi" w:cstheme="majorHAnsi"/>
        </w:rPr>
        <w:t>The majority of f</w:t>
      </w:r>
      <w:r w:rsidR="00E219B4" w:rsidRPr="00482492">
        <w:rPr>
          <w:rFonts w:asciiTheme="majorHAnsi" w:hAnsiTheme="majorHAnsi" w:cstheme="majorHAnsi"/>
        </w:rPr>
        <w:t xml:space="preserve">amilies and carers </w:t>
      </w:r>
      <w:r w:rsidRPr="00482492">
        <w:rPr>
          <w:rFonts w:asciiTheme="majorHAnsi" w:hAnsiTheme="majorHAnsi" w:cstheme="majorHAnsi"/>
        </w:rPr>
        <w:t xml:space="preserve">agreed the </w:t>
      </w:r>
      <w:r w:rsidR="0073282A">
        <w:rPr>
          <w:rFonts w:asciiTheme="majorHAnsi" w:hAnsiTheme="majorHAnsi" w:cstheme="majorHAnsi"/>
        </w:rPr>
        <w:t>Program</w:t>
      </w:r>
      <w:r w:rsidR="0073282A" w:rsidRPr="00482492">
        <w:rPr>
          <w:rFonts w:asciiTheme="majorHAnsi" w:hAnsiTheme="majorHAnsi" w:cstheme="majorHAnsi"/>
        </w:rPr>
        <w:t xml:space="preserve"> </w:t>
      </w:r>
      <w:r w:rsidRPr="00482492">
        <w:rPr>
          <w:rFonts w:asciiTheme="majorHAnsi" w:hAnsiTheme="majorHAnsi" w:cstheme="majorHAnsi"/>
        </w:rPr>
        <w:t>provided</w:t>
      </w:r>
      <w:r w:rsidR="00E219B4" w:rsidRPr="00482492">
        <w:rPr>
          <w:rFonts w:asciiTheme="majorHAnsi" w:hAnsiTheme="majorHAnsi" w:cstheme="majorHAnsi"/>
        </w:rPr>
        <w:t xml:space="preserve"> a s</w:t>
      </w:r>
      <w:r w:rsidR="00AE2EE5" w:rsidRPr="00482492">
        <w:rPr>
          <w:rFonts w:asciiTheme="majorHAnsi" w:hAnsiTheme="majorHAnsi" w:cstheme="majorHAnsi"/>
        </w:rPr>
        <w:t>tronger support networ</w:t>
      </w:r>
      <w:r w:rsidR="00E219B4" w:rsidRPr="00482492">
        <w:rPr>
          <w:rFonts w:asciiTheme="majorHAnsi" w:hAnsiTheme="majorHAnsi" w:cstheme="majorHAnsi"/>
        </w:rPr>
        <w:t xml:space="preserve">k </w:t>
      </w:r>
      <w:r w:rsidR="00D00CD7" w:rsidRPr="00482492">
        <w:rPr>
          <w:rFonts w:asciiTheme="majorHAnsi" w:hAnsiTheme="majorHAnsi" w:cstheme="majorHAnsi"/>
        </w:rPr>
        <w:t>than other mainstream care settings</w:t>
      </w:r>
      <w:r w:rsidR="00E219B4" w:rsidRPr="00482492">
        <w:rPr>
          <w:rFonts w:asciiTheme="majorHAnsi" w:hAnsiTheme="majorHAnsi" w:cstheme="majorHAnsi"/>
        </w:rPr>
        <w:t>. However,</w:t>
      </w:r>
      <w:r w:rsidR="006926CF" w:rsidRPr="00482492">
        <w:rPr>
          <w:rFonts w:asciiTheme="majorHAnsi" w:hAnsiTheme="majorHAnsi" w:cstheme="majorHAnsi"/>
        </w:rPr>
        <w:t xml:space="preserve"> th</w:t>
      </w:r>
      <w:r w:rsidR="00E219B4" w:rsidRPr="00482492">
        <w:rPr>
          <w:rFonts w:asciiTheme="majorHAnsi" w:hAnsiTheme="majorHAnsi" w:cstheme="majorHAnsi"/>
        </w:rPr>
        <w:t>ere is</w:t>
      </w:r>
      <w:r w:rsidR="006926CF" w:rsidRPr="00482492">
        <w:rPr>
          <w:rFonts w:asciiTheme="majorHAnsi" w:hAnsiTheme="majorHAnsi" w:cstheme="majorHAnsi"/>
        </w:rPr>
        <w:t xml:space="preserve"> </w:t>
      </w:r>
      <w:r w:rsidR="00AA77DB" w:rsidRPr="00482492">
        <w:rPr>
          <w:rFonts w:asciiTheme="majorHAnsi" w:hAnsiTheme="majorHAnsi" w:cstheme="majorHAnsi"/>
        </w:rPr>
        <w:t>opportunity</w:t>
      </w:r>
      <w:r w:rsidR="00E219B4" w:rsidRPr="00482492">
        <w:rPr>
          <w:rFonts w:asciiTheme="majorHAnsi" w:hAnsiTheme="majorHAnsi" w:cstheme="majorHAnsi"/>
        </w:rPr>
        <w:t xml:space="preserve"> </w:t>
      </w:r>
      <w:r w:rsidR="00AA77DB" w:rsidRPr="00482492">
        <w:rPr>
          <w:rFonts w:asciiTheme="majorHAnsi" w:hAnsiTheme="majorHAnsi" w:cstheme="majorHAnsi"/>
        </w:rPr>
        <w:t xml:space="preserve">for </w:t>
      </w:r>
      <w:r w:rsidR="00D00CD7" w:rsidRPr="00482492">
        <w:rPr>
          <w:rFonts w:asciiTheme="majorHAnsi" w:hAnsiTheme="majorHAnsi" w:cstheme="majorHAnsi"/>
        </w:rPr>
        <w:t>family and carer support</w:t>
      </w:r>
      <w:r w:rsidR="00AA77DB" w:rsidRPr="00482492">
        <w:rPr>
          <w:rFonts w:asciiTheme="majorHAnsi" w:hAnsiTheme="majorHAnsi" w:cstheme="majorHAnsi"/>
        </w:rPr>
        <w:t xml:space="preserve"> to </w:t>
      </w:r>
      <w:r w:rsidR="00D00CD7" w:rsidRPr="00482492">
        <w:rPr>
          <w:rFonts w:asciiTheme="majorHAnsi" w:hAnsiTheme="majorHAnsi" w:cstheme="majorHAnsi"/>
        </w:rPr>
        <w:t>become more embedded within the care pathway</w:t>
      </w:r>
      <w:r w:rsidR="00AA77DB" w:rsidRPr="00482492">
        <w:rPr>
          <w:rFonts w:asciiTheme="majorHAnsi" w:hAnsiTheme="majorHAnsi" w:cstheme="majorHAnsi"/>
        </w:rPr>
        <w:t xml:space="preserve"> during Phase Two</w:t>
      </w:r>
      <w:r w:rsidRPr="00482492">
        <w:rPr>
          <w:rFonts w:asciiTheme="majorHAnsi" w:hAnsiTheme="majorHAnsi" w:cstheme="majorHAnsi"/>
        </w:rPr>
        <w:t xml:space="preserve"> of the Program</w:t>
      </w:r>
      <w:r w:rsidR="001463EF" w:rsidRPr="00482492">
        <w:rPr>
          <w:rFonts w:asciiTheme="majorHAnsi" w:hAnsiTheme="majorHAnsi" w:cstheme="majorHAnsi"/>
        </w:rPr>
        <w:t>.</w:t>
      </w:r>
    </w:p>
    <w:p w14:paraId="5268EA87" w14:textId="11D69EB9" w:rsidR="00CF3F2F" w:rsidRPr="00CF3F2F" w:rsidRDefault="00CF3F2F" w:rsidP="00373169">
      <w:pPr>
        <w:rPr>
          <w:lang w:val="en-AU"/>
        </w:rPr>
      </w:pPr>
      <w:r w:rsidRPr="00CF3F2F">
        <w:rPr>
          <w:lang w:val="en-AU"/>
        </w:rPr>
        <w:t xml:space="preserve">The majority of </w:t>
      </w:r>
      <w:r w:rsidRPr="00373169">
        <w:rPr>
          <w:lang w:val="en-AU"/>
        </w:rPr>
        <w:t>famil</w:t>
      </w:r>
      <w:r w:rsidR="00373169">
        <w:rPr>
          <w:lang w:val="en-AU"/>
        </w:rPr>
        <w:t>y</w:t>
      </w:r>
      <w:r w:rsidRPr="00CF3F2F">
        <w:rPr>
          <w:lang w:val="en-AU"/>
        </w:rPr>
        <w:t xml:space="preserve">/carers </w:t>
      </w:r>
      <w:r w:rsidR="00373169">
        <w:rPr>
          <w:lang w:val="en-AU"/>
        </w:rPr>
        <w:t>interviewed felt</w:t>
      </w:r>
      <w:r w:rsidRPr="00CF3F2F">
        <w:rPr>
          <w:lang w:val="en-AU"/>
        </w:rPr>
        <w:t xml:space="preserve"> more supported by </w:t>
      </w:r>
      <w:r w:rsidR="0073282A">
        <w:rPr>
          <w:lang w:val="en-AU"/>
        </w:rPr>
        <w:t>Program</w:t>
      </w:r>
      <w:r w:rsidR="0073282A" w:rsidRPr="00CF3F2F">
        <w:rPr>
          <w:lang w:val="en-AU"/>
        </w:rPr>
        <w:t xml:space="preserve"> </w:t>
      </w:r>
      <w:r w:rsidRPr="00CF3F2F">
        <w:rPr>
          <w:lang w:val="en-AU"/>
        </w:rPr>
        <w:t xml:space="preserve">staff </w:t>
      </w:r>
      <w:r w:rsidR="00A34402">
        <w:rPr>
          <w:lang w:val="en-AU"/>
        </w:rPr>
        <w:t>relative</w:t>
      </w:r>
      <w:r w:rsidRPr="00CF3F2F">
        <w:rPr>
          <w:lang w:val="en-AU"/>
        </w:rPr>
        <w:t xml:space="preserve"> to </w:t>
      </w:r>
      <w:r w:rsidR="00A34402">
        <w:rPr>
          <w:lang w:val="en-AU"/>
        </w:rPr>
        <w:t>their experience with</w:t>
      </w:r>
      <w:r w:rsidRPr="00CF3F2F">
        <w:rPr>
          <w:lang w:val="en-AU"/>
        </w:rPr>
        <w:t xml:space="preserve"> mainstream </w:t>
      </w:r>
      <w:r w:rsidR="00A34402">
        <w:rPr>
          <w:lang w:val="en-AU"/>
        </w:rPr>
        <w:t>RACFs</w:t>
      </w:r>
      <w:r w:rsidRPr="00CF3F2F">
        <w:rPr>
          <w:lang w:val="en-AU"/>
        </w:rPr>
        <w:t xml:space="preserve">. </w:t>
      </w:r>
      <w:r w:rsidR="00B11EA4">
        <w:rPr>
          <w:lang w:val="en-AU"/>
        </w:rPr>
        <w:t xml:space="preserve">They attributed this to the higher staff ratios which allows staff more time to connect with residents and their family/carers, as well as the strong focus on person-centred care and </w:t>
      </w:r>
      <w:r w:rsidR="008C5652">
        <w:rPr>
          <w:lang w:val="en-AU"/>
        </w:rPr>
        <w:t>supported decision-making</w:t>
      </w:r>
      <w:r w:rsidR="00B11EA4">
        <w:rPr>
          <w:lang w:val="en-AU"/>
        </w:rPr>
        <w:t xml:space="preserve">. </w:t>
      </w:r>
    </w:p>
    <w:p w14:paraId="5DD37515" w14:textId="1EB66708" w:rsidR="00545ED4" w:rsidRDefault="00F873CB" w:rsidP="001B0874">
      <w:pPr>
        <w:rPr>
          <w:lang w:val="en-AU"/>
        </w:rPr>
      </w:pPr>
      <w:r>
        <w:rPr>
          <w:lang w:val="en-AU"/>
        </w:rPr>
        <w:t>Although the</w:t>
      </w:r>
      <w:r w:rsidDel="0073282A">
        <w:rPr>
          <w:lang w:val="en-AU"/>
        </w:rPr>
        <w:t xml:space="preserve"> </w:t>
      </w:r>
      <w:r w:rsidR="0073282A">
        <w:rPr>
          <w:lang w:val="en-AU"/>
        </w:rPr>
        <w:t>Program</w:t>
      </w:r>
      <w:r>
        <w:rPr>
          <w:lang w:val="en-AU"/>
        </w:rPr>
        <w:t xml:space="preserve"> </w:t>
      </w:r>
      <w:r w:rsidR="000E1B95">
        <w:rPr>
          <w:lang w:val="en-AU"/>
        </w:rPr>
        <w:t>m</w:t>
      </w:r>
      <w:r>
        <w:rPr>
          <w:lang w:val="en-AU"/>
        </w:rPr>
        <w:t xml:space="preserve">odel of </w:t>
      </w:r>
      <w:r w:rsidR="000E1B95">
        <w:rPr>
          <w:lang w:val="en-AU"/>
        </w:rPr>
        <w:t>c</w:t>
      </w:r>
      <w:r>
        <w:rPr>
          <w:lang w:val="en-AU"/>
        </w:rPr>
        <w:t>are does not deliver supports targeted towards family/carers specifically, t</w:t>
      </w:r>
      <w:r w:rsidR="00BE477B">
        <w:rPr>
          <w:lang w:val="en-AU"/>
        </w:rPr>
        <w:t xml:space="preserve">he SDCP Framework </w:t>
      </w:r>
      <w:r>
        <w:rPr>
          <w:lang w:val="en-AU"/>
        </w:rPr>
        <w:t xml:space="preserve">(Service Delivery Principle 3) </w:t>
      </w:r>
      <w:r w:rsidR="00BE477B">
        <w:rPr>
          <w:lang w:val="en-AU"/>
        </w:rPr>
        <w:t xml:space="preserve">requires </w:t>
      </w:r>
      <w:r>
        <w:rPr>
          <w:lang w:val="en-AU"/>
        </w:rPr>
        <w:t xml:space="preserve">staff to take their considerations into account when </w:t>
      </w:r>
      <w:r w:rsidR="00300F5C">
        <w:rPr>
          <w:lang w:val="en-AU"/>
        </w:rPr>
        <w:t>developing</w:t>
      </w:r>
      <w:r>
        <w:rPr>
          <w:lang w:val="en-AU"/>
        </w:rPr>
        <w:t xml:space="preserve"> care </w:t>
      </w:r>
      <w:r w:rsidR="00300F5C">
        <w:rPr>
          <w:lang w:val="en-AU"/>
        </w:rPr>
        <w:t xml:space="preserve">plans </w:t>
      </w:r>
      <w:r w:rsidR="007A6DD8">
        <w:rPr>
          <w:lang w:val="en-AU"/>
        </w:rPr>
        <w:t xml:space="preserve">and </w:t>
      </w:r>
      <w:r w:rsidR="003F7BEC">
        <w:rPr>
          <w:lang w:val="en-AU"/>
        </w:rPr>
        <w:t>in all care decision-making</w:t>
      </w:r>
      <w:r w:rsidR="007A6DD8">
        <w:rPr>
          <w:lang w:val="en-AU"/>
        </w:rPr>
        <w:t xml:space="preserve"> by “consulting, valuing and supporting carers and the caring relationship”.</w:t>
      </w:r>
      <w:r w:rsidR="00A9520E">
        <w:rPr>
          <w:lang w:val="en-AU"/>
        </w:rPr>
        <w:t xml:space="preserve"> </w:t>
      </w:r>
      <w:r w:rsidR="00DC6CF8">
        <w:rPr>
          <w:lang w:val="en-AU"/>
        </w:rPr>
        <w:t>Outside of their</w:t>
      </w:r>
      <w:r w:rsidR="004C0199">
        <w:rPr>
          <w:lang w:val="en-AU"/>
        </w:rPr>
        <w:t xml:space="preserve"> </w:t>
      </w:r>
      <w:r w:rsidR="00DC6CF8">
        <w:rPr>
          <w:lang w:val="en-AU"/>
        </w:rPr>
        <w:t xml:space="preserve">involvement in </w:t>
      </w:r>
      <w:r w:rsidR="004C0199">
        <w:rPr>
          <w:lang w:val="en-AU"/>
        </w:rPr>
        <w:t xml:space="preserve">care planning discussions </w:t>
      </w:r>
      <w:r w:rsidR="0003011A">
        <w:rPr>
          <w:lang w:val="en-AU"/>
        </w:rPr>
        <w:t>(discussed in Section</w:t>
      </w:r>
      <w:r w:rsidR="00054391">
        <w:rPr>
          <w:lang w:val="en-AU"/>
        </w:rPr>
        <w:t xml:space="preserve"> </w:t>
      </w:r>
      <w:r w:rsidR="00054391">
        <w:rPr>
          <w:lang w:val="en-AU"/>
        </w:rPr>
        <w:fldChar w:fldCharType="begin"/>
      </w:r>
      <w:r w:rsidR="00054391">
        <w:rPr>
          <w:lang w:val="en-AU"/>
        </w:rPr>
        <w:instrText xml:space="preserve"> REF _Ref122254502 \r \h </w:instrText>
      </w:r>
      <w:r w:rsidR="00054391">
        <w:rPr>
          <w:lang w:val="en-AU"/>
        </w:rPr>
      </w:r>
      <w:r w:rsidR="00054391">
        <w:rPr>
          <w:lang w:val="en-AU"/>
        </w:rPr>
        <w:fldChar w:fldCharType="separate"/>
      </w:r>
      <w:r w:rsidR="00D32536">
        <w:rPr>
          <w:lang w:val="en-AU"/>
        </w:rPr>
        <w:t>3.2</w:t>
      </w:r>
      <w:r w:rsidR="00054391">
        <w:rPr>
          <w:lang w:val="en-AU"/>
        </w:rPr>
        <w:fldChar w:fldCharType="end"/>
      </w:r>
      <w:r w:rsidR="0003011A">
        <w:rPr>
          <w:lang w:val="en-AU"/>
        </w:rPr>
        <w:t>)</w:t>
      </w:r>
      <w:r w:rsidR="004C0199">
        <w:rPr>
          <w:lang w:val="en-AU"/>
        </w:rPr>
        <w:t>,</w:t>
      </w:r>
      <w:r w:rsidR="0003011A">
        <w:rPr>
          <w:lang w:val="en-AU"/>
        </w:rPr>
        <w:t xml:space="preserve"> </w:t>
      </w:r>
      <w:r w:rsidR="004C0199">
        <w:rPr>
          <w:lang w:val="en-AU"/>
        </w:rPr>
        <w:t xml:space="preserve">the majority </w:t>
      </w:r>
      <w:r w:rsidR="00DC6CF8">
        <w:rPr>
          <w:lang w:val="en-AU"/>
        </w:rPr>
        <w:t>of family/carers also</w:t>
      </w:r>
      <w:r w:rsidR="009A56B7">
        <w:rPr>
          <w:lang w:val="en-AU"/>
        </w:rPr>
        <w:t xml:space="preserve"> </w:t>
      </w:r>
      <w:r w:rsidR="0003011A">
        <w:rPr>
          <w:lang w:val="en-AU"/>
        </w:rPr>
        <w:t xml:space="preserve">felt more listened to, respected and </w:t>
      </w:r>
      <w:r w:rsidR="002A55D3">
        <w:rPr>
          <w:lang w:val="en-AU"/>
        </w:rPr>
        <w:t>supported</w:t>
      </w:r>
      <w:r w:rsidR="0003011A">
        <w:rPr>
          <w:lang w:val="en-AU"/>
        </w:rPr>
        <w:t xml:space="preserve"> by staff within the Program</w:t>
      </w:r>
      <w:r w:rsidR="002B4E91">
        <w:rPr>
          <w:lang w:val="en-AU"/>
        </w:rPr>
        <w:t xml:space="preserve">, noting that </w:t>
      </w:r>
      <w:r w:rsidR="0073282A">
        <w:rPr>
          <w:lang w:val="en-AU"/>
        </w:rPr>
        <w:t xml:space="preserve">Program </w:t>
      </w:r>
      <w:r w:rsidR="002A55D3">
        <w:rPr>
          <w:lang w:val="en-AU"/>
        </w:rPr>
        <w:t>staff were an important source of support</w:t>
      </w:r>
      <w:r w:rsidR="002B4E91">
        <w:rPr>
          <w:lang w:val="en-AU"/>
        </w:rPr>
        <w:t xml:space="preserve"> and guidance</w:t>
      </w:r>
      <w:r w:rsidR="002A55D3">
        <w:rPr>
          <w:lang w:val="en-AU"/>
        </w:rPr>
        <w:t xml:space="preserve">.  </w:t>
      </w:r>
    </w:p>
    <w:p w14:paraId="55C49622" w14:textId="21B2F593" w:rsidR="007B50EE" w:rsidRPr="009E101A" w:rsidRDefault="00CB4AC1" w:rsidP="008A6C98">
      <w:pPr>
        <w:rPr>
          <w:lang w:val="en-AU"/>
        </w:rPr>
      </w:pPr>
      <w:r>
        <w:rPr>
          <w:lang w:val="en-AU"/>
        </w:rPr>
        <w:t>Several Program staff</w:t>
      </w:r>
      <w:r w:rsidR="002B4E91">
        <w:rPr>
          <w:lang w:val="en-AU"/>
        </w:rPr>
        <w:t xml:space="preserve"> </w:t>
      </w:r>
      <w:r>
        <w:rPr>
          <w:lang w:val="en-AU"/>
        </w:rPr>
        <w:t xml:space="preserve">noted </w:t>
      </w:r>
      <w:r w:rsidR="002B4E91">
        <w:rPr>
          <w:lang w:val="en-AU"/>
        </w:rPr>
        <w:t xml:space="preserve">that </w:t>
      </w:r>
      <w:r w:rsidR="009B218D">
        <w:rPr>
          <w:lang w:val="en-AU"/>
        </w:rPr>
        <w:t>given</w:t>
      </w:r>
      <w:r w:rsidR="002B4E91">
        <w:rPr>
          <w:lang w:val="en-AU"/>
        </w:rPr>
        <w:t xml:space="preserve"> </w:t>
      </w:r>
      <w:r w:rsidR="003339DE">
        <w:rPr>
          <w:lang w:val="en-AU"/>
        </w:rPr>
        <w:t xml:space="preserve">the </w:t>
      </w:r>
      <w:r w:rsidR="00E86B04">
        <w:rPr>
          <w:lang w:val="en-AU"/>
        </w:rPr>
        <w:t>provision of specialised</w:t>
      </w:r>
      <w:r w:rsidR="002B4E91">
        <w:rPr>
          <w:lang w:val="en-AU"/>
        </w:rPr>
        <w:t xml:space="preserve"> </w:t>
      </w:r>
      <w:r w:rsidR="009B218D">
        <w:rPr>
          <w:lang w:val="en-AU"/>
        </w:rPr>
        <w:t>support to</w:t>
      </w:r>
      <w:r w:rsidR="002B4E91">
        <w:rPr>
          <w:lang w:val="en-AU"/>
        </w:rPr>
        <w:t xml:space="preserve"> famil</w:t>
      </w:r>
      <w:r w:rsidR="009B218D">
        <w:rPr>
          <w:lang w:val="en-AU"/>
        </w:rPr>
        <w:t>ies</w:t>
      </w:r>
      <w:r w:rsidR="002B4E91">
        <w:rPr>
          <w:lang w:val="en-AU"/>
        </w:rPr>
        <w:t>/carer</w:t>
      </w:r>
      <w:r w:rsidR="009B218D">
        <w:rPr>
          <w:lang w:val="en-AU"/>
        </w:rPr>
        <w:t>s</w:t>
      </w:r>
      <w:r w:rsidR="002B4E91">
        <w:rPr>
          <w:lang w:val="en-AU"/>
        </w:rPr>
        <w:t xml:space="preserve"> is not required under the Framework, the</w:t>
      </w:r>
      <w:r w:rsidR="002B4E91" w:rsidRPr="008A6C98">
        <w:rPr>
          <w:lang w:val="en-AU"/>
        </w:rPr>
        <w:t xml:space="preserve"> support provided is </w:t>
      </w:r>
      <w:r w:rsidR="002B4E91">
        <w:rPr>
          <w:lang w:val="en-AU"/>
        </w:rPr>
        <w:t>often</w:t>
      </w:r>
      <w:r w:rsidR="002B4E91" w:rsidRPr="008A6C98">
        <w:rPr>
          <w:lang w:val="en-AU"/>
        </w:rPr>
        <w:t xml:space="preserve"> informal and ad hoc</w:t>
      </w:r>
      <w:r w:rsidR="002B4E91">
        <w:rPr>
          <w:lang w:val="en-AU"/>
        </w:rPr>
        <w:t xml:space="preserve">, leading to high </w:t>
      </w:r>
      <w:r w:rsidR="002B4E91" w:rsidRPr="008A6C98">
        <w:rPr>
          <w:lang w:val="en-AU"/>
        </w:rPr>
        <w:t>vari</w:t>
      </w:r>
      <w:r w:rsidR="002B4E91">
        <w:rPr>
          <w:lang w:val="en-AU"/>
        </w:rPr>
        <w:t>ation</w:t>
      </w:r>
      <w:r w:rsidR="002B4E91" w:rsidRPr="008A6C98">
        <w:rPr>
          <w:lang w:val="en-AU"/>
        </w:rPr>
        <w:t xml:space="preserve"> across sites</w:t>
      </w:r>
      <w:r w:rsidR="002B4E91">
        <w:rPr>
          <w:lang w:val="en-AU"/>
        </w:rPr>
        <w:t>.</w:t>
      </w:r>
      <w:r>
        <w:rPr>
          <w:lang w:val="en-AU"/>
        </w:rPr>
        <w:t xml:space="preserve"> </w:t>
      </w:r>
      <w:r w:rsidR="00E26636">
        <w:rPr>
          <w:lang w:val="en-AU"/>
        </w:rPr>
        <w:t>S</w:t>
      </w:r>
      <w:r w:rsidR="00373B5B">
        <w:rPr>
          <w:lang w:val="en-AU"/>
        </w:rPr>
        <w:t>ome SDCUs</w:t>
      </w:r>
      <w:r w:rsidR="00CF3F2F" w:rsidRPr="00CF3F2F">
        <w:rPr>
          <w:lang w:val="en-AU"/>
        </w:rPr>
        <w:t xml:space="preserve"> </w:t>
      </w:r>
      <w:r w:rsidR="005508E4">
        <w:rPr>
          <w:lang w:val="en-AU"/>
        </w:rPr>
        <w:t xml:space="preserve">have begun to </w:t>
      </w:r>
      <w:r w:rsidR="00CF3F2F" w:rsidRPr="00CF3F2F">
        <w:rPr>
          <w:lang w:val="en-AU"/>
        </w:rPr>
        <w:t xml:space="preserve">offer more </w:t>
      </w:r>
      <w:r w:rsidR="005508E4">
        <w:rPr>
          <w:lang w:val="en-AU"/>
        </w:rPr>
        <w:t>targeted</w:t>
      </w:r>
      <w:r w:rsidR="00CF3F2F" w:rsidRPr="00CF3F2F">
        <w:rPr>
          <w:lang w:val="en-AU"/>
        </w:rPr>
        <w:t xml:space="preserve"> support for </w:t>
      </w:r>
      <w:r w:rsidR="00A80997">
        <w:rPr>
          <w:lang w:val="en-AU"/>
        </w:rPr>
        <w:t>family/carers</w:t>
      </w:r>
      <w:r w:rsidR="00CF3F2F" w:rsidRPr="005D2FF1">
        <w:rPr>
          <w:lang w:val="en-AU"/>
        </w:rPr>
        <w:t xml:space="preserve"> </w:t>
      </w:r>
      <w:r w:rsidR="00CF3F2F" w:rsidRPr="00CF3F2F">
        <w:rPr>
          <w:lang w:val="en-AU"/>
        </w:rPr>
        <w:t xml:space="preserve">through </w:t>
      </w:r>
      <w:r w:rsidR="003262F8">
        <w:rPr>
          <w:lang w:val="en-AU"/>
        </w:rPr>
        <w:t>their s</w:t>
      </w:r>
      <w:r w:rsidR="00CF3F2F" w:rsidRPr="00CF3F2F">
        <w:rPr>
          <w:lang w:val="en-AU"/>
        </w:rPr>
        <w:t xml:space="preserve">ocial worker </w:t>
      </w:r>
      <w:r w:rsidR="003262F8">
        <w:rPr>
          <w:lang w:val="en-AU"/>
        </w:rPr>
        <w:t>or nurse coordinator roles</w:t>
      </w:r>
      <w:r>
        <w:rPr>
          <w:lang w:val="en-AU"/>
        </w:rPr>
        <w:t xml:space="preserve"> </w:t>
      </w:r>
      <w:r w:rsidR="00A80997" w:rsidRPr="005D2FF1">
        <w:rPr>
          <w:lang w:val="en-AU"/>
        </w:rPr>
        <w:t>(discussed in Section</w:t>
      </w:r>
      <w:r w:rsidR="00A80997">
        <w:rPr>
          <w:lang w:val="en-AU"/>
        </w:rPr>
        <w:t xml:space="preserve"> </w:t>
      </w:r>
      <w:r w:rsidR="00054391">
        <w:rPr>
          <w:lang w:val="en-AU"/>
        </w:rPr>
        <w:fldChar w:fldCharType="begin"/>
      </w:r>
      <w:r w:rsidR="00054391">
        <w:rPr>
          <w:lang w:val="en-AU"/>
        </w:rPr>
        <w:instrText xml:space="preserve"> REF _Ref123919177 \r \h </w:instrText>
      </w:r>
      <w:r w:rsidR="00054391">
        <w:rPr>
          <w:lang w:val="en-AU"/>
        </w:rPr>
      </w:r>
      <w:r w:rsidR="00054391">
        <w:rPr>
          <w:lang w:val="en-AU"/>
        </w:rPr>
        <w:fldChar w:fldCharType="separate"/>
      </w:r>
      <w:r w:rsidR="00D32536">
        <w:rPr>
          <w:lang w:val="en-AU"/>
        </w:rPr>
        <w:t>4</w:t>
      </w:r>
      <w:r w:rsidR="00054391">
        <w:rPr>
          <w:lang w:val="en-AU"/>
        </w:rPr>
        <w:fldChar w:fldCharType="end"/>
      </w:r>
      <w:r w:rsidR="00A80997" w:rsidRPr="005D2FF1">
        <w:rPr>
          <w:lang w:val="en-AU"/>
        </w:rPr>
        <w:t>)</w:t>
      </w:r>
      <w:r w:rsidR="003262F8" w:rsidRPr="005D2FF1">
        <w:rPr>
          <w:lang w:val="en-AU"/>
        </w:rPr>
        <w:t>.</w:t>
      </w:r>
      <w:r w:rsidR="003262F8">
        <w:rPr>
          <w:lang w:val="en-AU"/>
        </w:rPr>
        <w:t xml:space="preserve"> </w:t>
      </w:r>
      <w:r w:rsidR="00B53BF7">
        <w:rPr>
          <w:lang w:val="en-AU"/>
        </w:rPr>
        <w:t>Another</w:t>
      </w:r>
      <w:r w:rsidR="003262F8" w:rsidRPr="005D2FF1">
        <w:rPr>
          <w:lang w:val="en-AU"/>
        </w:rPr>
        <w:t xml:space="preserve"> </w:t>
      </w:r>
      <w:r w:rsidR="006A35AF">
        <w:rPr>
          <w:lang w:val="en-AU"/>
        </w:rPr>
        <w:t>site</w:t>
      </w:r>
      <w:r w:rsidR="003262F8">
        <w:rPr>
          <w:lang w:val="en-AU"/>
        </w:rPr>
        <w:t xml:space="preserve"> reported staff had established an informal </w:t>
      </w:r>
      <w:r w:rsidR="00CF3F2F" w:rsidRPr="00CF3F2F">
        <w:rPr>
          <w:lang w:val="en-AU"/>
        </w:rPr>
        <w:t xml:space="preserve">peer support groups </w:t>
      </w:r>
      <w:r w:rsidR="003262F8">
        <w:rPr>
          <w:lang w:val="en-AU"/>
        </w:rPr>
        <w:t>for</w:t>
      </w:r>
      <w:r w:rsidR="00CF3F2F" w:rsidRPr="00CF3F2F">
        <w:rPr>
          <w:lang w:val="en-AU"/>
        </w:rPr>
        <w:t xml:space="preserve"> families</w:t>
      </w:r>
      <w:r w:rsidR="00A80997">
        <w:rPr>
          <w:lang w:val="en-AU"/>
        </w:rPr>
        <w:t>, as</w:t>
      </w:r>
      <w:r w:rsidR="003262F8">
        <w:rPr>
          <w:lang w:val="en-AU"/>
        </w:rPr>
        <w:t xml:space="preserve"> </w:t>
      </w:r>
      <w:r w:rsidR="003C2AF8">
        <w:rPr>
          <w:lang w:val="en-AU"/>
        </w:rPr>
        <w:t xml:space="preserve">they </w:t>
      </w:r>
      <w:r w:rsidR="003844D6">
        <w:rPr>
          <w:lang w:val="en-AU"/>
        </w:rPr>
        <w:t xml:space="preserve">noticed </w:t>
      </w:r>
      <w:r w:rsidR="003C2AF8">
        <w:rPr>
          <w:lang w:val="en-AU"/>
        </w:rPr>
        <w:t>family/carers</w:t>
      </w:r>
      <w:r w:rsidR="003844D6">
        <w:rPr>
          <w:lang w:val="en-AU"/>
        </w:rPr>
        <w:t xml:space="preserve"> found it valuable to connect with others who </w:t>
      </w:r>
      <w:r w:rsidR="003C2AF8">
        <w:rPr>
          <w:lang w:val="en-AU"/>
        </w:rPr>
        <w:t>had</w:t>
      </w:r>
      <w:r w:rsidR="003844D6">
        <w:rPr>
          <w:lang w:val="en-AU"/>
        </w:rPr>
        <w:t xml:space="preserve"> been through similar experiences</w:t>
      </w:r>
      <w:r w:rsidR="005508E4">
        <w:rPr>
          <w:lang w:val="en-AU"/>
        </w:rPr>
        <w:t>.</w:t>
      </w:r>
      <w:r w:rsidR="00CF3F2F" w:rsidRPr="00CF3F2F">
        <w:rPr>
          <w:lang w:val="en-AU"/>
        </w:rPr>
        <w:t xml:space="preserve"> </w:t>
      </w:r>
      <w:r w:rsidR="007B29D6">
        <w:rPr>
          <w:lang w:val="en-AU"/>
        </w:rPr>
        <w:t xml:space="preserve">However, </w:t>
      </w:r>
      <w:r w:rsidR="00A80997">
        <w:rPr>
          <w:lang w:val="en-AU"/>
        </w:rPr>
        <w:t>many</w:t>
      </w:r>
      <w:r w:rsidR="007B29D6">
        <w:rPr>
          <w:lang w:val="en-AU"/>
        </w:rPr>
        <w:t xml:space="preserve"> st</w:t>
      </w:r>
      <w:r w:rsidR="00CF3F2F" w:rsidRPr="008A6C98">
        <w:rPr>
          <w:lang w:val="en-AU"/>
        </w:rPr>
        <w:t xml:space="preserve">akeholders </w:t>
      </w:r>
      <w:r w:rsidR="007B29D6">
        <w:rPr>
          <w:lang w:val="en-AU"/>
        </w:rPr>
        <w:t>felt</w:t>
      </w:r>
      <w:r w:rsidR="00CF3F2F" w:rsidRPr="00CF3F2F">
        <w:rPr>
          <w:lang w:val="en-AU"/>
        </w:rPr>
        <w:t xml:space="preserve"> </w:t>
      </w:r>
      <w:r w:rsidR="00014A87">
        <w:rPr>
          <w:lang w:val="en-AU"/>
        </w:rPr>
        <w:t xml:space="preserve">targeted </w:t>
      </w:r>
      <w:r w:rsidR="00CF3F2F" w:rsidRPr="00CF3F2F">
        <w:rPr>
          <w:lang w:val="en-AU"/>
        </w:rPr>
        <w:t>psychosocial support is an ongoing area of need</w:t>
      </w:r>
      <w:r w:rsidR="00A80997">
        <w:rPr>
          <w:lang w:val="en-AU"/>
        </w:rPr>
        <w:t xml:space="preserve">, given family/carers often </w:t>
      </w:r>
      <w:r w:rsidR="00053DBE">
        <w:rPr>
          <w:lang w:val="en-AU"/>
        </w:rPr>
        <w:t xml:space="preserve">arrive </w:t>
      </w:r>
      <w:r w:rsidR="0020146A">
        <w:rPr>
          <w:lang w:val="en-AU"/>
        </w:rPr>
        <w:t>at</w:t>
      </w:r>
      <w:r w:rsidR="00053DBE">
        <w:rPr>
          <w:lang w:val="en-AU"/>
        </w:rPr>
        <w:t xml:space="preserve"> the </w:t>
      </w:r>
      <w:r w:rsidR="0020146A">
        <w:rPr>
          <w:lang w:val="en-AU"/>
        </w:rPr>
        <w:t>SDCU</w:t>
      </w:r>
      <w:r w:rsidR="00053DBE">
        <w:rPr>
          <w:lang w:val="en-AU"/>
        </w:rPr>
        <w:t xml:space="preserve"> with high levels of carer guilt</w:t>
      </w:r>
      <w:r w:rsidR="00014A87">
        <w:rPr>
          <w:lang w:val="en-AU"/>
        </w:rPr>
        <w:t xml:space="preserve"> and burnout (discussed above)</w:t>
      </w:r>
      <w:r w:rsidR="007B29D6">
        <w:rPr>
          <w:lang w:val="en-AU"/>
        </w:rPr>
        <w:t>. Accordingly,</w:t>
      </w:r>
      <w:r w:rsidR="003A631D">
        <w:rPr>
          <w:lang w:val="en-AU"/>
        </w:rPr>
        <w:t xml:space="preserve"> there is</w:t>
      </w:r>
      <w:r w:rsidR="006E4EDE">
        <w:rPr>
          <w:lang w:val="en-AU"/>
        </w:rPr>
        <w:t xml:space="preserve"> an</w:t>
      </w:r>
      <w:r w:rsidR="003A631D">
        <w:rPr>
          <w:lang w:val="en-AU"/>
        </w:rPr>
        <w:t xml:space="preserve"> </w:t>
      </w:r>
      <w:r w:rsidR="007B29D6">
        <w:rPr>
          <w:lang w:val="en-AU"/>
        </w:rPr>
        <w:t>opportunity</w:t>
      </w:r>
      <w:r w:rsidR="003A631D">
        <w:rPr>
          <w:lang w:val="en-AU"/>
        </w:rPr>
        <w:t xml:space="preserve"> to explore ways in which family support options could be </w:t>
      </w:r>
      <w:r w:rsidR="004E32F7">
        <w:rPr>
          <w:lang w:val="en-AU"/>
        </w:rPr>
        <w:t>strengthened</w:t>
      </w:r>
      <w:r w:rsidR="003A631D">
        <w:rPr>
          <w:lang w:val="en-AU"/>
        </w:rPr>
        <w:t xml:space="preserve"> into the </w:t>
      </w:r>
      <w:r w:rsidR="007B29D6">
        <w:rPr>
          <w:lang w:val="en-AU"/>
        </w:rPr>
        <w:t xml:space="preserve">care pathway. </w:t>
      </w:r>
    </w:p>
    <w:p w14:paraId="2A60501D" w14:textId="4834E8F8" w:rsidR="00065C9F" w:rsidRPr="00CE6D47" w:rsidRDefault="000217E8" w:rsidP="00065C9F">
      <w:pPr>
        <w:pStyle w:val="Caption"/>
        <w:rPr>
          <w:u w:val="single"/>
        </w:rPr>
      </w:pPr>
      <w:r>
        <w:t>Figure</w:t>
      </w:r>
      <w:r w:rsidR="00065C9F">
        <w:t xml:space="preserve"> </w:t>
      </w:r>
      <w:r w:rsidR="00990867">
        <w:fldChar w:fldCharType="begin"/>
      </w:r>
      <w:r w:rsidR="00990867">
        <w:instrText xml:space="preserve"> STYLEREF 1 \s </w:instrText>
      </w:r>
      <w:r w:rsidR="00990867">
        <w:fldChar w:fldCharType="separate"/>
      </w:r>
      <w:r w:rsidR="00D32536">
        <w:rPr>
          <w:noProof/>
        </w:rPr>
        <w:t>5</w:t>
      </w:r>
      <w:r w:rsidR="00990867">
        <w:fldChar w:fldCharType="end"/>
      </w:r>
      <w:r w:rsidR="00990867">
        <w:t>.</w:t>
      </w:r>
      <w:r w:rsidR="008875A8">
        <w:fldChar w:fldCharType="begin"/>
      </w:r>
      <w:r w:rsidR="008875A8">
        <w:instrText xml:space="preserve"> SEQ Figure \* ARABIC \s 1 </w:instrText>
      </w:r>
      <w:r w:rsidR="008875A8">
        <w:fldChar w:fldCharType="separate"/>
      </w:r>
      <w:r w:rsidR="00D32536">
        <w:rPr>
          <w:noProof/>
        </w:rPr>
        <w:t>11</w:t>
      </w:r>
      <w:r w:rsidR="008875A8">
        <w:fldChar w:fldCharType="end"/>
      </w:r>
      <w:r w:rsidR="00065C9F">
        <w:t xml:space="preserve"> Quotes representing dominant qualitative themes from consultations and the </w:t>
      </w:r>
      <w:r w:rsidR="0073282A">
        <w:t xml:space="preserve">Program </w:t>
      </w:r>
      <w:r w:rsidR="00065C9F">
        <w:t>staff survey related to improved relationships between residents and their families and carers.</w:t>
      </w:r>
    </w:p>
    <w:p w14:paraId="1FB95AA8" w14:textId="3AD28FB8" w:rsidR="00E41BFD" w:rsidRDefault="00054391" w:rsidP="00E41BFD">
      <w:pPr>
        <w:rPr>
          <w:lang w:val="en-AU"/>
        </w:rPr>
      </w:pPr>
      <w:r w:rsidRPr="00054391">
        <w:rPr>
          <w:noProof/>
        </w:rPr>
        <w:drawing>
          <wp:inline distT="0" distB="0" distL="0" distR="0" wp14:anchorId="06B34339" wp14:editId="232EB10E">
            <wp:extent cx="6093561" cy="2621848"/>
            <wp:effectExtent l="0" t="0" r="2540" b="7620"/>
            <wp:docPr id="475882775" name="Picture 475882775" descr="This image is quotes from stakeholder consultations talking about the improved relationships between residents and their families and carers. &#10;Quote 1: “We found [SDCP staff and other families] became like our family as well. It had a really family oriented place. Members that were visiting their family - you could connect with them and it provided that rapport and support. I think that’s really nice to have that [support] backup.”&#10;Quote 2: “The family [and] carers have been traumatised and [they] bring that trauma to the SDCP. After admission [to SDCP] it feels very relaxed because things have settled but as soon as we talk about transition-out it changes. So many [families]… refuse to give consent. The staff in SDCP are struggling because they now need to support the family member because the transition-out depends on family consent.” &#10;Quote 3: “The scary part is what happens when our loved one leaves the SDCU to transition back into mainstream care; where suddenly the whole structure reverts to the way it was previously. Will this person become the shell of a human they were before, with no dignity and no will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2775" name="Picture 475882775" descr="This image is quotes from stakeholder consultations talking about the improved relationships between residents and their families and carers. &#10;Quote 1: “We found [SDCP staff and other families] became like our family as well. It had a really family oriented place. Members that were visiting their family - you could connect with them and it provided that rapport and support. I think that’s really nice to have that [support] backup.”&#10;Quote 2: “The family [and] carers have been traumatised and [they] bring that trauma to the SDCP. After admission [to SDCP] it feels very relaxed because things have settled but as soon as we talk about transition-out it changes. So many [families]… refuse to give consent. The staff in SDCP are struggling because they now need to support the family member because the transition-out depends on family consent.” &#10;Quote 3: “The scary part is what happens when our loved one leaves the SDCU to transition back into mainstream care; where suddenly the whole structure reverts to the way it was previously. Will this person become the shell of a human they were before, with no dignity and no will to liv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00746" cy="2624940"/>
                    </a:xfrm>
                    <a:prstGeom prst="rect">
                      <a:avLst/>
                    </a:prstGeom>
                    <a:noFill/>
                    <a:ln>
                      <a:noFill/>
                    </a:ln>
                  </pic:spPr>
                </pic:pic>
              </a:graphicData>
            </a:graphic>
          </wp:inline>
        </w:drawing>
      </w:r>
    </w:p>
    <w:p w14:paraId="3CF67FF4" w14:textId="7CB8FE9F" w:rsidR="009847EB" w:rsidRPr="009847EB" w:rsidRDefault="009847EB" w:rsidP="009847EB">
      <w:pPr>
        <w:rPr>
          <w:color w:val="53565A" w:themeColor="background2"/>
          <w:sz w:val="16"/>
          <w:szCs w:val="18"/>
        </w:rPr>
      </w:pPr>
      <w:r w:rsidRPr="009847EB">
        <w:rPr>
          <w:color w:val="53565A" w:themeColor="background2"/>
          <w:sz w:val="16"/>
          <w:szCs w:val="18"/>
        </w:rPr>
        <w:t>Source: Deloitte Access Economics analysis of stakeholder consultation</w:t>
      </w:r>
      <w:r w:rsidR="009E22E3">
        <w:rPr>
          <w:color w:val="53565A" w:themeColor="background2"/>
          <w:sz w:val="16"/>
          <w:szCs w:val="18"/>
        </w:rPr>
        <w:t>s</w:t>
      </w:r>
      <w:r w:rsidRPr="009847EB">
        <w:rPr>
          <w:color w:val="53565A" w:themeColor="background2"/>
          <w:sz w:val="16"/>
          <w:szCs w:val="18"/>
        </w:rPr>
        <w:t>, 2022</w:t>
      </w:r>
    </w:p>
    <w:p w14:paraId="1306382E" w14:textId="19185247" w:rsidR="005F17FC" w:rsidRPr="009276D8" w:rsidRDefault="00482492" w:rsidP="00482492">
      <w:pPr>
        <w:pStyle w:val="Heading2"/>
        <w:spacing w:after="0"/>
        <w:ind w:left="578" w:hanging="578"/>
        <w:rPr>
          <w:lang w:val="en-AU"/>
        </w:rPr>
      </w:pPr>
      <w:r>
        <w:rPr>
          <w:lang w:val="en-AU"/>
        </w:rPr>
        <w:t>Benefits for Program s</w:t>
      </w:r>
      <w:r w:rsidR="00881ACF">
        <w:rPr>
          <w:lang w:val="en-AU"/>
        </w:rPr>
        <w:t xml:space="preserve">taff and </w:t>
      </w:r>
      <w:r>
        <w:rPr>
          <w:lang w:val="en-AU"/>
        </w:rPr>
        <w:t xml:space="preserve">other </w:t>
      </w:r>
      <w:r w:rsidR="00881ACF">
        <w:rPr>
          <w:lang w:val="en-AU"/>
        </w:rPr>
        <w:t>services</w:t>
      </w:r>
    </w:p>
    <w:p w14:paraId="56C84F36" w14:textId="615DF203" w:rsidR="00D3081A" w:rsidRPr="00576A49" w:rsidRDefault="00D3081A" w:rsidP="00D3081A">
      <w:pPr>
        <w:pStyle w:val="Heading3"/>
        <w:spacing w:after="0"/>
        <w:rPr>
          <w:lang w:val="en-AU"/>
        </w:rPr>
      </w:pPr>
      <w:r>
        <w:rPr>
          <w:lang w:val="en-AU"/>
        </w:rPr>
        <w:t>Improved staff capability and job satisfaction</w:t>
      </w:r>
    </w:p>
    <w:p w14:paraId="7E96C59C" w14:textId="4FEBB449" w:rsidR="005F17FC" w:rsidRPr="00482492" w:rsidRDefault="00FA48B9" w:rsidP="005F17FC">
      <w:pPr>
        <w:rPr>
          <w:rFonts w:asciiTheme="majorHAnsi" w:hAnsiTheme="majorHAnsi" w:cstheme="majorHAnsi"/>
          <w:b/>
          <w:color w:val="012169"/>
          <w:lang w:val="en-AU"/>
        </w:rPr>
      </w:pPr>
      <w:r>
        <w:rPr>
          <w:rFonts w:asciiTheme="majorHAnsi" w:hAnsiTheme="majorHAnsi" w:cstheme="majorHAnsi"/>
          <w:b/>
          <w:bCs/>
          <w:color w:val="012169"/>
          <w:lang w:val="en-AU"/>
        </w:rPr>
        <w:t>Most</w:t>
      </w:r>
      <w:r w:rsidR="005F17FC" w:rsidRPr="00482492">
        <w:rPr>
          <w:rFonts w:asciiTheme="majorHAnsi" w:hAnsiTheme="majorHAnsi" w:cstheme="majorHAnsi"/>
          <w:b/>
          <w:color w:val="012169"/>
          <w:lang w:val="en-AU"/>
        </w:rPr>
        <w:t xml:space="preserve"> Program staff reported that working in the </w:t>
      </w:r>
      <w:r w:rsidR="00920086">
        <w:rPr>
          <w:rFonts w:asciiTheme="majorHAnsi" w:hAnsiTheme="majorHAnsi" w:cstheme="majorHAnsi"/>
          <w:b/>
          <w:color w:val="012169"/>
          <w:lang w:val="en-AU"/>
        </w:rPr>
        <w:t>SDCU</w:t>
      </w:r>
      <w:r w:rsidR="00920086" w:rsidRPr="00482492">
        <w:rPr>
          <w:rFonts w:asciiTheme="majorHAnsi" w:hAnsiTheme="majorHAnsi" w:cstheme="majorHAnsi"/>
          <w:b/>
          <w:color w:val="012169"/>
          <w:lang w:val="en-AU"/>
        </w:rPr>
        <w:t xml:space="preserve"> </w:t>
      </w:r>
      <w:r w:rsidR="005F17FC" w:rsidRPr="00482492">
        <w:rPr>
          <w:rFonts w:asciiTheme="majorHAnsi" w:hAnsiTheme="majorHAnsi" w:cstheme="majorHAnsi"/>
          <w:b/>
          <w:color w:val="012169"/>
          <w:lang w:val="en-AU"/>
        </w:rPr>
        <w:t>has fostered a strong sense of job satisfaction and pride in their work.</w:t>
      </w:r>
    </w:p>
    <w:p w14:paraId="66765B21" w14:textId="42C319AE" w:rsidR="0018386D" w:rsidRPr="00A530D4" w:rsidRDefault="00930491" w:rsidP="005F17FC">
      <w:pPr>
        <w:spacing w:after="120"/>
        <w:rPr>
          <w:lang w:val="en-AU"/>
        </w:rPr>
      </w:pPr>
      <w:r>
        <w:rPr>
          <w:lang w:val="en-AU"/>
        </w:rPr>
        <w:t>C</w:t>
      </w:r>
      <w:r w:rsidR="005F17FC" w:rsidRPr="00EC44E1">
        <w:rPr>
          <w:lang w:val="en-AU"/>
        </w:rPr>
        <w:t>linical in-reach staff</w:t>
      </w:r>
      <w:r>
        <w:rPr>
          <w:lang w:val="en-AU"/>
        </w:rPr>
        <w:t>, program managers</w:t>
      </w:r>
      <w:r w:rsidR="005F17FC" w:rsidRPr="00EC44E1">
        <w:rPr>
          <w:lang w:val="en-AU"/>
        </w:rPr>
        <w:t xml:space="preserve"> and clinical </w:t>
      </w:r>
      <w:r>
        <w:rPr>
          <w:lang w:val="en-AU"/>
        </w:rPr>
        <w:t>nursing</w:t>
      </w:r>
      <w:r w:rsidR="005F17FC" w:rsidRPr="00EC44E1">
        <w:rPr>
          <w:lang w:val="en-AU"/>
        </w:rPr>
        <w:t xml:space="preserve"> staff from</w:t>
      </w:r>
      <w:r w:rsidR="00F02B28">
        <w:rPr>
          <w:lang w:val="en-AU"/>
        </w:rPr>
        <w:t xml:space="preserve"> the majority of</w:t>
      </w:r>
      <w:r w:rsidR="005F17FC" w:rsidRPr="00EC44E1">
        <w:rPr>
          <w:lang w:val="en-AU"/>
        </w:rPr>
        <w:t xml:space="preserve"> </w:t>
      </w:r>
      <w:r w:rsidR="005F17FC">
        <w:rPr>
          <w:lang w:val="en-AU"/>
        </w:rPr>
        <w:t>SDCUs</w:t>
      </w:r>
      <w:r w:rsidR="005F17FC" w:rsidRPr="00EC44E1">
        <w:rPr>
          <w:lang w:val="en-AU"/>
        </w:rPr>
        <w:t xml:space="preserve"> </w:t>
      </w:r>
      <w:r w:rsidR="00F02B28">
        <w:rPr>
          <w:lang w:val="en-AU"/>
        </w:rPr>
        <w:t>felt that</w:t>
      </w:r>
      <w:r w:rsidR="005F17FC" w:rsidRPr="00EC44E1">
        <w:rPr>
          <w:lang w:val="en-AU"/>
        </w:rPr>
        <w:t xml:space="preserve"> working </w:t>
      </w:r>
      <w:r w:rsidR="00133289">
        <w:rPr>
          <w:lang w:val="en-AU"/>
        </w:rPr>
        <w:t>for the Program has been</w:t>
      </w:r>
      <w:r w:rsidR="005F17FC" w:rsidRPr="00EC44E1">
        <w:rPr>
          <w:lang w:val="en-AU"/>
        </w:rPr>
        <w:t xml:space="preserve"> </w:t>
      </w:r>
      <w:r w:rsidR="005F17FC">
        <w:rPr>
          <w:lang w:val="en-AU"/>
        </w:rPr>
        <w:t>professionally</w:t>
      </w:r>
      <w:r w:rsidR="005F17FC" w:rsidRPr="00EC44E1">
        <w:rPr>
          <w:lang w:val="en-AU"/>
        </w:rPr>
        <w:t xml:space="preserve"> rewarding</w:t>
      </w:r>
      <w:r w:rsidR="005F17FC">
        <w:rPr>
          <w:lang w:val="en-AU"/>
        </w:rPr>
        <w:t xml:space="preserve">. They </w:t>
      </w:r>
      <w:r w:rsidR="00B94400">
        <w:rPr>
          <w:lang w:val="en-AU"/>
        </w:rPr>
        <w:t>were proud to</w:t>
      </w:r>
      <w:r w:rsidR="005F17FC" w:rsidRPr="00EC44E1">
        <w:rPr>
          <w:lang w:val="en-AU"/>
        </w:rPr>
        <w:t xml:space="preserve"> </w:t>
      </w:r>
      <w:r w:rsidR="005F17FC">
        <w:rPr>
          <w:lang w:val="en-AU"/>
        </w:rPr>
        <w:t>contribut</w:t>
      </w:r>
      <w:r w:rsidR="00B94400">
        <w:rPr>
          <w:lang w:val="en-AU"/>
        </w:rPr>
        <w:t>e</w:t>
      </w:r>
      <w:r w:rsidR="005F17FC">
        <w:rPr>
          <w:lang w:val="en-AU"/>
        </w:rPr>
        <w:t xml:space="preserve"> to a specialist program</w:t>
      </w:r>
      <w:r w:rsidR="00766DA0">
        <w:rPr>
          <w:lang w:val="en-AU"/>
        </w:rPr>
        <w:t xml:space="preserve"> </w:t>
      </w:r>
      <w:r w:rsidR="00B74ED3">
        <w:rPr>
          <w:lang w:val="en-AU"/>
        </w:rPr>
        <w:t xml:space="preserve">and </w:t>
      </w:r>
      <w:r w:rsidR="00B94400">
        <w:rPr>
          <w:lang w:val="en-AU"/>
        </w:rPr>
        <w:t>commented on how rewarding it felt to</w:t>
      </w:r>
      <w:r w:rsidR="004918F9">
        <w:rPr>
          <w:lang w:val="en-AU"/>
        </w:rPr>
        <w:t xml:space="preserve"> witness</w:t>
      </w:r>
      <w:r w:rsidR="005F17FC" w:rsidRPr="00123226">
        <w:rPr>
          <w:lang w:val="en-AU"/>
        </w:rPr>
        <w:t xml:space="preserve"> </w:t>
      </w:r>
      <w:r w:rsidR="00B94400">
        <w:rPr>
          <w:lang w:val="en-AU"/>
        </w:rPr>
        <w:t>profound</w:t>
      </w:r>
      <w:r w:rsidR="005F17FC">
        <w:rPr>
          <w:lang w:val="en-AU"/>
        </w:rPr>
        <w:t xml:space="preserve"> improvements in </w:t>
      </w:r>
      <w:r w:rsidR="005F17FC" w:rsidRPr="00123226">
        <w:rPr>
          <w:lang w:val="en-AU"/>
        </w:rPr>
        <w:t>resident</w:t>
      </w:r>
      <w:r w:rsidR="005F17FC">
        <w:rPr>
          <w:lang w:val="en-AU"/>
        </w:rPr>
        <w:t>s’</w:t>
      </w:r>
      <w:r w:rsidR="005F17FC" w:rsidRPr="00123226">
        <w:rPr>
          <w:lang w:val="en-AU"/>
        </w:rPr>
        <w:t xml:space="preserve"> BPSD and </w:t>
      </w:r>
      <w:r w:rsidR="005F17FC">
        <w:rPr>
          <w:lang w:val="en-AU"/>
        </w:rPr>
        <w:t xml:space="preserve">quality of life as a result of their support. </w:t>
      </w:r>
      <w:r w:rsidR="00A530D4">
        <w:t>S</w:t>
      </w:r>
      <w:r w:rsidR="00FA7F13">
        <w:t>taff satisfaction is pertinent given that</w:t>
      </w:r>
      <w:r w:rsidR="0018386D">
        <w:t xml:space="preserve"> research has shown that job satisfaction among aged care staff is positively correlated with provision of person-centred care. In addition to </w:t>
      </w:r>
      <w:r w:rsidR="000A41A8">
        <w:t xml:space="preserve">the care </w:t>
      </w:r>
      <w:r w:rsidR="0018386D">
        <w:t>benefits</w:t>
      </w:r>
      <w:r w:rsidR="00BD2FB3">
        <w:t xml:space="preserve"> for residents</w:t>
      </w:r>
      <w:r w:rsidR="0018386D">
        <w:t>, job satisfaction among aged care staff is also recognised as a crucial element to supporting higher productivity</w:t>
      </w:r>
      <w:r w:rsidR="000D0C5C">
        <w:t xml:space="preserve">, </w:t>
      </w:r>
      <w:r w:rsidR="0018386D">
        <w:t xml:space="preserve">reducing job-related stress and </w:t>
      </w:r>
      <w:r w:rsidR="00EB1252">
        <w:t>improving staff retention</w:t>
      </w:r>
      <w:r w:rsidR="0018386D">
        <w:t>.</w:t>
      </w:r>
      <w:r w:rsidR="0018386D">
        <w:rPr>
          <w:rStyle w:val="FootnoteReference"/>
        </w:rPr>
        <w:footnoteReference w:id="22"/>
      </w:r>
    </w:p>
    <w:p w14:paraId="0DFAFEBE" w14:textId="4496BF5B" w:rsidR="005F17FC" w:rsidRDefault="00FA7F13" w:rsidP="005F17FC">
      <w:pPr>
        <w:spacing w:after="120"/>
      </w:pPr>
      <w:r>
        <w:rPr>
          <w:lang w:val="en-AU"/>
        </w:rPr>
        <w:t>However, it is noted that j</w:t>
      </w:r>
      <w:r w:rsidR="00930491">
        <w:rPr>
          <w:lang w:val="en-AU"/>
        </w:rPr>
        <w:t xml:space="preserve">ob satisfaction was more varied among </w:t>
      </w:r>
      <w:r w:rsidR="00B0163F">
        <w:rPr>
          <w:lang w:val="en-AU"/>
        </w:rPr>
        <w:t>care staff</w:t>
      </w:r>
      <w:r w:rsidR="00930491">
        <w:rPr>
          <w:lang w:val="en-AU"/>
        </w:rPr>
        <w:t xml:space="preserve">. </w:t>
      </w:r>
      <w:r w:rsidR="00E01EF7">
        <w:rPr>
          <w:lang w:val="en-AU"/>
        </w:rPr>
        <w:t>The</w:t>
      </w:r>
      <w:r w:rsidR="005F17FC" w:rsidRPr="00E61CF3">
        <w:rPr>
          <w:lang w:val="en-AU"/>
        </w:rPr>
        <w:t xml:space="preserve"> complexity and severity of </w:t>
      </w:r>
      <w:r w:rsidR="005F17FC">
        <w:rPr>
          <w:lang w:val="en-AU"/>
        </w:rPr>
        <w:t xml:space="preserve">BPSD among </w:t>
      </w:r>
      <w:r w:rsidR="00E4665B">
        <w:rPr>
          <w:lang w:val="en-AU"/>
        </w:rPr>
        <w:t>Program</w:t>
      </w:r>
      <w:r w:rsidR="005F17FC">
        <w:rPr>
          <w:lang w:val="en-AU"/>
        </w:rPr>
        <w:t xml:space="preserve"> residents c</w:t>
      </w:r>
      <w:r w:rsidR="002011CF">
        <w:rPr>
          <w:lang w:val="en-AU"/>
        </w:rPr>
        <w:t>an create an unfavourable</w:t>
      </w:r>
      <w:r w:rsidR="005F17FC">
        <w:rPr>
          <w:lang w:val="en-AU"/>
        </w:rPr>
        <w:t xml:space="preserve"> </w:t>
      </w:r>
      <w:r w:rsidR="005F17FC" w:rsidRPr="00E61CF3">
        <w:rPr>
          <w:lang w:val="en-AU"/>
        </w:rPr>
        <w:t xml:space="preserve">risk-pay trade-off </w:t>
      </w:r>
      <w:r w:rsidR="005F17FC">
        <w:rPr>
          <w:lang w:val="en-AU"/>
        </w:rPr>
        <w:t xml:space="preserve">for </w:t>
      </w:r>
      <w:r w:rsidR="00B0163F">
        <w:rPr>
          <w:lang w:val="en-AU"/>
        </w:rPr>
        <w:t>care staff</w:t>
      </w:r>
      <w:r w:rsidR="002011CF">
        <w:rPr>
          <w:lang w:val="en-AU"/>
        </w:rPr>
        <w:t xml:space="preserve"> (relative to working on ma</w:t>
      </w:r>
      <w:r w:rsidR="00412F48">
        <w:rPr>
          <w:lang w:val="en-AU"/>
        </w:rPr>
        <w:t>instream RACFs)</w:t>
      </w:r>
      <w:r w:rsidR="005F17FC">
        <w:rPr>
          <w:lang w:val="en-AU"/>
        </w:rPr>
        <w:t xml:space="preserve">, which can </w:t>
      </w:r>
      <w:r w:rsidR="005F17FC" w:rsidRPr="00E61CF3">
        <w:rPr>
          <w:lang w:val="en-AU"/>
        </w:rPr>
        <w:t xml:space="preserve">contribute </w:t>
      </w:r>
      <w:r w:rsidR="005F17FC">
        <w:rPr>
          <w:lang w:val="en-AU"/>
        </w:rPr>
        <w:t>to lower job satisfaction and staff attrition.</w:t>
      </w:r>
      <w:r w:rsidR="002A193D">
        <w:rPr>
          <w:lang w:val="en-AU"/>
        </w:rPr>
        <w:t xml:space="preserve"> </w:t>
      </w:r>
      <w:r w:rsidR="00B0163F">
        <w:rPr>
          <w:lang w:val="en-AU"/>
        </w:rPr>
        <w:t>Care staff</w:t>
      </w:r>
      <w:r w:rsidR="005F17FC" w:rsidRPr="00E61CF3">
        <w:rPr>
          <w:lang w:val="en-AU"/>
        </w:rPr>
        <w:t xml:space="preserve"> </w:t>
      </w:r>
      <w:r w:rsidR="002A193D">
        <w:rPr>
          <w:lang w:val="en-AU"/>
        </w:rPr>
        <w:t xml:space="preserve">who </w:t>
      </w:r>
      <w:r w:rsidR="00BB6170">
        <w:rPr>
          <w:lang w:val="en-AU"/>
        </w:rPr>
        <w:t>reported relatively</w:t>
      </w:r>
      <w:r w:rsidR="005F17FC" w:rsidRPr="00E61CF3">
        <w:rPr>
          <w:lang w:val="en-AU"/>
        </w:rPr>
        <w:t xml:space="preserve"> high job satisfaction</w:t>
      </w:r>
      <w:r w:rsidR="002A193D">
        <w:rPr>
          <w:lang w:val="en-AU"/>
        </w:rPr>
        <w:t xml:space="preserve"> also </w:t>
      </w:r>
      <w:r w:rsidR="002414BA">
        <w:rPr>
          <w:lang w:val="en-AU"/>
        </w:rPr>
        <w:t>reported</w:t>
      </w:r>
      <w:r w:rsidR="002A193D">
        <w:rPr>
          <w:lang w:val="en-AU"/>
        </w:rPr>
        <w:t xml:space="preserve"> </w:t>
      </w:r>
      <w:r w:rsidR="00D81718">
        <w:rPr>
          <w:lang w:val="en-AU"/>
        </w:rPr>
        <w:t>relatively higher levels of</w:t>
      </w:r>
      <w:r w:rsidR="002A193D">
        <w:rPr>
          <w:lang w:val="en-AU"/>
        </w:rPr>
        <w:t xml:space="preserve"> </w:t>
      </w:r>
      <w:r w:rsidR="002414BA">
        <w:rPr>
          <w:lang w:val="en-AU"/>
        </w:rPr>
        <w:t xml:space="preserve">confidence </w:t>
      </w:r>
      <w:r w:rsidR="002A193D">
        <w:rPr>
          <w:lang w:val="en-AU"/>
        </w:rPr>
        <w:t>in their ability to</w:t>
      </w:r>
      <w:r w:rsidR="002A193D">
        <w:t xml:space="preserve"> care for and manage residents with </w:t>
      </w:r>
      <w:r w:rsidR="00123F86">
        <w:t>very</w:t>
      </w:r>
      <w:r w:rsidR="002A193D">
        <w:t xml:space="preserve"> severe BPSD (discussed in Section </w:t>
      </w:r>
      <w:r w:rsidR="002A193D">
        <w:fldChar w:fldCharType="begin"/>
      </w:r>
      <w:r w:rsidR="002A193D">
        <w:instrText xml:space="preserve"> REF _Ref122254502 \r \h </w:instrText>
      </w:r>
      <w:r w:rsidR="002A193D">
        <w:fldChar w:fldCharType="separate"/>
      </w:r>
      <w:r w:rsidR="00D32536">
        <w:t>3.2</w:t>
      </w:r>
      <w:r w:rsidR="002A193D">
        <w:fldChar w:fldCharType="end"/>
      </w:r>
      <w:r w:rsidR="002A193D">
        <w:t xml:space="preserve">). </w:t>
      </w:r>
    </w:p>
    <w:p w14:paraId="09EBCB8D" w14:textId="77777777" w:rsidR="00BD5E43" w:rsidRDefault="00BD5E43" w:rsidP="005F17FC">
      <w:pPr>
        <w:spacing w:after="120"/>
        <w:rPr>
          <w:lang w:val="en-AU"/>
        </w:rPr>
      </w:pPr>
    </w:p>
    <w:p w14:paraId="710B6CCD" w14:textId="5FF17CB5" w:rsidR="005F17FC" w:rsidRDefault="000217E8" w:rsidP="005F17FC">
      <w:pPr>
        <w:pStyle w:val="Caption"/>
      </w:pPr>
      <w:r>
        <w:t>Figure</w:t>
      </w:r>
      <w:r w:rsidR="005F17FC">
        <w:t xml:space="preserve"> </w:t>
      </w:r>
      <w:r w:rsidR="005F17FC">
        <w:fldChar w:fldCharType="begin"/>
      </w:r>
      <w:r w:rsidR="005F17FC">
        <w:instrText xml:space="preserve"> STYLEREF 1 \s </w:instrText>
      </w:r>
      <w:r w:rsidR="005F17FC">
        <w:fldChar w:fldCharType="separate"/>
      </w:r>
      <w:r w:rsidR="00D32536">
        <w:rPr>
          <w:noProof/>
        </w:rPr>
        <w:t>5</w:t>
      </w:r>
      <w:r w:rsidR="005F17FC">
        <w:fldChar w:fldCharType="end"/>
      </w:r>
      <w:r w:rsidR="005F17FC">
        <w:t>.</w:t>
      </w:r>
      <w:r w:rsidR="008875A8">
        <w:fldChar w:fldCharType="begin"/>
      </w:r>
      <w:r w:rsidR="008875A8">
        <w:instrText xml:space="preserve"> SEQ Figure \* ARABIC \s 1 </w:instrText>
      </w:r>
      <w:r w:rsidR="008875A8">
        <w:fldChar w:fldCharType="separate"/>
      </w:r>
      <w:r w:rsidR="00D32536">
        <w:rPr>
          <w:noProof/>
        </w:rPr>
        <w:t>12</w:t>
      </w:r>
      <w:r w:rsidR="008875A8">
        <w:fldChar w:fldCharType="end"/>
      </w:r>
      <w:r w:rsidR="005F17FC">
        <w:t xml:space="preserve"> Quotes representing dominant qualitative themes from consultations and the </w:t>
      </w:r>
      <w:r w:rsidR="00920086">
        <w:t xml:space="preserve">Program </w:t>
      </w:r>
      <w:r w:rsidR="005F17FC">
        <w:t>staff survey related to staff satisfaction.</w:t>
      </w:r>
    </w:p>
    <w:p w14:paraId="5E59F400" w14:textId="71903F63" w:rsidR="005F17FC" w:rsidRDefault="00DB061A" w:rsidP="005F17FC">
      <w:pPr>
        <w:spacing w:after="120"/>
        <w:rPr>
          <w:b/>
          <w:bCs/>
        </w:rPr>
      </w:pPr>
      <w:r w:rsidRPr="00DB061A">
        <w:rPr>
          <w:noProof/>
        </w:rPr>
        <w:drawing>
          <wp:inline distT="0" distB="0" distL="0" distR="0" wp14:anchorId="1A45A18A" wp14:editId="6663DDE6">
            <wp:extent cx="6319520" cy="1368425"/>
            <wp:effectExtent l="0" t="0" r="5080" b="3175"/>
            <wp:docPr id="30" name="Picture 30" descr="This image presents quotes from stakeholder consultation in relation to staff satisf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mage presents quotes from stakeholder consultation in relation to staff satisfaction.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19520" cy="1368425"/>
                    </a:xfrm>
                    <a:prstGeom prst="rect">
                      <a:avLst/>
                    </a:prstGeom>
                    <a:noFill/>
                    <a:ln>
                      <a:noFill/>
                    </a:ln>
                  </pic:spPr>
                </pic:pic>
              </a:graphicData>
            </a:graphic>
          </wp:inline>
        </w:drawing>
      </w:r>
    </w:p>
    <w:p w14:paraId="3BF283D5" w14:textId="77777777" w:rsidR="005F17FC" w:rsidRPr="009847EB" w:rsidRDefault="005F17FC" w:rsidP="005F17FC">
      <w:pPr>
        <w:rPr>
          <w:color w:val="53565A" w:themeColor="background2"/>
          <w:sz w:val="16"/>
          <w:szCs w:val="18"/>
        </w:rPr>
      </w:pPr>
      <w:r w:rsidRPr="009847EB">
        <w:rPr>
          <w:color w:val="53565A" w:themeColor="background2"/>
          <w:sz w:val="16"/>
          <w:szCs w:val="18"/>
        </w:rPr>
        <w:t>Source: Deloitte Access Economics analysis of stakeholder consultation, 2022</w:t>
      </w:r>
    </w:p>
    <w:p w14:paraId="78535D98" w14:textId="77777777" w:rsidR="00881ACF" w:rsidRPr="00576A49" w:rsidRDefault="00881ACF" w:rsidP="00881ACF">
      <w:pPr>
        <w:pStyle w:val="Heading3"/>
        <w:spacing w:after="0"/>
        <w:rPr>
          <w:lang w:val="en-AU"/>
        </w:rPr>
      </w:pPr>
      <w:r>
        <w:rPr>
          <w:lang w:val="en-AU"/>
        </w:rPr>
        <w:t>Knowledge spill over</w:t>
      </w:r>
    </w:p>
    <w:p w14:paraId="313A91EC" w14:textId="6E7290C1" w:rsidR="00881ACF" w:rsidRPr="00482492" w:rsidRDefault="00881ACF" w:rsidP="00881ACF">
      <w:pPr>
        <w:rPr>
          <w:rFonts w:asciiTheme="majorHAnsi" w:hAnsiTheme="majorHAnsi" w:cstheme="majorHAnsi"/>
          <w:b/>
          <w:color w:val="012169"/>
          <w:lang w:val="en-AU"/>
        </w:rPr>
      </w:pPr>
      <w:r w:rsidRPr="00482492">
        <w:rPr>
          <w:rFonts w:asciiTheme="majorHAnsi" w:hAnsiTheme="majorHAnsi" w:cstheme="majorHAnsi"/>
          <w:b/>
          <w:color w:val="012169"/>
          <w:lang w:val="en-AU"/>
        </w:rPr>
        <w:t xml:space="preserve">The </w:t>
      </w:r>
      <w:r w:rsidR="00DE43A9">
        <w:rPr>
          <w:rFonts w:asciiTheme="majorHAnsi" w:hAnsiTheme="majorHAnsi" w:cstheme="majorHAnsi"/>
          <w:b/>
          <w:color w:val="012169"/>
          <w:lang w:val="en-AU"/>
        </w:rPr>
        <w:t xml:space="preserve">Program’s </w:t>
      </w:r>
      <w:r w:rsidRPr="00482492">
        <w:rPr>
          <w:rFonts w:asciiTheme="majorHAnsi" w:hAnsiTheme="majorHAnsi" w:cstheme="majorHAnsi"/>
          <w:b/>
          <w:color w:val="012169"/>
          <w:lang w:val="en-AU"/>
        </w:rPr>
        <w:t xml:space="preserve">success in </w:t>
      </w:r>
      <w:r w:rsidR="00DE43A9">
        <w:rPr>
          <w:rFonts w:asciiTheme="majorHAnsi" w:hAnsiTheme="majorHAnsi" w:cstheme="majorHAnsi"/>
          <w:b/>
          <w:color w:val="012169"/>
          <w:lang w:val="en-AU"/>
        </w:rPr>
        <w:t>stabilising</w:t>
      </w:r>
      <w:r w:rsidR="002F5B99">
        <w:rPr>
          <w:rFonts w:asciiTheme="majorHAnsi" w:hAnsiTheme="majorHAnsi" w:cstheme="majorHAnsi"/>
          <w:b/>
          <w:bCs/>
          <w:color w:val="012169"/>
          <w:lang w:val="en-AU"/>
        </w:rPr>
        <w:t xml:space="preserve"> </w:t>
      </w:r>
      <w:r w:rsidR="00D01D0B">
        <w:rPr>
          <w:rFonts w:asciiTheme="majorHAnsi" w:hAnsiTheme="majorHAnsi" w:cstheme="majorHAnsi"/>
          <w:b/>
          <w:bCs/>
          <w:color w:val="012169"/>
          <w:lang w:val="en-AU"/>
        </w:rPr>
        <w:t xml:space="preserve">very severe </w:t>
      </w:r>
      <w:r w:rsidRPr="00482492">
        <w:rPr>
          <w:rFonts w:asciiTheme="majorHAnsi" w:hAnsiTheme="majorHAnsi" w:cstheme="majorHAnsi"/>
          <w:b/>
          <w:color w:val="012169"/>
          <w:lang w:val="en-AU"/>
        </w:rPr>
        <w:t xml:space="preserve">BPSD for </w:t>
      </w:r>
      <w:r w:rsidR="00DE43A9">
        <w:rPr>
          <w:rFonts w:asciiTheme="majorHAnsi" w:hAnsiTheme="majorHAnsi" w:cstheme="majorHAnsi"/>
          <w:b/>
          <w:color w:val="012169"/>
          <w:lang w:val="en-AU"/>
        </w:rPr>
        <w:t>residents</w:t>
      </w:r>
      <w:r w:rsidRPr="00482492">
        <w:rPr>
          <w:rFonts w:asciiTheme="majorHAnsi" w:hAnsiTheme="majorHAnsi" w:cstheme="majorHAnsi"/>
          <w:b/>
          <w:color w:val="012169"/>
          <w:lang w:val="en-AU"/>
        </w:rPr>
        <w:t xml:space="preserve"> strengthens the evidence</w:t>
      </w:r>
      <w:r w:rsidR="00A010B6">
        <w:rPr>
          <w:rFonts w:asciiTheme="majorHAnsi" w:hAnsiTheme="majorHAnsi" w:cstheme="majorHAnsi"/>
          <w:b/>
          <w:color w:val="012169"/>
          <w:lang w:val="en-AU"/>
        </w:rPr>
        <w:t xml:space="preserve"> </w:t>
      </w:r>
      <w:r w:rsidRPr="00482492">
        <w:rPr>
          <w:rFonts w:asciiTheme="majorHAnsi" w:hAnsiTheme="majorHAnsi" w:cstheme="majorHAnsi"/>
          <w:b/>
          <w:color w:val="012169"/>
          <w:lang w:val="en-AU"/>
        </w:rPr>
        <w:t xml:space="preserve">base on best-practice dementia care and provides </w:t>
      </w:r>
      <w:r w:rsidR="001131BE">
        <w:rPr>
          <w:rFonts w:asciiTheme="majorHAnsi" w:hAnsiTheme="majorHAnsi" w:cstheme="majorHAnsi"/>
          <w:b/>
          <w:bCs/>
          <w:color w:val="012169"/>
          <w:lang w:val="en-AU"/>
        </w:rPr>
        <w:t>a</w:t>
      </w:r>
      <w:r w:rsidRPr="00482492">
        <w:rPr>
          <w:rFonts w:asciiTheme="majorHAnsi" w:hAnsiTheme="majorHAnsi" w:cstheme="majorHAnsi"/>
          <w:b/>
          <w:bCs/>
          <w:color w:val="012169"/>
          <w:lang w:val="en-AU"/>
        </w:rPr>
        <w:t xml:space="preserve"> </w:t>
      </w:r>
      <w:r w:rsidRPr="00482492">
        <w:rPr>
          <w:rFonts w:asciiTheme="majorHAnsi" w:hAnsiTheme="majorHAnsi" w:cstheme="majorHAnsi"/>
          <w:b/>
          <w:color w:val="012169"/>
          <w:lang w:val="en-AU"/>
        </w:rPr>
        <w:t>valuable opportunity for knowledge-</w:t>
      </w:r>
      <w:r w:rsidR="00DE43A9" w:rsidRPr="00482492">
        <w:rPr>
          <w:rFonts w:asciiTheme="majorHAnsi" w:hAnsiTheme="majorHAnsi" w:cstheme="majorHAnsi"/>
          <w:b/>
          <w:color w:val="012169"/>
          <w:lang w:val="en-AU"/>
        </w:rPr>
        <w:t>spill over</w:t>
      </w:r>
      <w:r w:rsidRPr="00482492">
        <w:rPr>
          <w:rFonts w:asciiTheme="majorHAnsi" w:hAnsiTheme="majorHAnsi" w:cstheme="majorHAnsi"/>
          <w:b/>
          <w:color w:val="012169"/>
          <w:lang w:val="en-AU"/>
        </w:rPr>
        <w:t xml:space="preserve"> </w:t>
      </w:r>
      <w:r w:rsidR="00245B06">
        <w:rPr>
          <w:rFonts w:asciiTheme="majorHAnsi" w:hAnsiTheme="majorHAnsi" w:cstheme="majorHAnsi"/>
          <w:b/>
          <w:color w:val="012169"/>
          <w:lang w:val="en-AU"/>
        </w:rPr>
        <w:t>across</w:t>
      </w:r>
      <w:r w:rsidRPr="00482492">
        <w:rPr>
          <w:rFonts w:asciiTheme="majorHAnsi" w:hAnsiTheme="majorHAnsi" w:cstheme="majorHAnsi"/>
          <w:b/>
          <w:color w:val="012169"/>
          <w:lang w:val="en-AU"/>
        </w:rPr>
        <w:t xml:space="preserve"> the broader aged care sector.</w:t>
      </w:r>
    </w:p>
    <w:p w14:paraId="56671BA8" w14:textId="0DFB2DE3" w:rsidR="00881ACF" w:rsidRDefault="00881ACF" w:rsidP="00881ACF">
      <w:r>
        <w:t xml:space="preserve">The Program benefits discussed throughout this Chapter provide valuable evidence on the benefits of this type of program for consumers, family/carers of people with </w:t>
      </w:r>
      <w:r w:rsidR="002750EA">
        <w:t>very severe</w:t>
      </w:r>
      <w:r>
        <w:t xml:space="preserve"> BPSD, providers, and the broader aged care sector. </w:t>
      </w:r>
      <w:r w:rsidR="00E0679C">
        <w:t>In addition, t</w:t>
      </w:r>
      <w:r>
        <w:t xml:space="preserve">he clinical governance structures and multidisciplinary focus in the </w:t>
      </w:r>
      <w:r w:rsidR="00E0679C">
        <w:t>m</w:t>
      </w:r>
      <w:r>
        <w:t xml:space="preserve">odel of </w:t>
      </w:r>
      <w:r w:rsidR="00E0679C">
        <w:t>c</w:t>
      </w:r>
      <w:r>
        <w:t xml:space="preserve">are (see Section </w:t>
      </w:r>
      <w:r>
        <w:fldChar w:fldCharType="begin"/>
      </w:r>
      <w:r>
        <w:instrText xml:space="preserve"> REF _Ref124163520 \r \h </w:instrText>
      </w:r>
      <w:r>
        <w:fldChar w:fldCharType="separate"/>
      </w:r>
      <w:r w:rsidR="00D32536">
        <w:t>3</w:t>
      </w:r>
      <w:r>
        <w:fldChar w:fldCharType="end"/>
      </w:r>
      <w:r>
        <w:t xml:space="preserve">) also fosters knowledge-spillover across disciplines, as many clinical in-reach, GPs and allied health staff in the </w:t>
      </w:r>
      <w:r w:rsidR="00D27650">
        <w:t xml:space="preserve">Program </w:t>
      </w:r>
      <w:r>
        <w:t>also work across other settings. This creates stronger networking opportunities across practitioners, which can help to promote holistic approaches and further opportunities for knowledge-spillover.</w:t>
      </w:r>
      <w:r w:rsidRPr="00A97377">
        <w:t xml:space="preserve"> </w:t>
      </w:r>
      <w:r>
        <w:t xml:space="preserve">This is further supported by the recently established Community of Practice for in-reach clinicians which </w:t>
      </w:r>
      <w:r w:rsidR="003C4C71">
        <w:t>aims to</w:t>
      </w:r>
      <w:r>
        <w:t xml:space="preserve"> facilitate </w:t>
      </w:r>
      <w:r w:rsidRPr="00164180">
        <w:t xml:space="preserve">knowledge-sharing and consultation </w:t>
      </w:r>
      <w:r>
        <w:t>among</w:t>
      </w:r>
      <w:r w:rsidRPr="00164180">
        <w:t xml:space="preserve"> </w:t>
      </w:r>
      <w:r>
        <w:t xml:space="preserve">peer </w:t>
      </w:r>
      <w:r w:rsidR="003C4C71">
        <w:t xml:space="preserve">SDCU </w:t>
      </w:r>
      <w:r w:rsidRPr="00164180">
        <w:t>practitioners</w:t>
      </w:r>
      <w:r>
        <w:t xml:space="preserve">. </w:t>
      </w:r>
    </w:p>
    <w:p w14:paraId="4C9CCE74" w14:textId="689775A6" w:rsidR="00881ACF" w:rsidRDefault="00881ACF" w:rsidP="00881ACF">
      <w:r>
        <w:t xml:space="preserve">The </w:t>
      </w:r>
      <w:r w:rsidRPr="00FE74E0">
        <w:t xml:space="preserve">post-discharge support provided by </w:t>
      </w:r>
      <w:r w:rsidR="009208F1">
        <w:t>SDCU</w:t>
      </w:r>
      <w:r w:rsidRPr="00FE74E0">
        <w:t xml:space="preserve"> staff and DSA </w:t>
      </w:r>
      <w:r>
        <w:t xml:space="preserve">also </w:t>
      </w:r>
      <w:r w:rsidRPr="00FE74E0">
        <w:t xml:space="preserve">provides </w:t>
      </w:r>
      <w:r>
        <w:t xml:space="preserve">more </w:t>
      </w:r>
      <w:r w:rsidRPr="00FE74E0">
        <w:t xml:space="preserve">direct upskilling opportunities and knowledge-spillover </w:t>
      </w:r>
      <w:r>
        <w:t xml:space="preserve">to broader mainstream aged care </w:t>
      </w:r>
      <w:r w:rsidR="005B2F4A">
        <w:t>services</w:t>
      </w:r>
      <w:r w:rsidRPr="00FE74E0">
        <w:t>.</w:t>
      </w:r>
      <w:r>
        <w:t xml:space="preserve"> The ability to coordinate with mainstream RACFs, inform their care planning process (through </w:t>
      </w:r>
      <w:r w:rsidR="00DB061A">
        <w:t xml:space="preserve">the </w:t>
      </w:r>
      <w:r>
        <w:t>discharge planning process</w:t>
      </w:r>
      <w:r w:rsidR="003F430C">
        <w:t>es</w:t>
      </w:r>
      <w:r>
        <w:t xml:space="preserve"> described in Section </w:t>
      </w:r>
      <w:r>
        <w:fldChar w:fldCharType="begin"/>
      </w:r>
      <w:r>
        <w:instrText xml:space="preserve"> REF _Ref123907438 \r \h </w:instrText>
      </w:r>
      <w:r>
        <w:fldChar w:fldCharType="separate"/>
      </w:r>
      <w:r w:rsidR="00D32536">
        <w:t>4.1</w:t>
      </w:r>
      <w:r>
        <w:fldChar w:fldCharType="end"/>
      </w:r>
      <w:r>
        <w:t xml:space="preserve">) and link them in with a broader suite of dementia support </w:t>
      </w:r>
      <w:r w:rsidR="005B2F4A">
        <w:t>(</w:t>
      </w:r>
      <w:r w:rsidR="00AE5729">
        <w:t>e.g.,</w:t>
      </w:r>
      <w:r w:rsidR="005B2F4A">
        <w:t xml:space="preserve"> through</w:t>
      </w:r>
      <w:r>
        <w:t xml:space="preserve"> DSA</w:t>
      </w:r>
      <w:r w:rsidR="005B2F4A">
        <w:t>)</w:t>
      </w:r>
      <w:r>
        <w:t xml:space="preserve"> provides a large opportunity to educate staff in mainstream </w:t>
      </w:r>
      <w:r w:rsidR="003C7C2F">
        <w:t xml:space="preserve">RACFs </w:t>
      </w:r>
      <w:r>
        <w:t xml:space="preserve">on the evidence-based strategies to best practice dementia care. Stakeholders felt this </w:t>
      </w:r>
      <w:r w:rsidR="00637E86">
        <w:t>is facilitating</w:t>
      </w:r>
      <w:r>
        <w:t xml:space="preserve"> a gradual uplift in the quality of dementia care provided by mainstream </w:t>
      </w:r>
      <w:r w:rsidR="003C7C2F">
        <w:t xml:space="preserve">RACFs </w:t>
      </w:r>
      <w:r>
        <w:t>on a larger scale</w:t>
      </w:r>
      <w:r w:rsidR="00637E86">
        <w:t xml:space="preserve">, which will continue further </w:t>
      </w:r>
      <w:r>
        <w:t xml:space="preserve">as the Program moves into Phase Two. </w:t>
      </w:r>
    </w:p>
    <w:p w14:paraId="37AD0C99" w14:textId="6FB84553" w:rsidR="00DE51C0" w:rsidRPr="009276D8" w:rsidRDefault="00482492" w:rsidP="00482492">
      <w:pPr>
        <w:pStyle w:val="Heading2"/>
        <w:spacing w:after="0"/>
        <w:ind w:left="578" w:hanging="578"/>
        <w:rPr>
          <w:lang w:val="en-AU"/>
        </w:rPr>
      </w:pPr>
      <w:r>
        <w:rPr>
          <w:lang w:val="en-AU"/>
        </w:rPr>
        <w:t>Benefits for g</w:t>
      </w:r>
      <w:r w:rsidR="00881ACF">
        <w:rPr>
          <w:lang w:val="en-AU"/>
        </w:rPr>
        <w:t>overnment</w:t>
      </w:r>
    </w:p>
    <w:p w14:paraId="3781109B" w14:textId="5F14C3FC" w:rsidR="00F45211" w:rsidRPr="00576A49" w:rsidRDefault="008D403D" w:rsidP="00F45211">
      <w:pPr>
        <w:pStyle w:val="Heading3"/>
        <w:spacing w:after="0"/>
        <w:rPr>
          <w:lang w:val="en-AU"/>
        </w:rPr>
      </w:pPr>
      <w:r>
        <w:rPr>
          <w:lang w:val="en-AU"/>
        </w:rPr>
        <w:t xml:space="preserve">Improved health service utilisation across long-stay accommodation options and reduced unplanned care. </w:t>
      </w:r>
    </w:p>
    <w:p w14:paraId="248ACD8A" w14:textId="712D7A61" w:rsidR="007E2D87" w:rsidRDefault="008D403D" w:rsidP="00824909">
      <w:r>
        <w:t>G</w:t>
      </w:r>
      <w:r w:rsidR="00DA7CAF">
        <w:t xml:space="preserve">overnment </w:t>
      </w:r>
      <w:r w:rsidR="004A4767">
        <w:t>benefits</w:t>
      </w:r>
      <w:r w:rsidR="00DA7CAF">
        <w:t xml:space="preserve"> related to </w:t>
      </w:r>
      <w:r>
        <w:t xml:space="preserve">improved health service utilisation are described </w:t>
      </w:r>
      <w:r w:rsidR="00DA7CAF">
        <w:t>in</w:t>
      </w:r>
      <w:r w:rsidR="005539A3">
        <w:t xml:space="preserve"> </w:t>
      </w:r>
      <w:r w:rsidR="00DA7CAF">
        <w:t xml:space="preserve">Chapter 6. </w:t>
      </w:r>
    </w:p>
    <w:p w14:paraId="120BFB26" w14:textId="0B4A3456" w:rsidR="0009274B" w:rsidRPr="00574B6C" w:rsidRDefault="00547123" w:rsidP="0009274B">
      <w:pPr>
        <w:pStyle w:val="Heading1"/>
      </w:pPr>
      <w:bookmarkStart w:id="79" w:name="_Ref123723861"/>
      <w:bookmarkStart w:id="80" w:name="_Ref123917444"/>
      <w:bookmarkStart w:id="81" w:name="_Ref123917453"/>
      <w:bookmarkStart w:id="82" w:name="_Ref123720881"/>
      <w:bookmarkStart w:id="83" w:name="_Ref123938696"/>
      <w:bookmarkStart w:id="84" w:name="_Ref124846079"/>
      <w:bookmarkEnd w:id="77"/>
      <w:r>
        <w:t xml:space="preserve"> </w:t>
      </w:r>
      <w:bookmarkStart w:id="85" w:name="_Ref125358641"/>
      <w:bookmarkStart w:id="86" w:name="_Toc141714794"/>
      <w:r w:rsidR="00F251BA" w:rsidRPr="00574B6C">
        <w:t>Economic evaluation</w:t>
      </w:r>
      <w:bookmarkEnd w:id="79"/>
      <w:bookmarkEnd w:id="80"/>
      <w:bookmarkEnd w:id="81"/>
      <w:bookmarkEnd w:id="85"/>
      <w:bookmarkEnd w:id="86"/>
      <w:r w:rsidR="00F251BA" w:rsidRPr="00574B6C">
        <w:t xml:space="preserve"> </w:t>
      </w:r>
      <w:bookmarkEnd w:id="82"/>
      <w:bookmarkEnd w:id="83"/>
      <w:bookmarkEnd w:id="84"/>
    </w:p>
    <w:p w14:paraId="70AE945A" w14:textId="11F73860" w:rsidR="0009274B" w:rsidRDefault="004E6BE7" w:rsidP="0009274B">
      <w:pPr>
        <w:pStyle w:val="Sectionintro"/>
      </w:pPr>
      <w:r w:rsidRPr="004E6BE7">
        <w:t xml:space="preserve">This chapter presents </w:t>
      </w:r>
      <w:r w:rsidR="00C44B15">
        <w:t xml:space="preserve">key </w:t>
      </w:r>
      <w:r w:rsidRPr="004E6BE7">
        <w:t xml:space="preserve">findings </w:t>
      </w:r>
      <w:r w:rsidR="008C1A15">
        <w:t>from the economic evaluation of the Program</w:t>
      </w:r>
      <w:r w:rsidR="004A4767">
        <w:t xml:space="preserve"> relative to a comparator case (</w:t>
      </w:r>
      <w:r w:rsidR="00B736AD">
        <w:t>usual care in the absence of the Program</w:t>
      </w:r>
      <w:r w:rsidR="004A4767">
        <w:t>).</w:t>
      </w:r>
    </w:p>
    <w:p w14:paraId="378F4C57" w14:textId="04830E28" w:rsidR="0001313F" w:rsidRDefault="00C51CE2" w:rsidP="005C35E3">
      <w:pPr>
        <w:pStyle w:val="Heading2"/>
        <w:spacing w:after="0"/>
        <w:ind w:left="578" w:hanging="578"/>
      </w:pPr>
      <w:bookmarkStart w:id="87" w:name="_Ref124846062"/>
      <w:r>
        <w:t>Economic evaluation approach</w:t>
      </w:r>
      <w:bookmarkEnd w:id="87"/>
    </w:p>
    <w:p w14:paraId="4E2A6DCE" w14:textId="34C80A09" w:rsidR="00C51CE2" w:rsidRDefault="00931015" w:rsidP="00C51CE2">
      <w:r>
        <w:t xml:space="preserve">The economic evaluation approach </w:t>
      </w:r>
      <w:r w:rsidR="00686881">
        <w:t xml:space="preserve">comprised five steps, </w:t>
      </w:r>
      <w:r w:rsidR="005C35E3">
        <w:t xml:space="preserve">as </w:t>
      </w:r>
      <w:r w:rsidR="00686881">
        <w:t xml:space="preserve">outlined in </w:t>
      </w:r>
      <w:r w:rsidR="000217E8">
        <w:fldChar w:fldCharType="begin"/>
      </w:r>
      <w:r w:rsidR="000217E8">
        <w:instrText xml:space="preserve"> REF _Ref125367769 \h </w:instrText>
      </w:r>
      <w:r w:rsidR="000217E8">
        <w:fldChar w:fldCharType="separate"/>
      </w:r>
      <w:r w:rsidR="00D32536">
        <w:t xml:space="preserve">Figure </w:t>
      </w:r>
      <w:r w:rsidR="00D32536">
        <w:rPr>
          <w:noProof/>
        </w:rPr>
        <w:t>6</w:t>
      </w:r>
      <w:r w:rsidR="00D32536">
        <w:t>.</w:t>
      </w:r>
      <w:r w:rsidR="00D32536">
        <w:rPr>
          <w:noProof/>
        </w:rPr>
        <w:t>1</w:t>
      </w:r>
      <w:r w:rsidR="000217E8">
        <w:fldChar w:fldCharType="end"/>
      </w:r>
      <w:r w:rsidR="00900BA1">
        <w:t xml:space="preserve">. </w:t>
      </w:r>
    </w:p>
    <w:p w14:paraId="0F229176" w14:textId="217FEC7D" w:rsidR="002816DA" w:rsidRDefault="000217E8" w:rsidP="00D50C84">
      <w:pPr>
        <w:pStyle w:val="Caption"/>
      </w:pPr>
      <w:bookmarkStart w:id="88" w:name="_Ref125367769"/>
      <w:bookmarkStart w:id="89" w:name="_Ref125367844"/>
      <w:r>
        <w:t>Figure</w:t>
      </w:r>
      <w:r w:rsidR="00D50C84">
        <w:t xml:space="preserve"> </w:t>
      </w:r>
      <w:r w:rsidR="00915F8B">
        <w:fldChar w:fldCharType="begin"/>
      </w:r>
      <w:r w:rsidR="00915F8B">
        <w:instrText xml:space="preserve"> STYLEREF 1 \s </w:instrText>
      </w:r>
      <w:r w:rsidR="00915F8B">
        <w:fldChar w:fldCharType="separate"/>
      </w:r>
      <w:r w:rsidR="00D32536">
        <w:rPr>
          <w:noProof/>
        </w:rPr>
        <w:t>6</w:t>
      </w:r>
      <w:r w:rsidR="00915F8B">
        <w:fldChar w:fldCharType="end"/>
      </w:r>
      <w:r w:rsidR="0019382D">
        <w:t>.</w:t>
      </w:r>
      <w:r w:rsidR="008875A8">
        <w:fldChar w:fldCharType="begin"/>
      </w:r>
      <w:r w:rsidR="008875A8">
        <w:instrText xml:space="preserve"> SEQ Figure \* ARABIC \s 1 </w:instrText>
      </w:r>
      <w:r w:rsidR="008875A8">
        <w:fldChar w:fldCharType="separate"/>
      </w:r>
      <w:r w:rsidR="00D32536">
        <w:rPr>
          <w:noProof/>
        </w:rPr>
        <w:t>1</w:t>
      </w:r>
      <w:r w:rsidR="008875A8">
        <w:fldChar w:fldCharType="end"/>
      </w:r>
      <w:bookmarkEnd w:id="88"/>
      <w:r w:rsidR="002B41AF">
        <w:t xml:space="preserve"> </w:t>
      </w:r>
      <w:r w:rsidR="00D50C84">
        <w:t>Overview of approach</w:t>
      </w:r>
      <w:bookmarkEnd w:id="89"/>
    </w:p>
    <w:p w14:paraId="32FB34FD" w14:textId="3377C20A" w:rsidR="00900BA1" w:rsidRDefault="00B74420" w:rsidP="00F8587B">
      <w:pPr>
        <w:jc w:val="center"/>
      </w:pPr>
      <w:r w:rsidRPr="00B74420">
        <w:rPr>
          <w:noProof/>
        </w:rPr>
        <w:drawing>
          <wp:inline distT="0" distB="0" distL="0" distR="0" wp14:anchorId="6FBA76A3" wp14:editId="0478341F">
            <wp:extent cx="3752491" cy="3712862"/>
            <wp:effectExtent l="0" t="0" r="6985" b="0"/>
            <wp:docPr id="44" name="Picture 44" descr="This image describes the steps of the economic evaluation approach. This i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mage describes the steps of the economic evaluation approach. This is described belo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52491" cy="3712862"/>
                    </a:xfrm>
                    <a:prstGeom prst="rect">
                      <a:avLst/>
                    </a:prstGeom>
                    <a:noFill/>
                    <a:ln>
                      <a:noFill/>
                    </a:ln>
                  </pic:spPr>
                </pic:pic>
              </a:graphicData>
            </a:graphic>
          </wp:inline>
        </w:drawing>
      </w:r>
    </w:p>
    <w:p w14:paraId="57BDA833" w14:textId="726B30B9" w:rsidR="00F91560" w:rsidRPr="00054391" w:rsidRDefault="00A73C2D" w:rsidP="00A73C2D">
      <w:pPr>
        <w:pStyle w:val="SourcetextTableorChart"/>
        <w:rPr>
          <w:sz w:val="16"/>
          <w:szCs w:val="20"/>
        </w:rPr>
      </w:pPr>
      <w:r w:rsidRPr="00054391">
        <w:rPr>
          <w:sz w:val="16"/>
          <w:szCs w:val="20"/>
        </w:rPr>
        <w:t xml:space="preserve">Source: Deloitte Access Economics. </w:t>
      </w:r>
    </w:p>
    <w:p w14:paraId="357EB704" w14:textId="125AA8FD" w:rsidR="008A5BCF" w:rsidRPr="000B2154" w:rsidRDefault="00864F50" w:rsidP="00C063DC">
      <w:pPr>
        <w:pStyle w:val="ListNumber"/>
        <w:spacing w:after="240"/>
        <w:ind w:left="357" w:hanging="357"/>
        <w:contextualSpacing w:val="0"/>
        <w:rPr>
          <w:rFonts w:asciiTheme="minorHAnsi" w:hAnsiTheme="minorHAnsi" w:cstheme="minorHAnsi"/>
        </w:rPr>
      </w:pPr>
      <w:r>
        <w:rPr>
          <w:rFonts w:cstheme="majorHAnsi"/>
          <w:b/>
          <w:bCs/>
        </w:rPr>
        <w:t>Identify incremental differences in pathways between the Program and a</w:t>
      </w:r>
      <w:r w:rsidR="005C12EB" w:rsidRPr="00A9666B">
        <w:rPr>
          <w:rFonts w:cstheme="majorHAnsi"/>
          <w:b/>
          <w:bCs/>
        </w:rPr>
        <w:t xml:space="preserve"> ‘</w:t>
      </w:r>
      <w:r>
        <w:rPr>
          <w:rFonts w:cstheme="majorHAnsi"/>
          <w:b/>
          <w:bCs/>
        </w:rPr>
        <w:t>comparator</w:t>
      </w:r>
      <w:r w:rsidR="005C12EB" w:rsidRPr="00A9666B">
        <w:rPr>
          <w:rFonts w:cstheme="majorHAnsi"/>
          <w:b/>
          <w:bCs/>
        </w:rPr>
        <w:t xml:space="preserve"> case’</w:t>
      </w:r>
      <w:r w:rsidR="005C12EB" w:rsidRPr="00A9666B">
        <w:rPr>
          <w:rFonts w:cstheme="majorHAnsi"/>
        </w:rPr>
        <w:t>.</w:t>
      </w:r>
      <w:r w:rsidR="005C12EB" w:rsidRPr="000B2154">
        <w:rPr>
          <w:rFonts w:asciiTheme="minorHAnsi" w:hAnsiTheme="minorHAnsi" w:cstheme="minorHAnsi"/>
        </w:rPr>
        <w:t xml:space="preserve"> </w:t>
      </w:r>
      <w:r w:rsidR="001933EC" w:rsidRPr="000B2154">
        <w:rPr>
          <w:rFonts w:asciiTheme="minorHAnsi" w:hAnsiTheme="minorHAnsi" w:cstheme="minorHAnsi"/>
        </w:rPr>
        <w:t xml:space="preserve">The first step </w:t>
      </w:r>
      <w:r w:rsidR="0028123B" w:rsidRPr="000B2154">
        <w:rPr>
          <w:rFonts w:asciiTheme="minorHAnsi" w:hAnsiTheme="minorHAnsi" w:cstheme="minorHAnsi"/>
        </w:rPr>
        <w:t xml:space="preserve">of the economic evaluation </w:t>
      </w:r>
      <w:r w:rsidR="003E5E55" w:rsidRPr="000B2154">
        <w:rPr>
          <w:rFonts w:asciiTheme="minorHAnsi" w:hAnsiTheme="minorHAnsi" w:cstheme="minorHAnsi"/>
        </w:rPr>
        <w:t xml:space="preserve">involved </w:t>
      </w:r>
      <w:r w:rsidR="00B11ACE" w:rsidRPr="000B2154">
        <w:rPr>
          <w:rFonts w:asciiTheme="minorHAnsi" w:hAnsiTheme="minorHAnsi" w:cstheme="minorHAnsi"/>
        </w:rPr>
        <w:t>understanding</w:t>
      </w:r>
      <w:r w:rsidR="003E5E55" w:rsidRPr="000B2154">
        <w:rPr>
          <w:rFonts w:asciiTheme="minorHAnsi" w:hAnsiTheme="minorHAnsi" w:cstheme="minorHAnsi"/>
        </w:rPr>
        <w:t xml:space="preserve"> the </w:t>
      </w:r>
      <w:r w:rsidR="0051647B">
        <w:rPr>
          <w:rFonts w:asciiTheme="minorHAnsi" w:hAnsiTheme="minorHAnsi" w:cstheme="minorHAnsi"/>
        </w:rPr>
        <w:t>likely</w:t>
      </w:r>
      <w:r w:rsidR="00C7754C" w:rsidRPr="000B2154">
        <w:rPr>
          <w:rFonts w:asciiTheme="minorHAnsi" w:hAnsiTheme="minorHAnsi" w:cstheme="minorHAnsi"/>
        </w:rPr>
        <w:t xml:space="preserve"> care </w:t>
      </w:r>
      <w:r w:rsidR="00B736AD">
        <w:rPr>
          <w:rFonts w:asciiTheme="minorHAnsi" w:hAnsiTheme="minorHAnsi" w:cstheme="minorHAnsi"/>
        </w:rPr>
        <w:t>setting</w:t>
      </w:r>
      <w:r w:rsidR="0051647B">
        <w:rPr>
          <w:rFonts w:asciiTheme="minorHAnsi" w:hAnsiTheme="minorHAnsi" w:cstheme="minorHAnsi"/>
        </w:rPr>
        <w:t>s</w:t>
      </w:r>
      <w:r w:rsidR="00B736AD">
        <w:rPr>
          <w:rFonts w:asciiTheme="minorHAnsi" w:hAnsiTheme="minorHAnsi" w:cstheme="minorHAnsi"/>
        </w:rPr>
        <w:t xml:space="preserve"> and pathways </w:t>
      </w:r>
      <w:r w:rsidR="0051647B">
        <w:rPr>
          <w:rFonts w:asciiTheme="minorHAnsi" w:hAnsiTheme="minorHAnsi" w:cstheme="minorHAnsi"/>
        </w:rPr>
        <w:t>for</w:t>
      </w:r>
      <w:r w:rsidR="00B736AD">
        <w:rPr>
          <w:rFonts w:asciiTheme="minorHAnsi" w:hAnsiTheme="minorHAnsi" w:cstheme="minorHAnsi"/>
        </w:rPr>
        <w:t xml:space="preserve"> residents</w:t>
      </w:r>
      <w:r w:rsidR="00C7754C" w:rsidRPr="000B2154">
        <w:rPr>
          <w:rFonts w:asciiTheme="minorHAnsi" w:hAnsiTheme="minorHAnsi" w:cstheme="minorHAnsi"/>
        </w:rPr>
        <w:t xml:space="preserve"> in the absence of the </w:t>
      </w:r>
      <w:r w:rsidR="00896936" w:rsidRPr="000B2154">
        <w:rPr>
          <w:rFonts w:asciiTheme="minorHAnsi" w:hAnsiTheme="minorHAnsi" w:cstheme="minorHAnsi"/>
        </w:rPr>
        <w:t>Program</w:t>
      </w:r>
      <w:r w:rsidR="008B27F2" w:rsidRPr="000B2154">
        <w:rPr>
          <w:rFonts w:asciiTheme="minorHAnsi" w:hAnsiTheme="minorHAnsi" w:cstheme="minorHAnsi"/>
        </w:rPr>
        <w:t xml:space="preserve"> (the </w:t>
      </w:r>
      <w:r>
        <w:rPr>
          <w:rFonts w:asciiTheme="minorHAnsi" w:hAnsiTheme="minorHAnsi" w:cstheme="minorHAnsi"/>
        </w:rPr>
        <w:t>comparator</w:t>
      </w:r>
      <w:r w:rsidR="008B27F2" w:rsidRPr="000B2154">
        <w:rPr>
          <w:rFonts w:asciiTheme="minorHAnsi" w:hAnsiTheme="minorHAnsi" w:cstheme="minorHAnsi"/>
        </w:rPr>
        <w:t xml:space="preserve"> case)</w:t>
      </w:r>
      <w:r w:rsidR="00C7754C" w:rsidRPr="000B2154">
        <w:rPr>
          <w:rFonts w:asciiTheme="minorHAnsi" w:hAnsiTheme="minorHAnsi" w:cstheme="minorHAnsi"/>
        </w:rPr>
        <w:t xml:space="preserve">. This step </w:t>
      </w:r>
      <w:r w:rsidR="00B745E3" w:rsidRPr="000B2154">
        <w:rPr>
          <w:rFonts w:asciiTheme="minorHAnsi" w:hAnsiTheme="minorHAnsi" w:cstheme="minorHAnsi"/>
        </w:rPr>
        <w:t xml:space="preserve">was required </w:t>
      </w:r>
      <w:r w:rsidR="00943B5F" w:rsidRPr="000B2154">
        <w:rPr>
          <w:rFonts w:asciiTheme="minorHAnsi" w:hAnsiTheme="minorHAnsi" w:cstheme="minorHAnsi"/>
        </w:rPr>
        <w:t xml:space="preserve">to </w:t>
      </w:r>
      <w:r w:rsidR="006677A6" w:rsidRPr="000B2154">
        <w:rPr>
          <w:rFonts w:asciiTheme="minorHAnsi" w:hAnsiTheme="minorHAnsi" w:cstheme="minorHAnsi"/>
        </w:rPr>
        <w:t xml:space="preserve">ensure that all costs and benefits </w:t>
      </w:r>
      <w:r w:rsidR="00896936" w:rsidRPr="000B2154">
        <w:rPr>
          <w:rFonts w:asciiTheme="minorHAnsi" w:hAnsiTheme="minorHAnsi" w:cstheme="minorHAnsi"/>
        </w:rPr>
        <w:t xml:space="preserve">associated with the Program were evaluated </w:t>
      </w:r>
      <w:r w:rsidR="008838FB" w:rsidRPr="000B2154">
        <w:rPr>
          <w:rFonts w:asciiTheme="minorHAnsi" w:hAnsiTheme="minorHAnsi" w:cstheme="minorHAnsi"/>
        </w:rPr>
        <w:t>incrementally, compared</w:t>
      </w:r>
      <w:r w:rsidR="002E3954" w:rsidRPr="000B2154">
        <w:rPr>
          <w:rFonts w:asciiTheme="minorHAnsi" w:hAnsiTheme="minorHAnsi" w:cstheme="minorHAnsi"/>
        </w:rPr>
        <w:t xml:space="preserve"> to </w:t>
      </w:r>
      <w:r w:rsidR="00850E5C" w:rsidRPr="000B2154">
        <w:rPr>
          <w:rFonts w:asciiTheme="minorHAnsi" w:hAnsiTheme="minorHAnsi" w:cstheme="minorHAnsi"/>
        </w:rPr>
        <w:t xml:space="preserve">what would have occurred in </w:t>
      </w:r>
      <w:r w:rsidR="001A3FAE" w:rsidRPr="000B2154">
        <w:rPr>
          <w:rFonts w:asciiTheme="minorHAnsi" w:hAnsiTheme="minorHAnsi" w:cstheme="minorHAnsi"/>
        </w:rPr>
        <w:t>the Program’s absence</w:t>
      </w:r>
      <w:r w:rsidR="008B27F2" w:rsidRPr="000B2154">
        <w:rPr>
          <w:rFonts w:asciiTheme="minorHAnsi" w:hAnsiTheme="minorHAnsi" w:cstheme="minorHAnsi"/>
        </w:rPr>
        <w:t>.</w:t>
      </w:r>
    </w:p>
    <w:p w14:paraId="0C2C3F48" w14:textId="524FB6CD" w:rsidR="003D6267" w:rsidRPr="000B2154" w:rsidRDefault="003D6267" w:rsidP="00A9666B">
      <w:pPr>
        <w:pStyle w:val="ListNumber"/>
        <w:spacing w:after="240"/>
        <w:ind w:left="357" w:hanging="357"/>
        <w:contextualSpacing w:val="0"/>
        <w:rPr>
          <w:rFonts w:asciiTheme="minorHAnsi" w:hAnsiTheme="minorHAnsi" w:cstheme="minorHAnsi"/>
        </w:rPr>
      </w:pPr>
      <w:r w:rsidRPr="00A9666B">
        <w:rPr>
          <w:rFonts w:cstheme="majorHAnsi"/>
          <w:b/>
        </w:rPr>
        <w:t xml:space="preserve">Define the model parameters. </w:t>
      </w:r>
      <w:r w:rsidR="00AF6561" w:rsidRPr="000B2154">
        <w:rPr>
          <w:rFonts w:asciiTheme="minorHAnsi" w:hAnsiTheme="minorHAnsi" w:cstheme="minorHAnsi"/>
        </w:rPr>
        <w:t xml:space="preserve">The second step </w:t>
      </w:r>
      <w:r w:rsidR="00FC55B4" w:rsidRPr="000B2154">
        <w:rPr>
          <w:rFonts w:asciiTheme="minorHAnsi" w:hAnsiTheme="minorHAnsi" w:cstheme="minorHAnsi"/>
        </w:rPr>
        <w:t xml:space="preserve">required </w:t>
      </w:r>
      <w:r w:rsidR="00E87C3C" w:rsidRPr="000B2154">
        <w:rPr>
          <w:rFonts w:asciiTheme="minorHAnsi" w:hAnsiTheme="minorHAnsi" w:cstheme="minorHAnsi"/>
        </w:rPr>
        <w:t xml:space="preserve">identifying the </w:t>
      </w:r>
      <w:r w:rsidR="002A4945" w:rsidRPr="000B2154">
        <w:rPr>
          <w:rFonts w:asciiTheme="minorHAnsi" w:hAnsiTheme="minorHAnsi" w:cstheme="minorHAnsi"/>
        </w:rPr>
        <w:t xml:space="preserve">modelling approach, </w:t>
      </w:r>
      <w:r w:rsidR="00E87C3C" w:rsidRPr="000B2154">
        <w:rPr>
          <w:rFonts w:asciiTheme="minorHAnsi" w:hAnsiTheme="minorHAnsi" w:cstheme="minorHAnsi"/>
        </w:rPr>
        <w:t>stakeholder perspectives that would be modelled</w:t>
      </w:r>
      <w:r w:rsidR="003352BE" w:rsidRPr="000B2154">
        <w:rPr>
          <w:rFonts w:asciiTheme="minorHAnsi" w:hAnsiTheme="minorHAnsi" w:cstheme="minorHAnsi"/>
        </w:rPr>
        <w:t xml:space="preserve"> (</w:t>
      </w:r>
      <w:r w:rsidR="00820C30" w:rsidRPr="000B2154">
        <w:rPr>
          <w:rFonts w:asciiTheme="minorHAnsi" w:hAnsiTheme="minorHAnsi" w:cstheme="minorHAnsi"/>
        </w:rPr>
        <w:t xml:space="preserve">the </w:t>
      </w:r>
      <w:r w:rsidR="003352BE" w:rsidRPr="000B2154">
        <w:rPr>
          <w:rFonts w:asciiTheme="minorHAnsi" w:hAnsiTheme="minorHAnsi" w:cstheme="minorHAnsi"/>
        </w:rPr>
        <w:t>referent groups)</w:t>
      </w:r>
      <w:r w:rsidR="00E87C3C" w:rsidRPr="000B2154">
        <w:rPr>
          <w:rFonts w:asciiTheme="minorHAnsi" w:hAnsiTheme="minorHAnsi" w:cstheme="minorHAnsi"/>
        </w:rPr>
        <w:t xml:space="preserve">, </w:t>
      </w:r>
      <w:r w:rsidR="00B873D5">
        <w:rPr>
          <w:rFonts w:asciiTheme="minorHAnsi" w:hAnsiTheme="minorHAnsi" w:cstheme="minorHAnsi"/>
        </w:rPr>
        <w:t>the</w:t>
      </w:r>
      <w:r w:rsidR="002A4945" w:rsidRPr="000B2154">
        <w:rPr>
          <w:rFonts w:asciiTheme="minorHAnsi" w:hAnsiTheme="minorHAnsi" w:cstheme="minorHAnsi"/>
        </w:rPr>
        <w:t xml:space="preserve"> time horizon </w:t>
      </w:r>
      <w:r w:rsidR="005D2B24">
        <w:rPr>
          <w:rFonts w:asciiTheme="minorHAnsi" w:hAnsiTheme="minorHAnsi" w:cstheme="minorHAnsi"/>
        </w:rPr>
        <w:t xml:space="preserve">for benefits realisation </w:t>
      </w:r>
      <w:r w:rsidR="002A4945" w:rsidRPr="000B2154">
        <w:rPr>
          <w:rFonts w:asciiTheme="minorHAnsi" w:hAnsiTheme="minorHAnsi" w:cstheme="minorHAnsi"/>
        </w:rPr>
        <w:t xml:space="preserve">and discount rate. </w:t>
      </w:r>
    </w:p>
    <w:p w14:paraId="16EF93EE" w14:textId="7314C149" w:rsidR="008B27F2" w:rsidRPr="000B2154" w:rsidRDefault="00465F17" w:rsidP="00A9666B">
      <w:pPr>
        <w:pStyle w:val="ListNumber"/>
        <w:spacing w:after="240"/>
        <w:ind w:left="357" w:hanging="357"/>
        <w:contextualSpacing w:val="0"/>
        <w:rPr>
          <w:rFonts w:asciiTheme="minorHAnsi" w:hAnsiTheme="minorHAnsi" w:cstheme="minorHAnsi"/>
        </w:rPr>
      </w:pPr>
      <w:r w:rsidRPr="00A9666B">
        <w:rPr>
          <w:rFonts w:cstheme="majorHAnsi"/>
          <w:b/>
          <w:bCs/>
        </w:rPr>
        <w:t>Identify key costs and benefits.</w:t>
      </w:r>
      <w:r w:rsidRPr="000B2154">
        <w:rPr>
          <w:rFonts w:asciiTheme="minorHAnsi" w:hAnsiTheme="minorHAnsi" w:cstheme="minorHAnsi"/>
        </w:rPr>
        <w:t xml:space="preserve"> </w:t>
      </w:r>
      <w:r w:rsidR="00005C16">
        <w:rPr>
          <w:rFonts w:asciiTheme="minorHAnsi" w:hAnsiTheme="minorHAnsi" w:cstheme="minorHAnsi"/>
        </w:rPr>
        <w:t xml:space="preserve">Following this, </w:t>
      </w:r>
      <w:r w:rsidR="005F49CE">
        <w:rPr>
          <w:rFonts w:asciiTheme="minorHAnsi" w:hAnsiTheme="minorHAnsi" w:cstheme="minorHAnsi"/>
        </w:rPr>
        <w:t>the Program was costed based on cost data provided by the Department and monetisable Program benefits were</w:t>
      </w:r>
      <w:r w:rsidR="0021173F">
        <w:rPr>
          <w:rFonts w:asciiTheme="minorHAnsi" w:hAnsiTheme="minorHAnsi" w:cstheme="minorHAnsi"/>
        </w:rPr>
        <w:t xml:space="preserve"> identified. Of the Program benefits outlined in </w:t>
      </w:r>
      <w:r w:rsidR="003C732A">
        <w:rPr>
          <w:rFonts w:asciiTheme="minorHAnsi" w:hAnsiTheme="minorHAnsi" w:cstheme="minorHAnsi"/>
        </w:rPr>
        <w:fldChar w:fldCharType="begin"/>
      </w:r>
      <w:r w:rsidR="003C732A">
        <w:rPr>
          <w:rFonts w:asciiTheme="minorHAnsi" w:hAnsiTheme="minorHAnsi" w:cstheme="minorHAnsi"/>
        </w:rPr>
        <w:instrText xml:space="preserve"> REF _Ref125367769 \h </w:instrText>
      </w:r>
      <w:r w:rsidR="00DF56A6">
        <w:rPr>
          <w:rFonts w:asciiTheme="minorHAnsi" w:hAnsiTheme="minorHAnsi" w:cstheme="minorHAnsi"/>
        </w:rPr>
        <w:instrText xml:space="preserve"> \* MERGEFORMAT </w:instrText>
      </w:r>
      <w:r w:rsidR="003C732A">
        <w:rPr>
          <w:rFonts w:asciiTheme="minorHAnsi" w:hAnsiTheme="minorHAnsi" w:cstheme="minorHAnsi"/>
        </w:rPr>
      </w:r>
      <w:r w:rsidR="003C732A">
        <w:rPr>
          <w:rFonts w:asciiTheme="minorHAnsi" w:hAnsiTheme="minorHAnsi" w:cstheme="minorHAnsi"/>
        </w:rPr>
        <w:fldChar w:fldCharType="separate"/>
      </w:r>
      <w:r w:rsidR="00D32536" w:rsidRPr="00D32536">
        <w:rPr>
          <w:rFonts w:asciiTheme="minorHAnsi" w:hAnsiTheme="minorHAnsi" w:cstheme="minorHAnsi"/>
        </w:rPr>
        <w:t>Figure 6.1</w:t>
      </w:r>
      <w:r w:rsidR="003C732A">
        <w:rPr>
          <w:rFonts w:asciiTheme="minorHAnsi" w:hAnsiTheme="minorHAnsi" w:cstheme="minorHAnsi"/>
        </w:rPr>
        <w:fldChar w:fldCharType="end"/>
      </w:r>
      <w:r w:rsidR="000B4F83">
        <w:rPr>
          <w:rFonts w:asciiTheme="minorHAnsi" w:hAnsiTheme="minorHAnsi" w:cstheme="minorHAnsi"/>
        </w:rPr>
        <w:t xml:space="preserve">, the only </w:t>
      </w:r>
      <w:r w:rsidR="003B3694">
        <w:rPr>
          <w:rFonts w:asciiTheme="minorHAnsi" w:hAnsiTheme="minorHAnsi" w:cstheme="minorHAnsi"/>
        </w:rPr>
        <w:t>monetisable</w:t>
      </w:r>
      <w:r w:rsidR="000B665B">
        <w:rPr>
          <w:rFonts w:asciiTheme="minorHAnsi" w:hAnsiTheme="minorHAnsi" w:cstheme="minorHAnsi"/>
        </w:rPr>
        <w:t xml:space="preserve"> Program</w:t>
      </w:r>
      <w:r w:rsidR="000B4F83">
        <w:rPr>
          <w:rFonts w:asciiTheme="minorHAnsi" w:hAnsiTheme="minorHAnsi" w:cstheme="minorHAnsi"/>
        </w:rPr>
        <w:t xml:space="preserve"> benefits related to </w:t>
      </w:r>
      <w:r w:rsidR="00DE689E">
        <w:rPr>
          <w:rFonts w:asciiTheme="minorHAnsi" w:hAnsiTheme="minorHAnsi" w:cstheme="minorHAnsi"/>
        </w:rPr>
        <w:t xml:space="preserve">the </w:t>
      </w:r>
      <w:r w:rsidR="000B4F83">
        <w:rPr>
          <w:rFonts w:asciiTheme="minorHAnsi" w:hAnsiTheme="minorHAnsi" w:cstheme="minorHAnsi"/>
        </w:rPr>
        <w:t xml:space="preserve">avoided use </w:t>
      </w:r>
      <w:r w:rsidR="002B3B2E">
        <w:rPr>
          <w:rFonts w:asciiTheme="minorHAnsi" w:hAnsiTheme="minorHAnsi" w:cstheme="minorHAnsi"/>
        </w:rPr>
        <w:t xml:space="preserve">of </w:t>
      </w:r>
      <w:r w:rsidR="000B665B">
        <w:rPr>
          <w:rFonts w:asciiTheme="minorHAnsi" w:hAnsiTheme="minorHAnsi" w:cstheme="minorHAnsi"/>
        </w:rPr>
        <w:t>hospital and health services.</w:t>
      </w:r>
    </w:p>
    <w:p w14:paraId="0A1FAA34" w14:textId="22EC445F" w:rsidR="00820C30" w:rsidRPr="000B2154" w:rsidRDefault="009B7848" w:rsidP="00A9666B">
      <w:pPr>
        <w:pStyle w:val="ListNumber"/>
        <w:spacing w:after="240"/>
        <w:ind w:left="357" w:hanging="357"/>
        <w:contextualSpacing w:val="0"/>
        <w:rPr>
          <w:rFonts w:asciiTheme="minorHAnsi" w:hAnsiTheme="minorHAnsi" w:cstheme="minorHAnsi"/>
        </w:rPr>
      </w:pPr>
      <w:r w:rsidRPr="00A9666B">
        <w:rPr>
          <w:rFonts w:cstheme="majorHAnsi"/>
          <w:b/>
        </w:rPr>
        <w:t>Modelling and analysis.</w:t>
      </w:r>
      <w:r w:rsidRPr="000B2154">
        <w:rPr>
          <w:rFonts w:asciiTheme="minorHAnsi" w:hAnsiTheme="minorHAnsi" w:cstheme="minorHAnsi"/>
        </w:rPr>
        <w:t xml:space="preserve"> </w:t>
      </w:r>
      <w:r w:rsidR="00DD31F9">
        <w:rPr>
          <w:rFonts w:asciiTheme="minorHAnsi" w:hAnsiTheme="minorHAnsi" w:cstheme="minorHAnsi"/>
        </w:rPr>
        <w:t>Analyses was undertaken in line with the identified costs and monetised benefits.</w:t>
      </w:r>
      <w:r w:rsidR="00C2339C" w:rsidRPr="000B2154">
        <w:rPr>
          <w:rFonts w:asciiTheme="minorHAnsi" w:hAnsiTheme="minorHAnsi" w:cstheme="minorHAnsi"/>
        </w:rPr>
        <w:t xml:space="preserve"> </w:t>
      </w:r>
      <w:r w:rsidR="00DD31F9">
        <w:rPr>
          <w:rFonts w:asciiTheme="minorHAnsi" w:hAnsiTheme="minorHAnsi" w:cstheme="minorHAnsi"/>
        </w:rPr>
        <w:t>Where</w:t>
      </w:r>
      <w:r w:rsidR="00C2339C" w:rsidRPr="000B2154">
        <w:rPr>
          <w:rFonts w:asciiTheme="minorHAnsi" w:hAnsiTheme="minorHAnsi" w:cstheme="minorHAnsi"/>
        </w:rPr>
        <w:t xml:space="preserve"> data gaps</w:t>
      </w:r>
      <w:r w:rsidR="00DD0303">
        <w:rPr>
          <w:rFonts w:asciiTheme="minorHAnsi" w:hAnsiTheme="minorHAnsi" w:cstheme="minorHAnsi"/>
        </w:rPr>
        <w:t xml:space="preserve"> existed</w:t>
      </w:r>
      <w:r w:rsidR="00C2339C" w:rsidRPr="000B2154">
        <w:rPr>
          <w:rFonts w:asciiTheme="minorHAnsi" w:hAnsiTheme="minorHAnsi" w:cstheme="minorHAnsi"/>
        </w:rPr>
        <w:t>, assumptions were made</w:t>
      </w:r>
      <w:r w:rsidR="006B7A94" w:rsidRPr="000B2154">
        <w:rPr>
          <w:rFonts w:asciiTheme="minorHAnsi" w:hAnsiTheme="minorHAnsi" w:cstheme="minorHAnsi"/>
        </w:rPr>
        <w:t xml:space="preserve"> using </w:t>
      </w:r>
      <w:r w:rsidR="00E50BA6">
        <w:rPr>
          <w:rFonts w:asciiTheme="minorHAnsi" w:hAnsiTheme="minorHAnsi" w:cstheme="minorHAnsi"/>
        </w:rPr>
        <w:t xml:space="preserve">publicly available data or using </w:t>
      </w:r>
      <w:r w:rsidR="006B7A94" w:rsidRPr="000B2154">
        <w:rPr>
          <w:rFonts w:asciiTheme="minorHAnsi" w:hAnsiTheme="minorHAnsi" w:cstheme="minorHAnsi"/>
        </w:rPr>
        <w:t>statistical techniques</w:t>
      </w:r>
      <w:r w:rsidR="009C1580" w:rsidRPr="000B2154">
        <w:rPr>
          <w:rFonts w:asciiTheme="minorHAnsi" w:hAnsiTheme="minorHAnsi" w:cstheme="minorHAnsi"/>
        </w:rPr>
        <w:t>.</w:t>
      </w:r>
    </w:p>
    <w:p w14:paraId="67F8C276" w14:textId="7D14A5E5" w:rsidR="000B2154" w:rsidRDefault="00CC34BC" w:rsidP="00A9666B">
      <w:pPr>
        <w:pStyle w:val="ListNumber"/>
        <w:spacing w:after="240"/>
        <w:ind w:left="357" w:hanging="357"/>
        <w:contextualSpacing w:val="0"/>
        <w:rPr>
          <w:rFonts w:asciiTheme="minorHAnsi" w:hAnsiTheme="minorHAnsi" w:cstheme="minorHAnsi"/>
        </w:rPr>
      </w:pPr>
      <w:bookmarkStart w:id="90" w:name="_Ref124176254"/>
      <w:r w:rsidRPr="005F49CE">
        <w:rPr>
          <w:rFonts w:cstheme="majorHAnsi"/>
          <w:b/>
        </w:rPr>
        <w:t xml:space="preserve">Overall value-for-money assessment. </w:t>
      </w:r>
      <w:r w:rsidRPr="000B2154">
        <w:rPr>
          <w:rFonts w:asciiTheme="minorHAnsi" w:hAnsiTheme="minorHAnsi" w:cstheme="minorHAnsi"/>
        </w:rPr>
        <w:t xml:space="preserve">A Net Present Value (NPV) and </w:t>
      </w:r>
      <w:r w:rsidR="00A0613C" w:rsidRPr="000B2154">
        <w:rPr>
          <w:rFonts w:asciiTheme="minorHAnsi" w:hAnsiTheme="minorHAnsi" w:cstheme="minorHAnsi"/>
        </w:rPr>
        <w:t xml:space="preserve">Benefit-Cost Ratio (BCR) </w:t>
      </w:r>
      <w:r w:rsidR="000B2154" w:rsidRPr="000B2154">
        <w:rPr>
          <w:rFonts w:asciiTheme="minorHAnsi" w:hAnsiTheme="minorHAnsi" w:cstheme="minorHAnsi"/>
        </w:rPr>
        <w:t>were calculated and discounted to present value in FY2019-20 dollars.</w:t>
      </w:r>
      <w:bookmarkEnd w:id="90"/>
      <w:r w:rsidR="000B2154" w:rsidRPr="000B2154">
        <w:rPr>
          <w:rFonts w:asciiTheme="minorHAnsi" w:hAnsiTheme="minorHAnsi" w:cstheme="minorHAnsi"/>
        </w:rPr>
        <w:t xml:space="preserve"> </w:t>
      </w:r>
    </w:p>
    <w:p w14:paraId="79BFCCF8" w14:textId="787A169C" w:rsidR="00877D60" w:rsidRDefault="00877D60" w:rsidP="000B2154">
      <w:r>
        <w:t xml:space="preserve">The modelling parameters are summarised in </w:t>
      </w:r>
      <w:r w:rsidR="000217E8">
        <w:fldChar w:fldCharType="begin"/>
      </w:r>
      <w:r w:rsidR="000217E8">
        <w:instrText xml:space="preserve"> REF _Ref125367804 \h </w:instrText>
      </w:r>
      <w:r w:rsidR="000217E8">
        <w:fldChar w:fldCharType="separate"/>
      </w:r>
      <w:r w:rsidR="00D32536">
        <w:t xml:space="preserve">Table </w:t>
      </w:r>
      <w:r w:rsidR="00D32536">
        <w:rPr>
          <w:noProof/>
        </w:rPr>
        <w:t>6</w:t>
      </w:r>
      <w:r w:rsidR="00D32536">
        <w:t>.</w:t>
      </w:r>
      <w:r w:rsidR="00D32536">
        <w:rPr>
          <w:noProof/>
        </w:rPr>
        <w:t>1</w:t>
      </w:r>
      <w:r w:rsidR="000217E8">
        <w:fldChar w:fldCharType="end"/>
      </w:r>
      <w:r>
        <w:t>.</w:t>
      </w:r>
    </w:p>
    <w:p w14:paraId="2DEDF6B1" w14:textId="762F84F8" w:rsidR="00AC4AC3" w:rsidRDefault="001D2192" w:rsidP="00D50C84">
      <w:pPr>
        <w:pStyle w:val="Caption"/>
      </w:pPr>
      <w:bookmarkStart w:id="91" w:name="_Ref125367804"/>
      <w:r>
        <w:t>Table</w:t>
      </w:r>
      <w:r w:rsidR="00D50C84">
        <w:t xml:space="preserve"> </w:t>
      </w:r>
      <w:r w:rsidR="005B7353">
        <w:fldChar w:fldCharType="begin"/>
      </w:r>
      <w:r w:rsidR="005B7353">
        <w:instrText xml:space="preserve"> STYLEREF 1 \s </w:instrText>
      </w:r>
      <w:r w:rsidR="005B7353">
        <w:fldChar w:fldCharType="separate"/>
      </w:r>
      <w:r w:rsidR="00D32536">
        <w:rPr>
          <w:noProof/>
        </w:rPr>
        <w:t>6</w:t>
      </w:r>
      <w:r w:rsidR="005B7353">
        <w:fldChar w:fldCharType="end"/>
      </w:r>
      <w:r w:rsidR="005B7353">
        <w:t>.</w:t>
      </w:r>
      <w:r w:rsidR="005B7353">
        <w:fldChar w:fldCharType="begin"/>
      </w:r>
      <w:r w:rsidR="005B7353">
        <w:instrText xml:space="preserve"> SEQ Table \* ARABIC \s 1 </w:instrText>
      </w:r>
      <w:r w:rsidR="005B7353">
        <w:fldChar w:fldCharType="separate"/>
      </w:r>
      <w:r w:rsidR="00D32536">
        <w:rPr>
          <w:noProof/>
        </w:rPr>
        <w:t>1</w:t>
      </w:r>
      <w:r w:rsidR="005B7353">
        <w:fldChar w:fldCharType="end"/>
      </w:r>
      <w:bookmarkEnd w:id="91"/>
      <w:r w:rsidR="00D50C84">
        <w:t xml:space="preserve"> Key modelling parameters for the cost-benefit analysis</w:t>
      </w:r>
    </w:p>
    <w:tbl>
      <w:tblPr>
        <w:tblStyle w:val="Deloittetable"/>
        <w:tblW w:w="10166" w:type="dxa"/>
        <w:tblBorders>
          <w:top w:val="single" w:sz="18" w:space="0" w:color="007CB0" w:themeColor="accent6"/>
        </w:tblBorders>
        <w:tblLook w:val="04A0" w:firstRow="1" w:lastRow="0" w:firstColumn="1" w:lastColumn="0" w:noHBand="0" w:noVBand="1"/>
      </w:tblPr>
      <w:tblGrid>
        <w:gridCol w:w="1882"/>
        <w:gridCol w:w="8284"/>
      </w:tblGrid>
      <w:tr w:rsidR="00C75E31" w14:paraId="227F40B0" w14:textId="77777777" w:rsidTr="00066737">
        <w:trPr>
          <w:cnfStyle w:val="100000000000" w:firstRow="1" w:lastRow="0" w:firstColumn="0" w:lastColumn="0" w:oddVBand="0" w:evenVBand="0" w:oddHBand="0" w:evenHBand="0" w:firstRowFirstColumn="0" w:firstRowLastColumn="0" w:lastRowFirstColumn="0" w:lastRowLastColumn="0"/>
          <w:trHeight w:val="271"/>
        </w:trPr>
        <w:tc>
          <w:tcPr>
            <w:tcW w:w="1882" w:type="dxa"/>
          </w:tcPr>
          <w:p w14:paraId="23CC6FB0" w14:textId="6CE12E19" w:rsidR="00C75E31" w:rsidRPr="00804144" w:rsidRDefault="00C75E31" w:rsidP="00F3201D">
            <w:pPr>
              <w:pStyle w:val="TableHeadingLeft"/>
            </w:pPr>
            <w:r w:rsidRPr="00F3201D">
              <w:t>Parameter</w:t>
            </w:r>
          </w:p>
        </w:tc>
        <w:tc>
          <w:tcPr>
            <w:tcW w:w="8284" w:type="dxa"/>
          </w:tcPr>
          <w:p w14:paraId="74E579D1" w14:textId="7D0E8847" w:rsidR="00C75E31" w:rsidRPr="00BE4A4C" w:rsidRDefault="00C75E31" w:rsidP="00F3201D">
            <w:pPr>
              <w:pStyle w:val="TableHeadingLeft"/>
            </w:pPr>
            <w:r w:rsidRPr="00E82C92">
              <w:t>Approach</w:t>
            </w:r>
          </w:p>
        </w:tc>
      </w:tr>
      <w:tr w:rsidR="00C75E31" w14:paraId="7111DFB2" w14:textId="77777777" w:rsidTr="001568C2">
        <w:trPr>
          <w:trHeight w:val="1476"/>
        </w:trPr>
        <w:tc>
          <w:tcPr>
            <w:tcW w:w="1882" w:type="dxa"/>
          </w:tcPr>
          <w:p w14:paraId="06E159DC" w14:textId="107C62AC" w:rsidR="00C75E31" w:rsidRPr="00E35765" w:rsidRDefault="000A5311" w:rsidP="000B2154">
            <w:pPr>
              <w:rPr>
                <w:i/>
                <w:iCs/>
              </w:rPr>
            </w:pPr>
            <w:r w:rsidRPr="00E35765">
              <w:rPr>
                <w:i/>
                <w:iCs/>
              </w:rPr>
              <w:t>Conceptual modelling methodology</w:t>
            </w:r>
          </w:p>
        </w:tc>
        <w:tc>
          <w:tcPr>
            <w:tcW w:w="8284" w:type="dxa"/>
          </w:tcPr>
          <w:p w14:paraId="6AB2002D" w14:textId="77777777" w:rsidR="00326103" w:rsidRDefault="00D22114" w:rsidP="000B2154">
            <w:r>
              <w:t xml:space="preserve">A cost-benefit analysis estimates the incremental benefits and costs </w:t>
            </w:r>
            <w:r w:rsidR="00A263A7">
              <w:t xml:space="preserve">attributable to the Program </w:t>
            </w:r>
            <w:r w:rsidR="00AE3FF3">
              <w:t>that accrue to</w:t>
            </w:r>
            <w:r>
              <w:t xml:space="preserve"> the agreed referent group/s</w:t>
            </w:r>
            <w:r w:rsidR="00A263A7">
              <w:t xml:space="preserve">, </w:t>
            </w:r>
            <w:r w:rsidR="00DB2946">
              <w:t xml:space="preserve">across the modelled time horizon. </w:t>
            </w:r>
          </w:p>
          <w:p w14:paraId="0E411010" w14:textId="3364D852" w:rsidR="00C75E31" w:rsidRDefault="00A5384A" w:rsidP="001568C2">
            <w:pPr>
              <w:spacing w:after="120"/>
            </w:pPr>
            <w:r>
              <w:t xml:space="preserve">This process generates a Net Present Value (NPV) and a benefit-cost ratio (BCR). A positive NPV indicates that economic resources are allocated more efficiently under the </w:t>
            </w:r>
            <w:r w:rsidR="0074095B">
              <w:t xml:space="preserve">intervention (the Program) compared to the base case. A BCR greater than 1 indicates that there are $x of </w:t>
            </w:r>
            <w:r w:rsidR="00754C10">
              <w:t>present-value</w:t>
            </w:r>
            <w:r w:rsidR="0074095B">
              <w:t xml:space="preserve"> </w:t>
            </w:r>
            <w:r w:rsidR="00A770D8">
              <w:t>(PV)</w:t>
            </w:r>
            <w:r w:rsidR="0074095B">
              <w:t xml:space="preserve"> </w:t>
            </w:r>
            <w:r w:rsidR="00754C10">
              <w:t>Program</w:t>
            </w:r>
            <w:r w:rsidR="0074095B">
              <w:t xml:space="preserve"> </w:t>
            </w:r>
            <w:r w:rsidR="00176554">
              <w:t xml:space="preserve">benefits </w:t>
            </w:r>
            <w:r w:rsidR="0074095B">
              <w:t xml:space="preserve">for every $1 of </w:t>
            </w:r>
            <w:r w:rsidR="00A770D8">
              <w:t xml:space="preserve">PV </w:t>
            </w:r>
            <w:r w:rsidR="0074095B">
              <w:t xml:space="preserve">Program costs. </w:t>
            </w:r>
          </w:p>
        </w:tc>
      </w:tr>
      <w:tr w:rsidR="00C75E31" w14:paraId="23A43FD6" w14:textId="77777777" w:rsidTr="001568C2">
        <w:trPr>
          <w:trHeight w:val="1378"/>
        </w:trPr>
        <w:tc>
          <w:tcPr>
            <w:tcW w:w="1882" w:type="dxa"/>
          </w:tcPr>
          <w:p w14:paraId="55BF9E1B" w14:textId="05EB18DA" w:rsidR="00C75E31" w:rsidRPr="00E35765" w:rsidRDefault="00CF1CAB" w:rsidP="000B2154">
            <w:pPr>
              <w:rPr>
                <w:i/>
                <w:iCs/>
              </w:rPr>
            </w:pPr>
            <w:r>
              <w:rPr>
                <w:i/>
                <w:iCs/>
              </w:rPr>
              <w:t>Referent group(s)</w:t>
            </w:r>
          </w:p>
        </w:tc>
        <w:tc>
          <w:tcPr>
            <w:tcW w:w="8284" w:type="dxa"/>
          </w:tcPr>
          <w:p w14:paraId="3321681F" w14:textId="6D4A6092" w:rsidR="00C75E31" w:rsidRDefault="00423996" w:rsidP="001E1311">
            <w:pPr>
              <w:pStyle w:val="BodyText"/>
            </w:pPr>
            <w:r>
              <w:t>The</w:t>
            </w:r>
            <w:r w:rsidR="00195F82">
              <w:t xml:space="preserve"> </w:t>
            </w:r>
            <w:r w:rsidR="00BD3576">
              <w:t xml:space="preserve">two </w:t>
            </w:r>
            <w:r w:rsidR="003E4ABD">
              <w:t xml:space="preserve">referent </w:t>
            </w:r>
            <w:r w:rsidR="002C1231">
              <w:t xml:space="preserve">groups for the </w:t>
            </w:r>
            <w:r w:rsidR="00195F82">
              <w:t xml:space="preserve">cost-benefit analysis </w:t>
            </w:r>
            <w:r w:rsidR="002C1231">
              <w:t xml:space="preserve">are </w:t>
            </w:r>
            <w:r w:rsidR="0012062F">
              <w:t>government</w:t>
            </w:r>
            <w:r w:rsidR="00692CA1">
              <w:t>, as well as</w:t>
            </w:r>
            <w:r w:rsidR="00B475BA">
              <w:t xml:space="preserve"> </w:t>
            </w:r>
            <w:r w:rsidR="00BF17DC">
              <w:t>an overall societal perspective that encompasses both government and the community</w:t>
            </w:r>
            <w:r w:rsidR="001568C2">
              <w:t xml:space="preserve"> (including Program residents and their families/carers)</w:t>
            </w:r>
            <w:r w:rsidR="00B475BA">
              <w:t>.</w:t>
            </w:r>
            <w:r w:rsidR="001E5B26">
              <w:t xml:space="preserve"> </w:t>
            </w:r>
            <w:r w:rsidR="0023497E">
              <w:t>It is noted t</w:t>
            </w:r>
            <w:r w:rsidR="00A72B33">
              <w:t xml:space="preserve">hat both </w:t>
            </w:r>
            <w:r w:rsidR="005015D4">
              <w:t>Commonwealth</w:t>
            </w:r>
            <w:r w:rsidR="00A72B33">
              <w:t xml:space="preserve"> and state</w:t>
            </w:r>
            <w:r w:rsidR="001F29B7">
              <w:t xml:space="preserve"> and </w:t>
            </w:r>
            <w:r w:rsidR="00A72B33">
              <w:t xml:space="preserve">territory governments </w:t>
            </w:r>
            <w:r w:rsidR="00784C3E">
              <w:t>have funding responsibilities within the health and aged care</w:t>
            </w:r>
            <w:r w:rsidR="008E3AAF">
              <w:t xml:space="preserve"> system</w:t>
            </w:r>
            <w:r w:rsidR="001F29B7">
              <w:t xml:space="preserve">. </w:t>
            </w:r>
            <w:r w:rsidR="008E3AAF">
              <w:t>In particular</w:t>
            </w:r>
            <w:r w:rsidR="001F29B7">
              <w:t xml:space="preserve">, </w:t>
            </w:r>
            <w:r w:rsidR="00B5009F">
              <w:t>Program impacts</w:t>
            </w:r>
            <w:r w:rsidR="001F29B7">
              <w:t xml:space="preserve"> related to </w:t>
            </w:r>
            <w:r w:rsidR="00DB416F">
              <w:t xml:space="preserve">decreased hospital service utilisation are expected </w:t>
            </w:r>
            <w:r w:rsidR="00D17FEC">
              <w:t xml:space="preserve">to benefit both </w:t>
            </w:r>
            <w:r w:rsidR="00393E50">
              <w:t>levels of government</w:t>
            </w:r>
            <w:r w:rsidR="005015D4">
              <w:t xml:space="preserve">. For the purposes of </w:t>
            </w:r>
            <w:r w:rsidR="00BB24F3">
              <w:t>modelling</w:t>
            </w:r>
            <w:r w:rsidR="00775B19">
              <w:t>,</w:t>
            </w:r>
            <w:r w:rsidR="00B86BF1">
              <w:t xml:space="preserve"> </w:t>
            </w:r>
            <w:r w:rsidR="008E3AAF">
              <w:t xml:space="preserve">these two </w:t>
            </w:r>
            <w:r w:rsidR="00CD4F23">
              <w:t>stakeholders</w:t>
            </w:r>
            <w:r w:rsidR="008E3AAF">
              <w:t xml:space="preserve"> </w:t>
            </w:r>
            <w:r w:rsidR="005D40C3">
              <w:t>are</w:t>
            </w:r>
            <w:r w:rsidR="008E3AAF">
              <w:t xml:space="preserve"> not differentiated, and instead considered as a single </w:t>
            </w:r>
            <w:r w:rsidR="00CD4F23">
              <w:t xml:space="preserve">government </w:t>
            </w:r>
            <w:r w:rsidR="008E3AAF">
              <w:t>stakeholder.</w:t>
            </w:r>
          </w:p>
        </w:tc>
      </w:tr>
      <w:tr w:rsidR="000A5311" w14:paraId="0B8DEFB2" w14:textId="77777777" w:rsidTr="00C43DE5">
        <w:trPr>
          <w:trHeight w:val="114"/>
        </w:trPr>
        <w:tc>
          <w:tcPr>
            <w:tcW w:w="1882" w:type="dxa"/>
          </w:tcPr>
          <w:p w14:paraId="7A009550" w14:textId="24034961" w:rsidR="000A5311" w:rsidRPr="00E35765" w:rsidRDefault="000A5311" w:rsidP="000B2154">
            <w:pPr>
              <w:rPr>
                <w:i/>
                <w:iCs/>
              </w:rPr>
            </w:pPr>
            <w:r w:rsidRPr="00E35765">
              <w:rPr>
                <w:i/>
                <w:iCs/>
              </w:rPr>
              <w:t>Time horizon</w:t>
            </w:r>
          </w:p>
        </w:tc>
        <w:tc>
          <w:tcPr>
            <w:tcW w:w="8284" w:type="dxa"/>
          </w:tcPr>
          <w:p w14:paraId="2682DDCB" w14:textId="64813F63" w:rsidR="00450088" w:rsidRDefault="00450088" w:rsidP="00450088">
            <w:pPr>
              <w:spacing w:after="120"/>
            </w:pPr>
            <w:r>
              <w:t xml:space="preserve">One of the key Program intentions is to reduce the frequency and severity of BPSD in residents, in order to facilitate transition out to less intensive mainstream RACF. The potential for Program residents to require less resource-intensive health care services for several years after Program participation than would have occurred in the Program’s absence is therefore a significant benefit. Provider performance reports detail discharges to </w:t>
            </w:r>
            <w:r w:rsidR="00001095">
              <w:t xml:space="preserve">mainstream </w:t>
            </w:r>
            <w:r>
              <w:t xml:space="preserve">RACFs </w:t>
            </w:r>
            <w:r w:rsidR="00CF529E">
              <w:t xml:space="preserve">due to settled BPSD </w:t>
            </w:r>
            <w:r>
              <w:t>on a unit</w:t>
            </w:r>
            <w:r w:rsidR="000217E8">
              <w:t xml:space="preserve"> </w:t>
            </w:r>
            <w:r>
              <w:t xml:space="preserve">record level. However, once the three-month bounce-back period has concluded, there is no formal Program mechanism for tracking post-Program outcomes. </w:t>
            </w:r>
          </w:p>
          <w:p w14:paraId="05837F3B" w14:textId="5020B37A" w:rsidR="00450088" w:rsidRDefault="00450088" w:rsidP="00450088">
            <w:pPr>
              <w:spacing w:after="120"/>
            </w:pPr>
            <w:r>
              <w:t xml:space="preserve">Given this limitation, </w:t>
            </w:r>
            <w:r w:rsidR="00CF3DF5">
              <w:t>assumptions were</w:t>
            </w:r>
            <w:r>
              <w:t xml:space="preserve"> used </w:t>
            </w:r>
            <w:r w:rsidR="00CF3DF5">
              <w:t xml:space="preserve">to </w:t>
            </w:r>
            <w:r>
              <w:t xml:space="preserve">model </w:t>
            </w:r>
            <w:r w:rsidR="006A5085">
              <w:t xml:space="preserve">potential Program benefits beyond </w:t>
            </w:r>
            <w:r w:rsidR="006633E3">
              <w:t>participation in the Program</w:t>
            </w:r>
            <w:r>
              <w:t xml:space="preserve">. This approach involved modelling two </w:t>
            </w:r>
            <w:r w:rsidR="006705AD">
              <w:t>types of</w:t>
            </w:r>
            <w:r>
              <w:t xml:space="preserve"> benefits realisation timeframes:</w:t>
            </w:r>
          </w:p>
          <w:p w14:paraId="20B49CAE" w14:textId="5D07C58E" w:rsidR="00450088" w:rsidRDefault="00450088" w:rsidP="00885CB3">
            <w:pPr>
              <w:pStyle w:val="ListParagraph"/>
              <w:numPr>
                <w:ilvl w:val="0"/>
                <w:numId w:val="14"/>
              </w:numPr>
              <w:spacing w:after="120"/>
              <w:ind w:left="357" w:hanging="357"/>
              <w:contextualSpacing w:val="0"/>
            </w:pPr>
            <w:r w:rsidRPr="00ED0E20">
              <w:rPr>
                <w:rFonts w:asciiTheme="majorHAnsi" w:hAnsiTheme="majorHAnsi" w:cstheme="majorHAnsi"/>
                <w:b/>
              </w:rPr>
              <w:t>Within Program</w:t>
            </w:r>
            <w:r w:rsidRPr="00ED0E20">
              <w:rPr>
                <w:rFonts w:asciiTheme="majorHAnsi" w:hAnsiTheme="majorHAnsi" w:cstheme="majorHAnsi"/>
              </w:rPr>
              <w:t>.</w:t>
            </w:r>
            <w:r>
              <w:t xml:space="preserve"> Involved modelling the incremental Program costs and </w:t>
            </w:r>
            <w:r w:rsidR="009F516E">
              <w:t>monetised</w:t>
            </w:r>
            <w:r>
              <w:t xml:space="preserve"> benefits over the duration of each resident’s stay in the SDCU. </w:t>
            </w:r>
            <w:r w:rsidR="007137DA">
              <w:t xml:space="preserve">Retrospective </w:t>
            </w:r>
            <w:r w:rsidR="004433B0">
              <w:t>unit</w:t>
            </w:r>
            <w:r w:rsidR="000217E8">
              <w:t xml:space="preserve"> </w:t>
            </w:r>
            <w:r w:rsidR="004433B0">
              <w:t>record provider site data was used to calculate this benefit.</w:t>
            </w:r>
            <w:r w:rsidR="00282557">
              <w:t xml:space="preserve">  </w:t>
            </w:r>
          </w:p>
          <w:p w14:paraId="1B18399E" w14:textId="6F5AC377" w:rsidR="009200EB" w:rsidRDefault="00933746" w:rsidP="00885CB3">
            <w:pPr>
              <w:pStyle w:val="ListParagraph"/>
              <w:numPr>
                <w:ilvl w:val="0"/>
                <w:numId w:val="14"/>
              </w:numPr>
              <w:spacing w:after="120"/>
              <w:ind w:left="357" w:hanging="357"/>
              <w:contextualSpacing w:val="0"/>
            </w:pPr>
            <w:r>
              <w:rPr>
                <w:rFonts w:asciiTheme="majorHAnsi" w:hAnsiTheme="majorHAnsi" w:cstheme="majorHAnsi"/>
                <w:b/>
              </w:rPr>
              <w:t>P</w:t>
            </w:r>
            <w:r w:rsidR="00450088" w:rsidRPr="00ED0E20">
              <w:rPr>
                <w:rFonts w:asciiTheme="majorHAnsi" w:hAnsiTheme="majorHAnsi" w:cstheme="majorHAnsi"/>
                <w:b/>
              </w:rPr>
              <w:t>ost-Program.</w:t>
            </w:r>
            <w:r w:rsidR="00450088">
              <w:t xml:space="preserve"> Involved modelling monetised benefits </w:t>
            </w:r>
            <w:r w:rsidR="005763AC">
              <w:t>9- and 18-months</w:t>
            </w:r>
            <w:r w:rsidR="00450088">
              <w:t xml:space="preserve"> post-Program</w:t>
            </w:r>
            <w:r w:rsidR="00B97F2C">
              <w:t xml:space="preserve"> for a subset of</w:t>
            </w:r>
            <w:r w:rsidR="00450088">
              <w:t xml:space="preserve"> residents admitted over the period </w:t>
            </w:r>
            <w:r w:rsidR="00E110F4">
              <w:t>FY</w:t>
            </w:r>
            <w:r w:rsidR="00450088">
              <w:t>2019</w:t>
            </w:r>
            <w:r w:rsidR="00172AB6">
              <w:t>-</w:t>
            </w:r>
            <w:r w:rsidR="00450088">
              <w:t>2</w:t>
            </w:r>
            <w:r w:rsidR="00E11CE1">
              <w:t>0 to FY2021-22</w:t>
            </w:r>
            <w:r w:rsidR="00450088">
              <w:t xml:space="preserve">. </w:t>
            </w:r>
            <w:r w:rsidR="001D232A">
              <w:t xml:space="preserve">As </w:t>
            </w:r>
            <w:r w:rsidR="00041319">
              <w:t xml:space="preserve">these residents were </w:t>
            </w:r>
            <w:r w:rsidR="002F65C8">
              <w:t xml:space="preserve">admitted over </w:t>
            </w:r>
            <w:r w:rsidR="00B56031">
              <w:t>this</w:t>
            </w:r>
            <w:r w:rsidR="002F65C8">
              <w:t xml:space="preserve"> period, benefit accrual </w:t>
            </w:r>
            <w:r w:rsidR="00EC2A70">
              <w:t>occurred over the period FY</w:t>
            </w:r>
            <w:r w:rsidR="00DE25FC">
              <w:t>20</w:t>
            </w:r>
            <w:r w:rsidR="00044F49">
              <w:t>20</w:t>
            </w:r>
            <w:r w:rsidR="00EC2A70">
              <w:t>-</w:t>
            </w:r>
            <w:r w:rsidR="00B40CB3">
              <w:t>21 to FY2023-24</w:t>
            </w:r>
            <w:r w:rsidR="00EC2A70">
              <w:t xml:space="preserve"> (see </w:t>
            </w:r>
            <w:r w:rsidR="000217E8">
              <w:fldChar w:fldCharType="begin"/>
            </w:r>
            <w:r w:rsidR="000217E8">
              <w:instrText xml:space="preserve"> REF _Ref125367868 \h </w:instrText>
            </w:r>
            <w:r w:rsidR="000217E8">
              <w:fldChar w:fldCharType="separate"/>
            </w:r>
            <w:r w:rsidR="00D32536">
              <w:t xml:space="preserve">Figure </w:t>
            </w:r>
            <w:r w:rsidR="00D32536">
              <w:rPr>
                <w:noProof/>
              </w:rPr>
              <w:t>6</w:t>
            </w:r>
            <w:r w:rsidR="00D32536">
              <w:t>.</w:t>
            </w:r>
            <w:r w:rsidR="00D32536">
              <w:rPr>
                <w:noProof/>
              </w:rPr>
              <w:t>2</w:t>
            </w:r>
            <w:r w:rsidR="000217E8">
              <w:fldChar w:fldCharType="end"/>
            </w:r>
            <w:r w:rsidR="00EC2A70">
              <w:t>).</w:t>
            </w:r>
          </w:p>
          <w:p w14:paraId="4BEB7310" w14:textId="19B04A1F" w:rsidR="00450088" w:rsidRDefault="00450088" w:rsidP="009200EB">
            <w:pPr>
              <w:pStyle w:val="ListParagraph"/>
              <w:spacing w:after="120"/>
              <w:ind w:left="357"/>
              <w:contextualSpacing w:val="0"/>
            </w:pPr>
            <w:r>
              <w:t>To describe the key parameters underpinning this scenario:</w:t>
            </w:r>
          </w:p>
          <w:p w14:paraId="19800842" w14:textId="0FCD527C" w:rsidR="00DB058B" w:rsidRDefault="00450088" w:rsidP="00885CB3">
            <w:pPr>
              <w:pStyle w:val="ListParagraph"/>
              <w:numPr>
                <w:ilvl w:val="1"/>
                <w:numId w:val="14"/>
              </w:numPr>
              <w:spacing w:after="120"/>
              <w:contextualSpacing w:val="0"/>
            </w:pPr>
            <w:r w:rsidRPr="00885CB3">
              <w:rPr>
                <w:rFonts w:asciiTheme="majorHAnsi" w:hAnsiTheme="majorHAnsi" w:cstheme="majorHAnsi"/>
                <w:b/>
              </w:rPr>
              <w:t>Incremental costs and benefits over the post-Program period.</w:t>
            </w:r>
            <w:r>
              <w:t xml:space="preserve"> </w:t>
            </w:r>
            <w:r w:rsidR="008721C9">
              <w:t xml:space="preserve">In the </w:t>
            </w:r>
            <w:r w:rsidR="00405631">
              <w:t xml:space="preserve">modelled </w:t>
            </w:r>
            <w:r w:rsidR="00C838D0">
              <w:t>p</w:t>
            </w:r>
            <w:r w:rsidR="008721C9">
              <w:t>ost-Program period,</w:t>
            </w:r>
            <w:r>
              <w:t xml:space="preserve"> Program</w:t>
            </w:r>
            <w:r w:rsidR="00422B3C">
              <w:t>-spe</w:t>
            </w:r>
            <w:r w:rsidR="008D4ABA">
              <w:t>cific</w:t>
            </w:r>
            <w:r>
              <w:t xml:space="preserve"> costs </w:t>
            </w:r>
            <w:r w:rsidR="008D4ABA">
              <w:t>are not incurred</w:t>
            </w:r>
            <w:r w:rsidR="00B750B1">
              <w:t xml:space="preserve"> (e.g. </w:t>
            </w:r>
            <w:r w:rsidR="00C81853">
              <w:t>top-up grant funding). H</w:t>
            </w:r>
            <w:r w:rsidR="008D4ABA">
              <w:t>owever</w:t>
            </w:r>
            <w:r w:rsidR="00C81853">
              <w:t>,</w:t>
            </w:r>
            <w:r w:rsidR="008D4ABA">
              <w:t xml:space="preserve"> costs are </w:t>
            </w:r>
            <w:r w:rsidR="00E02CD1">
              <w:t>incurred to the extent that the care setting between the base case and the post-P</w:t>
            </w:r>
            <w:r w:rsidR="00F10581">
              <w:t>ro</w:t>
            </w:r>
            <w:r w:rsidR="00E02CD1">
              <w:t xml:space="preserve">gram period has </w:t>
            </w:r>
            <w:r w:rsidR="00812696">
              <w:t xml:space="preserve">permanently </w:t>
            </w:r>
            <w:r w:rsidR="00E02CD1">
              <w:t xml:space="preserve">changed (e.g. a </w:t>
            </w:r>
            <w:r w:rsidR="00812696">
              <w:t xml:space="preserve">person who would have stayed in </w:t>
            </w:r>
            <w:r w:rsidR="00E02CD1">
              <w:t xml:space="preserve">long stay psychogeriatric care </w:t>
            </w:r>
            <w:r w:rsidR="00812696">
              <w:t>over the entire modelled period</w:t>
            </w:r>
            <w:r w:rsidR="00AC790B">
              <w:t xml:space="preserve"> in the absence of the Program</w:t>
            </w:r>
            <w:r w:rsidR="00812696">
              <w:t xml:space="preserve"> is</w:t>
            </w:r>
            <w:r w:rsidR="006D65CE">
              <w:t xml:space="preserve"> </w:t>
            </w:r>
            <w:r w:rsidR="00AC790B">
              <w:t xml:space="preserve">instead </w:t>
            </w:r>
            <w:r w:rsidR="006D65CE">
              <w:t>permanently settled in a mainstream RACF</w:t>
            </w:r>
            <w:r w:rsidR="00812696">
              <w:t xml:space="preserve"> after participating in the Program)</w:t>
            </w:r>
            <w:r w:rsidR="006D65CE">
              <w:t xml:space="preserve">. </w:t>
            </w:r>
            <w:r w:rsidR="003C4B96">
              <w:t>Incre</w:t>
            </w:r>
            <w:r w:rsidR="00AE2FEF">
              <w:t>mental post-Program benefits are</w:t>
            </w:r>
            <w:r w:rsidR="0081060F">
              <w:t xml:space="preserve"> realised in the form of </w:t>
            </w:r>
            <w:r w:rsidR="0001454B">
              <w:t xml:space="preserve">avoided hospital and health service utilisation </w:t>
            </w:r>
            <w:r w:rsidR="000E0DDF">
              <w:t>f</w:t>
            </w:r>
            <w:r w:rsidR="008B127C">
              <w:t>or</w:t>
            </w:r>
            <w:r>
              <w:t xml:space="preserve"> </w:t>
            </w:r>
            <w:r w:rsidR="00392915">
              <w:t>residents</w:t>
            </w:r>
            <w:r w:rsidR="00673879">
              <w:t xml:space="preserve"> discharged due to settled B</w:t>
            </w:r>
            <w:r w:rsidR="00CF795F">
              <w:t>P</w:t>
            </w:r>
            <w:r w:rsidR="00673879">
              <w:t>SD</w:t>
            </w:r>
            <w:r w:rsidR="000E0DDF">
              <w:t>.</w:t>
            </w:r>
          </w:p>
          <w:p w14:paraId="22A9FAF7" w14:textId="14EBEC8B" w:rsidR="00450088" w:rsidRDefault="00450088" w:rsidP="003F2F73">
            <w:pPr>
              <w:pStyle w:val="ListParagraph"/>
              <w:spacing w:after="120"/>
              <w:ind w:left="1440"/>
              <w:contextualSpacing w:val="0"/>
            </w:pPr>
            <w:r>
              <w:t>For</w:t>
            </w:r>
            <w:r w:rsidDel="00F96DEE">
              <w:t xml:space="preserve"> </w:t>
            </w:r>
            <w:r w:rsidR="00F96DEE">
              <w:t>‘other’</w:t>
            </w:r>
            <w:r>
              <w:t xml:space="preserve"> discharges, there are no post-Program benefits </w:t>
            </w:r>
            <w:r w:rsidR="0084450D">
              <w:t>accrued</w:t>
            </w:r>
            <w:r>
              <w:t xml:space="preserve"> as it is assumed that the resident transferred back to where they would have resided in the absence of the Program</w:t>
            </w:r>
            <w:r w:rsidR="0013064E">
              <w:t xml:space="preserve"> or the same event would have occurred (e.g., if the reason for the discharge was death)</w:t>
            </w:r>
            <w:r>
              <w:t>, resulting in a neutral incremental benefit.</w:t>
            </w:r>
          </w:p>
          <w:p w14:paraId="354C0611" w14:textId="1B8986EE" w:rsidR="00220F21" w:rsidRDefault="00450088" w:rsidP="00220F21">
            <w:pPr>
              <w:pStyle w:val="ListParagraph"/>
              <w:numPr>
                <w:ilvl w:val="1"/>
                <w:numId w:val="37"/>
              </w:numPr>
              <w:spacing w:after="120"/>
              <w:contextualSpacing w:val="0"/>
            </w:pPr>
            <w:r w:rsidRPr="00885CB3">
              <w:rPr>
                <w:rFonts w:asciiTheme="majorHAnsi" w:hAnsiTheme="majorHAnsi" w:cstheme="majorHAnsi"/>
                <w:b/>
              </w:rPr>
              <w:t xml:space="preserve">Assumptions on post-Program care settings. </w:t>
            </w:r>
            <w:r w:rsidR="00F15D97" w:rsidRPr="007D475B">
              <w:t xml:space="preserve">Due to the absence of data on post-Program outcomes and care settings for discharged </w:t>
            </w:r>
            <w:r w:rsidR="007D475B" w:rsidRPr="007D475B">
              <w:t>residents</w:t>
            </w:r>
            <w:r w:rsidR="00F15D97" w:rsidRPr="007D475B">
              <w:t xml:space="preserve">, it </w:t>
            </w:r>
            <w:r w:rsidR="0084450D">
              <w:t>was assumed that all</w:t>
            </w:r>
            <w:r>
              <w:t xml:space="preserve"> discharges to less intensive care settings </w:t>
            </w:r>
            <w:r w:rsidR="007D7F64">
              <w:t xml:space="preserve">due to settled BPSD </w:t>
            </w:r>
            <w:r>
              <w:t xml:space="preserve">remained in </w:t>
            </w:r>
            <w:r w:rsidR="00F05F3A">
              <w:t>this setting</w:t>
            </w:r>
            <w:r>
              <w:t xml:space="preserve"> for </w:t>
            </w:r>
            <w:r w:rsidR="00062CC0">
              <w:t>either a 9-month or</w:t>
            </w:r>
            <w:r>
              <w:t xml:space="preserve"> </w:t>
            </w:r>
            <w:r w:rsidR="00F85A21">
              <w:t>18-month</w:t>
            </w:r>
            <w:r>
              <w:t xml:space="preserve"> post</w:t>
            </w:r>
            <w:r w:rsidR="00F05F3A">
              <w:t>-</w:t>
            </w:r>
            <w:r>
              <w:t>Program period</w:t>
            </w:r>
            <w:r w:rsidR="008E7BA7">
              <w:t>.</w:t>
            </w:r>
            <w:r w:rsidR="007E4063">
              <w:t xml:space="preserve"> </w:t>
            </w:r>
          </w:p>
          <w:p w14:paraId="036D1A13" w14:textId="715D8737" w:rsidR="000A5311" w:rsidRDefault="00234FD6" w:rsidP="00D5218C">
            <w:pPr>
              <w:pStyle w:val="ListParagraph"/>
              <w:spacing w:after="120"/>
              <w:ind w:left="1440"/>
              <w:contextualSpacing w:val="0"/>
            </w:pPr>
            <w:r>
              <w:t xml:space="preserve">The limitations of this approach are acknowledged. </w:t>
            </w:r>
            <w:r w:rsidR="003D2D62">
              <w:t>C</w:t>
            </w:r>
            <w:r w:rsidR="0075768C">
              <w:t xml:space="preserve">ollection of </w:t>
            </w:r>
            <w:r w:rsidR="00450088">
              <w:t xml:space="preserve">data on post-Program outcomes </w:t>
            </w:r>
            <w:r w:rsidR="0075768C">
              <w:t xml:space="preserve">would </w:t>
            </w:r>
            <w:r w:rsidR="003D2D62">
              <w:t>eliminate the need to rely on assumptions, and thereby, provide</w:t>
            </w:r>
            <w:r w:rsidR="0075768C">
              <w:t xml:space="preserve"> </w:t>
            </w:r>
            <w:r w:rsidR="00FF61EE">
              <w:t xml:space="preserve">a </w:t>
            </w:r>
            <w:r w:rsidR="0075768C">
              <w:t>more reliable estimate of</w:t>
            </w:r>
            <w:r w:rsidR="00450088">
              <w:t xml:space="preserve"> the economic value of the Program</w:t>
            </w:r>
            <w:r w:rsidR="00DC1D8E">
              <w:t xml:space="preserve">. </w:t>
            </w:r>
            <w:r w:rsidR="008D72FE">
              <w:t>This</w:t>
            </w:r>
            <w:r w:rsidR="00450088">
              <w:t xml:space="preserve"> is </w:t>
            </w:r>
            <w:r w:rsidR="00DA2B68">
              <w:t>recommended as part of future Program data collection</w:t>
            </w:r>
            <w:r w:rsidR="00450088">
              <w:t xml:space="preserve"> in </w:t>
            </w:r>
            <w:r w:rsidR="009D1CD2">
              <w:t>Section</w:t>
            </w:r>
            <w:r w:rsidR="00BC26B8">
              <w:t xml:space="preserve"> </w:t>
            </w:r>
            <w:r w:rsidR="009D1CD2">
              <w:fldChar w:fldCharType="begin"/>
            </w:r>
            <w:r w:rsidR="009D1CD2">
              <w:instrText xml:space="preserve"> REF _Ref124176166 \r \h </w:instrText>
            </w:r>
            <w:r w:rsidR="009D1CD2">
              <w:fldChar w:fldCharType="separate"/>
            </w:r>
            <w:r w:rsidR="00D32536">
              <w:t>9.2</w:t>
            </w:r>
            <w:r w:rsidR="009D1CD2">
              <w:fldChar w:fldCharType="end"/>
            </w:r>
            <w:r w:rsidR="00450088">
              <w:t xml:space="preserve">. </w:t>
            </w:r>
          </w:p>
        </w:tc>
      </w:tr>
      <w:tr w:rsidR="000A5311" w14:paraId="7DB595A3" w14:textId="77777777" w:rsidTr="00066737">
        <w:trPr>
          <w:trHeight w:val="893"/>
        </w:trPr>
        <w:tc>
          <w:tcPr>
            <w:tcW w:w="1882" w:type="dxa"/>
          </w:tcPr>
          <w:p w14:paraId="44D9970D" w14:textId="4B1FD160" w:rsidR="000A5311" w:rsidRPr="00E35765" w:rsidRDefault="00A5787F" w:rsidP="000B2154">
            <w:pPr>
              <w:rPr>
                <w:i/>
                <w:iCs/>
              </w:rPr>
            </w:pPr>
            <w:r w:rsidRPr="00E35765">
              <w:rPr>
                <w:i/>
                <w:iCs/>
              </w:rPr>
              <w:t>Discount rate</w:t>
            </w:r>
          </w:p>
        </w:tc>
        <w:tc>
          <w:tcPr>
            <w:tcW w:w="8284" w:type="dxa"/>
          </w:tcPr>
          <w:p w14:paraId="6A84A4DD" w14:textId="1E24CD74" w:rsidR="000A5311" w:rsidRDefault="001B1AF2" w:rsidP="00216B21">
            <w:pPr>
              <w:spacing w:after="120"/>
            </w:pPr>
            <w:r>
              <w:t xml:space="preserve">Discount rates convert cash flows received </w:t>
            </w:r>
            <w:r w:rsidR="008B268E">
              <w:t>in</w:t>
            </w:r>
            <w:r>
              <w:t xml:space="preserve"> different periods </w:t>
            </w:r>
            <w:r w:rsidR="00160F42">
              <w:t xml:space="preserve">to a present value, in recognition of the opportunity cost of capital over time. </w:t>
            </w:r>
            <w:r w:rsidR="0091038C">
              <w:t>A discount rate of 5</w:t>
            </w:r>
            <w:r w:rsidR="00216B21">
              <w:t>%</w:t>
            </w:r>
            <w:r w:rsidR="004757B1">
              <w:t xml:space="preserve"> </w:t>
            </w:r>
            <w:r w:rsidR="00216B21">
              <w:t>is</w:t>
            </w:r>
            <w:r w:rsidR="0091038C">
              <w:t xml:space="preserve"> used</w:t>
            </w:r>
            <w:r w:rsidR="00B31BD4">
              <w:t xml:space="preserve"> (consistent with Medical Services Advisory Committee guidelines)</w:t>
            </w:r>
            <w:r w:rsidR="007B3427">
              <w:t>.</w:t>
            </w:r>
          </w:p>
        </w:tc>
      </w:tr>
    </w:tbl>
    <w:p w14:paraId="7588378E" w14:textId="77777777" w:rsidR="00636F4C" w:rsidRPr="00054391" w:rsidRDefault="00636F4C" w:rsidP="00636F4C">
      <w:pPr>
        <w:pStyle w:val="SourcetextTableorChart"/>
        <w:rPr>
          <w:sz w:val="16"/>
          <w:szCs w:val="20"/>
        </w:rPr>
      </w:pPr>
      <w:r w:rsidRPr="00054391">
        <w:rPr>
          <w:sz w:val="16"/>
          <w:szCs w:val="20"/>
        </w:rPr>
        <w:t xml:space="preserve">Source: Deloitte Access Economics. </w:t>
      </w:r>
    </w:p>
    <w:p w14:paraId="2E7040F5" w14:textId="79A2A564" w:rsidR="000B141E" w:rsidRPr="000B141E" w:rsidRDefault="008F7B77" w:rsidP="008F7B77">
      <w:pPr>
        <w:pStyle w:val="Caption"/>
      </w:pPr>
      <w:bookmarkStart w:id="92" w:name="_Ref125367868"/>
      <w:r>
        <w:t xml:space="preserve">Figure </w:t>
      </w:r>
      <w:r w:rsidR="006A2934">
        <w:fldChar w:fldCharType="begin"/>
      </w:r>
      <w:r w:rsidR="006A2934">
        <w:instrText xml:space="preserve"> STYLEREF 1 \s </w:instrText>
      </w:r>
      <w:r w:rsidR="006A2934">
        <w:fldChar w:fldCharType="separate"/>
      </w:r>
      <w:r w:rsidR="00D32536">
        <w:rPr>
          <w:noProof/>
        </w:rPr>
        <w:t>6</w:t>
      </w:r>
      <w:r w:rsidR="006A2934">
        <w:fldChar w:fldCharType="end"/>
      </w:r>
      <w:r w:rsidR="006A2934">
        <w:t>.</w:t>
      </w:r>
      <w:r w:rsidR="008875A8">
        <w:fldChar w:fldCharType="begin"/>
      </w:r>
      <w:r w:rsidR="008875A8">
        <w:instrText xml:space="preserve"> SEQ Figure \* ARABIC \s 1 </w:instrText>
      </w:r>
      <w:r w:rsidR="008875A8">
        <w:fldChar w:fldCharType="separate"/>
      </w:r>
      <w:r w:rsidR="00D32536">
        <w:rPr>
          <w:noProof/>
        </w:rPr>
        <w:t>2</w:t>
      </w:r>
      <w:r w:rsidR="008875A8">
        <w:fldChar w:fldCharType="end"/>
      </w:r>
      <w:bookmarkEnd w:id="92"/>
      <w:r>
        <w:t xml:space="preserve"> </w:t>
      </w:r>
      <w:r w:rsidR="007C529B">
        <w:t>Illustrative t</w:t>
      </w:r>
      <w:r w:rsidR="003B259D">
        <w:t xml:space="preserve">ime horizon </w:t>
      </w:r>
      <w:r w:rsidR="000E2A3A">
        <w:t>for benefits realisation</w:t>
      </w:r>
    </w:p>
    <w:p w14:paraId="633A24C9" w14:textId="4292ADB1" w:rsidR="00BB31EC" w:rsidRDefault="001311A0" w:rsidP="00BB31EC">
      <w:r w:rsidRPr="001311A0">
        <w:rPr>
          <w:noProof/>
        </w:rPr>
        <w:drawing>
          <wp:inline distT="0" distB="0" distL="0" distR="0" wp14:anchorId="1ED9A350" wp14:editId="15D95618">
            <wp:extent cx="6319520" cy="2047240"/>
            <wp:effectExtent l="0" t="0" r="5080" b="0"/>
            <wp:docPr id="12" name="Picture 12" descr="This diagram has three rows showing the three cohorts analysed in the cost-benefit analysis - those admitted in FY2019-20, FY2020-21 and FY2021-22. For each cohort, benefits are assigned across a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diagram has three rows showing the three cohorts analysed in the cost-benefit analysis - those admitted in FY2019-20, FY2020-21 and FY2021-22. For each cohort, benefits are assigned across a timeli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19520" cy="2047240"/>
                    </a:xfrm>
                    <a:prstGeom prst="rect">
                      <a:avLst/>
                    </a:prstGeom>
                    <a:noFill/>
                    <a:ln>
                      <a:noFill/>
                    </a:ln>
                  </pic:spPr>
                </pic:pic>
              </a:graphicData>
            </a:graphic>
          </wp:inline>
        </w:drawing>
      </w:r>
    </w:p>
    <w:p w14:paraId="02150404" w14:textId="0439AF92" w:rsidR="001470EA" w:rsidRPr="009847EB" w:rsidRDefault="001470EA" w:rsidP="001470EA">
      <w:pPr>
        <w:spacing w:after="0"/>
        <w:rPr>
          <w:color w:val="53565A" w:themeColor="background2"/>
          <w:sz w:val="16"/>
          <w:szCs w:val="18"/>
        </w:rPr>
      </w:pPr>
      <w:r w:rsidRPr="009847EB">
        <w:rPr>
          <w:color w:val="53565A" w:themeColor="background2"/>
          <w:sz w:val="16"/>
          <w:szCs w:val="18"/>
        </w:rPr>
        <w:t>Source: Deloitte Access Economics.</w:t>
      </w:r>
    </w:p>
    <w:p w14:paraId="6A87D400" w14:textId="77777777" w:rsidR="00072AD3" w:rsidRPr="009847EB" w:rsidRDefault="00072AD3" w:rsidP="001470EA">
      <w:pPr>
        <w:spacing w:after="0"/>
        <w:rPr>
          <w:color w:val="53565A" w:themeColor="background2"/>
          <w:sz w:val="16"/>
          <w:szCs w:val="18"/>
        </w:rPr>
      </w:pPr>
    </w:p>
    <w:p w14:paraId="7F696424" w14:textId="75657F3D" w:rsidR="00877D60" w:rsidRDefault="00216B21" w:rsidP="009A7748">
      <w:pPr>
        <w:pStyle w:val="Heading3"/>
        <w:spacing w:after="0"/>
      </w:pPr>
      <w:r>
        <w:t>Defining the comparator case (usual care)</w:t>
      </w:r>
    </w:p>
    <w:p w14:paraId="01A79CEE" w14:textId="02450E13" w:rsidR="00D50C84" w:rsidRDefault="00CE1B04" w:rsidP="00432585">
      <w:r>
        <w:t xml:space="preserve">From NBA referral data and stakeholder consultation, </w:t>
      </w:r>
      <w:r w:rsidR="006D3171">
        <w:t xml:space="preserve">the two main referral sources </w:t>
      </w:r>
      <w:r w:rsidR="007C2DA8">
        <w:t xml:space="preserve">identified for the Program </w:t>
      </w:r>
      <w:r w:rsidR="006D3171">
        <w:t xml:space="preserve">were </w:t>
      </w:r>
      <w:r w:rsidR="00176FDF">
        <w:t>inpatient</w:t>
      </w:r>
      <w:r w:rsidR="005B4E76">
        <w:t xml:space="preserve"> hospital settings</w:t>
      </w:r>
      <w:r w:rsidR="00B66CC7">
        <w:t xml:space="preserve"> and </w:t>
      </w:r>
      <w:r w:rsidR="005B4E76">
        <w:t xml:space="preserve">mainstream RACFs. </w:t>
      </w:r>
      <w:r w:rsidR="007845FC">
        <w:t xml:space="preserve">These two </w:t>
      </w:r>
      <w:r w:rsidR="00F62936">
        <w:t>models of care have significantly different underlying cost</w:t>
      </w:r>
      <w:r w:rsidR="00F507D9">
        <w:t xml:space="preserve"> structures</w:t>
      </w:r>
      <w:r w:rsidR="00901A73">
        <w:t>,</w:t>
      </w:r>
      <w:r w:rsidR="00B66CC7">
        <w:t xml:space="preserve"> </w:t>
      </w:r>
      <w:r w:rsidR="00901A73">
        <w:t>and as such</w:t>
      </w:r>
      <w:r w:rsidR="00F507D9">
        <w:t xml:space="preserve"> </w:t>
      </w:r>
      <w:r w:rsidR="00A5539E">
        <w:t xml:space="preserve">transfer into the Program would be expected to produce </w:t>
      </w:r>
      <w:r w:rsidR="00901A73">
        <w:t>distinct sets of incremental costs and benefits</w:t>
      </w:r>
      <w:r w:rsidR="002F6FE1">
        <w:t>.</w:t>
      </w:r>
      <w:r w:rsidR="00DC3828">
        <w:t xml:space="preserve"> </w:t>
      </w:r>
      <w:r w:rsidR="00577E51">
        <w:t xml:space="preserve">The model framework depicting these </w:t>
      </w:r>
      <w:r w:rsidR="00815AA9">
        <w:t xml:space="preserve">impacts is shown in </w:t>
      </w:r>
      <w:r w:rsidR="000217E8">
        <w:fldChar w:fldCharType="begin"/>
      </w:r>
      <w:r w:rsidR="000217E8">
        <w:instrText xml:space="preserve"> REF _Ref125367893 \h </w:instrText>
      </w:r>
      <w:r w:rsidR="000217E8">
        <w:fldChar w:fldCharType="separate"/>
      </w:r>
      <w:r w:rsidR="00D32536">
        <w:t xml:space="preserve">Figure </w:t>
      </w:r>
      <w:r w:rsidR="00D32536">
        <w:rPr>
          <w:noProof/>
        </w:rPr>
        <w:t>6</w:t>
      </w:r>
      <w:r w:rsidR="00D32536">
        <w:t>.</w:t>
      </w:r>
      <w:r w:rsidR="00D32536">
        <w:rPr>
          <w:noProof/>
        </w:rPr>
        <w:t>3</w:t>
      </w:r>
      <w:r w:rsidR="000217E8">
        <w:fldChar w:fldCharType="end"/>
      </w:r>
      <w:r w:rsidR="000217E8">
        <w:t>.</w:t>
      </w:r>
    </w:p>
    <w:p w14:paraId="7F7B9182" w14:textId="578DD415" w:rsidR="000217E8" w:rsidRDefault="003F4505" w:rsidP="000217E8">
      <w:pPr>
        <w:pStyle w:val="Caption"/>
      </w:pPr>
      <w:bookmarkStart w:id="93" w:name="_Ref125367893"/>
      <w:r>
        <w:t>Figure</w:t>
      </w:r>
      <w:r w:rsidR="00D50C84">
        <w:t xml:space="preserve"> </w:t>
      </w:r>
      <w:r w:rsidR="00915F8B">
        <w:fldChar w:fldCharType="begin"/>
      </w:r>
      <w:r w:rsidR="00915F8B">
        <w:instrText xml:space="preserve"> STYLEREF 1 \s </w:instrText>
      </w:r>
      <w:r w:rsidR="00915F8B">
        <w:fldChar w:fldCharType="separate"/>
      </w:r>
      <w:r w:rsidR="00D32536">
        <w:rPr>
          <w:noProof/>
        </w:rPr>
        <w:t>6</w:t>
      </w:r>
      <w:r w:rsidR="00915F8B">
        <w:fldChar w:fldCharType="end"/>
      </w:r>
      <w:r w:rsidR="0019382D">
        <w:t>.</w:t>
      </w:r>
      <w:r w:rsidR="008875A8">
        <w:fldChar w:fldCharType="begin"/>
      </w:r>
      <w:r w:rsidR="008875A8">
        <w:instrText xml:space="preserve"> SEQ Figure \* ARABIC \s 1 </w:instrText>
      </w:r>
      <w:r w:rsidR="008875A8">
        <w:fldChar w:fldCharType="separate"/>
      </w:r>
      <w:r w:rsidR="00D32536">
        <w:rPr>
          <w:noProof/>
        </w:rPr>
        <w:t>3</w:t>
      </w:r>
      <w:r w:rsidR="008875A8">
        <w:fldChar w:fldCharType="end"/>
      </w:r>
      <w:bookmarkEnd w:id="93"/>
      <w:r w:rsidR="000217E8">
        <w:t xml:space="preserve"> Cost-benefit analysis framework – incremental monetisable benefits and costs associated with delivering the Program</w:t>
      </w:r>
    </w:p>
    <w:p w14:paraId="3F205961" w14:textId="3873FF73" w:rsidR="00815AA9" w:rsidRDefault="00373E65" w:rsidP="00432585">
      <w:r>
        <w:rPr>
          <w:noProof/>
        </w:rPr>
        <w:drawing>
          <wp:inline distT="0" distB="0" distL="0" distR="0" wp14:anchorId="1C8E4D2D" wp14:editId="19546ABF">
            <wp:extent cx="6466386" cy="2942847"/>
            <wp:effectExtent l="0" t="0" r="0" b="0"/>
            <wp:docPr id="4" name="Picture 4" descr="This diagram shows the two subgroups within the base case, and the incremental benefits and incremental costs assigned to each subgroup. This diagram is explained in the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diagram shows the two subgroups within the base case, and the incremental benefits and incremental costs assigned to each subgroup. This diagram is explained in the text below.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5031" cy="2946781"/>
                    </a:xfrm>
                    <a:prstGeom prst="rect">
                      <a:avLst/>
                    </a:prstGeom>
                    <a:noFill/>
                  </pic:spPr>
                </pic:pic>
              </a:graphicData>
            </a:graphic>
          </wp:inline>
        </w:drawing>
      </w:r>
    </w:p>
    <w:p w14:paraId="7715D93B" w14:textId="77777777" w:rsidR="00A5459D" w:rsidRDefault="00A5459D" w:rsidP="00F66D33">
      <w:pPr>
        <w:pStyle w:val="SourcetextTableorChart"/>
        <w:spacing w:after="0"/>
      </w:pPr>
      <w:r>
        <w:t xml:space="preserve">Source: Deloitte Access Economics. </w:t>
      </w:r>
    </w:p>
    <w:p w14:paraId="616D8520" w14:textId="77777777" w:rsidR="00BE0D7F" w:rsidRPr="00BE0D7F" w:rsidRDefault="00BE0D7F" w:rsidP="00432585"/>
    <w:p w14:paraId="2D6D9B0F" w14:textId="2CDAD015" w:rsidR="0097759D" w:rsidRDefault="007D62F9" w:rsidP="00432585">
      <w:r>
        <w:t xml:space="preserve">For Subgroup A, it was assumed that in the absence of the Program the </w:t>
      </w:r>
      <w:r w:rsidR="00F81532">
        <w:t>patient would have remained in long-stay psychogeriatric care</w:t>
      </w:r>
      <w:r w:rsidR="00634D5B">
        <w:t xml:space="preserve">. </w:t>
      </w:r>
      <w:r w:rsidR="005F6E7F">
        <w:t xml:space="preserve">By </w:t>
      </w:r>
      <w:r w:rsidR="00D4209D">
        <w:t>receiving care in an SDCU</w:t>
      </w:r>
      <w:r w:rsidR="001046FA">
        <w:t xml:space="preserve">, the incremental benefit </w:t>
      </w:r>
      <w:r w:rsidR="009C71F8">
        <w:t>is a released</w:t>
      </w:r>
      <w:r w:rsidR="00BF50AA">
        <w:t xml:space="preserve"> long-stay psychogeriatric care bed to the hospital system which </w:t>
      </w:r>
      <w:r w:rsidR="000A5B7E">
        <w:t xml:space="preserve">is </w:t>
      </w:r>
      <w:r w:rsidR="00677DA6">
        <w:t>likely</w:t>
      </w:r>
      <w:r w:rsidR="000A5B7E">
        <w:t xml:space="preserve"> to be filled by latent demand within the community</w:t>
      </w:r>
      <w:r w:rsidR="00565AF3">
        <w:t>.</w:t>
      </w:r>
      <w:r w:rsidR="00837D44" w:rsidRPr="00837D44">
        <w:t xml:space="preserve"> </w:t>
      </w:r>
      <w:r w:rsidR="00331127">
        <w:t xml:space="preserve">The incremental costs for this sub-group are the </w:t>
      </w:r>
      <w:r w:rsidR="009D5520">
        <w:t xml:space="preserve">Program costs provided to the SDCU provider and </w:t>
      </w:r>
      <w:r w:rsidR="00D74272">
        <w:t>Commonwealth</w:t>
      </w:r>
      <w:r w:rsidR="009D5520">
        <w:t xml:space="preserve"> and residents contributions to the </w:t>
      </w:r>
      <w:r w:rsidR="00D74272">
        <w:t>daily cost of aged care.</w:t>
      </w:r>
    </w:p>
    <w:p w14:paraId="067E45E9" w14:textId="01906505" w:rsidR="00A5459D" w:rsidRDefault="00F84E61" w:rsidP="00432585">
      <w:r>
        <w:t xml:space="preserve">For Subgroup B, </w:t>
      </w:r>
      <w:r w:rsidR="009535F3">
        <w:t>it was assumed that</w:t>
      </w:r>
      <w:r w:rsidR="00370867">
        <w:t xml:space="preserve"> in the absence of the Program, the</w:t>
      </w:r>
      <w:r w:rsidR="009535F3">
        <w:t xml:space="preserve"> mainstream</w:t>
      </w:r>
      <w:r w:rsidR="003B3E85">
        <w:t xml:space="preserve"> referring</w:t>
      </w:r>
      <w:r w:rsidR="009535F3">
        <w:t xml:space="preserve"> RACF </w:t>
      </w:r>
      <w:r w:rsidR="00370867">
        <w:t>would be the</w:t>
      </w:r>
      <w:r w:rsidR="00B77368">
        <w:t xml:space="preserve"> </w:t>
      </w:r>
      <w:r w:rsidR="00072D81">
        <w:t>resident’s</w:t>
      </w:r>
      <w:r w:rsidR="00B77368">
        <w:t xml:space="preserve"> </w:t>
      </w:r>
      <w:r w:rsidR="00072D81">
        <w:t>primary</w:t>
      </w:r>
      <w:r w:rsidR="00B77368">
        <w:t xml:space="preserve"> care</w:t>
      </w:r>
      <w:r w:rsidR="003B3E85">
        <w:t xml:space="preserve"> setting</w:t>
      </w:r>
      <w:r w:rsidR="00CB183C">
        <w:t>.</w:t>
      </w:r>
      <w:r>
        <w:t xml:space="preserve"> </w:t>
      </w:r>
      <w:r w:rsidR="00A53135">
        <w:t>I</w:t>
      </w:r>
      <w:r w:rsidR="00072D81">
        <w:t xml:space="preserve">n such a case, it is assumed that due to </w:t>
      </w:r>
      <w:r w:rsidR="00F04671">
        <w:t xml:space="preserve">exacerbations of BPSD </w:t>
      </w:r>
      <w:r w:rsidR="00C40F6E">
        <w:t>unable to be managed by the</w:t>
      </w:r>
      <w:r w:rsidR="00673789">
        <w:t xml:space="preserve"> </w:t>
      </w:r>
      <w:r w:rsidR="00072D81">
        <w:t xml:space="preserve">mainstream </w:t>
      </w:r>
      <w:r w:rsidR="00673789">
        <w:t>RACF</w:t>
      </w:r>
      <w:r w:rsidR="00F04671">
        <w:t xml:space="preserve">, </w:t>
      </w:r>
      <w:r w:rsidR="003B3E85">
        <w:t xml:space="preserve">the resident would </w:t>
      </w:r>
      <w:r w:rsidR="00F04671">
        <w:t>requir</w:t>
      </w:r>
      <w:r w:rsidR="003B3E85">
        <w:t>e</w:t>
      </w:r>
      <w:r w:rsidR="00F04671">
        <w:t xml:space="preserve"> </w:t>
      </w:r>
      <w:r w:rsidR="00C40F6E">
        <w:t xml:space="preserve">periodic hospitalisations </w:t>
      </w:r>
      <w:r w:rsidR="003B3E85">
        <w:t>– hosp</w:t>
      </w:r>
      <w:r w:rsidR="007D50A7">
        <w:t>i</w:t>
      </w:r>
      <w:r w:rsidR="003B3E85">
        <w:t>talisation that would not be required if receiving care in an SDCU</w:t>
      </w:r>
      <w:r w:rsidR="00C40F6E">
        <w:t xml:space="preserve">. </w:t>
      </w:r>
      <w:r w:rsidR="00673789">
        <w:t>The</w:t>
      </w:r>
      <w:r w:rsidR="00D5580F">
        <w:t xml:space="preserve"> incremental</w:t>
      </w:r>
      <w:r w:rsidR="00673789">
        <w:t xml:space="preserve"> reduction in </w:t>
      </w:r>
      <w:r w:rsidR="00D5580F">
        <w:t>ambulance incidents, ED presentations and unplanned admissions</w:t>
      </w:r>
      <w:r w:rsidR="00673789">
        <w:t xml:space="preserve"> </w:t>
      </w:r>
      <w:r w:rsidR="00904F6C">
        <w:t xml:space="preserve">are therefore </w:t>
      </w:r>
      <w:r w:rsidR="00D5580F">
        <w:t>able to be monetised</w:t>
      </w:r>
      <w:r w:rsidR="00DD2ECB">
        <w:t xml:space="preserve"> as benefits</w:t>
      </w:r>
      <w:r w:rsidR="00D5580F">
        <w:t xml:space="preserve">. Additionally, transfer of the </w:t>
      </w:r>
      <w:r w:rsidR="009C02A5">
        <w:t xml:space="preserve">resident from </w:t>
      </w:r>
      <w:r w:rsidR="008465F6">
        <w:t xml:space="preserve">the </w:t>
      </w:r>
      <w:r w:rsidR="002142C1">
        <w:t>mainstream</w:t>
      </w:r>
      <w:r w:rsidR="009C02A5">
        <w:t xml:space="preserve"> RACF </w:t>
      </w:r>
      <w:r w:rsidR="000A5B7E">
        <w:t xml:space="preserve">to the </w:t>
      </w:r>
      <w:r w:rsidR="002142C1">
        <w:t>SDCU</w:t>
      </w:r>
      <w:r w:rsidR="000A5B7E">
        <w:t xml:space="preserve"> </w:t>
      </w:r>
      <w:r w:rsidR="009C02A5">
        <w:t>also releases one aged care place</w:t>
      </w:r>
      <w:r w:rsidR="00C5313C">
        <w:t xml:space="preserve">, which is </w:t>
      </w:r>
      <w:r w:rsidR="000A5B7E">
        <w:t xml:space="preserve">similarly </w:t>
      </w:r>
      <w:r w:rsidR="00C5313C">
        <w:t>assumed to be filled by latent demand.</w:t>
      </w:r>
      <w:r w:rsidR="00D74272">
        <w:t xml:space="preserve"> The incremental costs for this sub-group are only </w:t>
      </w:r>
      <w:r w:rsidR="00C3680E">
        <w:t xml:space="preserve">the </w:t>
      </w:r>
      <w:r w:rsidR="00D74272">
        <w:t>Program costs provided to the SDCU provider</w:t>
      </w:r>
      <w:r w:rsidR="00767F5F">
        <w:t>.</w:t>
      </w:r>
      <w:r w:rsidR="00767F5F">
        <w:rPr>
          <w:rStyle w:val="FootnoteReference"/>
        </w:rPr>
        <w:footnoteReference w:id="23"/>
      </w:r>
    </w:p>
    <w:p w14:paraId="40C651D9" w14:textId="7DA2C1E3" w:rsidR="009A7748" w:rsidRDefault="009A7748" w:rsidP="009A7748">
      <w:pPr>
        <w:pStyle w:val="Heading3"/>
        <w:spacing w:after="0"/>
      </w:pPr>
      <w:r>
        <w:t>Model schematic</w:t>
      </w:r>
    </w:p>
    <w:p w14:paraId="4C41F0D7" w14:textId="5050F523" w:rsidR="009A7748" w:rsidRDefault="00E97602" w:rsidP="009A7748">
      <w:r>
        <w:t xml:space="preserve">A </w:t>
      </w:r>
      <w:r w:rsidR="00EE4CB0">
        <w:t xml:space="preserve">decision-tree </w:t>
      </w:r>
      <w:r w:rsidR="006A2934">
        <w:t xml:space="preserve">depiction of the care pathways modelled to derive incremental costs and benefits associated with the Program is presented in </w:t>
      </w:r>
      <w:r w:rsidR="000217E8">
        <w:fldChar w:fldCharType="begin"/>
      </w:r>
      <w:r w:rsidR="000217E8">
        <w:instrText xml:space="preserve"> REF _Ref125367915 \h </w:instrText>
      </w:r>
      <w:r w:rsidR="000217E8">
        <w:fldChar w:fldCharType="separate"/>
      </w:r>
      <w:r w:rsidR="00D32536">
        <w:t xml:space="preserve">Figure </w:t>
      </w:r>
      <w:r w:rsidR="00D32536">
        <w:rPr>
          <w:noProof/>
        </w:rPr>
        <w:t>6</w:t>
      </w:r>
      <w:r w:rsidR="00D32536">
        <w:t>.</w:t>
      </w:r>
      <w:r w:rsidR="00D32536">
        <w:rPr>
          <w:noProof/>
        </w:rPr>
        <w:t>4</w:t>
      </w:r>
      <w:r w:rsidR="000217E8">
        <w:fldChar w:fldCharType="end"/>
      </w:r>
      <w:r w:rsidR="007755D6">
        <w:t xml:space="preserve">. The probabilities attached to each pathway were informed by SDCU </w:t>
      </w:r>
      <w:r w:rsidR="007B7BD6">
        <w:t>admission and discharge data for the period FY2019-</w:t>
      </w:r>
      <w:r w:rsidR="0054018F">
        <w:t>2</w:t>
      </w:r>
      <w:r w:rsidR="00D77EF4">
        <w:t>2</w:t>
      </w:r>
      <w:r w:rsidR="0054018F">
        <w:t>.</w:t>
      </w:r>
      <w:r w:rsidR="00DC1660">
        <w:t xml:space="preserve"> </w:t>
      </w:r>
    </w:p>
    <w:p w14:paraId="6721E9D3" w14:textId="6142055C" w:rsidR="006A2934" w:rsidRDefault="006A2934" w:rsidP="006A2934">
      <w:pPr>
        <w:pStyle w:val="Caption"/>
      </w:pPr>
      <w:bookmarkStart w:id="94" w:name="_Ref125367915"/>
      <w:r>
        <w:t xml:space="preserve">Figure </w:t>
      </w:r>
      <w:r>
        <w:fldChar w:fldCharType="begin"/>
      </w:r>
      <w:r>
        <w:instrText xml:space="preserve"> STYLEREF 1 \s </w:instrText>
      </w:r>
      <w:r>
        <w:fldChar w:fldCharType="separate"/>
      </w:r>
      <w:r w:rsidR="00D32536">
        <w:rPr>
          <w:noProof/>
        </w:rPr>
        <w:t>6</w:t>
      </w:r>
      <w:r>
        <w:fldChar w:fldCharType="end"/>
      </w:r>
      <w:r>
        <w:t>.</w:t>
      </w:r>
      <w:r w:rsidR="008875A8">
        <w:fldChar w:fldCharType="begin"/>
      </w:r>
      <w:r w:rsidR="008875A8">
        <w:instrText xml:space="preserve"> SEQ Figure \* ARABIC \s 1 </w:instrText>
      </w:r>
      <w:r w:rsidR="008875A8">
        <w:fldChar w:fldCharType="separate"/>
      </w:r>
      <w:r w:rsidR="00D32536">
        <w:rPr>
          <w:noProof/>
        </w:rPr>
        <w:t>4</w:t>
      </w:r>
      <w:r w:rsidR="008875A8">
        <w:fldChar w:fldCharType="end"/>
      </w:r>
      <w:bookmarkEnd w:id="94"/>
      <w:r>
        <w:t xml:space="preserve"> </w:t>
      </w:r>
      <w:r w:rsidR="00EE4CB0">
        <w:t>Decision-tree s</w:t>
      </w:r>
      <w:r w:rsidR="007755D6">
        <w:t>chematic</w:t>
      </w:r>
      <w:r w:rsidR="00F76F66">
        <w:t xml:space="preserve"> of care pathways modelled</w:t>
      </w:r>
    </w:p>
    <w:p w14:paraId="7FBDD4D6" w14:textId="4BE5F5B1" w:rsidR="007755D6" w:rsidRDefault="00D04B9C" w:rsidP="007755D6">
      <w:r w:rsidRPr="00D04B9C">
        <w:rPr>
          <w:noProof/>
        </w:rPr>
        <w:drawing>
          <wp:inline distT="0" distB="0" distL="0" distR="0" wp14:anchorId="328D0A8E" wp14:editId="747D0420">
            <wp:extent cx="6319520" cy="2955290"/>
            <wp:effectExtent l="0" t="0" r="5080" b="0"/>
            <wp:docPr id="26" name="Picture 26" descr="This diagram shows a decision tree of the program cohort, as it moves through the intervention case and the comparator 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diagram shows a decision tree of the program cohort, as it moves through the intervention case and the comparator cas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19520" cy="2955290"/>
                    </a:xfrm>
                    <a:prstGeom prst="rect">
                      <a:avLst/>
                    </a:prstGeom>
                    <a:noFill/>
                    <a:ln>
                      <a:noFill/>
                    </a:ln>
                  </pic:spPr>
                </pic:pic>
              </a:graphicData>
            </a:graphic>
          </wp:inline>
        </w:drawing>
      </w:r>
    </w:p>
    <w:p w14:paraId="17EB1001" w14:textId="77777777" w:rsidR="00DD44C3" w:rsidRPr="009847EB" w:rsidRDefault="00DD44C3" w:rsidP="00DD44C3">
      <w:pPr>
        <w:spacing w:after="0"/>
        <w:rPr>
          <w:color w:val="53565A" w:themeColor="background2"/>
          <w:sz w:val="16"/>
          <w:szCs w:val="18"/>
        </w:rPr>
      </w:pPr>
      <w:r w:rsidRPr="009847EB">
        <w:rPr>
          <w:color w:val="53565A" w:themeColor="background2"/>
          <w:sz w:val="16"/>
          <w:szCs w:val="18"/>
        </w:rPr>
        <w:t>Source: Deloitte Access Economics.</w:t>
      </w:r>
    </w:p>
    <w:p w14:paraId="41CF9DE0" w14:textId="7D21AB5D" w:rsidR="00DD44C3" w:rsidRPr="00DD44C3" w:rsidRDefault="00DD44C3" w:rsidP="007755D6">
      <w:pPr>
        <w:rPr>
          <w:color w:val="53565A" w:themeColor="background2"/>
          <w:sz w:val="16"/>
          <w:szCs w:val="18"/>
        </w:rPr>
      </w:pPr>
      <w:r w:rsidRPr="009847EB">
        <w:rPr>
          <w:color w:val="53565A" w:themeColor="background2"/>
          <w:sz w:val="16"/>
          <w:szCs w:val="18"/>
        </w:rPr>
        <w:t xml:space="preserve">Note i: </w:t>
      </w:r>
      <w:r>
        <w:rPr>
          <w:color w:val="53565A" w:themeColor="background2"/>
          <w:sz w:val="16"/>
          <w:szCs w:val="18"/>
        </w:rPr>
        <w:t xml:space="preserve">Probabilities informed by SDCU admission and discharge data. </w:t>
      </w:r>
      <w:r w:rsidR="009A0D2E">
        <w:rPr>
          <w:color w:val="53565A" w:themeColor="background2"/>
          <w:sz w:val="16"/>
          <w:szCs w:val="18"/>
        </w:rPr>
        <w:t xml:space="preserve">Assumptions on </w:t>
      </w:r>
      <w:r w:rsidR="00AE3AA8">
        <w:rPr>
          <w:color w:val="53565A" w:themeColor="background2"/>
          <w:sz w:val="16"/>
          <w:szCs w:val="18"/>
        </w:rPr>
        <w:t>long-term care settings informed by stakeholder consul</w:t>
      </w:r>
      <w:r w:rsidR="006F1DEF">
        <w:rPr>
          <w:color w:val="53565A" w:themeColor="background2"/>
          <w:sz w:val="16"/>
          <w:szCs w:val="18"/>
        </w:rPr>
        <w:t>tation.</w:t>
      </w:r>
    </w:p>
    <w:p w14:paraId="6827B5D8" w14:textId="3D890B41" w:rsidR="004B705F" w:rsidRDefault="00D11E2D" w:rsidP="009A7748">
      <w:pPr>
        <w:pStyle w:val="Heading3"/>
        <w:spacing w:after="0"/>
      </w:pPr>
      <w:r>
        <w:t>Monetised benefits</w:t>
      </w:r>
      <w:r w:rsidR="00E94DE4">
        <w:t xml:space="preserve"> and costs</w:t>
      </w:r>
    </w:p>
    <w:p w14:paraId="3E588959" w14:textId="3F37B3F3" w:rsidR="004B705F" w:rsidRDefault="00DF42B7" w:rsidP="003D3C80">
      <w:r>
        <w:t>Monetised</w:t>
      </w:r>
      <w:r w:rsidR="008321EA">
        <w:t xml:space="preserve"> incremental</w:t>
      </w:r>
      <w:r>
        <w:t xml:space="preserve"> benefits of the Program</w:t>
      </w:r>
      <w:r w:rsidR="003674BC">
        <w:t xml:space="preserve"> primarily relate to </w:t>
      </w:r>
      <w:r w:rsidR="00E04850">
        <w:t>avoided unplanned hospital care, as well as the released capacity that the Program creates</w:t>
      </w:r>
      <w:r w:rsidR="003B5BC4">
        <w:t xml:space="preserve"> </w:t>
      </w:r>
      <w:r w:rsidR="00902E88">
        <w:t xml:space="preserve">in long-stay psychogeriatric care and </w:t>
      </w:r>
      <w:r w:rsidR="00E26D1F">
        <w:t>residential aged care</w:t>
      </w:r>
      <w:r w:rsidR="00F445B1">
        <w:t xml:space="preserve">. Given the </w:t>
      </w:r>
      <w:r w:rsidR="00F24FCC">
        <w:t xml:space="preserve">latent demand present in the health </w:t>
      </w:r>
      <w:r w:rsidR="00F94243">
        <w:t xml:space="preserve">and aged care </w:t>
      </w:r>
      <w:r w:rsidR="00F24FCC">
        <w:t xml:space="preserve">system for </w:t>
      </w:r>
      <w:r w:rsidR="00A14E7B">
        <w:t xml:space="preserve">these </w:t>
      </w:r>
      <w:r w:rsidR="008A4354">
        <w:t>places</w:t>
      </w:r>
      <w:r w:rsidR="00F24FCC">
        <w:t xml:space="preserve">, it is assumed that </w:t>
      </w:r>
      <w:r w:rsidR="00DA5F0A">
        <w:t>the</w:t>
      </w:r>
      <w:r w:rsidR="008A4354">
        <w:t xml:space="preserve">y </w:t>
      </w:r>
      <w:r w:rsidR="00D95218">
        <w:t>will be occupied by another member of the community. As such, released capacity i</w:t>
      </w:r>
      <w:r w:rsidR="006A47AC">
        <w:t>s an efficiency benefit</w:t>
      </w:r>
      <w:r w:rsidR="00423BF0">
        <w:t xml:space="preserve"> as it allows </w:t>
      </w:r>
      <w:r w:rsidR="00220FA4">
        <w:t xml:space="preserve">more </w:t>
      </w:r>
      <w:r w:rsidR="009146F4">
        <w:t>community demand to be met</w:t>
      </w:r>
      <w:r w:rsidR="007760D1">
        <w:t xml:space="preserve">. Released capacity is valued at the funding </w:t>
      </w:r>
      <w:r w:rsidR="00866150">
        <w:t xml:space="preserve">provided for the </w:t>
      </w:r>
      <w:r w:rsidR="00FB0708">
        <w:t>place</w:t>
      </w:r>
      <w:r w:rsidR="00866150">
        <w:t>, howe</w:t>
      </w:r>
      <w:r w:rsidR="008E709A">
        <w:t>ver i</w:t>
      </w:r>
      <w:r w:rsidR="00423BF0">
        <w:t>t is not a “cashable” saving</w:t>
      </w:r>
      <w:r w:rsidR="001911A6">
        <w:t xml:space="preserve"> to the health </w:t>
      </w:r>
      <w:r w:rsidR="00101B63">
        <w:t xml:space="preserve">and aged </w:t>
      </w:r>
      <w:r w:rsidR="001911A6">
        <w:t>care system</w:t>
      </w:r>
      <w:r w:rsidR="008E709A">
        <w:t>.</w:t>
      </w:r>
      <w:r w:rsidR="00301C36">
        <w:rPr>
          <w:rStyle w:val="FootnoteReference"/>
        </w:rPr>
        <w:footnoteReference w:id="24"/>
      </w:r>
      <w:r w:rsidR="00BD3F4F">
        <w:t xml:space="preserve"> As stated in Section </w:t>
      </w:r>
      <w:r w:rsidR="00F310B0">
        <w:fldChar w:fldCharType="begin"/>
      </w:r>
      <w:r w:rsidR="00F310B0">
        <w:instrText xml:space="preserve"> REF _Ref123810958 \r \h </w:instrText>
      </w:r>
      <w:r w:rsidR="00F310B0">
        <w:fldChar w:fldCharType="separate"/>
      </w:r>
      <w:r w:rsidR="00D32536">
        <w:t>1.4</w:t>
      </w:r>
      <w:r w:rsidR="00F310B0">
        <w:fldChar w:fldCharType="end"/>
      </w:r>
      <w:r w:rsidR="00BD3F4F">
        <w:t xml:space="preserve">, </w:t>
      </w:r>
      <w:r w:rsidR="00C331F0">
        <w:t>the monetisation of Program</w:t>
      </w:r>
      <w:r w:rsidR="00BD3F4F">
        <w:t xml:space="preserve"> </w:t>
      </w:r>
      <w:r w:rsidR="00811574">
        <w:t xml:space="preserve">benefits post-participation was </w:t>
      </w:r>
      <w:r w:rsidR="00BC26B8">
        <w:t xml:space="preserve">undertaken as a </w:t>
      </w:r>
      <w:r w:rsidR="00481BAD">
        <w:t>modelled</w:t>
      </w:r>
      <w:r w:rsidR="00BC26B8">
        <w:t xml:space="preserve"> scenario, </w:t>
      </w:r>
      <w:r w:rsidR="00481BAD">
        <w:t>noting that</w:t>
      </w:r>
      <w:r w:rsidR="00BC26B8">
        <w:t xml:space="preserve"> post-Program </w:t>
      </w:r>
      <w:r w:rsidR="00D719E2">
        <w:t xml:space="preserve">data collection is required to validate </w:t>
      </w:r>
      <w:r w:rsidR="004209C9">
        <w:t>assumptions made</w:t>
      </w:r>
      <w:r w:rsidR="00BC26B8">
        <w:t xml:space="preserve">. </w:t>
      </w:r>
      <w:r w:rsidR="00C710ED">
        <w:t>More detail on the monetisation methodology for each identified incremental benefit is provided in Appendix C.</w:t>
      </w:r>
    </w:p>
    <w:p w14:paraId="3215B1B4" w14:textId="17B142A3" w:rsidR="00DE340F" w:rsidRPr="00DE340F" w:rsidRDefault="00F458C3" w:rsidP="00DE340F">
      <w:pPr>
        <w:pStyle w:val="ListBullet"/>
        <w:numPr>
          <w:ilvl w:val="0"/>
          <w:numId w:val="0"/>
        </w:numPr>
      </w:pPr>
      <w:r w:rsidRPr="000E058C">
        <w:t>Monetised</w:t>
      </w:r>
      <w:r w:rsidR="008321EA">
        <w:t xml:space="preserve"> incremental</w:t>
      </w:r>
      <w:r w:rsidRPr="000E058C">
        <w:t xml:space="preserve"> </w:t>
      </w:r>
      <w:r w:rsidR="00086134" w:rsidRPr="000E058C">
        <w:t xml:space="preserve">costs </w:t>
      </w:r>
      <w:r w:rsidR="004C6287" w:rsidRPr="000E058C">
        <w:t>of the Program</w:t>
      </w:r>
      <w:r w:rsidR="00086134" w:rsidRPr="000E058C">
        <w:t xml:space="preserve"> include Program costs</w:t>
      </w:r>
      <w:r w:rsidR="000E058C" w:rsidRPr="000E058C">
        <w:t xml:space="preserve"> (</w:t>
      </w:r>
      <w:r w:rsidR="000E058C">
        <w:t>establishment costs, top-up grant payments, transition payments (paid in advance), state/territory SDCP partnership payments (for in-reach clinician services), and NBA service payments</w:t>
      </w:r>
      <w:r w:rsidR="00400FA9" w:rsidRPr="00DE340F">
        <w:t>, as well as residential aged care costs for Subgroup</w:t>
      </w:r>
      <w:r w:rsidR="001806E5" w:rsidRPr="00DE340F">
        <w:t xml:space="preserve"> A</w:t>
      </w:r>
      <w:r w:rsidR="009677B3">
        <w:t>)</w:t>
      </w:r>
      <w:r w:rsidR="001806E5" w:rsidRPr="00DE340F">
        <w:t xml:space="preserve">. </w:t>
      </w:r>
      <w:r w:rsidR="008321EA">
        <w:t>More detail on the monetisation methodology for each identified incremental cost is provided in Appendix C.</w:t>
      </w:r>
    </w:p>
    <w:p w14:paraId="13071B4C" w14:textId="77777777" w:rsidR="00DE340F" w:rsidRDefault="00DE340F" w:rsidP="00DE340F">
      <w:pPr>
        <w:pStyle w:val="ListBullet"/>
        <w:numPr>
          <w:ilvl w:val="0"/>
          <w:numId w:val="0"/>
        </w:numPr>
        <w:rPr>
          <w:b/>
        </w:rPr>
      </w:pPr>
    </w:p>
    <w:p w14:paraId="0C4FB18F" w14:textId="10D1D0DD" w:rsidR="00E94DE4" w:rsidRPr="00DE340F" w:rsidRDefault="008024EF" w:rsidP="00DE340F">
      <w:pPr>
        <w:pStyle w:val="ListBullet"/>
        <w:numPr>
          <w:ilvl w:val="0"/>
          <w:numId w:val="0"/>
        </w:numPr>
      </w:pPr>
      <w:r>
        <w:t xml:space="preserve">The following limitation is noted: </w:t>
      </w:r>
      <w:r w:rsidR="006337DB" w:rsidRPr="00DE340F">
        <w:t>Subgroup A resides in hospital under the base case,</w:t>
      </w:r>
      <w:r w:rsidR="00E51BC1" w:rsidRPr="00DE340F">
        <w:t xml:space="preserve"> and </w:t>
      </w:r>
      <w:r w:rsidR="00E06FCC" w:rsidRPr="00DE340F">
        <w:t xml:space="preserve">it </w:t>
      </w:r>
      <w:r>
        <w:t>is thus likely</w:t>
      </w:r>
      <w:r w:rsidR="0028162C" w:rsidRPr="00DE340F">
        <w:t xml:space="preserve"> that</w:t>
      </w:r>
      <w:r w:rsidR="00CF15A0" w:rsidRPr="00DE340F">
        <w:t xml:space="preserve"> as a result of Program participation, there would b</w:t>
      </w:r>
      <w:r w:rsidR="0066729C" w:rsidRPr="00DE340F">
        <w:t xml:space="preserve">e </w:t>
      </w:r>
      <w:r w:rsidR="00B82752" w:rsidRPr="00DE340F">
        <w:t>a certain</w:t>
      </w:r>
      <w:r w:rsidR="0066729C" w:rsidRPr="00DE340F">
        <w:t xml:space="preserve"> number of BPSD</w:t>
      </w:r>
      <w:r w:rsidR="00B82752" w:rsidRPr="00DE340F">
        <w:t xml:space="preserve"> exacerbations which would require </w:t>
      </w:r>
      <w:r w:rsidR="00E755F0" w:rsidRPr="00DE340F">
        <w:t xml:space="preserve">hospital treatment (previously </w:t>
      </w:r>
      <w:r w:rsidR="00E7335C" w:rsidRPr="00DE340F">
        <w:t>treated on-site</w:t>
      </w:r>
      <w:r w:rsidR="00E755F0" w:rsidRPr="00DE340F">
        <w:t xml:space="preserve"> within the </w:t>
      </w:r>
      <w:r w:rsidR="00264448" w:rsidRPr="00DE340F">
        <w:t>comparator</w:t>
      </w:r>
      <w:r w:rsidR="00E755F0" w:rsidRPr="00DE340F">
        <w:t xml:space="preserve"> case)</w:t>
      </w:r>
      <w:r w:rsidR="00ED21E1" w:rsidRPr="00DE340F">
        <w:t>. These interventions would</w:t>
      </w:r>
      <w:r w:rsidR="00D652D5" w:rsidRPr="00DE340F">
        <w:t xml:space="preserve"> </w:t>
      </w:r>
      <w:r w:rsidR="006B1A48" w:rsidRPr="00DE340F">
        <w:t xml:space="preserve">therefore </w:t>
      </w:r>
      <w:r w:rsidR="008403A3" w:rsidRPr="00DE340F">
        <w:t xml:space="preserve">need to </w:t>
      </w:r>
      <w:r w:rsidR="006B1A48" w:rsidRPr="00DE340F">
        <w:t xml:space="preserve">be treated as monetised costs for </w:t>
      </w:r>
      <w:r w:rsidR="009F16E0" w:rsidRPr="00DE340F">
        <w:t xml:space="preserve">Subgroup A. </w:t>
      </w:r>
      <w:r w:rsidR="003D7A46" w:rsidRPr="00DE340F">
        <w:t xml:space="preserve">A </w:t>
      </w:r>
      <w:r w:rsidR="00C21D46" w:rsidRPr="00DE340F">
        <w:t xml:space="preserve">Program </w:t>
      </w:r>
      <w:r w:rsidR="003D7A46" w:rsidRPr="00DE340F">
        <w:t xml:space="preserve">rate of </w:t>
      </w:r>
      <w:r w:rsidR="00D814B2" w:rsidRPr="00DE340F">
        <w:t xml:space="preserve">BPSD-related </w:t>
      </w:r>
      <w:r w:rsidR="00460876" w:rsidRPr="00DE340F">
        <w:t>ED presentations was not able to be established</w:t>
      </w:r>
      <w:r w:rsidR="00B67BFF" w:rsidRPr="00DE340F">
        <w:t xml:space="preserve"> from clinical data, and the staff survey was phrased to </w:t>
      </w:r>
      <w:r w:rsidR="008C595C" w:rsidRPr="00DE340F">
        <w:t>ask about incremental changes</w:t>
      </w:r>
      <w:r w:rsidR="00850902" w:rsidRPr="00DE340F">
        <w:t xml:space="preserve"> in ED presentations, relative to mainstream RACF residency. As a result, </w:t>
      </w:r>
      <w:r w:rsidR="00994A4A" w:rsidRPr="00DE340F">
        <w:t>this monetised cost is not included for Subgroup A currently</w:t>
      </w:r>
      <w:r w:rsidR="008C595C" w:rsidRPr="00DE340F">
        <w:t>.</w:t>
      </w:r>
      <w:bookmarkStart w:id="95" w:name="_Ref123844148"/>
    </w:p>
    <w:p w14:paraId="34A80953" w14:textId="77777777" w:rsidR="009356D5" w:rsidRPr="009356D5" w:rsidRDefault="009356D5" w:rsidP="003B35B0">
      <w:pPr>
        <w:spacing w:after="0"/>
      </w:pPr>
    </w:p>
    <w:p w14:paraId="7BC791D8" w14:textId="08785B35" w:rsidR="00DE54BE" w:rsidRPr="009356D5" w:rsidRDefault="00D50DB9" w:rsidP="00ED40C0">
      <w:pPr>
        <w:pStyle w:val="Heading2"/>
        <w:spacing w:after="0"/>
        <w:ind w:left="578" w:hanging="578"/>
      </w:pPr>
      <w:r w:rsidRPr="009356D5">
        <w:t>Summary results</w:t>
      </w:r>
      <w:bookmarkEnd w:id="95"/>
    </w:p>
    <w:p w14:paraId="32FE8649" w14:textId="1B6DBA21" w:rsidR="00F846B4" w:rsidRDefault="00C54D7F" w:rsidP="00D50DB9">
      <w:pPr>
        <w:rPr>
          <w:lang w:val="en-AU"/>
        </w:rPr>
      </w:pPr>
      <w:r>
        <w:rPr>
          <w:lang w:val="en-AU"/>
        </w:rPr>
        <w:t xml:space="preserve">Summary results are presented </w:t>
      </w:r>
      <w:r w:rsidR="00025FFC">
        <w:rPr>
          <w:lang w:val="en-AU"/>
        </w:rPr>
        <w:t>using the following scenarios</w:t>
      </w:r>
      <w:r w:rsidR="001D2192">
        <w:rPr>
          <w:lang w:val="en-AU"/>
        </w:rPr>
        <w:t xml:space="preserve"> for the three time horizons described in </w:t>
      </w:r>
      <w:r w:rsidR="000217E8">
        <w:rPr>
          <w:lang w:val="en-AU"/>
        </w:rPr>
        <w:fldChar w:fldCharType="begin"/>
      </w:r>
      <w:r w:rsidR="000217E8">
        <w:rPr>
          <w:lang w:val="en-AU"/>
        </w:rPr>
        <w:instrText xml:space="preserve"> REF _Ref125367953 \h </w:instrText>
      </w:r>
      <w:r w:rsidR="000217E8">
        <w:rPr>
          <w:lang w:val="en-AU"/>
        </w:rPr>
      </w:r>
      <w:r w:rsidR="000217E8">
        <w:rPr>
          <w:lang w:val="en-AU"/>
        </w:rPr>
        <w:fldChar w:fldCharType="separate"/>
      </w:r>
      <w:r w:rsidR="00D32536">
        <w:t xml:space="preserve">Table </w:t>
      </w:r>
      <w:r w:rsidR="00D32536">
        <w:rPr>
          <w:noProof/>
        </w:rPr>
        <w:t>6</w:t>
      </w:r>
      <w:r w:rsidR="00D32536">
        <w:t>.</w:t>
      </w:r>
      <w:r w:rsidR="00D32536">
        <w:rPr>
          <w:noProof/>
        </w:rPr>
        <w:t>2</w:t>
      </w:r>
      <w:r w:rsidR="000217E8">
        <w:rPr>
          <w:lang w:val="en-AU"/>
        </w:rPr>
        <w:fldChar w:fldCharType="end"/>
      </w:r>
      <w:r w:rsidR="001D2192">
        <w:rPr>
          <w:lang w:val="en-AU"/>
        </w:rPr>
        <w:t>:</w:t>
      </w:r>
    </w:p>
    <w:p w14:paraId="13FE6A34" w14:textId="52536737" w:rsidR="009C654E" w:rsidRPr="00EE52F9" w:rsidRDefault="009B2A31" w:rsidP="00CF08D2">
      <w:pPr>
        <w:pStyle w:val="ListNumber"/>
        <w:numPr>
          <w:ilvl w:val="0"/>
          <w:numId w:val="38"/>
        </w:numPr>
        <w:spacing w:after="120"/>
        <w:ind w:left="357" w:hanging="357"/>
        <w:contextualSpacing w:val="0"/>
        <w:rPr>
          <w:rFonts w:asciiTheme="minorHAnsi" w:hAnsiTheme="minorHAnsi"/>
          <w:lang w:val="en-AU"/>
        </w:rPr>
      </w:pPr>
      <w:r w:rsidRPr="007269E7">
        <w:rPr>
          <w:rFonts w:cstheme="majorHAnsi"/>
          <w:b/>
          <w:lang w:val="en-AU"/>
        </w:rPr>
        <w:t>Optimised:</w:t>
      </w:r>
      <w:r w:rsidRPr="007269E7">
        <w:rPr>
          <w:rFonts w:asciiTheme="minorHAnsi" w:hAnsiTheme="minorHAnsi"/>
          <w:lang w:val="en-AU"/>
        </w:rPr>
        <w:t xml:space="preserve"> </w:t>
      </w:r>
      <w:r w:rsidR="006768C1" w:rsidRPr="007269E7">
        <w:rPr>
          <w:rFonts w:asciiTheme="minorHAnsi" w:hAnsiTheme="minorHAnsi"/>
          <w:lang w:val="en-AU"/>
        </w:rPr>
        <w:t xml:space="preserve">The Optimised </w:t>
      </w:r>
      <w:r w:rsidR="00EC34B2" w:rsidRPr="003A2032">
        <w:rPr>
          <w:rFonts w:asciiTheme="minorHAnsi" w:hAnsiTheme="minorHAnsi"/>
          <w:lang w:val="en-AU"/>
        </w:rPr>
        <w:t>Progr</w:t>
      </w:r>
      <w:r w:rsidR="00EC34B2" w:rsidRPr="000428DB">
        <w:rPr>
          <w:rFonts w:asciiTheme="minorHAnsi" w:hAnsiTheme="minorHAnsi"/>
          <w:lang w:val="en-AU"/>
        </w:rPr>
        <w:t>am BCR was calculated base</w:t>
      </w:r>
      <w:r w:rsidR="00EC34B2" w:rsidRPr="00EE52F9">
        <w:rPr>
          <w:rFonts w:asciiTheme="minorHAnsi" w:hAnsiTheme="minorHAnsi"/>
          <w:lang w:val="en-AU"/>
        </w:rPr>
        <w:t xml:space="preserve">d on </w:t>
      </w:r>
      <w:r w:rsidR="00962DF7" w:rsidRPr="00EE52F9">
        <w:rPr>
          <w:rFonts w:asciiTheme="minorHAnsi" w:hAnsiTheme="minorHAnsi"/>
          <w:lang w:val="en-AU"/>
        </w:rPr>
        <w:t>all four financial years of Program activity</w:t>
      </w:r>
      <w:r w:rsidR="00BB31E9" w:rsidRPr="00EE52F9">
        <w:rPr>
          <w:rFonts w:asciiTheme="minorHAnsi" w:hAnsiTheme="minorHAnsi"/>
          <w:lang w:val="en-AU"/>
        </w:rPr>
        <w:t xml:space="preserve">, the </w:t>
      </w:r>
      <w:r w:rsidR="00962DF7" w:rsidRPr="00EE52F9">
        <w:rPr>
          <w:rFonts w:asciiTheme="minorHAnsi" w:hAnsiTheme="minorHAnsi"/>
          <w:lang w:val="en-AU"/>
        </w:rPr>
        <w:t>observed Subgroup A/Subgroup B proportional split</w:t>
      </w:r>
      <w:r w:rsidR="00BB31E9" w:rsidRPr="00EE52F9">
        <w:rPr>
          <w:rFonts w:asciiTheme="minorHAnsi" w:hAnsiTheme="minorHAnsi"/>
          <w:lang w:val="en-AU"/>
        </w:rPr>
        <w:t xml:space="preserve"> and full </w:t>
      </w:r>
      <w:r w:rsidR="009C654E" w:rsidRPr="00EE52F9">
        <w:rPr>
          <w:rFonts w:asciiTheme="minorHAnsi" w:hAnsiTheme="minorHAnsi"/>
          <w:lang w:val="en-AU"/>
        </w:rPr>
        <w:t xml:space="preserve">Program </w:t>
      </w:r>
      <w:r w:rsidR="00BB31E9" w:rsidRPr="00EE52F9">
        <w:rPr>
          <w:rFonts w:asciiTheme="minorHAnsi" w:hAnsiTheme="minorHAnsi"/>
          <w:lang w:val="en-AU"/>
        </w:rPr>
        <w:t>occupancy</w:t>
      </w:r>
      <w:r w:rsidR="00962DF7" w:rsidRPr="00EE52F9">
        <w:rPr>
          <w:rFonts w:asciiTheme="minorHAnsi" w:hAnsiTheme="minorHAnsi"/>
          <w:lang w:val="en-AU"/>
        </w:rPr>
        <w:t>.</w:t>
      </w:r>
      <w:r w:rsidR="009C654E" w:rsidRPr="00EE52F9">
        <w:rPr>
          <w:rFonts w:asciiTheme="minorHAnsi" w:hAnsiTheme="minorHAnsi"/>
          <w:lang w:val="en-AU"/>
        </w:rPr>
        <w:t xml:space="preserve"> </w:t>
      </w:r>
      <w:r w:rsidR="00CB5478" w:rsidRPr="00EE52F9">
        <w:rPr>
          <w:rFonts w:asciiTheme="minorHAnsi" w:hAnsiTheme="minorHAnsi"/>
          <w:lang w:val="en-AU"/>
        </w:rPr>
        <w:t>This BCR is designed to inform an understanding of the</w:t>
      </w:r>
      <w:r w:rsidR="004619BE" w:rsidRPr="00EE52F9">
        <w:rPr>
          <w:rFonts w:asciiTheme="minorHAnsi" w:hAnsiTheme="minorHAnsi"/>
          <w:lang w:val="en-AU"/>
        </w:rPr>
        <w:t xml:space="preserve"> ceiling of </w:t>
      </w:r>
      <w:r w:rsidR="00B567DC" w:rsidRPr="00EE52F9">
        <w:rPr>
          <w:rFonts w:asciiTheme="minorHAnsi" w:hAnsiTheme="minorHAnsi"/>
          <w:lang w:val="en-AU"/>
        </w:rPr>
        <w:t>benefits able to be monetised</w:t>
      </w:r>
      <w:r w:rsidR="004619BE" w:rsidRPr="00EE52F9">
        <w:rPr>
          <w:rFonts w:asciiTheme="minorHAnsi" w:hAnsiTheme="minorHAnsi"/>
          <w:lang w:val="en-AU"/>
        </w:rPr>
        <w:t xml:space="preserve">, relative to </w:t>
      </w:r>
      <w:r w:rsidR="00775A2C" w:rsidRPr="00EE52F9">
        <w:rPr>
          <w:rFonts w:asciiTheme="minorHAnsi" w:hAnsiTheme="minorHAnsi"/>
          <w:lang w:val="en-AU"/>
        </w:rPr>
        <w:t>Program costs.</w:t>
      </w:r>
      <w:r w:rsidR="009823E8" w:rsidRPr="00EE52F9">
        <w:rPr>
          <w:rFonts w:asciiTheme="minorHAnsi" w:hAnsiTheme="minorHAnsi"/>
          <w:lang w:val="en-AU"/>
        </w:rPr>
        <w:t xml:space="preserve"> It </w:t>
      </w:r>
      <w:r w:rsidR="00EB07EA" w:rsidRPr="00EE52F9">
        <w:rPr>
          <w:rFonts w:asciiTheme="minorHAnsi" w:hAnsiTheme="minorHAnsi"/>
          <w:lang w:val="en-AU"/>
        </w:rPr>
        <w:t xml:space="preserve">is also provided to be conscious of contextual factors </w:t>
      </w:r>
      <w:r w:rsidR="00D07D15" w:rsidRPr="00EE52F9">
        <w:rPr>
          <w:rFonts w:asciiTheme="minorHAnsi" w:hAnsiTheme="minorHAnsi"/>
          <w:lang w:val="en-AU"/>
        </w:rPr>
        <w:t>during the Program implementation (e.g. COVID-19 and labour shortage</w:t>
      </w:r>
      <w:r w:rsidR="00DE33AA" w:rsidRPr="00EE52F9">
        <w:rPr>
          <w:rFonts w:asciiTheme="minorHAnsi" w:hAnsiTheme="minorHAnsi"/>
          <w:lang w:val="en-AU"/>
        </w:rPr>
        <w:t>s</w:t>
      </w:r>
      <w:r w:rsidR="00D07D15" w:rsidRPr="00EE52F9">
        <w:rPr>
          <w:rFonts w:asciiTheme="minorHAnsi" w:hAnsiTheme="minorHAnsi"/>
          <w:lang w:val="en-AU"/>
        </w:rPr>
        <w:t xml:space="preserve"> within the aged care industry) which may hav</w:t>
      </w:r>
      <w:r w:rsidR="00DE33AA" w:rsidRPr="00EE52F9">
        <w:rPr>
          <w:rFonts w:asciiTheme="minorHAnsi" w:hAnsiTheme="minorHAnsi"/>
          <w:lang w:val="en-AU"/>
        </w:rPr>
        <w:t xml:space="preserve">e </w:t>
      </w:r>
      <w:r w:rsidR="005C7501" w:rsidRPr="00EE52F9">
        <w:rPr>
          <w:rFonts w:asciiTheme="minorHAnsi" w:hAnsiTheme="minorHAnsi"/>
          <w:lang w:val="en-AU"/>
        </w:rPr>
        <w:t>impacted</w:t>
      </w:r>
      <w:r w:rsidR="00DE33AA" w:rsidRPr="00EE52F9">
        <w:rPr>
          <w:rFonts w:asciiTheme="minorHAnsi" w:hAnsiTheme="minorHAnsi"/>
          <w:lang w:val="en-AU"/>
        </w:rPr>
        <w:t xml:space="preserve"> </w:t>
      </w:r>
      <w:r w:rsidR="00975B88" w:rsidRPr="00EE52F9">
        <w:rPr>
          <w:rFonts w:asciiTheme="minorHAnsi" w:hAnsiTheme="minorHAnsi"/>
          <w:lang w:val="en-AU"/>
        </w:rPr>
        <w:t>the ability of providers to</w:t>
      </w:r>
      <w:r w:rsidR="00DE33AA" w:rsidRPr="00EE52F9">
        <w:rPr>
          <w:rFonts w:asciiTheme="minorHAnsi" w:hAnsiTheme="minorHAnsi"/>
          <w:lang w:val="en-AU"/>
        </w:rPr>
        <w:t xml:space="preserve"> increase their </w:t>
      </w:r>
      <w:r w:rsidR="00975B88" w:rsidRPr="00EE52F9">
        <w:rPr>
          <w:rFonts w:asciiTheme="minorHAnsi" w:hAnsiTheme="minorHAnsi"/>
          <w:lang w:val="en-AU"/>
        </w:rPr>
        <w:t xml:space="preserve">site </w:t>
      </w:r>
      <w:r w:rsidR="00DE33AA" w:rsidRPr="00EE52F9">
        <w:rPr>
          <w:rFonts w:asciiTheme="minorHAnsi" w:hAnsiTheme="minorHAnsi"/>
          <w:lang w:val="en-AU"/>
        </w:rPr>
        <w:t>occupancy.</w:t>
      </w:r>
      <w:r w:rsidR="00D07D15" w:rsidRPr="00EE52F9">
        <w:rPr>
          <w:rFonts w:asciiTheme="minorHAnsi" w:hAnsiTheme="minorHAnsi"/>
          <w:lang w:val="en-AU"/>
        </w:rPr>
        <w:t xml:space="preserve"> </w:t>
      </w:r>
    </w:p>
    <w:p w14:paraId="4AE62565" w14:textId="38DF619B" w:rsidR="00BB31E9" w:rsidRDefault="009B2A31" w:rsidP="00CF08D2">
      <w:pPr>
        <w:pStyle w:val="ListNumber"/>
        <w:numPr>
          <w:ilvl w:val="0"/>
          <w:numId w:val="38"/>
        </w:numPr>
        <w:spacing w:after="120"/>
        <w:ind w:left="357" w:hanging="357"/>
        <w:contextualSpacing w:val="0"/>
        <w:rPr>
          <w:rFonts w:asciiTheme="minorHAnsi" w:hAnsiTheme="minorHAnsi"/>
          <w:lang w:val="en-AU"/>
        </w:rPr>
      </w:pPr>
      <w:r w:rsidRPr="003B4294">
        <w:rPr>
          <w:rFonts w:cstheme="majorHAnsi"/>
          <w:b/>
          <w:lang w:val="en-AU"/>
        </w:rPr>
        <w:t>Observed:</w:t>
      </w:r>
      <w:r>
        <w:rPr>
          <w:rFonts w:asciiTheme="minorHAnsi" w:hAnsiTheme="minorHAnsi"/>
          <w:lang w:val="en-AU"/>
        </w:rPr>
        <w:t xml:space="preserve"> </w:t>
      </w:r>
      <w:r w:rsidR="00430307">
        <w:rPr>
          <w:rFonts w:asciiTheme="minorHAnsi" w:hAnsiTheme="minorHAnsi"/>
          <w:lang w:val="en-AU"/>
        </w:rPr>
        <w:t>The Observed Program BCR was calculated based on all four</w:t>
      </w:r>
      <w:r w:rsidR="0064202F">
        <w:rPr>
          <w:rFonts w:asciiTheme="minorHAnsi" w:hAnsiTheme="minorHAnsi"/>
          <w:lang w:val="en-AU"/>
        </w:rPr>
        <w:t xml:space="preserve"> financial years of Program activity, the obs</w:t>
      </w:r>
      <w:r w:rsidR="00CB5478">
        <w:rPr>
          <w:rFonts w:asciiTheme="minorHAnsi" w:hAnsiTheme="minorHAnsi"/>
          <w:lang w:val="en-AU"/>
        </w:rPr>
        <w:t xml:space="preserve">erved Subgroup A/Subgroup B proportional split and observed Program occupancy. </w:t>
      </w:r>
      <w:r w:rsidR="008D038B">
        <w:rPr>
          <w:rFonts w:asciiTheme="minorHAnsi" w:hAnsiTheme="minorHAnsi"/>
          <w:lang w:val="en-AU"/>
        </w:rPr>
        <w:t>This BCR is designed to inform an understanding of the benefits able to be monetised at this time</w:t>
      </w:r>
      <w:r w:rsidR="006F1E99">
        <w:rPr>
          <w:rFonts w:asciiTheme="minorHAnsi" w:hAnsiTheme="minorHAnsi"/>
          <w:lang w:val="en-AU"/>
        </w:rPr>
        <w:t>,</w:t>
      </w:r>
      <w:r w:rsidR="00D0106D">
        <w:rPr>
          <w:rFonts w:asciiTheme="minorHAnsi" w:hAnsiTheme="minorHAnsi"/>
          <w:lang w:val="en-AU"/>
        </w:rPr>
        <w:t xml:space="preserve"> relative to Program costs</w:t>
      </w:r>
      <w:r w:rsidR="006F1E99">
        <w:rPr>
          <w:rFonts w:asciiTheme="minorHAnsi" w:hAnsiTheme="minorHAnsi"/>
          <w:lang w:val="en-AU"/>
        </w:rPr>
        <w:t xml:space="preserve"> and b</w:t>
      </w:r>
      <w:r w:rsidR="00D0106D">
        <w:rPr>
          <w:rFonts w:asciiTheme="minorHAnsi" w:hAnsiTheme="minorHAnsi"/>
          <w:lang w:val="en-AU"/>
        </w:rPr>
        <w:t xml:space="preserve">ased on observed </w:t>
      </w:r>
      <w:r w:rsidR="00513D42">
        <w:rPr>
          <w:rFonts w:asciiTheme="minorHAnsi" w:hAnsiTheme="minorHAnsi"/>
          <w:lang w:val="en-AU"/>
        </w:rPr>
        <w:t>SDCU</w:t>
      </w:r>
      <w:r w:rsidR="00D0106D">
        <w:rPr>
          <w:rFonts w:asciiTheme="minorHAnsi" w:hAnsiTheme="minorHAnsi"/>
          <w:lang w:val="en-AU"/>
        </w:rPr>
        <w:t xml:space="preserve"> </w:t>
      </w:r>
      <w:r w:rsidR="005409D2">
        <w:rPr>
          <w:rFonts w:asciiTheme="minorHAnsi" w:hAnsiTheme="minorHAnsi"/>
          <w:lang w:val="en-AU"/>
        </w:rPr>
        <w:t xml:space="preserve">occupancy </w:t>
      </w:r>
      <w:r w:rsidR="00D0106D">
        <w:rPr>
          <w:rFonts w:asciiTheme="minorHAnsi" w:hAnsiTheme="minorHAnsi"/>
          <w:lang w:val="en-AU"/>
        </w:rPr>
        <w:t>dynamics during Phase 1.</w:t>
      </w:r>
    </w:p>
    <w:p w14:paraId="45689385" w14:textId="1BA16A45" w:rsidR="00306B16" w:rsidRDefault="0066370C" w:rsidP="00C070F6">
      <w:pPr>
        <w:pStyle w:val="ListBullet"/>
        <w:numPr>
          <w:ilvl w:val="0"/>
          <w:numId w:val="0"/>
        </w:numPr>
        <w:rPr>
          <w:lang w:val="en-AU"/>
        </w:rPr>
      </w:pPr>
      <w:r w:rsidRPr="00002179">
        <w:rPr>
          <w:lang w:val="en-AU"/>
        </w:rPr>
        <w:t xml:space="preserve">It should be noted, the </w:t>
      </w:r>
      <w:r w:rsidR="00430323" w:rsidRPr="00002179">
        <w:rPr>
          <w:lang w:val="en-AU"/>
        </w:rPr>
        <w:t>aged care system has recently moved to the Australian National Aged Care Classification</w:t>
      </w:r>
      <w:r w:rsidR="0058389A">
        <w:rPr>
          <w:lang w:val="en-AU"/>
        </w:rPr>
        <w:t xml:space="preserve"> </w:t>
      </w:r>
      <w:r w:rsidR="009F74B8" w:rsidRPr="00002179">
        <w:rPr>
          <w:lang w:val="en-AU"/>
        </w:rPr>
        <w:t>(AN-ACC)</w:t>
      </w:r>
      <w:r w:rsidR="00430323" w:rsidRPr="00002179">
        <w:rPr>
          <w:lang w:val="en-AU"/>
        </w:rPr>
        <w:t xml:space="preserve"> funding model</w:t>
      </w:r>
      <w:r w:rsidR="002356E8" w:rsidRPr="00002179">
        <w:rPr>
          <w:lang w:val="en-AU"/>
        </w:rPr>
        <w:t xml:space="preserve"> as of 1 October 2022. </w:t>
      </w:r>
      <w:r w:rsidR="001E1CD6">
        <w:rPr>
          <w:lang w:val="en-AU"/>
        </w:rPr>
        <w:t>For the purposes of modelling</w:t>
      </w:r>
      <w:r w:rsidR="00DC5FEF">
        <w:rPr>
          <w:lang w:val="en-AU"/>
        </w:rPr>
        <w:t xml:space="preserve"> additional benefits in </w:t>
      </w:r>
      <w:r w:rsidR="00485E4D">
        <w:rPr>
          <w:lang w:val="en-AU"/>
        </w:rPr>
        <w:t xml:space="preserve">FY2022-23 and FY2023-24, </w:t>
      </w:r>
      <w:r w:rsidR="000361BA">
        <w:rPr>
          <w:lang w:val="en-AU"/>
        </w:rPr>
        <w:t xml:space="preserve">the </w:t>
      </w:r>
      <w:r w:rsidR="008678C8">
        <w:rPr>
          <w:lang w:val="en-AU"/>
        </w:rPr>
        <w:t xml:space="preserve">value of </w:t>
      </w:r>
      <w:r w:rsidR="002E58EA">
        <w:rPr>
          <w:lang w:val="en-AU"/>
        </w:rPr>
        <w:t xml:space="preserve">released capacity </w:t>
      </w:r>
      <w:r w:rsidR="0010333A">
        <w:rPr>
          <w:lang w:val="en-AU"/>
        </w:rPr>
        <w:t xml:space="preserve">of aged care </w:t>
      </w:r>
      <w:r w:rsidR="0061152D">
        <w:rPr>
          <w:lang w:val="en-AU"/>
        </w:rPr>
        <w:t xml:space="preserve">was assumed to be constant in real terms from </w:t>
      </w:r>
      <w:r w:rsidR="008678C8">
        <w:rPr>
          <w:lang w:val="en-AU"/>
        </w:rPr>
        <w:t xml:space="preserve">the estimates calculated for </w:t>
      </w:r>
      <w:r w:rsidR="0061152D">
        <w:rPr>
          <w:lang w:val="en-AU"/>
        </w:rPr>
        <w:t xml:space="preserve">FY2021-22. </w:t>
      </w:r>
      <w:r w:rsidR="00AA41D8">
        <w:rPr>
          <w:lang w:val="en-AU"/>
        </w:rPr>
        <w:t>T</w:t>
      </w:r>
      <w:r w:rsidR="00C126DB" w:rsidRPr="00002179">
        <w:rPr>
          <w:lang w:val="en-AU"/>
        </w:rPr>
        <w:t>he aged care contribution me</w:t>
      </w:r>
      <w:r w:rsidR="003457A9" w:rsidRPr="00002179">
        <w:rPr>
          <w:lang w:val="en-AU"/>
        </w:rPr>
        <w:t xml:space="preserve">thodology </w:t>
      </w:r>
      <w:r w:rsidR="00891473">
        <w:rPr>
          <w:lang w:val="en-AU"/>
        </w:rPr>
        <w:t>would</w:t>
      </w:r>
      <w:r w:rsidR="003457A9" w:rsidRPr="00002179">
        <w:rPr>
          <w:lang w:val="en-AU"/>
        </w:rPr>
        <w:t xml:space="preserve"> </w:t>
      </w:r>
      <w:r w:rsidR="00AA41D8">
        <w:rPr>
          <w:lang w:val="en-AU"/>
        </w:rPr>
        <w:t xml:space="preserve">thus </w:t>
      </w:r>
      <w:r w:rsidR="003457A9" w:rsidRPr="00002179">
        <w:rPr>
          <w:lang w:val="en-AU"/>
        </w:rPr>
        <w:t xml:space="preserve">require </w:t>
      </w:r>
      <w:r w:rsidR="004949EE">
        <w:rPr>
          <w:lang w:val="en-AU"/>
        </w:rPr>
        <w:t>refinement</w:t>
      </w:r>
      <w:r w:rsidR="001613A4" w:rsidRPr="00002179">
        <w:rPr>
          <w:lang w:val="en-AU"/>
        </w:rPr>
        <w:t xml:space="preserve"> </w:t>
      </w:r>
      <w:r w:rsidR="00701348">
        <w:rPr>
          <w:lang w:val="en-AU"/>
        </w:rPr>
        <w:t xml:space="preserve">moving forward once data is able to be collected on the average funding received under </w:t>
      </w:r>
      <w:r w:rsidR="000D7FA4">
        <w:rPr>
          <w:lang w:val="en-AU"/>
        </w:rPr>
        <w:t xml:space="preserve">the </w:t>
      </w:r>
      <w:r w:rsidR="00701348">
        <w:rPr>
          <w:lang w:val="en-AU"/>
        </w:rPr>
        <w:t>AN-ACC</w:t>
      </w:r>
      <w:r w:rsidR="000D7FA4">
        <w:rPr>
          <w:lang w:val="en-AU"/>
        </w:rPr>
        <w:t xml:space="preserve"> funding system</w:t>
      </w:r>
      <w:r w:rsidR="00701348">
        <w:rPr>
          <w:lang w:val="en-AU"/>
        </w:rPr>
        <w:t>.</w:t>
      </w:r>
    </w:p>
    <w:p w14:paraId="6A5617BA" w14:textId="77777777" w:rsidR="00C26B6B" w:rsidRPr="00002179" w:rsidRDefault="00C26B6B" w:rsidP="00C070F6">
      <w:pPr>
        <w:pStyle w:val="ListBullet"/>
        <w:numPr>
          <w:ilvl w:val="0"/>
          <w:numId w:val="0"/>
        </w:numPr>
        <w:rPr>
          <w:lang w:val="en-AU"/>
        </w:rPr>
      </w:pPr>
    </w:p>
    <w:p w14:paraId="05264F12" w14:textId="5312164A" w:rsidR="00530AB2" w:rsidRPr="00305216" w:rsidRDefault="007C559B" w:rsidP="00305216">
      <w:pPr>
        <w:rPr>
          <w:lang w:val="en-AU"/>
        </w:rPr>
      </w:pPr>
      <w:r>
        <w:rPr>
          <w:lang w:val="en-AU"/>
        </w:rPr>
        <w:t xml:space="preserve">A summary of </w:t>
      </w:r>
      <w:r w:rsidR="00452A35">
        <w:rPr>
          <w:lang w:val="en-AU"/>
        </w:rPr>
        <w:t xml:space="preserve">the </w:t>
      </w:r>
      <w:r>
        <w:rPr>
          <w:lang w:val="en-AU"/>
        </w:rPr>
        <w:t>Program</w:t>
      </w:r>
      <w:r w:rsidR="00F7708C">
        <w:rPr>
          <w:lang w:val="en-AU"/>
        </w:rPr>
        <w:t>’s</w:t>
      </w:r>
      <w:r>
        <w:rPr>
          <w:lang w:val="en-AU"/>
        </w:rPr>
        <w:t xml:space="preserve"> </w:t>
      </w:r>
      <w:r w:rsidR="00AA41D8">
        <w:rPr>
          <w:lang w:val="en-AU"/>
        </w:rPr>
        <w:t>incremental</w:t>
      </w:r>
      <w:r>
        <w:rPr>
          <w:lang w:val="en-AU"/>
        </w:rPr>
        <w:t xml:space="preserve"> benefits and costs </w:t>
      </w:r>
      <w:r w:rsidR="00F7708C">
        <w:rPr>
          <w:lang w:val="en-AU"/>
        </w:rPr>
        <w:t>relative</w:t>
      </w:r>
      <w:r w:rsidR="00AA41D8">
        <w:rPr>
          <w:lang w:val="en-AU"/>
        </w:rPr>
        <w:t xml:space="preserve"> to what would have occurred in the absence of the Program (</w:t>
      </w:r>
      <w:r w:rsidR="00F7708C">
        <w:rPr>
          <w:lang w:val="en-AU"/>
        </w:rPr>
        <w:t>usual care)</w:t>
      </w:r>
      <w:r>
        <w:rPr>
          <w:lang w:val="en-AU"/>
        </w:rPr>
        <w:t xml:space="preserve"> is shown in </w:t>
      </w:r>
      <w:r w:rsidR="000217E8">
        <w:rPr>
          <w:lang w:val="en-AU"/>
        </w:rPr>
        <w:fldChar w:fldCharType="begin"/>
      </w:r>
      <w:r w:rsidR="000217E8">
        <w:rPr>
          <w:lang w:val="en-AU"/>
        </w:rPr>
        <w:instrText xml:space="preserve"> REF _Ref125368022 \h </w:instrText>
      </w:r>
      <w:r w:rsidR="000217E8">
        <w:rPr>
          <w:lang w:val="en-AU"/>
        </w:rPr>
      </w:r>
      <w:r w:rsidR="000217E8">
        <w:rPr>
          <w:lang w:val="en-AU"/>
        </w:rPr>
        <w:fldChar w:fldCharType="separate"/>
      </w:r>
      <w:r w:rsidR="00D32536">
        <w:t xml:space="preserve">Table </w:t>
      </w:r>
      <w:r w:rsidR="00D32536">
        <w:rPr>
          <w:noProof/>
        </w:rPr>
        <w:t>6</w:t>
      </w:r>
      <w:r w:rsidR="00D32536">
        <w:t>.</w:t>
      </w:r>
      <w:r w:rsidR="00D32536">
        <w:rPr>
          <w:noProof/>
        </w:rPr>
        <w:t>3</w:t>
      </w:r>
      <w:r w:rsidR="000217E8">
        <w:rPr>
          <w:lang w:val="en-AU"/>
        </w:rPr>
        <w:fldChar w:fldCharType="end"/>
      </w:r>
      <w:r>
        <w:rPr>
          <w:lang w:val="en-AU"/>
        </w:rPr>
        <w:t xml:space="preserve">, with BCR results in </w:t>
      </w:r>
      <w:r w:rsidR="000217E8">
        <w:rPr>
          <w:lang w:val="en-AU"/>
        </w:rPr>
        <w:fldChar w:fldCharType="begin"/>
      </w:r>
      <w:r w:rsidR="000217E8">
        <w:rPr>
          <w:lang w:val="en-AU"/>
        </w:rPr>
        <w:instrText xml:space="preserve"> REF _Ref125368030 \h </w:instrText>
      </w:r>
      <w:r w:rsidR="000217E8">
        <w:rPr>
          <w:lang w:val="en-AU"/>
        </w:rPr>
      </w:r>
      <w:r w:rsidR="000217E8">
        <w:rPr>
          <w:lang w:val="en-AU"/>
        </w:rPr>
        <w:fldChar w:fldCharType="separate"/>
      </w:r>
      <w:r w:rsidR="00D32536">
        <w:t xml:space="preserve">Table </w:t>
      </w:r>
      <w:r w:rsidR="00D32536">
        <w:rPr>
          <w:noProof/>
        </w:rPr>
        <w:t>6</w:t>
      </w:r>
      <w:r w:rsidR="00D32536">
        <w:t>.</w:t>
      </w:r>
      <w:r w:rsidR="00D32536">
        <w:rPr>
          <w:noProof/>
        </w:rPr>
        <w:t>4</w:t>
      </w:r>
      <w:r w:rsidR="000217E8">
        <w:rPr>
          <w:lang w:val="en-AU"/>
        </w:rPr>
        <w:fldChar w:fldCharType="end"/>
      </w:r>
      <w:r w:rsidR="005C0929">
        <w:rPr>
          <w:lang w:val="en-AU"/>
        </w:rPr>
        <w:t xml:space="preserve"> and </w:t>
      </w:r>
      <w:r w:rsidR="000217E8">
        <w:rPr>
          <w:lang w:val="en-AU"/>
        </w:rPr>
        <w:fldChar w:fldCharType="begin"/>
      </w:r>
      <w:r w:rsidR="000217E8">
        <w:rPr>
          <w:lang w:val="en-AU"/>
        </w:rPr>
        <w:instrText xml:space="preserve"> REF _Ref125368049 \h </w:instrText>
      </w:r>
      <w:r w:rsidR="000217E8">
        <w:rPr>
          <w:lang w:val="en-AU"/>
        </w:rPr>
      </w:r>
      <w:r w:rsidR="000217E8">
        <w:rPr>
          <w:lang w:val="en-AU"/>
        </w:rPr>
        <w:fldChar w:fldCharType="separate"/>
      </w:r>
      <w:r w:rsidR="00D32536">
        <w:t xml:space="preserve">Figure </w:t>
      </w:r>
      <w:r w:rsidR="00D32536">
        <w:rPr>
          <w:noProof/>
        </w:rPr>
        <w:t>6</w:t>
      </w:r>
      <w:r w:rsidR="00D32536">
        <w:t>.</w:t>
      </w:r>
      <w:r w:rsidR="00D32536">
        <w:rPr>
          <w:noProof/>
        </w:rPr>
        <w:t>5</w:t>
      </w:r>
      <w:r w:rsidR="000217E8">
        <w:rPr>
          <w:lang w:val="en-AU"/>
        </w:rPr>
        <w:fldChar w:fldCharType="end"/>
      </w:r>
      <w:r w:rsidR="002811C8">
        <w:rPr>
          <w:lang w:val="en-AU"/>
        </w:rPr>
        <w:t>.</w:t>
      </w:r>
    </w:p>
    <w:p w14:paraId="59CBE2D5" w14:textId="77777777" w:rsidR="00835A8A" w:rsidRDefault="00835A8A" w:rsidP="007C559B">
      <w:pPr>
        <w:rPr>
          <w:lang w:val="en-AU"/>
        </w:rPr>
        <w:sectPr w:rsidR="00835A8A" w:rsidSect="00345344">
          <w:headerReference w:type="even" r:id="rId63"/>
          <w:headerReference w:type="default" r:id="rId64"/>
          <w:footerReference w:type="even" r:id="rId65"/>
          <w:footerReference w:type="default" r:id="rId66"/>
          <w:headerReference w:type="first" r:id="rId67"/>
          <w:footerReference w:type="first" r:id="rId68"/>
          <w:pgSz w:w="11906" w:h="16838" w:code="9"/>
          <w:pgMar w:top="1985" w:right="1274" w:bottom="1134" w:left="680" w:header="680" w:footer="567" w:gutter="0"/>
          <w:cols w:space="284"/>
          <w:titlePg/>
          <w:docGrid w:linePitch="360"/>
        </w:sectPr>
      </w:pPr>
    </w:p>
    <w:p w14:paraId="617D2ADE" w14:textId="77777777" w:rsidR="00835A8A" w:rsidRDefault="00835A8A" w:rsidP="007C559B">
      <w:pPr>
        <w:rPr>
          <w:lang w:val="en-AU"/>
        </w:rPr>
      </w:pPr>
    </w:p>
    <w:p w14:paraId="689370DF" w14:textId="44F05F83" w:rsidR="007C559B" w:rsidRDefault="001D2192" w:rsidP="007C559B">
      <w:pPr>
        <w:pStyle w:val="Caption"/>
      </w:pPr>
      <w:bookmarkStart w:id="96" w:name="_Ref125367953"/>
      <w:r>
        <w:t>Table</w:t>
      </w:r>
      <w:r w:rsidR="007C559B">
        <w:t xml:space="preserve"> </w:t>
      </w:r>
      <w:r w:rsidR="005B7353">
        <w:fldChar w:fldCharType="begin"/>
      </w:r>
      <w:r w:rsidR="005B7353">
        <w:instrText xml:space="preserve"> STYLEREF 1 \s </w:instrText>
      </w:r>
      <w:r w:rsidR="005B7353">
        <w:fldChar w:fldCharType="separate"/>
      </w:r>
      <w:r w:rsidR="00D32536">
        <w:rPr>
          <w:noProof/>
        </w:rPr>
        <w:t>6</w:t>
      </w:r>
      <w:r w:rsidR="005B7353">
        <w:fldChar w:fldCharType="end"/>
      </w:r>
      <w:r w:rsidR="005B7353">
        <w:t>.</w:t>
      </w:r>
      <w:r w:rsidR="005B7353">
        <w:fldChar w:fldCharType="begin"/>
      </w:r>
      <w:r w:rsidR="005B7353">
        <w:instrText xml:space="preserve"> SEQ Table \* ARABIC \s 1 </w:instrText>
      </w:r>
      <w:r w:rsidR="005B7353">
        <w:fldChar w:fldCharType="separate"/>
      </w:r>
      <w:r w:rsidR="00D32536">
        <w:rPr>
          <w:noProof/>
        </w:rPr>
        <w:t>2</w:t>
      </w:r>
      <w:r w:rsidR="005B7353">
        <w:fldChar w:fldCharType="end"/>
      </w:r>
      <w:bookmarkEnd w:id="96"/>
      <w:r w:rsidR="007C559B">
        <w:t xml:space="preserve"> Summary overall Program results (FY2019-20, real)</w:t>
      </w:r>
    </w:p>
    <w:tbl>
      <w:tblPr>
        <w:tblStyle w:val="Deloittetable"/>
        <w:tblW w:w="0" w:type="auto"/>
        <w:tblLook w:val="04A0" w:firstRow="1" w:lastRow="0" w:firstColumn="1" w:lastColumn="0" w:noHBand="0" w:noVBand="1"/>
      </w:tblPr>
      <w:tblGrid>
        <w:gridCol w:w="976"/>
        <w:gridCol w:w="2918"/>
        <w:gridCol w:w="1161"/>
        <w:gridCol w:w="1851"/>
        <w:gridCol w:w="1898"/>
        <w:gridCol w:w="1161"/>
        <w:gridCol w:w="1851"/>
        <w:gridCol w:w="1898"/>
      </w:tblGrid>
      <w:tr w:rsidR="009C795B" w:rsidRPr="009C795B" w14:paraId="73DEA9AF" w14:textId="77777777" w:rsidTr="00AD27FD">
        <w:trPr>
          <w:cnfStyle w:val="100000000000" w:firstRow="1" w:lastRow="0" w:firstColumn="0" w:lastColumn="0" w:oddVBand="0" w:evenVBand="0" w:oddHBand="0" w:evenHBand="0" w:firstRowFirstColumn="0" w:firstRowLastColumn="0" w:lastRowFirstColumn="0" w:lastRowLastColumn="0"/>
          <w:trHeight w:val="23"/>
        </w:trPr>
        <w:tc>
          <w:tcPr>
            <w:tcW w:w="0" w:type="auto"/>
            <w:tcBorders>
              <w:top w:val="single" w:sz="12" w:space="0" w:color="007CB0" w:themeColor="accent6"/>
              <w:right w:val="nil"/>
            </w:tcBorders>
            <w:shd w:val="clear" w:color="auto" w:fill="auto"/>
          </w:tcPr>
          <w:p w14:paraId="51E5AE3C" w14:textId="75E6C914" w:rsidR="005C1F5D" w:rsidRPr="00AD27FD" w:rsidRDefault="00B329D4" w:rsidP="00AD27FD">
            <w:pPr>
              <w:spacing w:after="0"/>
              <w:rPr>
                <w:b/>
                <w:bCs/>
                <w:sz w:val="16"/>
                <w:szCs w:val="16"/>
              </w:rPr>
            </w:pPr>
            <w:r w:rsidRPr="00AD27FD">
              <w:rPr>
                <w:b/>
                <w:bCs/>
                <w:color w:val="000000" w:themeColor="text1"/>
                <w:sz w:val="16"/>
                <w:szCs w:val="16"/>
              </w:rPr>
              <w:t xml:space="preserve"> </w:t>
            </w:r>
            <w:r w:rsidR="005C1F5D" w:rsidRPr="00AD27FD">
              <w:rPr>
                <w:b/>
                <w:bCs/>
                <w:color w:val="000000" w:themeColor="text1"/>
                <w:sz w:val="16"/>
                <w:szCs w:val="16"/>
              </w:rPr>
              <w:t>Scenario:</w:t>
            </w:r>
          </w:p>
        </w:tc>
        <w:tc>
          <w:tcPr>
            <w:tcW w:w="0" w:type="auto"/>
            <w:tcBorders>
              <w:top w:val="single" w:sz="12" w:space="0" w:color="007CB0" w:themeColor="accent6"/>
              <w:left w:val="nil"/>
              <w:right w:val="single" w:sz="4" w:space="0" w:color="A6A6A6" w:themeColor="background1" w:themeShade="A6"/>
            </w:tcBorders>
            <w:shd w:val="clear" w:color="auto" w:fill="auto"/>
          </w:tcPr>
          <w:p w14:paraId="6228A81B" w14:textId="64AFD8AD" w:rsidR="005C1F5D" w:rsidRPr="00AD27FD" w:rsidRDefault="005C1F5D" w:rsidP="00AD27FD">
            <w:pPr>
              <w:spacing w:after="0"/>
              <w:rPr>
                <w:color w:val="000000" w:themeColor="text1"/>
                <w:sz w:val="16"/>
                <w:szCs w:val="16"/>
              </w:rPr>
            </w:pPr>
            <w:r w:rsidRPr="00AD27FD">
              <w:rPr>
                <w:color w:val="000000" w:themeColor="text1"/>
                <w:sz w:val="16"/>
                <w:szCs w:val="16"/>
              </w:rPr>
              <w:t> </w:t>
            </w:r>
          </w:p>
        </w:tc>
        <w:tc>
          <w:tcPr>
            <w:tcW w:w="0" w:type="auto"/>
            <w:tcBorders>
              <w:top w:val="single" w:sz="12" w:space="0" w:color="007CB0" w:themeColor="accent6"/>
            </w:tcBorders>
            <w:shd w:val="clear" w:color="auto" w:fill="auto"/>
          </w:tcPr>
          <w:p w14:paraId="4CC60F84" w14:textId="77777777" w:rsidR="005C1F5D" w:rsidRPr="00AD27FD" w:rsidRDefault="005C1F5D" w:rsidP="00AD27FD">
            <w:pPr>
              <w:spacing w:after="0"/>
              <w:rPr>
                <w:b/>
                <w:bCs/>
                <w:color w:val="000000" w:themeColor="text1"/>
                <w:sz w:val="16"/>
                <w:szCs w:val="16"/>
              </w:rPr>
            </w:pPr>
          </w:p>
        </w:tc>
        <w:tc>
          <w:tcPr>
            <w:tcW w:w="0" w:type="auto"/>
            <w:tcBorders>
              <w:top w:val="single" w:sz="12" w:space="0" w:color="007CB0" w:themeColor="accent6"/>
            </w:tcBorders>
            <w:shd w:val="clear" w:color="auto" w:fill="auto"/>
          </w:tcPr>
          <w:p w14:paraId="654E1085" w14:textId="6310E9BF" w:rsidR="005C1F5D" w:rsidRPr="00AD27FD" w:rsidRDefault="002B4D45" w:rsidP="00AD27FD">
            <w:pPr>
              <w:spacing w:after="0"/>
              <w:jc w:val="center"/>
              <w:rPr>
                <w:b/>
                <w:bCs/>
                <w:color w:val="000000" w:themeColor="text1"/>
                <w:sz w:val="16"/>
                <w:szCs w:val="16"/>
              </w:rPr>
            </w:pPr>
            <w:r w:rsidRPr="00AD27FD">
              <w:rPr>
                <w:b/>
                <w:bCs/>
                <w:color w:val="000000" w:themeColor="text1"/>
                <w:sz w:val="16"/>
                <w:szCs w:val="16"/>
              </w:rPr>
              <w:t>Optimised</w:t>
            </w:r>
          </w:p>
        </w:tc>
        <w:tc>
          <w:tcPr>
            <w:tcW w:w="0" w:type="auto"/>
            <w:tcBorders>
              <w:top w:val="single" w:sz="12" w:space="0" w:color="007CB0" w:themeColor="accent6"/>
              <w:right w:val="single" w:sz="4" w:space="0" w:color="53565A" w:themeColor="background2"/>
            </w:tcBorders>
            <w:shd w:val="clear" w:color="auto" w:fill="auto"/>
          </w:tcPr>
          <w:p w14:paraId="7EDCA8C9" w14:textId="77777777" w:rsidR="005C1F5D" w:rsidRPr="00AD27FD" w:rsidRDefault="005C1F5D" w:rsidP="00AD27FD">
            <w:pPr>
              <w:spacing w:after="0"/>
              <w:rPr>
                <w:color w:val="000000" w:themeColor="text1"/>
                <w:sz w:val="16"/>
                <w:szCs w:val="16"/>
              </w:rPr>
            </w:pPr>
          </w:p>
        </w:tc>
        <w:tc>
          <w:tcPr>
            <w:tcW w:w="0" w:type="auto"/>
            <w:tcBorders>
              <w:top w:val="single" w:sz="12" w:space="0" w:color="007CB0" w:themeColor="accent6"/>
              <w:left w:val="single" w:sz="4" w:space="0" w:color="53565A" w:themeColor="background2"/>
            </w:tcBorders>
            <w:shd w:val="clear" w:color="auto" w:fill="auto"/>
          </w:tcPr>
          <w:p w14:paraId="72442B7D" w14:textId="77777777" w:rsidR="005C1F5D" w:rsidRPr="00AD27FD" w:rsidRDefault="005C1F5D" w:rsidP="00AD27FD">
            <w:pPr>
              <w:spacing w:after="0"/>
              <w:rPr>
                <w:b/>
                <w:bCs/>
                <w:color w:val="000000" w:themeColor="text1"/>
                <w:sz w:val="16"/>
                <w:szCs w:val="16"/>
              </w:rPr>
            </w:pPr>
          </w:p>
        </w:tc>
        <w:tc>
          <w:tcPr>
            <w:tcW w:w="0" w:type="auto"/>
            <w:tcBorders>
              <w:top w:val="single" w:sz="12" w:space="0" w:color="007CB0" w:themeColor="accent6"/>
            </w:tcBorders>
            <w:shd w:val="clear" w:color="auto" w:fill="auto"/>
          </w:tcPr>
          <w:p w14:paraId="3C456002" w14:textId="611C954B" w:rsidR="005C1F5D" w:rsidRPr="00AD27FD" w:rsidRDefault="005C1F5D" w:rsidP="00AD27FD">
            <w:pPr>
              <w:spacing w:after="0"/>
              <w:jc w:val="center"/>
              <w:rPr>
                <w:b/>
                <w:bCs/>
                <w:color w:val="000000" w:themeColor="text1"/>
                <w:sz w:val="16"/>
                <w:szCs w:val="16"/>
              </w:rPr>
            </w:pPr>
            <w:r w:rsidRPr="00AD27FD">
              <w:rPr>
                <w:b/>
                <w:bCs/>
                <w:color w:val="000000" w:themeColor="text1"/>
                <w:sz w:val="16"/>
                <w:szCs w:val="16"/>
              </w:rPr>
              <w:t>Observed</w:t>
            </w:r>
          </w:p>
        </w:tc>
        <w:tc>
          <w:tcPr>
            <w:tcW w:w="0" w:type="auto"/>
            <w:tcBorders>
              <w:top w:val="single" w:sz="12" w:space="0" w:color="007CB0" w:themeColor="accent6"/>
              <w:right w:val="single" w:sz="4" w:space="0" w:color="auto"/>
            </w:tcBorders>
            <w:shd w:val="clear" w:color="auto" w:fill="auto"/>
          </w:tcPr>
          <w:p w14:paraId="591432BA" w14:textId="77777777" w:rsidR="005C1F5D" w:rsidRPr="00AD27FD" w:rsidRDefault="005C1F5D" w:rsidP="00AD27FD">
            <w:pPr>
              <w:spacing w:after="0"/>
              <w:rPr>
                <w:color w:val="000000" w:themeColor="text1"/>
                <w:sz w:val="16"/>
                <w:szCs w:val="16"/>
              </w:rPr>
            </w:pPr>
          </w:p>
        </w:tc>
      </w:tr>
      <w:tr w:rsidR="00F81A61" w:rsidRPr="00AD27FD" w14:paraId="42272E54" w14:textId="77777777" w:rsidTr="002E4062">
        <w:trPr>
          <w:trHeight w:val="23"/>
        </w:trPr>
        <w:tc>
          <w:tcPr>
            <w:tcW w:w="0" w:type="auto"/>
          </w:tcPr>
          <w:p w14:paraId="0C224325" w14:textId="77777777" w:rsidR="008328B3" w:rsidRPr="00AD27FD" w:rsidRDefault="008328B3" w:rsidP="00AD27FD">
            <w:pPr>
              <w:spacing w:after="0"/>
              <w:rPr>
                <w:sz w:val="16"/>
                <w:szCs w:val="16"/>
              </w:rPr>
            </w:pPr>
          </w:p>
        </w:tc>
        <w:tc>
          <w:tcPr>
            <w:tcW w:w="0" w:type="auto"/>
            <w:tcBorders>
              <w:right w:val="single" w:sz="4" w:space="0" w:color="BCBCB9" w:themeColor="text2" w:themeShade="E6"/>
            </w:tcBorders>
            <w:shd w:val="clear" w:color="auto" w:fill="auto"/>
          </w:tcPr>
          <w:p w14:paraId="771156A4" w14:textId="2F6CB0E4" w:rsidR="008328B3" w:rsidRPr="00AD27FD" w:rsidRDefault="008328B3" w:rsidP="00AD27FD">
            <w:pPr>
              <w:spacing w:after="0"/>
              <w:jc w:val="right"/>
              <w:rPr>
                <w:b/>
                <w:bCs/>
                <w:color w:val="000000" w:themeColor="text1"/>
                <w:sz w:val="16"/>
                <w:szCs w:val="16"/>
              </w:rPr>
            </w:pPr>
            <w:r w:rsidRPr="00AD27FD">
              <w:rPr>
                <w:b/>
                <w:bCs/>
                <w:color w:val="000000" w:themeColor="text1"/>
                <w:sz w:val="16"/>
                <w:szCs w:val="16"/>
              </w:rPr>
              <w:t>Benefits realisation time horizon:</w:t>
            </w:r>
          </w:p>
        </w:tc>
        <w:tc>
          <w:tcPr>
            <w:tcW w:w="0" w:type="auto"/>
            <w:tcBorders>
              <w:top w:val="single" w:sz="4" w:space="0" w:color="000000" w:themeColor="text1"/>
              <w:left w:val="single" w:sz="4" w:space="0" w:color="BCBCB9" w:themeColor="text2" w:themeShade="E6"/>
              <w:bottom w:val="single" w:sz="4" w:space="0" w:color="000000" w:themeColor="text1"/>
            </w:tcBorders>
            <w:shd w:val="clear" w:color="auto" w:fill="auto"/>
          </w:tcPr>
          <w:p w14:paraId="6F35CCFC" w14:textId="06C2F13B" w:rsidR="008328B3" w:rsidRPr="00AD27FD" w:rsidRDefault="008328B3" w:rsidP="00AD27FD">
            <w:pPr>
              <w:spacing w:after="0"/>
              <w:jc w:val="center"/>
              <w:rPr>
                <w:b/>
                <w:bCs/>
                <w:sz w:val="16"/>
                <w:szCs w:val="16"/>
              </w:rPr>
            </w:pPr>
            <w:r w:rsidRPr="00AD27FD">
              <w:rPr>
                <w:b/>
                <w:bCs/>
                <w:color w:val="000000" w:themeColor="text1"/>
                <w:sz w:val="16"/>
                <w:szCs w:val="16"/>
              </w:rPr>
              <w:t>1: Within Program only</w:t>
            </w:r>
          </w:p>
        </w:tc>
        <w:tc>
          <w:tcPr>
            <w:tcW w:w="0" w:type="auto"/>
            <w:tcBorders>
              <w:top w:val="single" w:sz="4" w:space="0" w:color="000000" w:themeColor="text1"/>
              <w:bottom w:val="single" w:sz="4" w:space="0" w:color="000000" w:themeColor="text1"/>
              <w:right w:val="nil"/>
            </w:tcBorders>
            <w:shd w:val="clear" w:color="auto" w:fill="auto"/>
          </w:tcPr>
          <w:p w14:paraId="7E05BFAD" w14:textId="7FAD0CAB" w:rsidR="008328B3" w:rsidRPr="00AD27FD" w:rsidRDefault="008328B3" w:rsidP="00AD27FD">
            <w:pPr>
              <w:spacing w:after="0"/>
              <w:jc w:val="center"/>
              <w:rPr>
                <w:b/>
                <w:bCs/>
                <w:sz w:val="16"/>
                <w:szCs w:val="16"/>
              </w:rPr>
            </w:pPr>
            <w:r w:rsidRPr="00AD27FD">
              <w:rPr>
                <w:b/>
                <w:bCs/>
                <w:color w:val="000000" w:themeColor="text1"/>
                <w:sz w:val="16"/>
                <w:szCs w:val="16"/>
              </w:rPr>
              <w:t>2: Within Program + 9 months post-Program</w:t>
            </w:r>
          </w:p>
        </w:tc>
        <w:tc>
          <w:tcPr>
            <w:tcW w:w="0" w:type="auto"/>
            <w:tcBorders>
              <w:top w:val="single" w:sz="4" w:space="0" w:color="000000" w:themeColor="text1"/>
              <w:left w:val="nil"/>
              <w:bottom w:val="single" w:sz="4" w:space="0" w:color="000000" w:themeColor="text1"/>
              <w:right w:val="single" w:sz="4" w:space="0" w:color="A6A6A6" w:themeColor="background1" w:themeShade="A6"/>
            </w:tcBorders>
            <w:shd w:val="clear" w:color="auto" w:fill="auto"/>
          </w:tcPr>
          <w:p w14:paraId="3D9751D9" w14:textId="2CCBEAB7" w:rsidR="008328B3" w:rsidRPr="00AD27FD" w:rsidRDefault="008328B3" w:rsidP="00AD27FD">
            <w:pPr>
              <w:spacing w:after="0"/>
              <w:jc w:val="center"/>
              <w:rPr>
                <w:b/>
                <w:bCs/>
                <w:sz w:val="16"/>
                <w:szCs w:val="16"/>
              </w:rPr>
            </w:pPr>
            <w:r w:rsidRPr="00AD27FD">
              <w:rPr>
                <w:b/>
                <w:bCs/>
                <w:color w:val="000000" w:themeColor="text1"/>
                <w:sz w:val="16"/>
                <w:szCs w:val="16"/>
              </w:rPr>
              <w:t>3: Within Program + 18 months post-Program</w:t>
            </w:r>
          </w:p>
        </w:tc>
        <w:tc>
          <w:tcPr>
            <w:tcW w:w="0" w:type="auto"/>
            <w:tcBorders>
              <w:top w:val="single" w:sz="4" w:space="0" w:color="000000" w:themeColor="text1"/>
              <w:left w:val="single" w:sz="4" w:space="0" w:color="A6A6A6" w:themeColor="background1" w:themeShade="A6"/>
              <w:bottom w:val="single" w:sz="4" w:space="0" w:color="000000" w:themeColor="text1"/>
            </w:tcBorders>
            <w:shd w:val="clear" w:color="auto" w:fill="auto"/>
          </w:tcPr>
          <w:p w14:paraId="712BD15D" w14:textId="4F054330" w:rsidR="008328B3" w:rsidRPr="00AD27FD" w:rsidRDefault="008328B3" w:rsidP="00AD27FD">
            <w:pPr>
              <w:spacing w:after="0"/>
              <w:jc w:val="center"/>
              <w:rPr>
                <w:b/>
                <w:bCs/>
                <w:sz w:val="16"/>
                <w:szCs w:val="16"/>
              </w:rPr>
            </w:pPr>
            <w:r w:rsidRPr="00AD27FD">
              <w:rPr>
                <w:b/>
                <w:bCs/>
                <w:color w:val="000000" w:themeColor="text1"/>
                <w:sz w:val="16"/>
                <w:szCs w:val="16"/>
              </w:rPr>
              <w:t>1: Within Program only</w:t>
            </w:r>
          </w:p>
        </w:tc>
        <w:tc>
          <w:tcPr>
            <w:tcW w:w="0" w:type="auto"/>
            <w:tcBorders>
              <w:top w:val="single" w:sz="4" w:space="0" w:color="000000" w:themeColor="text1"/>
              <w:bottom w:val="single" w:sz="4" w:space="0" w:color="000000" w:themeColor="text1"/>
            </w:tcBorders>
            <w:shd w:val="clear" w:color="auto" w:fill="auto"/>
          </w:tcPr>
          <w:p w14:paraId="390BCD54" w14:textId="17EF582A" w:rsidR="008328B3" w:rsidRPr="00AD27FD" w:rsidRDefault="008328B3" w:rsidP="00AD27FD">
            <w:pPr>
              <w:spacing w:after="0"/>
              <w:jc w:val="center"/>
              <w:rPr>
                <w:b/>
                <w:bCs/>
                <w:sz w:val="16"/>
                <w:szCs w:val="16"/>
              </w:rPr>
            </w:pPr>
            <w:r w:rsidRPr="00AD27FD">
              <w:rPr>
                <w:b/>
                <w:bCs/>
                <w:color w:val="000000" w:themeColor="text1"/>
                <w:sz w:val="16"/>
                <w:szCs w:val="16"/>
              </w:rPr>
              <w:t>2: Within Program + 9 months post-Program</w:t>
            </w:r>
          </w:p>
        </w:tc>
        <w:tc>
          <w:tcPr>
            <w:tcW w:w="0" w:type="auto"/>
            <w:tcBorders>
              <w:top w:val="single" w:sz="4" w:space="0" w:color="000000" w:themeColor="text1"/>
              <w:bottom w:val="single" w:sz="4" w:space="0" w:color="000000" w:themeColor="text1"/>
              <w:right w:val="single" w:sz="4" w:space="0" w:color="A6A6A6" w:themeColor="background1" w:themeShade="A6"/>
            </w:tcBorders>
          </w:tcPr>
          <w:p w14:paraId="43B1BF03" w14:textId="541600EC" w:rsidR="008328B3" w:rsidRPr="00AD27FD" w:rsidRDefault="008328B3" w:rsidP="00AD27FD">
            <w:pPr>
              <w:spacing w:after="0"/>
              <w:jc w:val="center"/>
              <w:rPr>
                <w:b/>
                <w:bCs/>
                <w:sz w:val="16"/>
                <w:szCs w:val="16"/>
              </w:rPr>
            </w:pPr>
            <w:r w:rsidRPr="00AD27FD">
              <w:rPr>
                <w:b/>
                <w:bCs/>
                <w:color w:val="000000" w:themeColor="text1"/>
                <w:sz w:val="16"/>
                <w:szCs w:val="16"/>
              </w:rPr>
              <w:t>3: Within Program + 18 months post-Program</w:t>
            </w:r>
          </w:p>
        </w:tc>
      </w:tr>
      <w:tr w:rsidR="00F81A61" w:rsidRPr="004D21C0" w14:paraId="303EDD54" w14:textId="77777777" w:rsidTr="002E4062">
        <w:trPr>
          <w:trHeight w:val="23"/>
        </w:trPr>
        <w:tc>
          <w:tcPr>
            <w:tcW w:w="0" w:type="auto"/>
          </w:tcPr>
          <w:p w14:paraId="2C98251D" w14:textId="77777777" w:rsidR="00513117" w:rsidRPr="004D21C0" w:rsidRDefault="00513117" w:rsidP="00AD27FD">
            <w:pPr>
              <w:spacing w:after="0"/>
              <w:rPr>
                <w:sz w:val="16"/>
                <w:szCs w:val="16"/>
              </w:rPr>
            </w:pPr>
          </w:p>
        </w:tc>
        <w:tc>
          <w:tcPr>
            <w:tcW w:w="0" w:type="auto"/>
            <w:tcBorders>
              <w:right w:val="single" w:sz="4" w:space="0" w:color="BCBCB9" w:themeColor="text2" w:themeShade="E6"/>
            </w:tcBorders>
            <w:shd w:val="clear" w:color="auto" w:fill="auto"/>
          </w:tcPr>
          <w:p w14:paraId="6C565088" w14:textId="5C919149" w:rsidR="00513117" w:rsidRPr="00AD27FD" w:rsidRDefault="00513117" w:rsidP="00AD27FD">
            <w:pPr>
              <w:spacing w:after="0"/>
              <w:jc w:val="right"/>
              <w:rPr>
                <w:b/>
                <w:bCs/>
                <w:color w:val="000000" w:themeColor="text1"/>
                <w:sz w:val="16"/>
                <w:szCs w:val="16"/>
              </w:rPr>
            </w:pPr>
            <w:r w:rsidRPr="00AD27FD">
              <w:rPr>
                <w:b/>
                <w:bCs/>
                <w:color w:val="000000" w:themeColor="text1"/>
                <w:sz w:val="16"/>
                <w:szCs w:val="16"/>
              </w:rPr>
              <w:t>Occupancy rate:</w:t>
            </w:r>
          </w:p>
        </w:tc>
        <w:tc>
          <w:tcPr>
            <w:tcW w:w="0" w:type="auto"/>
            <w:tcBorders>
              <w:left w:val="single" w:sz="4" w:space="0" w:color="BCBCB9" w:themeColor="text2" w:themeShade="E6"/>
            </w:tcBorders>
          </w:tcPr>
          <w:p w14:paraId="465C6685" w14:textId="77777777" w:rsidR="00513117" w:rsidRPr="004D21C0" w:rsidRDefault="00513117" w:rsidP="00AD27FD">
            <w:pPr>
              <w:spacing w:after="0"/>
              <w:rPr>
                <w:sz w:val="16"/>
                <w:szCs w:val="16"/>
              </w:rPr>
            </w:pPr>
          </w:p>
        </w:tc>
        <w:tc>
          <w:tcPr>
            <w:tcW w:w="0" w:type="auto"/>
          </w:tcPr>
          <w:p w14:paraId="61D5D28F" w14:textId="316A985B" w:rsidR="00513117" w:rsidRPr="00AD27FD" w:rsidRDefault="00513117" w:rsidP="00AD27FD">
            <w:pPr>
              <w:spacing w:after="0"/>
              <w:jc w:val="center"/>
              <w:rPr>
                <w:b/>
                <w:bCs/>
                <w:sz w:val="16"/>
                <w:szCs w:val="16"/>
              </w:rPr>
            </w:pPr>
            <w:r w:rsidRPr="00AD27FD">
              <w:rPr>
                <w:b/>
                <w:bCs/>
                <w:color w:val="000000" w:themeColor="text1"/>
                <w:sz w:val="16"/>
                <w:szCs w:val="16"/>
              </w:rPr>
              <w:t>100%</w:t>
            </w:r>
          </w:p>
        </w:tc>
        <w:tc>
          <w:tcPr>
            <w:tcW w:w="0" w:type="auto"/>
            <w:tcBorders>
              <w:bottom w:val="single" w:sz="4" w:space="0" w:color="000000" w:themeColor="text1"/>
            </w:tcBorders>
          </w:tcPr>
          <w:p w14:paraId="62FB9469" w14:textId="77777777" w:rsidR="00513117" w:rsidRPr="004D21C0" w:rsidRDefault="00513117" w:rsidP="00AD27FD">
            <w:pPr>
              <w:spacing w:after="0"/>
              <w:rPr>
                <w:sz w:val="16"/>
                <w:szCs w:val="16"/>
              </w:rPr>
            </w:pPr>
          </w:p>
        </w:tc>
        <w:tc>
          <w:tcPr>
            <w:tcW w:w="0" w:type="auto"/>
            <w:tcBorders>
              <w:top w:val="single" w:sz="4" w:space="0" w:color="000000" w:themeColor="text1"/>
              <w:left w:val="single" w:sz="4" w:space="0" w:color="A6A6A6" w:themeColor="background1" w:themeShade="A6"/>
              <w:right w:val="nil"/>
            </w:tcBorders>
            <w:shd w:val="clear" w:color="auto" w:fill="auto"/>
          </w:tcPr>
          <w:p w14:paraId="68795F87" w14:textId="1505688B" w:rsidR="00513117" w:rsidRPr="00AD27FD" w:rsidRDefault="00513117" w:rsidP="00AD27FD">
            <w:pPr>
              <w:spacing w:after="0"/>
              <w:jc w:val="right"/>
              <w:rPr>
                <w:b/>
                <w:bCs/>
                <w:sz w:val="16"/>
                <w:szCs w:val="16"/>
              </w:rPr>
            </w:pPr>
            <w:r w:rsidRPr="00AD27FD">
              <w:rPr>
                <w:b/>
                <w:bCs/>
                <w:color w:val="000000" w:themeColor="text1"/>
                <w:sz w:val="16"/>
                <w:szCs w:val="16"/>
              </w:rPr>
              <w:t>41% in FY19-20,</w:t>
            </w:r>
          </w:p>
        </w:tc>
        <w:tc>
          <w:tcPr>
            <w:tcW w:w="0" w:type="auto"/>
            <w:tcBorders>
              <w:top w:val="single" w:sz="4" w:space="0" w:color="000000" w:themeColor="text1"/>
              <w:left w:val="nil"/>
              <w:right w:val="nil"/>
            </w:tcBorders>
            <w:shd w:val="clear" w:color="auto" w:fill="auto"/>
          </w:tcPr>
          <w:p w14:paraId="1352A0A7" w14:textId="78EC70CC" w:rsidR="00513117" w:rsidRPr="00AD27FD" w:rsidRDefault="00513117" w:rsidP="00AD27FD">
            <w:pPr>
              <w:spacing w:after="0"/>
              <w:jc w:val="center"/>
              <w:rPr>
                <w:b/>
                <w:bCs/>
                <w:sz w:val="16"/>
                <w:szCs w:val="16"/>
              </w:rPr>
            </w:pPr>
            <w:r w:rsidRPr="00AD27FD">
              <w:rPr>
                <w:b/>
                <w:bCs/>
                <w:color w:val="000000" w:themeColor="text1"/>
                <w:sz w:val="16"/>
                <w:szCs w:val="16"/>
              </w:rPr>
              <w:t>54% in FY20-21,</w:t>
            </w:r>
          </w:p>
        </w:tc>
        <w:tc>
          <w:tcPr>
            <w:tcW w:w="0" w:type="auto"/>
            <w:tcBorders>
              <w:top w:val="single" w:sz="4" w:space="0" w:color="000000" w:themeColor="text1"/>
              <w:left w:val="nil"/>
              <w:right w:val="single" w:sz="4" w:space="0" w:color="BCBCB9" w:themeColor="text2" w:themeShade="E6"/>
            </w:tcBorders>
            <w:shd w:val="clear" w:color="auto" w:fill="auto"/>
          </w:tcPr>
          <w:p w14:paraId="14375589" w14:textId="3CB39274" w:rsidR="00513117" w:rsidRPr="00AD27FD" w:rsidRDefault="00513117" w:rsidP="00AD27FD">
            <w:pPr>
              <w:spacing w:after="0"/>
              <w:rPr>
                <w:b/>
                <w:bCs/>
                <w:sz w:val="16"/>
                <w:szCs w:val="16"/>
              </w:rPr>
            </w:pPr>
            <w:r w:rsidRPr="00AD27FD">
              <w:rPr>
                <w:b/>
                <w:bCs/>
                <w:color w:val="000000" w:themeColor="text1"/>
                <w:sz w:val="16"/>
                <w:szCs w:val="16"/>
              </w:rPr>
              <w:t>85% in FY21-22</w:t>
            </w:r>
          </w:p>
        </w:tc>
      </w:tr>
      <w:tr w:rsidR="00F81A61" w:rsidRPr="004D21C0" w14:paraId="3E963798" w14:textId="77777777" w:rsidTr="002E4062">
        <w:trPr>
          <w:trHeight w:val="23"/>
        </w:trPr>
        <w:tc>
          <w:tcPr>
            <w:tcW w:w="0" w:type="auto"/>
            <w:shd w:val="clear" w:color="auto" w:fill="E7F5CF" w:themeFill="accent1" w:themeFillTint="33"/>
          </w:tcPr>
          <w:p w14:paraId="1D9C0C87" w14:textId="395B9D0F" w:rsidR="005C1F5D" w:rsidRPr="004D21C0" w:rsidRDefault="005C1F5D" w:rsidP="00AD27FD">
            <w:pPr>
              <w:spacing w:after="0"/>
              <w:rPr>
                <w:sz w:val="16"/>
                <w:szCs w:val="16"/>
              </w:rPr>
            </w:pPr>
            <w:r w:rsidRPr="004D21C0">
              <w:rPr>
                <w:rFonts w:asciiTheme="majorHAnsi" w:hAnsiTheme="majorHAnsi" w:cstheme="majorHAnsi"/>
                <w:b/>
                <w:sz w:val="16"/>
                <w:szCs w:val="16"/>
              </w:rPr>
              <w:t> Perspective</w:t>
            </w:r>
          </w:p>
        </w:tc>
        <w:tc>
          <w:tcPr>
            <w:tcW w:w="0" w:type="auto"/>
            <w:tcBorders>
              <w:right w:val="single" w:sz="4" w:space="0" w:color="BCBCB9" w:themeColor="text2" w:themeShade="E6"/>
            </w:tcBorders>
            <w:shd w:val="clear" w:color="auto" w:fill="E7F5CF" w:themeFill="accent1" w:themeFillTint="33"/>
          </w:tcPr>
          <w:p w14:paraId="46A0AA61" w14:textId="516AC1DE" w:rsidR="005C1F5D" w:rsidRPr="004D21C0" w:rsidRDefault="005C1F5D" w:rsidP="00AD27FD">
            <w:pPr>
              <w:spacing w:after="0"/>
              <w:rPr>
                <w:sz w:val="16"/>
                <w:szCs w:val="16"/>
              </w:rPr>
            </w:pPr>
            <w:r w:rsidRPr="004D21C0">
              <w:rPr>
                <w:rFonts w:asciiTheme="majorHAnsi" w:hAnsiTheme="majorHAnsi" w:cstheme="majorHAnsi"/>
                <w:b/>
                <w:sz w:val="16"/>
                <w:szCs w:val="16"/>
              </w:rPr>
              <w:t>Benefits</w:t>
            </w:r>
          </w:p>
        </w:tc>
        <w:tc>
          <w:tcPr>
            <w:tcW w:w="0" w:type="auto"/>
            <w:tcBorders>
              <w:left w:val="single" w:sz="4" w:space="0" w:color="BCBCB9" w:themeColor="text2" w:themeShade="E6"/>
            </w:tcBorders>
            <w:shd w:val="clear" w:color="auto" w:fill="E7F5CF" w:themeFill="accent1" w:themeFillTint="33"/>
          </w:tcPr>
          <w:p w14:paraId="1CB51D4A" w14:textId="77777777" w:rsidR="005C1F5D" w:rsidRPr="004D21C0" w:rsidRDefault="005C1F5D" w:rsidP="00AD27FD">
            <w:pPr>
              <w:spacing w:after="0"/>
              <w:rPr>
                <w:sz w:val="16"/>
                <w:szCs w:val="16"/>
              </w:rPr>
            </w:pPr>
          </w:p>
        </w:tc>
        <w:tc>
          <w:tcPr>
            <w:tcW w:w="0" w:type="auto"/>
            <w:shd w:val="clear" w:color="auto" w:fill="E7F5CF" w:themeFill="accent1" w:themeFillTint="33"/>
          </w:tcPr>
          <w:p w14:paraId="6B314F63" w14:textId="77777777" w:rsidR="005C1F5D" w:rsidRPr="004D21C0" w:rsidRDefault="005C1F5D" w:rsidP="00AD27FD">
            <w:pPr>
              <w:spacing w:after="0"/>
              <w:rPr>
                <w:sz w:val="16"/>
                <w:szCs w:val="16"/>
              </w:rPr>
            </w:pPr>
          </w:p>
        </w:tc>
        <w:tc>
          <w:tcPr>
            <w:tcW w:w="0" w:type="auto"/>
            <w:tcBorders>
              <w:top w:val="single" w:sz="4" w:space="0" w:color="000000" w:themeColor="text1"/>
              <w:right w:val="single" w:sz="4" w:space="0" w:color="BCBCB9" w:themeColor="text2" w:themeShade="E6"/>
            </w:tcBorders>
            <w:shd w:val="clear" w:color="auto" w:fill="E7F5CF" w:themeFill="accent1" w:themeFillTint="33"/>
          </w:tcPr>
          <w:p w14:paraId="5DBF68F2" w14:textId="77777777" w:rsidR="005C1F5D" w:rsidRPr="004D21C0" w:rsidRDefault="005C1F5D" w:rsidP="00AD27FD">
            <w:pPr>
              <w:spacing w:after="0"/>
              <w:rPr>
                <w:sz w:val="16"/>
                <w:szCs w:val="16"/>
              </w:rPr>
            </w:pPr>
          </w:p>
        </w:tc>
        <w:tc>
          <w:tcPr>
            <w:tcW w:w="0" w:type="auto"/>
            <w:tcBorders>
              <w:left w:val="single" w:sz="4" w:space="0" w:color="BCBCB9" w:themeColor="text2" w:themeShade="E6"/>
            </w:tcBorders>
            <w:shd w:val="clear" w:color="auto" w:fill="E7F5CF" w:themeFill="accent1" w:themeFillTint="33"/>
          </w:tcPr>
          <w:p w14:paraId="1329FFFB" w14:textId="77777777" w:rsidR="005C1F5D" w:rsidRPr="004D21C0" w:rsidRDefault="005C1F5D" w:rsidP="00AD27FD">
            <w:pPr>
              <w:spacing w:after="0"/>
              <w:rPr>
                <w:sz w:val="16"/>
                <w:szCs w:val="16"/>
              </w:rPr>
            </w:pPr>
          </w:p>
        </w:tc>
        <w:tc>
          <w:tcPr>
            <w:tcW w:w="0" w:type="auto"/>
            <w:shd w:val="clear" w:color="auto" w:fill="E7F5CF" w:themeFill="accent1" w:themeFillTint="33"/>
          </w:tcPr>
          <w:p w14:paraId="4D4E0185" w14:textId="77777777" w:rsidR="005C1F5D" w:rsidRPr="004D21C0" w:rsidRDefault="005C1F5D" w:rsidP="00AD27FD">
            <w:pPr>
              <w:spacing w:after="0"/>
              <w:rPr>
                <w:sz w:val="16"/>
                <w:szCs w:val="16"/>
              </w:rPr>
            </w:pPr>
          </w:p>
        </w:tc>
        <w:tc>
          <w:tcPr>
            <w:tcW w:w="0" w:type="auto"/>
            <w:tcBorders>
              <w:right w:val="single" w:sz="4" w:space="0" w:color="BCBCB9" w:themeColor="text2" w:themeShade="E6"/>
            </w:tcBorders>
            <w:shd w:val="clear" w:color="auto" w:fill="E7F5CF" w:themeFill="accent1" w:themeFillTint="33"/>
          </w:tcPr>
          <w:p w14:paraId="31EB0AA4" w14:textId="77777777" w:rsidR="005C1F5D" w:rsidRPr="004D21C0" w:rsidRDefault="005C1F5D" w:rsidP="00AD27FD">
            <w:pPr>
              <w:spacing w:after="0"/>
              <w:rPr>
                <w:sz w:val="16"/>
                <w:szCs w:val="16"/>
              </w:rPr>
            </w:pPr>
          </w:p>
        </w:tc>
      </w:tr>
      <w:tr w:rsidR="00F81A61" w:rsidRPr="004D21C0" w14:paraId="31A9B0EB" w14:textId="77777777" w:rsidTr="002E4062">
        <w:trPr>
          <w:trHeight w:val="23"/>
        </w:trPr>
        <w:tc>
          <w:tcPr>
            <w:tcW w:w="0" w:type="auto"/>
          </w:tcPr>
          <w:p w14:paraId="5DE62756" w14:textId="78D9E851" w:rsidR="009B3F36" w:rsidRPr="004D21C0" w:rsidRDefault="009B3F36" w:rsidP="00AD27FD">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05DCDDF0" w14:textId="3CD16B60" w:rsidR="009B3F36" w:rsidRPr="004D21C0" w:rsidRDefault="009B3F36" w:rsidP="00AD27FD">
            <w:pPr>
              <w:spacing w:after="0"/>
              <w:rPr>
                <w:sz w:val="16"/>
                <w:szCs w:val="16"/>
              </w:rPr>
            </w:pPr>
            <w:r w:rsidRPr="004D21C0">
              <w:rPr>
                <w:sz w:val="16"/>
                <w:szCs w:val="16"/>
              </w:rPr>
              <w:t>Subgroup A - Released capacity (long stay psychogeriatric care)</w:t>
            </w:r>
          </w:p>
        </w:tc>
        <w:tc>
          <w:tcPr>
            <w:tcW w:w="0" w:type="auto"/>
            <w:tcBorders>
              <w:top w:val="single" w:sz="4" w:space="0" w:color="000000" w:themeColor="text1"/>
              <w:left w:val="single" w:sz="4" w:space="0" w:color="A6A6A6" w:themeColor="background1" w:themeShade="A6"/>
            </w:tcBorders>
          </w:tcPr>
          <w:p w14:paraId="053AFE28" w14:textId="3C9156B8" w:rsidR="009B3F36" w:rsidRPr="004D21C0" w:rsidRDefault="009B3F36" w:rsidP="00D01428">
            <w:pPr>
              <w:spacing w:after="0"/>
              <w:jc w:val="right"/>
              <w:rPr>
                <w:sz w:val="16"/>
                <w:szCs w:val="16"/>
              </w:rPr>
            </w:pPr>
            <w:r w:rsidRPr="004D21C0">
              <w:rPr>
                <w:sz w:val="16"/>
                <w:szCs w:val="16"/>
              </w:rPr>
              <w:t>$35,297,967</w:t>
            </w:r>
          </w:p>
        </w:tc>
        <w:tc>
          <w:tcPr>
            <w:tcW w:w="0" w:type="auto"/>
            <w:tcBorders>
              <w:top w:val="single" w:sz="4" w:space="0" w:color="000000" w:themeColor="text1"/>
              <w:right w:val="nil"/>
            </w:tcBorders>
          </w:tcPr>
          <w:p w14:paraId="2EB8A5D0" w14:textId="77777777" w:rsidR="009B3F36" w:rsidRPr="004D21C0" w:rsidRDefault="009B3F36" w:rsidP="00D01428">
            <w:pPr>
              <w:spacing w:after="0"/>
              <w:jc w:val="right"/>
              <w:rPr>
                <w:sz w:val="16"/>
                <w:szCs w:val="16"/>
              </w:rPr>
            </w:pPr>
            <w:r w:rsidRPr="004D21C0">
              <w:rPr>
                <w:sz w:val="16"/>
                <w:szCs w:val="16"/>
              </w:rPr>
              <w:t>$49,325,930</w:t>
            </w:r>
          </w:p>
          <w:p w14:paraId="43350053" w14:textId="77777777" w:rsidR="009B3F36" w:rsidRPr="004D21C0" w:rsidRDefault="009B3F36" w:rsidP="00D01428">
            <w:pPr>
              <w:spacing w:after="0"/>
              <w:jc w:val="right"/>
              <w:rPr>
                <w:sz w:val="16"/>
                <w:szCs w:val="16"/>
              </w:rPr>
            </w:pPr>
          </w:p>
        </w:tc>
        <w:tc>
          <w:tcPr>
            <w:tcW w:w="0" w:type="auto"/>
            <w:tcBorders>
              <w:top w:val="single" w:sz="4" w:space="0" w:color="000000" w:themeColor="text1"/>
              <w:left w:val="nil"/>
              <w:right w:val="single" w:sz="4" w:space="0" w:color="A6A6A6" w:themeColor="background1" w:themeShade="A6"/>
            </w:tcBorders>
          </w:tcPr>
          <w:p w14:paraId="7CBDF5A6" w14:textId="77777777" w:rsidR="009B3F36" w:rsidRPr="004D21C0" w:rsidRDefault="009B3F36" w:rsidP="00D01428">
            <w:pPr>
              <w:spacing w:after="0"/>
              <w:jc w:val="right"/>
              <w:rPr>
                <w:sz w:val="16"/>
                <w:szCs w:val="16"/>
              </w:rPr>
            </w:pPr>
            <w:r w:rsidRPr="004D21C0">
              <w:rPr>
                <w:sz w:val="16"/>
                <w:szCs w:val="16"/>
              </w:rPr>
              <w:t>$63,059,733</w:t>
            </w:r>
          </w:p>
          <w:p w14:paraId="635A480B" w14:textId="77777777" w:rsidR="009B3F36" w:rsidRPr="004D21C0" w:rsidRDefault="009B3F36" w:rsidP="00D01428">
            <w:pPr>
              <w:spacing w:after="0"/>
              <w:jc w:val="right"/>
              <w:rPr>
                <w:sz w:val="16"/>
                <w:szCs w:val="16"/>
              </w:rPr>
            </w:pPr>
          </w:p>
        </w:tc>
        <w:tc>
          <w:tcPr>
            <w:tcW w:w="0" w:type="auto"/>
            <w:tcBorders>
              <w:left w:val="single" w:sz="4" w:space="0" w:color="A6A6A6" w:themeColor="background1" w:themeShade="A6"/>
            </w:tcBorders>
          </w:tcPr>
          <w:p w14:paraId="198AAA4F" w14:textId="5634AF00" w:rsidR="009B3F36" w:rsidRPr="004D21C0" w:rsidRDefault="009B3F36" w:rsidP="00D01428">
            <w:pPr>
              <w:spacing w:after="0"/>
              <w:jc w:val="right"/>
              <w:rPr>
                <w:sz w:val="16"/>
                <w:szCs w:val="16"/>
              </w:rPr>
            </w:pPr>
            <w:r w:rsidRPr="004D21C0">
              <w:rPr>
                <w:sz w:val="16"/>
                <w:szCs w:val="16"/>
              </w:rPr>
              <w:t>$23,569,923</w:t>
            </w:r>
          </w:p>
        </w:tc>
        <w:tc>
          <w:tcPr>
            <w:tcW w:w="0" w:type="auto"/>
          </w:tcPr>
          <w:p w14:paraId="3E2A8078" w14:textId="77777777" w:rsidR="009B3F36" w:rsidRPr="004D21C0" w:rsidRDefault="009B3F36" w:rsidP="00D01428">
            <w:pPr>
              <w:spacing w:after="0"/>
              <w:jc w:val="right"/>
              <w:rPr>
                <w:sz w:val="16"/>
                <w:szCs w:val="16"/>
              </w:rPr>
            </w:pPr>
            <w:r w:rsidRPr="004D21C0">
              <w:rPr>
                <w:sz w:val="16"/>
                <w:szCs w:val="16"/>
              </w:rPr>
              <w:t>$32,824,434</w:t>
            </w:r>
          </w:p>
          <w:p w14:paraId="77B46A25" w14:textId="77777777" w:rsidR="009B3F36" w:rsidRPr="004D21C0" w:rsidRDefault="009B3F36" w:rsidP="00D01428">
            <w:pPr>
              <w:spacing w:after="0"/>
              <w:jc w:val="right"/>
              <w:rPr>
                <w:sz w:val="16"/>
                <w:szCs w:val="16"/>
              </w:rPr>
            </w:pPr>
          </w:p>
        </w:tc>
        <w:tc>
          <w:tcPr>
            <w:tcW w:w="0" w:type="auto"/>
            <w:tcBorders>
              <w:top w:val="single" w:sz="4" w:space="0" w:color="000000" w:themeColor="text1"/>
              <w:right w:val="single" w:sz="4" w:space="0" w:color="BCBCB9" w:themeColor="text2" w:themeShade="E6"/>
            </w:tcBorders>
          </w:tcPr>
          <w:p w14:paraId="3940CF96" w14:textId="7F8F63E4" w:rsidR="009B3F36" w:rsidRPr="004D21C0" w:rsidRDefault="009B3F36" w:rsidP="00D01428">
            <w:pPr>
              <w:spacing w:after="0"/>
              <w:jc w:val="right"/>
              <w:rPr>
                <w:sz w:val="16"/>
                <w:szCs w:val="16"/>
              </w:rPr>
            </w:pPr>
            <w:r w:rsidRPr="004D21C0">
              <w:rPr>
                <w:sz w:val="16"/>
                <w:szCs w:val="16"/>
              </w:rPr>
              <w:t>$41,859,416</w:t>
            </w:r>
          </w:p>
        </w:tc>
      </w:tr>
      <w:tr w:rsidR="00F81A61" w:rsidRPr="004D21C0" w14:paraId="2630780F" w14:textId="77777777" w:rsidTr="002E4062">
        <w:trPr>
          <w:trHeight w:val="23"/>
        </w:trPr>
        <w:tc>
          <w:tcPr>
            <w:tcW w:w="0" w:type="auto"/>
          </w:tcPr>
          <w:p w14:paraId="733A099E" w14:textId="06233BEB" w:rsidR="009B3F36" w:rsidRPr="004D21C0" w:rsidRDefault="009B3F36"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7129F1F6" w14:textId="483D1F1F" w:rsidR="009B3F36" w:rsidRPr="004D21C0" w:rsidRDefault="009B3F36" w:rsidP="004D21C0">
            <w:pPr>
              <w:spacing w:after="0"/>
              <w:rPr>
                <w:sz w:val="16"/>
                <w:szCs w:val="16"/>
              </w:rPr>
            </w:pPr>
            <w:r w:rsidRPr="004D21C0">
              <w:rPr>
                <w:sz w:val="16"/>
                <w:szCs w:val="16"/>
              </w:rPr>
              <w:t>Subgroup B - Avoided ED presentations</w:t>
            </w:r>
          </w:p>
        </w:tc>
        <w:tc>
          <w:tcPr>
            <w:tcW w:w="0" w:type="auto"/>
            <w:tcBorders>
              <w:top w:val="single" w:sz="4" w:space="0" w:color="000000" w:themeColor="text1"/>
              <w:left w:val="single" w:sz="4" w:space="0" w:color="A6A6A6" w:themeColor="background1" w:themeShade="A6"/>
            </w:tcBorders>
          </w:tcPr>
          <w:p w14:paraId="71347163" w14:textId="1E85E063" w:rsidR="009B3F36" w:rsidRPr="004D21C0" w:rsidRDefault="009B3F36" w:rsidP="00D01428">
            <w:pPr>
              <w:spacing w:after="0"/>
              <w:jc w:val="right"/>
              <w:rPr>
                <w:sz w:val="16"/>
                <w:szCs w:val="16"/>
              </w:rPr>
            </w:pPr>
            <w:r w:rsidRPr="004D21C0">
              <w:rPr>
                <w:sz w:val="16"/>
                <w:szCs w:val="16"/>
              </w:rPr>
              <w:t>$306,368</w:t>
            </w:r>
          </w:p>
        </w:tc>
        <w:tc>
          <w:tcPr>
            <w:tcW w:w="0" w:type="auto"/>
            <w:tcBorders>
              <w:top w:val="single" w:sz="4" w:space="0" w:color="000000" w:themeColor="text1"/>
              <w:right w:val="nil"/>
            </w:tcBorders>
          </w:tcPr>
          <w:p w14:paraId="03EEC919" w14:textId="10FDEBD7" w:rsidR="009B3F36" w:rsidRPr="004D21C0" w:rsidRDefault="009B3F36" w:rsidP="00D01428">
            <w:pPr>
              <w:spacing w:after="0"/>
              <w:jc w:val="right"/>
              <w:rPr>
                <w:sz w:val="16"/>
                <w:szCs w:val="16"/>
              </w:rPr>
            </w:pPr>
            <w:r w:rsidRPr="004D21C0">
              <w:rPr>
                <w:sz w:val="16"/>
                <w:szCs w:val="16"/>
              </w:rPr>
              <w:t>$422,324</w:t>
            </w:r>
          </w:p>
        </w:tc>
        <w:tc>
          <w:tcPr>
            <w:tcW w:w="0" w:type="auto"/>
            <w:tcBorders>
              <w:top w:val="single" w:sz="4" w:space="0" w:color="000000" w:themeColor="text1"/>
              <w:left w:val="nil"/>
              <w:right w:val="single" w:sz="4" w:space="0" w:color="A6A6A6" w:themeColor="background1" w:themeShade="A6"/>
            </w:tcBorders>
          </w:tcPr>
          <w:p w14:paraId="7AA5675F" w14:textId="784D6195" w:rsidR="009B3F36" w:rsidRPr="004D21C0" w:rsidRDefault="009B3F36" w:rsidP="00D01428">
            <w:pPr>
              <w:spacing w:after="0"/>
              <w:jc w:val="right"/>
              <w:rPr>
                <w:sz w:val="16"/>
                <w:szCs w:val="16"/>
              </w:rPr>
            </w:pPr>
            <w:r w:rsidRPr="004D21C0">
              <w:rPr>
                <w:sz w:val="16"/>
                <w:szCs w:val="16"/>
              </w:rPr>
              <w:t>$533,008</w:t>
            </w:r>
          </w:p>
        </w:tc>
        <w:tc>
          <w:tcPr>
            <w:tcW w:w="0" w:type="auto"/>
            <w:tcBorders>
              <w:left w:val="single" w:sz="4" w:space="0" w:color="A6A6A6" w:themeColor="background1" w:themeShade="A6"/>
            </w:tcBorders>
          </w:tcPr>
          <w:p w14:paraId="367B968E" w14:textId="3AF81C09" w:rsidR="009B3F36" w:rsidRPr="004D21C0" w:rsidRDefault="009B3F36" w:rsidP="00D01428">
            <w:pPr>
              <w:spacing w:after="0"/>
              <w:jc w:val="right"/>
              <w:rPr>
                <w:sz w:val="16"/>
                <w:szCs w:val="16"/>
              </w:rPr>
            </w:pPr>
            <w:r w:rsidRPr="004D21C0">
              <w:rPr>
                <w:sz w:val="16"/>
                <w:szCs w:val="16"/>
              </w:rPr>
              <w:t>$200,531</w:t>
            </w:r>
          </w:p>
        </w:tc>
        <w:tc>
          <w:tcPr>
            <w:tcW w:w="0" w:type="auto"/>
          </w:tcPr>
          <w:p w14:paraId="3E4BA6EB" w14:textId="5B5868FF" w:rsidR="009B3F36" w:rsidRPr="004D21C0" w:rsidRDefault="009B3F36" w:rsidP="00D01428">
            <w:pPr>
              <w:spacing w:after="0"/>
              <w:jc w:val="right"/>
              <w:rPr>
                <w:sz w:val="16"/>
                <w:szCs w:val="16"/>
              </w:rPr>
            </w:pPr>
            <w:r w:rsidRPr="004D21C0">
              <w:rPr>
                <w:sz w:val="16"/>
                <w:szCs w:val="16"/>
              </w:rPr>
              <w:t>$276,516</w:t>
            </w:r>
          </w:p>
        </w:tc>
        <w:tc>
          <w:tcPr>
            <w:tcW w:w="0" w:type="auto"/>
            <w:tcBorders>
              <w:top w:val="single" w:sz="4" w:space="0" w:color="000000" w:themeColor="text1"/>
              <w:right w:val="single" w:sz="4" w:space="0" w:color="BCBCB9" w:themeColor="text2" w:themeShade="E6"/>
            </w:tcBorders>
          </w:tcPr>
          <w:p w14:paraId="60094504" w14:textId="69C0F5C5" w:rsidR="009B3F36" w:rsidRPr="004D21C0" w:rsidRDefault="009B3F36" w:rsidP="00D01428">
            <w:pPr>
              <w:spacing w:after="0"/>
              <w:jc w:val="right"/>
              <w:rPr>
                <w:sz w:val="16"/>
                <w:szCs w:val="16"/>
              </w:rPr>
            </w:pPr>
            <w:r w:rsidRPr="004D21C0">
              <w:rPr>
                <w:sz w:val="16"/>
                <w:szCs w:val="16"/>
              </w:rPr>
              <w:t>$349,331</w:t>
            </w:r>
          </w:p>
        </w:tc>
      </w:tr>
      <w:tr w:rsidR="00F81A61" w:rsidRPr="004D21C0" w14:paraId="62A3464B" w14:textId="77777777" w:rsidTr="002E4062">
        <w:trPr>
          <w:trHeight w:val="23"/>
        </w:trPr>
        <w:tc>
          <w:tcPr>
            <w:tcW w:w="0" w:type="auto"/>
          </w:tcPr>
          <w:p w14:paraId="3ABC8F86" w14:textId="6F5924B8" w:rsidR="009B3F36" w:rsidRPr="004D21C0" w:rsidRDefault="009B3F36"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5C2D5274" w14:textId="153CBA89" w:rsidR="009B3F36" w:rsidRPr="004D21C0" w:rsidRDefault="009B3F36" w:rsidP="004D21C0">
            <w:pPr>
              <w:spacing w:after="0"/>
              <w:rPr>
                <w:sz w:val="16"/>
                <w:szCs w:val="16"/>
              </w:rPr>
            </w:pPr>
            <w:r w:rsidRPr="004D21C0">
              <w:rPr>
                <w:sz w:val="16"/>
                <w:szCs w:val="16"/>
              </w:rPr>
              <w:t>Subgroup B - Avoided ambulance utilisation</w:t>
            </w:r>
          </w:p>
        </w:tc>
        <w:tc>
          <w:tcPr>
            <w:tcW w:w="0" w:type="auto"/>
            <w:tcBorders>
              <w:top w:val="single" w:sz="4" w:space="0" w:color="000000" w:themeColor="text1"/>
              <w:left w:val="single" w:sz="4" w:space="0" w:color="A6A6A6" w:themeColor="background1" w:themeShade="A6"/>
            </w:tcBorders>
          </w:tcPr>
          <w:p w14:paraId="51C12573" w14:textId="4BA58019" w:rsidR="009B3F36" w:rsidRPr="004D21C0" w:rsidRDefault="009B3F36" w:rsidP="00D01428">
            <w:pPr>
              <w:spacing w:after="0"/>
              <w:jc w:val="right"/>
              <w:rPr>
                <w:sz w:val="16"/>
                <w:szCs w:val="16"/>
              </w:rPr>
            </w:pPr>
            <w:r w:rsidRPr="004D21C0">
              <w:rPr>
                <w:sz w:val="16"/>
                <w:szCs w:val="16"/>
              </w:rPr>
              <w:t>$244,423</w:t>
            </w:r>
          </w:p>
        </w:tc>
        <w:tc>
          <w:tcPr>
            <w:tcW w:w="0" w:type="auto"/>
            <w:tcBorders>
              <w:top w:val="single" w:sz="4" w:space="0" w:color="000000" w:themeColor="text1"/>
              <w:right w:val="nil"/>
            </w:tcBorders>
          </w:tcPr>
          <w:p w14:paraId="79C68989" w14:textId="2730195F" w:rsidR="009B3F36" w:rsidRPr="004D21C0" w:rsidRDefault="009B3F36" w:rsidP="00D01428">
            <w:pPr>
              <w:spacing w:after="0"/>
              <w:jc w:val="right"/>
              <w:rPr>
                <w:sz w:val="16"/>
                <w:szCs w:val="16"/>
              </w:rPr>
            </w:pPr>
            <w:r w:rsidRPr="004D21C0">
              <w:rPr>
                <w:sz w:val="16"/>
                <w:szCs w:val="16"/>
              </w:rPr>
              <w:t>$337,649</w:t>
            </w:r>
          </w:p>
        </w:tc>
        <w:tc>
          <w:tcPr>
            <w:tcW w:w="0" w:type="auto"/>
            <w:tcBorders>
              <w:top w:val="single" w:sz="4" w:space="0" w:color="000000" w:themeColor="text1"/>
              <w:left w:val="nil"/>
              <w:right w:val="single" w:sz="4" w:space="0" w:color="A6A6A6" w:themeColor="background1" w:themeShade="A6"/>
            </w:tcBorders>
          </w:tcPr>
          <w:p w14:paraId="50974807" w14:textId="7B4A26A1" w:rsidR="009B3F36" w:rsidRPr="004D21C0" w:rsidRDefault="009B3F36" w:rsidP="00D01428">
            <w:pPr>
              <w:spacing w:after="0"/>
              <w:jc w:val="right"/>
              <w:rPr>
                <w:sz w:val="16"/>
                <w:szCs w:val="16"/>
              </w:rPr>
            </w:pPr>
            <w:r w:rsidRPr="004D21C0">
              <w:rPr>
                <w:sz w:val="16"/>
                <w:szCs w:val="16"/>
              </w:rPr>
              <w:t>$427,714</w:t>
            </w:r>
          </w:p>
        </w:tc>
        <w:tc>
          <w:tcPr>
            <w:tcW w:w="0" w:type="auto"/>
            <w:tcBorders>
              <w:left w:val="single" w:sz="4" w:space="0" w:color="A6A6A6" w:themeColor="background1" w:themeShade="A6"/>
            </w:tcBorders>
          </w:tcPr>
          <w:p w14:paraId="56B306BD" w14:textId="2AA17F6D" w:rsidR="009B3F36" w:rsidRPr="004D21C0" w:rsidRDefault="009B3F36" w:rsidP="00D01428">
            <w:pPr>
              <w:spacing w:after="0"/>
              <w:jc w:val="right"/>
              <w:rPr>
                <w:sz w:val="16"/>
                <w:szCs w:val="16"/>
              </w:rPr>
            </w:pPr>
            <w:r w:rsidRPr="004D21C0">
              <w:rPr>
                <w:sz w:val="16"/>
                <w:szCs w:val="16"/>
              </w:rPr>
              <w:t>$160,555</w:t>
            </w:r>
          </w:p>
        </w:tc>
        <w:tc>
          <w:tcPr>
            <w:tcW w:w="0" w:type="auto"/>
          </w:tcPr>
          <w:p w14:paraId="2D166477" w14:textId="10A251EA" w:rsidR="009B3F36" w:rsidRPr="004D21C0" w:rsidRDefault="009B3F36" w:rsidP="00D01428">
            <w:pPr>
              <w:spacing w:after="0"/>
              <w:jc w:val="right"/>
              <w:rPr>
                <w:sz w:val="16"/>
                <w:szCs w:val="16"/>
              </w:rPr>
            </w:pPr>
            <w:r w:rsidRPr="004D21C0">
              <w:rPr>
                <w:sz w:val="16"/>
                <w:szCs w:val="16"/>
              </w:rPr>
              <w:t>$221,840</w:t>
            </w:r>
          </w:p>
        </w:tc>
        <w:tc>
          <w:tcPr>
            <w:tcW w:w="0" w:type="auto"/>
            <w:tcBorders>
              <w:top w:val="single" w:sz="4" w:space="0" w:color="000000" w:themeColor="text1"/>
              <w:right w:val="single" w:sz="4" w:space="0" w:color="BCBCB9" w:themeColor="text2" w:themeShade="E6"/>
            </w:tcBorders>
          </w:tcPr>
          <w:p w14:paraId="18131748" w14:textId="3E2D4544" w:rsidR="009B3F36" w:rsidRPr="004D21C0" w:rsidRDefault="009B3F36" w:rsidP="00D01428">
            <w:pPr>
              <w:spacing w:after="0"/>
              <w:jc w:val="right"/>
              <w:rPr>
                <w:sz w:val="16"/>
                <w:szCs w:val="16"/>
              </w:rPr>
            </w:pPr>
            <w:r w:rsidRPr="004D21C0">
              <w:rPr>
                <w:sz w:val="16"/>
                <w:szCs w:val="16"/>
              </w:rPr>
              <w:t>$281,090</w:t>
            </w:r>
          </w:p>
        </w:tc>
      </w:tr>
      <w:tr w:rsidR="00F81A61" w:rsidRPr="004D21C0" w14:paraId="65FD5690" w14:textId="77777777" w:rsidTr="002E4062">
        <w:trPr>
          <w:trHeight w:val="23"/>
        </w:trPr>
        <w:tc>
          <w:tcPr>
            <w:tcW w:w="0" w:type="auto"/>
          </w:tcPr>
          <w:p w14:paraId="0D471ED6" w14:textId="16D06D74" w:rsidR="009B3F36" w:rsidRPr="004D21C0" w:rsidRDefault="009B3F36"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6F8D9546" w14:textId="1F21CB6E" w:rsidR="009B3F36" w:rsidRPr="004D21C0" w:rsidRDefault="009B3F36" w:rsidP="004D21C0">
            <w:pPr>
              <w:spacing w:after="0"/>
              <w:rPr>
                <w:sz w:val="16"/>
                <w:szCs w:val="16"/>
              </w:rPr>
            </w:pPr>
            <w:r w:rsidRPr="004D21C0">
              <w:rPr>
                <w:sz w:val="16"/>
                <w:szCs w:val="16"/>
              </w:rPr>
              <w:t>Subgroup B - Avoided unplanned admissions</w:t>
            </w:r>
          </w:p>
        </w:tc>
        <w:tc>
          <w:tcPr>
            <w:tcW w:w="0" w:type="auto"/>
            <w:tcBorders>
              <w:top w:val="single" w:sz="4" w:space="0" w:color="000000" w:themeColor="text1"/>
              <w:left w:val="single" w:sz="4" w:space="0" w:color="A6A6A6" w:themeColor="background1" w:themeShade="A6"/>
            </w:tcBorders>
          </w:tcPr>
          <w:p w14:paraId="25A48010" w14:textId="66B8D583" w:rsidR="009B3F36" w:rsidRPr="004D21C0" w:rsidRDefault="009B3F36" w:rsidP="00D01428">
            <w:pPr>
              <w:spacing w:after="0"/>
              <w:jc w:val="right"/>
              <w:rPr>
                <w:sz w:val="16"/>
                <w:szCs w:val="16"/>
              </w:rPr>
            </w:pPr>
            <w:r w:rsidRPr="004D21C0">
              <w:rPr>
                <w:sz w:val="16"/>
                <w:szCs w:val="16"/>
              </w:rPr>
              <w:t>$3,490,867</w:t>
            </w:r>
          </w:p>
        </w:tc>
        <w:tc>
          <w:tcPr>
            <w:tcW w:w="0" w:type="auto"/>
            <w:tcBorders>
              <w:top w:val="single" w:sz="4" w:space="0" w:color="000000" w:themeColor="text1"/>
              <w:right w:val="nil"/>
            </w:tcBorders>
          </w:tcPr>
          <w:p w14:paraId="32D1B35D" w14:textId="5BE3F980" w:rsidR="009B3F36" w:rsidRPr="004D21C0" w:rsidRDefault="009B3F36" w:rsidP="00D01428">
            <w:pPr>
              <w:spacing w:after="0"/>
              <w:jc w:val="right"/>
              <w:rPr>
                <w:sz w:val="16"/>
                <w:szCs w:val="16"/>
              </w:rPr>
            </w:pPr>
            <w:r w:rsidRPr="004D21C0">
              <w:rPr>
                <w:sz w:val="16"/>
                <w:szCs w:val="16"/>
              </w:rPr>
              <w:t>$4,815,483</w:t>
            </w:r>
          </w:p>
        </w:tc>
        <w:tc>
          <w:tcPr>
            <w:tcW w:w="0" w:type="auto"/>
            <w:tcBorders>
              <w:top w:val="single" w:sz="4" w:space="0" w:color="000000" w:themeColor="text1"/>
              <w:left w:val="nil"/>
              <w:right w:val="single" w:sz="4" w:space="0" w:color="A6A6A6" w:themeColor="background1" w:themeShade="A6"/>
            </w:tcBorders>
          </w:tcPr>
          <w:p w14:paraId="31DAD08D" w14:textId="53E78774" w:rsidR="009B3F36" w:rsidRPr="004D21C0" w:rsidRDefault="009B3F36" w:rsidP="00D01428">
            <w:pPr>
              <w:spacing w:after="0"/>
              <w:jc w:val="right"/>
              <w:rPr>
                <w:sz w:val="16"/>
                <w:szCs w:val="16"/>
              </w:rPr>
            </w:pPr>
            <w:r w:rsidRPr="004D21C0">
              <w:rPr>
                <w:sz w:val="16"/>
                <w:szCs w:val="16"/>
              </w:rPr>
              <w:t>$6,111,463</w:t>
            </w:r>
          </w:p>
        </w:tc>
        <w:tc>
          <w:tcPr>
            <w:tcW w:w="0" w:type="auto"/>
            <w:tcBorders>
              <w:left w:val="single" w:sz="4" w:space="0" w:color="A6A6A6" w:themeColor="background1" w:themeShade="A6"/>
            </w:tcBorders>
          </w:tcPr>
          <w:p w14:paraId="327F7BED" w14:textId="69C71193" w:rsidR="009B3F36" w:rsidRPr="004D21C0" w:rsidRDefault="009B3F36" w:rsidP="00D01428">
            <w:pPr>
              <w:spacing w:after="0"/>
              <w:jc w:val="right"/>
              <w:rPr>
                <w:sz w:val="16"/>
                <w:szCs w:val="16"/>
              </w:rPr>
            </w:pPr>
            <w:r w:rsidRPr="004D21C0">
              <w:rPr>
                <w:sz w:val="16"/>
                <w:szCs w:val="16"/>
              </w:rPr>
              <w:t>$2,290,242</w:t>
            </w:r>
          </w:p>
        </w:tc>
        <w:tc>
          <w:tcPr>
            <w:tcW w:w="0" w:type="auto"/>
          </w:tcPr>
          <w:p w14:paraId="5FC2109B" w14:textId="14FA265F" w:rsidR="009B3F36" w:rsidRPr="004D21C0" w:rsidRDefault="009B3F36" w:rsidP="00D01428">
            <w:pPr>
              <w:spacing w:after="0"/>
              <w:jc w:val="right"/>
              <w:rPr>
                <w:sz w:val="16"/>
                <w:szCs w:val="16"/>
              </w:rPr>
            </w:pPr>
            <w:r w:rsidRPr="004D21C0">
              <w:rPr>
                <w:sz w:val="16"/>
                <w:szCs w:val="16"/>
              </w:rPr>
              <w:t>$3,163,961</w:t>
            </w:r>
          </w:p>
        </w:tc>
        <w:tc>
          <w:tcPr>
            <w:tcW w:w="0" w:type="auto"/>
            <w:tcBorders>
              <w:top w:val="single" w:sz="4" w:space="0" w:color="000000" w:themeColor="text1"/>
              <w:right w:val="single" w:sz="4" w:space="0" w:color="BCBCB9" w:themeColor="text2" w:themeShade="E6"/>
            </w:tcBorders>
          </w:tcPr>
          <w:p w14:paraId="464AD21A" w14:textId="5B9EC88D" w:rsidR="009B3F36" w:rsidRPr="004D21C0" w:rsidRDefault="009B3F36" w:rsidP="00D01428">
            <w:pPr>
              <w:spacing w:after="0"/>
              <w:jc w:val="right"/>
              <w:rPr>
                <w:sz w:val="16"/>
                <w:szCs w:val="16"/>
              </w:rPr>
            </w:pPr>
            <w:r w:rsidRPr="004D21C0">
              <w:rPr>
                <w:sz w:val="16"/>
                <w:szCs w:val="16"/>
              </w:rPr>
              <w:t>$4,016,540</w:t>
            </w:r>
          </w:p>
        </w:tc>
      </w:tr>
      <w:tr w:rsidR="00F81A61" w:rsidRPr="004D21C0" w14:paraId="522FD32B" w14:textId="77777777" w:rsidTr="002E4062">
        <w:trPr>
          <w:trHeight w:val="23"/>
        </w:trPr>
        <w:tc>
          <w:tcPr>
            <w:tcW w:w="0" w:type="auto"/>
          </w:tcPr>
          <w:p w14:paraId="323A2BD1" w14:textId="08B65BEE" w:rsidR="009B3F36" w:rsidRPr="004D21C0" w:rsidRDefault="009B3F36"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7C7EAFD7" w14:textId="0B4AF180" w:rsidR="009B3F36" w:rsidRPr="004D21C0" w:rsidRDefault="009B3F36" w:rsidP="004D21C0">
            <w:pPr>
              <w:spacing w:after="0"/>
              <w:rPr>
                <w:sz w:val="16"/>
                <w:szCs w:val="16"/>
              </w:rPr>
            </w:pPr>
            <w:r w:rsidRPr="004D21C0">
              <w:rPr>
                <w:sz w:val="16"/>
                <w:szCs w:val="16"/>
              </w:rPr>
              <w:t>Subgroup B - Released capacity (aged care) - Commonwealth contribution</w:t>
            </w:r>
          </w:p>
        </w:tc>
        <w:tc>
          <w:tcPr>
            <w:tcW w:w="0" w:type="auto"/>
            <w:tcBorders>
              <w:top w:val="single" w:sz="4" w:space="0" w:color="000000" w:themeColor="text1"/>
              <w:left w:val="single" w:sz="4" w:space="0" w:color="A6A6A6" w:themeColor="background1" w:themeShade="A6"/>
            </w:tcBorders>
          </w:tcPr>
          <w:p w14:paraId="232CCD68" w14:textId="744452D1" w:rsidR="009B3F36" w:rsidRPr="004D21C0" w:rsidRDefault="009B3F36" w:rsidP="00D01428">
            <w:pPr>
              <w:spacing w:after="0"/>
              <w:jc w:val="right"/>
              <w:rPr>
                <w:sz w:val="16"/>
                <w:szCs w:val="16"/>
              </w:rPr>
            </w:pPr>
            <w:r w:rsidRPr="004D21C0">
              <w:rPr>
                <w:sz w:val="16"/>
                <w:szCs w:val="16"/>
              </w:rPr>
              <w:t>$5,157,280</w:t>
            </w:r>
          </w:p>
        </w:tc>
        <w:tc>
          <w:tcPr>
            <w:tcW w:w="0" w:type="auto"/>
            <w:tcBorders>
              <w:top w:val="single" w:sz="4" w:space="0" w:color="000000" w:themeColor="text1"/>
              <w:right w:val="nil"/>
            </w:tcBorders>
          </w:tcPr>
          <w:p w14:paraId="08D0E3D4" w14:textId="7C2A086B" w:rsidR="009B3F36" w:rsidRPr="004D21C0" w:rsidRDefault="009B3F36" w:rsidP="00D01428">
            <w:pPr>
              <w:spacing w:after="0"/>
              <w:jc w:val="right"/>
              <w:rPr>
                <w:sz w:val="16"/>
                <w:szCs w:val="16"/>
              </w:rPr>
            </w:pPr>
            <w:r w:rsidRPr="004D21C0">
              <w:rPr>
                <w:sz w:val="16"/>
                <w:szCs w:val="16"/>
              </w:rPr>
              <w:t>$7,161,798</w:t>
            </w:r>
          </w:p>
        </w:tc>
        <w:tc>
          <w:tcPr>
            <w:tcW w:w="0" w:type="auto"/>
            <w:tcBorders>
              <w:top w:val="single" w:sz="4" w:space="0" w:color="000000" w:themeColor="text1"/>
              <w:left w:val="nil"/>
              <w:right w:val="single" w:sz="4" w:space="0" w:color="A6A6A6" w:themeColor="background1" w:themeShade="A6"/>
            </w:tcBorders>
          </w:tcPr>
          <w:p w14:paraId="50C0F5B6" w14:textId="7391F1AC" w:rsidR="009B3F36" w:rsidRPr="004D21C0" w:rsidRDefault="009B3F36" w:rsidP="00D01428">
            <w:pPr>
              <w:spacing w:after="0"/>
              <w:jc w:val="right"/>
              <w:rPr>
                <w:sz w:val="16"/>
                <w:szCs w:val="16"/>
              </w:rPr>
            </w:pPr>
            <w:r w:rsidRPr="004D21C0">
              <w:rPr>
                <w:sz w:val="16"/>
                <w:szCs w:val="16"/>
              </w:rPr>
              <w:t>$9,121,949</w:t>
            </w:r>
          </w:p>
        </w:tc>
        <w:tc>
          <w:tcPr>
            <w:tcW w:w="0" w:type="auto"/>
            <w:tcBorders>
              <w:left w:val="single" w:sz="4" w:space="0" w:color="A6A6A6" w:themeColor="background1" w:themeShade="A6"/>
            </w:tcBorders>
          </w:tcPr>
          <w:p w14:paraId="159F1BB7" w14:textId="7580B258" w:rsidR="009B3F36" w:rsidRPr="004D21C0" w:rsidRDefault="009B3F36" w:rsidP="00D01428">
            <w:pPr>
              <w:spacing w:after="0"/>
              <w:jc w:val="right"/>
              <w:rPr>
                <w:sz w:val="16"/>
                <w:szCs w:val="16"/>
              </w:rPr>
            </w:pPr>
            <w:r w:rsidRPr="004D21C0">
              <w:rPr>
                <w:sz w:val="16"/>
                <w:szCs w:val="16"/>
              </w:rPr>
              <w:t>$3,414,272</w:t>
            </w:r>
          </w:p>
        </w:tc>
        <w:tc>
          <w:tcPr>
            <w:tcW w:w="0" w:type="auto"/>
          </w:tcPr>
          <w:p w14:paraId="13F6F1BB" w14:textId="6546D41A" w:rsidR="009B3F36" w:rsidRPr="004D21C0" w:rsidRDefault="009B3F36" w:rsidP="00D01428">
            <w:pPr>
              <w:spacing w:after="0"/>
              <w:jc w:val="right"/>
              <w:rPr>
                <w:sz w:val="16"/>
                <w:szCs w:val="16"/>
              </w:rPr>
            </w:pPr>
            <w:r w:rsidRPr="004D21C0">
              <w:rPr>
                <w:sz w:val="16"/>
                <w:szCs w:val="16"/>
              </w:rPr>
              <w:t>$4,736,268</w:t>
            </w:r>
          </w:p>
        </w:tc>
        <w:tc>
          <w:tcPr>
            <w:tcW w:w="0" w:type="auto"/>
            <w:tcBorders>
              <w:top w:val="single" w:sz="4" w:space="0" w:color="000000" w:themeColor="text1"/>
              <w:right w:val="single" w:sz="4" w:space="0" w:color="BCBCB9" w:themeColor="text2" w:themeShade="E6"/>
            </w:tcBorders>
          </w:tcPr>
          <w:p w14:paraId="15A36777" w14:textId="6943C647" w:rsidR="009B3F36" w:rsidRPr="004D21C0" w:rsidRDefault="009B3F36" w:rsidP="00D01428">
            <w:pPr>
              <w:spacing w:after="0"/>
              <w:jc w:val="right"/>
              <w:rPr>
                <w:sz w:val="16"/>
                <w:szCs w:val="16"/>
              </w:rPr>
            </w:pPr>
            <w:r w:rsidRPr="004D21C0">
              <w:rPr>
                <w:sz w:val="16"/>
                <w:szCs w:val="16"/>
              </w:rPr>
              <w:t>$6,025,781</w:t>
            </w:r>
          </w:p>
        </w:tc>
      </w:tr>
      <w:tr w:rsidR="00F81A61" w:rsidRPr="004D21C0" w14:paraId="1E67F364" w14:textId="77777777" w:rsidTr="002E4062">
        <w:trPr>
          <w:trHeight w:val="23"/>
        </w:trPr>
        <w:tc>
          <w:tcPr>
            <w:tcW w:w="0" w:type="auto"/>
            <w:shd w:val="clear" w:color="auto" w:fill="F2F2F2" w:themeFill="background1" w:themeFillShade="F2"/>
          </w:tcPr>
          <w:p w14:paraId="3E60CD89" w14:textId="051879F2" w:rsidR="009B3F36" w:rsidRPr="004D21C0" w:rsidRDefault="009B3F36" w:rsidP="004D21C0">
            <w:pPr>
              <w:spacing w:after="0"/>
              <w:rPr>
                <w:sz w:val="16"/>
                <w:szCs w:val="16"/>
              </w:rPr>
            </w:pPr>
            <w:r w:rsidRPr="004D21C0">
              <w:rPr>
                <w:rFonts w:asciiTheme="majorHAnsi" w:hAnsiTheme="majorHAnsi" w:cstheme="majorHAnsi"/>
                <w:b/>
                <w:sz w:val="16"/>
                <w:szCs w:val="16"/>
              </w:rPr>
              <w:t> Societal</w:t>
            </w:r>
          </w:p>
        </w:tc>
        <w:tc>
          <w:tcPr>
            <w:tcW w:w="0" w:type="auto"/>
            <w:tcBorders>
              <w:right w:val="single" w:sz="4" w:space="0" w:color="BCBCB9" w:themeColor="text2" w:themeShade="E6"/>
            </w:tcBorders>
            <w:shd w:val="clear" w:color="auto" w:fill="F2F2F2" w:themeFill="background1" w:themeFillShade="F2"/>
          </w:tcPr>
          <w:p w14:paraId="512C4B83" w14:textId="6B93A5FD" w:rsidR="009B3F36" w:rsidRPr="004D21C0" w:rsidRDefault="009B3F36" w:rsidP="004D21C0">
            <w:pPr>
              <w:spacing w:after="0"/>
              <w:rPr>
                <w:sz w:val="16"/>
                <w:szCs w:val="16"/>
              </w:rPr>
            </w:pPr>
            <w:r w:rsidRPr="004D21C0">
              <w:rPr>
                <w:rFonts w:asciiTheme="majorHAnsi" w:hAnsiTheme="majorHAnsi" w:cstheme="majorHAnsi"/>
                <w:b/>
                <w:sz w:val="16"/>
                <w:szCs w:val="16"/>
              </w:rPr>
              <w:t>Total Benefits</w:t>
            </w:r>
          </w:p>
        </w:tc>
        <w:tc>
          <w:tcPr>
            <w:tcW w:w="0" w:type="auto"/>
            <w:tcBorders>
              <w:top w:val="single" w:sz="4" w:space="0" w:color="000000" w:themeColor="text1"/>
              <w:left w:val="single" w:sz="4" w:space="0" w:color="A6A6A6" w:themeColor="background1" w:themeShade="A6"/>
            </w:tcBorders>
            <w:shd w:val="clear" w:color="auto" w:fill="F2F2F2" w:themeFill="background1" w:themeFillShade="F2"/>
          </w:tcPr>
          <w:p w14:paraId="2B59C85E" w14:textId="40F1369D" w:rsidR="009B3F36" w:rsidRPr="004D21C0" w:rsidRDefault="009B3F36" w:rsidP="00D01428">
            <w:pPr>
              <w:spacing w:after="0"/>
              <w:jc w:val="right"/>
              <w:rPr>
                <w:sz w:val="16"/>
                <w:szCs w:val="16"/>
              </w:rPr>
            </w:pPr>
            <w:r w:rsidRPr="004D21C0">
              <w:rPr>
                <w:rFonts w:asciiTheme="majorHAnsi" w:hAnsiTheme="majorHAnsi" w:cstheme="majorHAnsi"/>
                <w:b/>
                <w:sz w:val="16"/>
                <w:szCs w:val="16"/>
              </w:rPr>
              <w:t>$44,496,905</w:t>
            </w:r>
          </w:p>
        </w:tc>
        <w:tc>
          <w:tcPr>
            <w:tcW w:w="0" w:type="auto"/>
            <w:tcBorders>
              <w:top w:val="single" w:sz="4" w:space="0" w:color="000000" w:themeColor="text1"/>
              <w:right w:val="nil"/>
            </w:tcBorders>
            <w:shd w:val="clear" w:color="auto" w:fill="F2F2F2" w:themeFill="background1" w:themeFillShade="F2"/>
          </w:tcPr>
          <w:p w14:paraId="2E688794" w14:textId="772A6609" w:rsidR="009B3F36" w:rsidRPr="00E4077C" w:rsidRDefault="009B3F36" w:rsidP="00D01428">
            <w:pPr>
              <w:spacing w:after="0"/>
              <w:jc w:val="right"/>
              <w:rPr>
                <w:rFonts w:asciiTheme="majorHAnsi" w:hAnsiTheme="majorHAnsi" w:cstheme="majorHAnsi"/>
                <w:b/>
                <w:sz w:val="16"/>
                <w:szCs w:val="16"/>
              </w:rPr>
            </w:pPr>
            <w:r w:rsidRPr="004D21C0">
              <w:rPr>
                <w:rFonts w:asciiTheme="majorHAnsi" w:hAnsiTheme="majorHAnsi" w:cstheme="majorHAnsi"/>
                <w:b/>
                <w:sz w:val="16"/>
                <w:szCs w:val="16"/>
              </w:rPr>
              <w:t>$62,063,185</w:t>
            </w:r>
          </w:p>
        </w:tc>
        <w:tc>
          <w:tcPr>
            <w:tcW w:w="0" w:type="auto"/>
            <w:tcBorders>
              <w:top w:val="single" w:sz="4" w:space="0" w:color="000000" w:themeColor="text1"/>
              <w:left w:val="nil"/>
              <w:right w:val="single" w:sz="4" w:space="0" w:color="A6A6A6" w:themeColor="background1" w:themeShade="A6"/>
            </w:tcBorders>
            <w:shd w:val="clear" w:color="auto" w:fill="F2F2F2" w:themeFill="background1" w:themeFillShade="F2"/>
          </w:tcPr>
          <w:p w14:paraId="7B2612E7" w14:textId="4EBE859D" w:rsidR="009B3F36" w:rsidRPr="004D21C0" w:rsidRDefault="009B3F36" w:rsidP="00D01428">
            <w:pPr>
              <w:spacing w:after="0"/>
              <w:jc w:val="right"/>
              <w:rPr>
                <w:sz w:val="16"/>
                <w:szCs w:val="16"/>
              </w:rPr>
            </w:pPr>
            <w:r w:rsidRPr="004D21C0">
              <w:rPr>
                <w:rFonts w:asciiTheme="majorHAnsi" w:hAnsiTheme="majorHAnsi" w:cstheme="majorHAnsi"/>
                <w:b/>
                <w:sz w:val="16"/>
                <w:szCs w:val="16"/>
              </w:rPr>
              <w:t>$79,253,867</w:t>
            </w:r>
          </w:p>
        </w:tc>
        <w:tc>
          <w:tcPr>
            <w:tcW w:w="0" w:type="auto"/>
            <w:tcBorders>
              <w:left w:val="single" w:sz="4" w:space="0" w:color="A6A6A6" w:themeColor="background1" w:themeShade="A6"/>
            </w:tcBorders>
            <w:shd w:val="clear" w:color="auto" w:fill="F2F2F2" w:themeFill="background1" w:themeFillShade="F2"/>
          </w:tcPr>
          <w:p w14:paraId="7EB01576" w14:textId="681A9404" w:rsidR="009B3F36" w:rsidRPr="004D21C0" w:rsidRDefault="009B3F36" w:rsidP="00D01428">
            <w:pPr>
              <w:spacing w:after="0"/>
              <w:jc w:val="right"/>
              <w:rPr>
                <w:sz w:val="16"/>
                <w:szCs w:val="16"/>
              </w:rPr>
            </w:pPr>
            <w:r w:rsidRPr="004D21C0">
              <w:rPr>
                <w:rFonts w:asciiTheme="majorHAnsi" w:hAnsiTheme="majorHAnsi" w:cstheme="majorHAnsi"/>
                <w:b/>
                <w:sz w:val="16"/>
                <w:szCs w:val="16"/>
              </w:rPr>
              <w:t>$29,635,524</w:t>
            </w:r>
          </w:p>
        </w:tc>
        <w:tc>
          <w:tcPr>
            <w:tcW w:w="0" w:type="auto"/>
            <w:shd w:val="clear" w:color="auto" w:fill="F2F2F2" w:themeFill="background1" w:themeFillShade="F2"/>
          </w:tcPr>
          <w:p w14:paraId="44343F49" w14:textId="5EAD51D1" w:rsidR="009B3F36" w:rsidRPr="004D21C0" w:rsidRDefault="009B3F36" w:rsidP="00D01428">
            <w:pPr>
              <w:spacing w:after="0"/>
              <w:jc w:val="right"/>
              <w:rPr>
                <w:sz w:val="16"/>
                <w:szCs w:val="16"/>
              </w:rPr>
            </w:pPr>
            <w:r w:rsidRPr="004D21C0">
              <w:rPr>
                <w:rFonts w:asciiTheme="majorHAnsi" w:hAnsiTheme="majorHAnsi" w:cstheme="majorHAnsi"/>
                <w:b/>
                <w:sz w:val="16"/>
                <w:szCs w:val="16"/>
              </w:rPr>
              <w:t>$41,223,018</w:t>
            </w:r>
          </w:p>
        </w:tc>
        <w:tc>
          <w:tcPr>
            <w:tcW w:w="0" w:type="auto"/>
            <w:tcBorders>
              <w:top w:val="single" w:sz="4" w:space="0" w:color="000000" w:themeColor="text1"/>
              <w:right w:val="single" w:sz="4" w:space="0" w:color="BCBCB9" w:themeColor="text2" w:themeShade="E6"/>
            </w:tcBorders>
            <w:shd w:val="clear" w:color="auto" w:fill="F2F2F2" w:themeFill="background1" w:themeFillShade="F2"/>
          </w:tcPr>
          <w:p w14:paraId="020FFA9F" w14:textId="3A289C23" w:rsidR="009B3F36" w:rsidRPr="004D21C0" w:rsidRDefault="009B3F36" w:rsidP="00D01428">
            <w:pPr>
              <w:spacing w:after="0"/>
              <w:jc w:val="right"/>
              <w:rPr>
                <w:sz w:val="16"/>
                <w:szCs w:val="16"/>
              </w:rPr>
            </w:pPr>
            <w:r w:rsidRPr="004D21C0">
              <w:rPr>
                <w:rFonts w:asciiTheme="majorHAnsi" w:hAnsiTheme="majorHAnsi" w:cstheme="majorHAnsi"/>
                <w:b/>
                <w:sz w:val="16"/>
                <w:szCs w:val="16"/>
              </w:rPr>
              <w:t>$52,532,158</w:t>
            </w:r>
          </w:p>
        </w:tc>
      </w:tr>
      <w:tr w:rsidR="00F81A61" w:rsidRPr="004D21C0" w14:paraId="3806D7E1" w14:textId="77777777" w:rsidTr="002E4062">
        <w:trPr>
          <w:trHeight w:val="23"/>
        </w:trPr>
        <w:tc>
          <w:tcPr>
            <w:tcW w:w="0" w:type="auto"/>
            <w:shd w:val="clear" w:color="auto" w:fill="E7F5CF" w:themeFill="accent1" w:themeFillTint="33"/>
          </w:tcPr>
          <w:p w14:paraId="446D92E0" w14:textId="1638CB3D" w:rsidR="005C1F5D" w:rsidRPr="004D21C0" w:rsidRDefault="005C1F5D" w:rsidP="004D21C0">
            <w:pPr>
              <w:spacing w:after="0"/>
              <w:rPr>
                <w:sz w:val="16"/>
                <w:szCs w:val="16"/>
              </w:rPr>
            </w:pPr>
            <w:r w:rsidRPr="004D21C0">
              <w:rPr>
                <w:rFonts w:asciiTheme="majorHAnsi" w:hAnsiTheme="majorHAnsi" w:cstheme="majorHAnsi"/>
                <w:b/>
                <w:sz w:val="16"/>
                <w:szCs w:val="16"/>
              </w:rPr>
              <w:t>Perspective</w:t>
            </w:r>
            <w:r w:rsidRPr="004D21C0">
              <w:rPr>
                <w:b/>
                <w:sz w:val="16"/>
                <w:szCs w:val="16"/>
              </w:rPr>
              <w:t> </w:t>
            </w:r>
          </w:p>
        </w:tc>
        <w:tc>
          <w:tcPr>
            <w:tcW w:w="0" w:type="auto"/>
            <w:tcBorders>
              <w:right w:val="single" w:sz="4" w:space="0" w:color="BCBCB9" w:themeColor="text2" w:themeShade="E6"/>
            </w:tcBorders>
            <w:shd w:val="clear" w:color="auto" w:fill="E7F5CF" w:themeFill="accent1" w:themeFillTint="33"/>
          </w:tcPr>
          <w:p w14:paraId="6E04155D" w14:textId="2879D545" w:rsidR="005C1F5D" w:rsidRPr="004D21C0" w:rsidRDefault="005C1F5D" w:rsidP="004D21C0">
            <w:pPr>
              <w:spacing w:after="0"/>
              <w:rPr>
                <w:sz w:val="16"/>
                <w:szCs w:val="16"/>
              </w:rPr>
            </w:pPr>
            <w:r w:rsidRPr="004D21C0">
              <w:rPr>
                <w:rFonts w:asciiTheme="majorHAnsi" w:hAnsiTheme="majorHAnsi" w:cstheme="majorHAnsi"/>
                <w:b/>
                <w:sz w:val="16"/>
                <w:szCs w:val="16"/>
              </w:rPr>
              <w:t>Costs</w:t>
            </w:r>
          </w:p>
        </w:tc>
        <w:tc>
          <w:tcPr>
            <w:tcW w:w="0" w:type="auto"/>
            <w:tcBorders>
              <w:left w:val="single" w:sz="4" w:space="0" w:color="BCBCB9" w:themeColor="text2" w:themeShade="E6"/>
            </w:tcBorders>
            <w:shd w:val="clear" w:color="auto" w:fill="E7F5CF" w:themeFill="accent1" w:themeFillTint="33"/>
          </w:tcPr>
          <w:p w14:paraId="2DB476FD" w14:textId="77777777" w:rsidR="005C1F5D" w:rsidRPr="004D21C0" w:rsidRDefault="005C1F5D" w:rsidP="004D21C0">
            <w:pPr>
              <w:spacing w:after="0"/>
              <w:rPr>
                <w:sz w:val="16"/>
                <w:szCs w:val="16"/>
              </w:rPr>
            </w:pPr>
          </w:p>
        </w:tc>
        <w:tc>
          <w:tcPr>
            <w:tcW w:w="0" w:type="auto"/>
            <w:shd w:val="clear" w:color="auto" w:fill="E7F5CF" w:themeFill="accent1" w:themeFillTint="33"/>
          </w:tcPr>
          <w:p w14:paraId="7F459874" w14:textId="77777777" w:rsidR="005C1F5D" w:rsidRPr="004D21C0" w:rsidRDefault="005C1F5D" w:rsidP="004D21C0">
            <w:pPr>
              <w:spacing w:after="0"/>
              <w:rPr>
                <w:sz w:val="16"/>
                <w:szCs w:val="16"/>
              </w:rPr>
            </w:pPr>
          </w:p>
        </w:tc>
        <w:tc>
          <w:tcPr>
            <w:tcW w:w="0" w:type="auto"/>
            <w:tcBorders>
              <w:right w:val="single" w:sz="4" w:space="0" w:color="BCBCB9" w:themeColor="text2" w:themeShade="E6"/>
            </w:tcBorders>
            <w:shd w:val="clear" w:color="auto" w:fill="E7F5CF" w:themeFill="accent1" w:themeFillTint="33"/>
          </w:tcPr>
          <w:p w14:paraId="2BF6A476" w14:textId="77777777" w:rsidR="005C1F5D" w:rsidRPr="004D21C0" w:rsidRDefault="005C1F5D" w:rsidP="004D21C0">
            <w:pPr>
              <w:spacing w:after="0"/>
              <w:rPr>
                <w:sz w:val="16"/>
                <w:szCs w:val="16"/>
              </w:rPr>
            </w:pPr>
          </w:p>
        </w:tc>
        <w:tc>
          <w:tcPr>
            <w:tcW w:w="0" w:type="auto"/>
            <w:tcBorders>
              <w:left w:val="single" w:sz="4" w:space="0" w:color="BCBCB9" w:themeColor="text2" w:themeShade="E6"/>
            </w:tcBorders>
            <w:shd w:val="clear" w:color="auto" w:fill="E7F5CF" w:themeFill="accent1" w:themeFillTint="33"/>
          </w:tcPr>
          <w:p w14:paraId="30100255" w14:textId="77777777" w:rsidR="005C1F5D" w:rsidRPr="004D21C0" w:rsidRDefault="005C1F5D" w:rsidP="004D21C0">
            <w:pPr>
              <w:spacing w:after="0"/>
              <w:rPr>
                <w:sz w:val="16"/>
                <w:szCs w:val="16"/>
              </w:rPr>
            </w:pPr>
          </w:p>
        </w:tc>
        <w:tc>
          <w:tcPr>
            <w:tcW w:w="0" w:type="auto"/>
            <w:shd w:val="clear" w:color="auto" w:fill="E7F5CF" w:themeFill="accent1" w:themeFillTint="33"/>
          </w:tcPr>
          <w:p w14:paraId="71364AF2" w14:textId="77777777" w:rsidR="005C1F5D" w:rsidRPr="004D21C0" w:rsidRDefault="005C1F5D" w:rsidP="004D21C0">
            <w:pPr>
              <w:spacing w:after="0"/>
              <w:rPr>
                <w:sz w:val="16"/>
                <w:szCs w:val="16"/>
              </w:rPr>
            </w:pPr>
          </w:p>
        </w:tc>
        <w:tc>
          <w:tcPr>
            <w:tcW w:w="0" w:type="auto"/>
            <w:tcBorders>
              <w:right w:val="single" w:sz="4" w:space="0" w:color="BCBCB9" w:themeColor="text2" w:themeShade="E6"/>
            </w:tcBorders>
            <w:shd w:val="clear" w:color="auto" w:fill="E7F5CF" w:themeFill="accent1" w:themeFillTint="33"/>
          </w:tcPr>
          <w:p w14:paraId="0123D061" w14:textId="77777777" w:rsidR="005C1F5D" w:rsidRPr="004D21C0" w:rsidRDefault="005C1F5D" w:rsidP="004D21C0">
            <w:pPr>
              <w:spacing w:after="0"/>
              <w:rPr>
                <w:sz w:val="16"/>
                <w:szCs w:val="16"/>
              </w:rPr>
            </w:pPr>
          </w:p>
        </w:tc>
      </w:tr>
      <w:tr w:rsidR="00F81A61" w:rsidRPr="004D21C0" w14:paraId="3C67E22A" w14:textId="77777777" w:rsidTr="002E4062">
        <w:trPr>
          <w:trHeight w:val="23"/>
        </w:trPr>
        <w:tc>
          <w:tcPr>
            <w:tcW w:w="0" w:type="auto"/>
          </w:tcPr>
          <w:p w14:paraId="003A3D5C" w14:textId="08E17572" w:rsidR="00EE6A3C" w:rsidRPr="004D21C0" w:rsidRDefault="00EE6A3C"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109D69E1" w14:textId="209E06B9" w:rsidR="00EE6A3C" w:rsidRPr="004D21C0" w:rsidRDefault="00EE6A3C" w:rsidP="004D21C0">
            <w:pPr>
              <w:spacing w:after="0"/>
              <w:rPr>
                <w:sz w:val="16"/>
                <w:szCs w:val="16"/>
              </w:rPr>
            </w:pPr>
            <w:r w:rsidRPr="004D21C0">
              <w:rPr>
                <w:sz w:val="16"/>
                <w:szCs w:val="16"/>
              </w:rPr>
              <w:t>Subgroup A and B - Establishment cost</w:t>
            </w:r>
          </w:p>
        </w:tc>
        <w:tc>
          <w:tcPr>
            <w:tcW w:w="0" w:type="auto"/>
            <w:tcBorders>
              <w:top w:val="single" w:sz="4" w:space="0" w:color="000000" w:themeColor="text1"/>
              <w:left w:val="single" w:sz="4" w:space="0" w:color="A6A6A6" w:themeColor="background1" w:themeShade="A6"/>
            </w:tcBorders>
          </w:tcPr>
          <w:p w14:paraId="01F39E14" w14:textId="1BF51E35" w:rsidR="00EE6A3C" w:rsidRPr="004D21C0" w:rsidRDefault="00EE6A3C" w:rsidP="00D01428">
            <w:pPr>
              <w:spacing w:after="0"/>
              <w:jc w:val="right"/>
              <w:rPr>
                <w:sz w:val="16"/>
                <w:szCs w:val="16"/>
              </w:rPr>
            </w:pPr>
            <w:r w:rsidRPr="004D21C0">
              <w:rPr>
                <w:sz w:val="16"/>
                <w:szCs w:val="16"/>
              </w:rPr>
              <w:t>$4,238,672</w:t>
            </w:r>
          </w:p>
        </w:tc>
        <w:tc>
          <w:tcPr>
            <w:tcW w:w="0" w:type="auto"/>
            <w:tcBorders>
              <w:top w:val="single" w:sz="4" w:space="0" w:color="000000" w:themeColor="text1"/>
              <w:right w:val="nil"/>
            </w:tcBorders>
          </w:tcPr>
          <w:p w14:paraId="7A0427B9" w14:textId="2594A867" w:rsidR="00EE6A3C" w:rsidRPr="004D21C0" w:rsidRDefault="00EE6A3C" w:rsidP="00D01428">
            <w:pPr>
              <w:spacing w:after="0"/>
              <w:jc w:val="right"/>
              <w:rPr>
                <w:sz w:val="16"/>
                <w:szCs w:val="16"/>
              </w:rPr>
            </w:pPr>
            <w:r w:rsidRPr="004D21C0">
              <w:rPr>
                <w:sz w:val="16"/>
                <w:szCs w:val="16"/>
              </w:rPr>
              <w:t>$4,238,672</w:t>
            </w:r>
          </w:p>
        </w:tc>
        <w:tc>
          <w:tcPr>
            <w:tcW w:w="0" w:type="auto"/>
            <w:tcBorders>
              <w:top w:val="single" w:sz="4" w:space="0" w:color="000000" w:themeColor="text1"/>
              <w:left w:val="nil"/>
              <w:right w:val="single" w:sz="4" w:space="0" w:color="A6A6A6" w:themeColor="background1" w:themeShade="A6"/>
            </w:tcBorders>
          </w:tcPr>
          <w:p w14:paraId="0C74E8D6" w14:textId="530D4664" w:rsidR="00EE6A3C" w:rsidRPr="004D21C0" w:rsidRDefault="00EE6A3C" w:rsidP="00D01428">
            <w:pPr>
              <w:spacing w:after="0"/>
              <w:jc w:val="right"/>
              <w:rPr>
                <w:sz w:val="16"/>
                <w:szCs w:val="16"/>
              </w:rPr>
            </w:pPr>
            <w:r w:rsidRPr="004D21C0">
              <w:rPr>
                <w:sz w:val="16"/>
                <w:szCs w:val="16"/>
              </w:rPr>
              <w:t>$4,238,672</w:t>
            </w:r>
          </w:p>
        </w:tc>
        <w:tc>
          <w:tcPr>
            <w:tcW w:w="0" w:type="auto"/>
            <w:tcBorders>
              <w:left w:val="single" w:sz="4" w:space="0" w:color="A6A6A6" w:themeColor="background1" w:themeShade="A6"/>
            </w:tcBorders>
          </w:tcPr>
          <w:p w14:paraId="7C151143" w14:textId="7D726B06" w:rsidR="00EE6A3C" w:rsidRPr="004D21C0" w:rsidRDefault="00EE6A3C" w:rsidP="00D01428">
            <w:pPr>
              <w:spacing w:after="0"/>
              <w:jc w:val="right"/>
              <w:rPr>
                <w:sz w:val="16"/>
                <w:szCs w:val="16"/>
              </w:rPr>
            </w:pPr>
            <w:r w:rsidRPr="004D21C0">
              <w:rPr>
                <w:sz w:val="16"/>
                <w:szCs w:val="16"/>
              </w:rPr>
              <w:t>$4,238,672</w:t>
            </w:r>
          </w:p>
        </w:tc>
        <w:tc>
          <w:tcPr>
            <w:tcW w:w="0" w:type="auto"/>
          </w:tcPr>
          <w:p w14:paraId="4F442808" w14:textId="2980D39F" w:rsidR="00EE6A3C" w:rsidRPr="004D21C0" w:rsidRDefault="00EE6A3C" w:rsidP="00D01428">
            <w:pPr>
              <w:spacing w:after="0"/>
              <w:jc w:val="right"/>
              <w:rPr>
                <w:sz w:val="16"/>
                <w:szCs w:val="16"/>
              </w:rPr>
            </w:pPr>
            <w:r w:rsidRPr="004D21C0">
              <w:rPr>
                <w:sz w:val="16"/>
                <w:szCs w:val="16"/>
              </w:rPr>
              <w:t>$4,238,672</w:t>
            </w:r>
          </w:p>
        </w:tc>
        <w:tc>
          <w:tcPr>
            <w:tcW w:w="0" w:type="auto"/>
            <w:tcBorders>
              <w:top w:val="single" w:sz="4" w:space="0" w:color="000000" w:themeColor="text1"/>
              <w:right w:val="single" w:sz="4" w:space="0" w:color="BCBCB9" w:themeColor="text2" w:themeShade="E6"/>
            </w:tcBorders>
          </w:tcPr>
          <w:p w14:paraId="59674B84" w14:textId="4E4339C7" w:rsidR="00EE6A3C" w:rsidRPr="004D21C0" w:rsidRDefault="00EE6A3C" w:rsidP="00D01428">
            <w:pPr>
              <w:spacing w:after="0"/>
              <w:jc w:val="right"/>
              <w:rPr>
                <w:sz w:val="16"/>
                <w:szCs w:val="16"/>
              </w:rPr>
            </w:pPr>
            <w:r w:rsidRPr="004D21C0">
              <w:rPr>
                <w:sz w:val="16"/>
                <w:szCs w:val="16"/>
              </w:rPr>
              <w:t>$4,238,672</w:t>
            </w:r>
          </w:p>
        </w:tc>
      </w:tr>
      <w:tr w:rsidR="00F81A61" w:rsidRPr="004D21C0" w14:paraId="0F95043C" w14:textId="77777777" w:rsidTr="002E4062">
        <w:trPr>
          <w:trHeight w:val="23"/>
        </w:trPr>
        <w:tc>
          <w:tcPr>
            <w:tcW w:w="0" w:type="auto"/>
          </w:tcPr>
          <w:p w14:paraId="628517F0" w14:textId="196112A1" w:rsidR="00EE6A3C" w:rsidRPr="004D21C0" w:rsidRDefault="00EE6A3C"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005DF950" w14:textId="43CCD490" w:rsidR="00EE6A3C" w:rsidRPr="004D21C0" w:rsidRDefault="00EE6A3C" w:rsidP="004D21C0">
            <w:pPr>
              <w:spacing w:after="0"/>
              <w:rPr>
                <w:sz w:val="16"/>
                <w:szCs w:val="16"/>
              </w:rPr>
            </w:pPr>
            <w:r w:rsidRPr="004D21C0">
              <w:rPr>
                <w:sz w:val="16"/>
                <w:szCs w:val="16"/>
              </w:rPr>
              <w:t>Subgroup A and B – Top-up grant payments</w:t>
            </w:r>
          </w:p>
        </w:tc>
        <w:tc>
          <w:tcPr>
            <w:tcW w:w="0" w:type="auto"/>
            <w:tcBorders>
              <w:top w:val="single" w:sz="4" w:space="0" w:color="000000" w:themeColor="text1"/>
              <w:left w:val="single" w:sz="4" w:space="0" w:color="A6A6A6" w:themeColor="background1" w:themeShade="A6"/>
            </w:tcBorders>
          </w:tcPr>
          <w:p w14:paraId="30322E9B" w14:textId="3F525567" w:rsidR="00EE6A3C" w:rsidRPr="004D21C0" w:rsidRDefault="00EE6A3C" w:rsidP="00D01428">
            <w:pPr>
              <w:spacing w:after="0"/>
              <w:jc w:val="right"/>
              <w:rPr>
                <w:sz w:val="16"/>
                <w:szCs w:val="16"/>
              </w:rPr>
            </w:pPr>
            <w:r w:rsidRPr="004D21C0">
              <w:rPr>
                <w:sz w:val="16"/>
                <w:szCs w:val="16"/>
              </w:rPr>
              <w:t>$19,634,754</w:t>
            </w:r>
          </w:p>
        </w:tc>
        <w:tc>
          <w:tcPr>
            <w:tcW w:w="0" w:type="auto"/>
            <w:tcBorders>
              <w:top w:val="single" w:sz="4" w:space="0" w:color="000000" w:themeColor="text1"/>
              <w:right w:val="nil"/>
            </w:tcBorders>
          </w:tcPr>
          <w:p w14:paraId="1032C129" w14:textId="54A3198C" w:rsidR="00EE6A3C" w:rsidRPr="004D21C0" w:rsidRDefault="00EE6A3C" w:rsidP="00D01428">
            <w:pPr>
              <w:spacing w:after="0"/>
              <w:jc w:val="right"/>
              <w:rPr>
                <w:sz w:val="16"/>
                <w:szCs w:val="16"/>
              </w:rPr>
            </w:pPr>
            <w:r w:rsidRPr="004D21C0">
              <w:rPr>
                <w:sz w:val="16"/>
                <w:szCs w:val="16"/>
              </w:rPr>
              <w:t>$19,634,754</w:t>
            </w:r>
          </w:p>
        </w:tc>
        <w:tc>
          <w:tcPr>
            <w:tcW w:w="0" w:type="auto"/>
            <w:tcBorders>
              <w:top w:val="single" w:sz="4" w:space="0" w:color="000000" w:themeColor="text1"/>
              <w:left w:val="nil"/>
              <w:right w:val="single" w:sz="4" w:space="0" w:color="A6A6A6" w:themeColor="background1" w:themeShade="A6"/>
            </w:tcBorders>
          </w:tcPr>
          <w:p w14:paraId="06290363" w14:textId="1017F47E" w:rsidR="00EE6A3C" w:rsidRPr="004D21C0" w:rsidRDefault="00EE6A3C" w:rsidP="00D01428">
            <w:pPr>
              <w:spacing w:after="0"/>
              <w:jc w:val="right"/>
              <w:rPr>
                <w:sz w:val="16"/>
                <w:szCs w:val="16"/>
              </w:rPr>
            </w:pPr>
            <w:r w:rsidRPr="004D21C0">
              <w:rPr>
                <w:sz w:val="16"/>
                <w:szCs w:val="16"/>
              </w:rPr>
              <w:t>$19,634,754</w:t>
            </w:r>
          </w:p>
        </w:tc>
        <w:tc>
          <w:tcPr>
            <w:tcW w:w="0" w:type="auto"/>
            <w:tcBorders>
              <w:left w:val="single" w:sz="4" w:space="0" w:color="A6A6A6" w:themeColor="background1" w:themeShade="A6"/>
            </w:tcBorders>
          </w:tcPr>
          <w:p w14:paraId="6E7396FF" w14:textId="040C57EB" w:rsidR="00EE6A3C" w:rsidRPr="004D21C0" w:rsidRDefault="00EE6A3C" w:rsidP="00D01428">
            <w:pPr>
              <w:spacing w:after="0"/>
              <w:jc w:val="right"/>
              <w:rPr>
                <w:sz w:val="16"/>
                <w:szCs w:val="16"/>
              </w:rPr>
            </w:pPr>
            <w:r w:rsidRPr="004D21C0">
              <w:rPr>
                <w:sz w:val="16"/>
                <w:szCs w:val="16"/>
              </w:rPr>
              <w:t>$19,634,754</w:t>
            </w:r>
          </w:p>
        </w:tc>
        <w:tc>
          <w:tcPr>
            <w:tcW w:w="0" w:type="auto"/>
          </w:tcPr>
          <w:p w14:paraId="6374B104" w14:textId="689596EE" w:rsidR="00EE6A3C" w:rsidRPr="004D21C0" w:rsidRDefault="00EE6A3C" w:rsidP="00D01428">
            <w:pPr>
              <w:spacing w:after="0"/>
              <w:jc w:val="right"/>
              <w:rPr>
                <w:sz w:val="16"/>
                <w:szCs w:val="16"/>
              </w:rPr>
            </w:pPr>
            <w:r w:rsidRPr="004D21C0">
              <w:rPr>
                <w:sz w:val="16"/>
                <w:szCs w:val="16"/>
              </w:rPr>
              <w:t>$19,634,754</w:t>
            </w:r>
          </w:p>
        </w:tc>
        <w:tc>
          <w:tcPr>
            <w:tcW w:w="0" w:type="auto"/>
            <w:tcBorders>
              <w:top w:val="single" w:sz="4" w:space="0" w:color="000000" w:themeColor="text1"/>
              <w:right w:val="single" w:sz="4" w:space="0" w:color="A6A6A6" w:themeColor="background1" w:themeShade="A6"/>
            </w:tcBorders>
          </w:tcPr>
          <w:p w14:paraId="6D8F1B82" w14:textId="4DCC0A04" w:rsidR="00EE6A3C" w:rsidRPr="004D21C0" w:rsidRDefault="00EE6A3C" w:rsidP="00D01428">
            <w:pPr>
              <w:spacing w:after="0"/>
              <w:jc w:val="right"/>
              <w:rPr>
                <w:sz w:val="16"/>
                <w:szCs w:val="16"/>
              </w:rPr>
            </w:pPr>
            <w:r w:rsidRPr="004D21C0">
              <w:rPr>
                <w:sz w:val="16"/>
                <w:szCs w:val="16"/>
              </w:rPr>
              <w:t>$19,634,754</w:t>
            </w:r>
          </w:p>
        </w:tc>
      </w:tr>
      <w:tr w:rsidR="00F81A61" w:rsidRPr="004D21C0" w14:paraId="545AD045" w14:textId="77777777" w:rsidTr="002E4062">
        <w:trPr>
          <w:trHeight w:val="23"/>
        </w:trPr>
        <w:tc>
          <w:tcPr>
            <w:tcW w:w="0" w:type="auto"/>
          </w:tcPr>
          <w:p w14:paraId="323C9552" w14:textId="780BD45E" w:rsidR="00EE6A3C" w:rsidRPr="004D21C0" w:rsidRDefault="00EE6A3C"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009299A3" w14:textId="32D3D407" w:rsidR="00EE6A3C" w:rsidRPr="004D21C0" w:rsidRDefault="00EE6A3C" w:rsidP="004D21C0">
            <w:pPr>
              <w:spacing w:after="0"/>
              <w:rPr>
                <w:sz w:val="16"/>
                <w:szCs w:val="16"/>
              </w:rPr>
            </w:pPr>
            <w:r w:rsidRPr="004D21C0">
              <w:rPr>
                <w:sz w:val="16"/>
                <w:szCs w:val="16"/>
              </w:rPr>
              <w:t>Subgroup A and B - Transition payments</w:t>
            </w:r>
          </w:p>
        </w:tc>
        <w:tc>
          <w:tcPr>
            <w:tcW w:w="0" w:type="auto"/>
            <w:tcBorders>
              <w:top w:val="single" w:sz="4" w:space="0" w:color="000000" w:themeColor="text1"/>
              <w:left w:val="single" w:sz="4" w:space="0" w:color="A6A6A6" w:themeColor="background1" w:themeShade="A6"/>
            </w:tcBorders>
          </w:tcPr>
          <w:p w14:paraId="131CABCE" w14:textId="020B3715" w:rsidR="00EE6A3C" w:rsidRPr="004D21C0" w:rsidRDefault="00EE6A3C" w:rsidP="00D01428">
            <w:pPr>
              <w:spacing w:after="0"/>
              <w:jc w:val="right"/>
              <w:rPr>
                <w:sz w:val="16"/>
                <w:szCs w:val="16"/>
              </w:rPr>
            </w:pPr>
            <w:r w:rsidRPr="004D21C0">
              <w:rPr>
                <w:sz w:val="16"/>
                <w:szCs w:val="16"/>
              </w:rPr>
              <w:t>$1,325,124</w:t>
            </w:r>
          </w:p>
        </w:tc>
        <w:tc>
          <w:tcPr>
            <w:tcW w:w="0" w:type="auto"/>
            <w:tcBorders>
              <w:top w:val="single" w:sz="4" w:space="0" w:color="000000" w:themeColor="text1"/>
              <w:right w:val="nil"/>
            </w:tcBorders>
          </w:tcPr>
          <w:p w14:paraId="4DF7AA0B" w14:textId="034CC1AD" w:rsidR="00EE6A3C" w:rsidRPr="004D21C0" w:rsidRDefault="00EE6A3C" w:rsidP="00D01428">
            <w:pPr>
              <w:spacing w:after="0"/>
              <w:jc w:val="right"/>
              <w:rPr>
                <w:sz w:val="16"/>
                <w:szCs w:val="16"/>
              </w:rPr>
            </w:pPr>
            <w:r w:rsidRPr="004D21C0">
              <w:rPr>
                <w:sz w:val="16"/>
                <w:szCs w:val="16"/>
              </w:rPr>
              <w:t>$1,325,124</w:t>
            </w:r>
          </w:p>
        </w:tc>
        <w:tc>
          <w:tcPr>
            <w:tcW w:w="0" w:type="auto"/>
            <w:tcBorders>
              <w:top w:val="single" w:sz="4" w:space="0" w:color="000000" w:themeColor="text1"/>
              <w:left w:val="nil"/>
              <w:right w:val="single" w:sz="4" w:space="0" w:color="A6A6A6" w:themeColor="background1" w:themeShade="A6"/>
            </w:tcBorders>
          </w:tcPr>
          <w:p w14:paraId="314353C8" w14:textId="32AEC14C" w:rsidR="00EE6A3C" w:rsidRPr="004D21C0" w:rsidRDefault="00EE6A3C" w:rsidP="00D01428">
            <w:pPr>
              <w:spacing w:after="0"/>
              <w:jc w:val="right"/>
              <w:rPr>
                <w:sz w:val="16"/>
                <w:szCs w:val="16"/>
              </w:rPr>
            </w:pPr>
            <w:r w:rsidRPr="004D21C0">
              <w:rPr>
                <w:sz w:val="16"/>
                <w:szCs w:val="16"/>
              </w:rPr>
              <w:t>$1,325,124</w:t>
            </w:r>
          </w:p>
        </w:tc>
        <w:tc>
          <w:tcPr>
            <w:tcW w:w="0" w:type="auto"/>
            <w:tcBorders>
              <w:left w:val="single" w:sz="4" w:space="0" w:color="A6A6A6" w:themeColor="background1" w:themeShade="A6"/>
            </w:tcBorders>
          </w:tcPr>
          <w:p w14:paraId="7EF1F179" w14:textId="27A92853" w:rsidR="00EE6A3C" w:rsidRPr="004D21C0" w:rsidRDefault="00EE6A3C" w:rsidP="00D01428">
            <w:pPr>
              <w:spacing w:after="0"/>
              <w:jc w:val="right"/>
              <w:rPr>
                <w:sz w:val="16"/>
                <w:szCs w:val="16"/>
              </w:rPr>
            </w:pPr>
            <w:r w:rsidRPr="004D21C0">
              <w:rPr>
                <w:sz w:val="16"/>
                <w:szCs w:val="16"/>
              </w:rPr>
              <w:t>$1,325,124</w:t>
            </w:r>
          </w:p>
        </w:tc>
        <w:tc>
          <w:tcPr>
            <w:tcW w:w="0" w:type="auto"/>
          </w:tcPr>
          <w:p w14:paraId="22C9BCA6" w14:textId="1F7CCF12" w:rsidR="00EE6A3C" w:rsidRPr="004D21C0" w:rsidRDefault="00EE6A3C" w:rsidP="00D01428">
            <w:pPr>
              <w:spacing w:after="0"/>
              <w:jc w:val="right"/>
              <w:rPr>
                <w:sz w:val="16"/>
                <w:szCs w:val="16"/>
              </w:rPr>
            </w:pPr>
            <w:r w:rsidRPr="004D21C0">
              <w:rPr>
                <w:sz w:val="16"/>
                <w:szCs w:val="16"/>
              </w:rPr>
              <w:t>$1,325,124</w:t>
            </w:r>
          </w:p>
        </w:tc>
        <w:tc>
          <w:tcPr>
            <w:tcW w:w="0" w:type="auto"/>
            <w:tcBorders>
              <w:top w:val="single" w:sz="4" w:space="0" w:color="000000" w:themeColor="text1"/>
              <w:right w:val="single" w:sz="4" w:space="0" w:color="A6A6A6" w:themeColor="background1" w:themeShade="A6"/>
            </w:tcBorders>
          </w:tcPr>
          <w:p w14:paraId="4005CF3E" w14:textId="1220B3FE" w:rsidR="00EE6A3C" w:rsidRPr="004D21C0" w:rsidRDefault="00EE6A3C" w:rsidP="00D01428">
            <w:pPr>
              <w:spacing w:after="0"/>
              <w:jc w:val="right"/>
              <w:rPr>
                <w:sz w:val="16"/>
                <w:szCs w:val="16"/>
              </w:rPr>
            </w:pPr>
            <w:r w:rsidRPr="004D21C0">
              <w:rPr>
                <w:sz w:val="16"/>
                <w:szCs w:val="16"/>
              </w:rPr>
              <w:t>$1,325,124</w:t>
            </w:r>
          </w:p>
        </w:tc>
      </w:tr>
      <w:tr w:rsidR="00F81A61" w:rsidRPr="004D21C0" w14:paraId="047B45D0" w14:textId="77777777" w:rsidTr="002E4062">
        <w:trPr>
          <w:trHeight w:val="23"/>
        </w:trPr>
        <w:tc>
          <w:tcPr>
            <w:tcW w:w="0" w:type="auto"/>
          </w:tcPr>
          <w:p w14:paraId="0CF48E07" w14:textId="75AF0AC4" w:rsidR="00EE6A3C" w:rsidRPr="004D21C0" w:rsidRDefault="00EE6A3C"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227765BC" w14:textId="573CFD95" w:rsidR="00EE6A3C" w:rsidRPr="004D21C0" w:rsidRDefault="00EE6A3C" w:rsidP="004D21C0">
            <w:pPr>
              <w:spacing w:after="0"/>
              <w:rPr>
                <w:sz w:val="16"/>
                <w:szCs w:val="16"/>
              </w:rPr>
            </w:pPr>
            <w:r w:rsidRPr="004D21C0">
              <w:rPr>
                <w:sz w:val="16"/>
                <w:szCs w:val="16"/>
              </w:rPr>
              <w:t>Subgroup A and B - State/territory SDCP partnership payments</w:t>
            </w:r>
          </w:p>
        </w:tc>
        <w:tc>
          <w:tcPr>
            <w:tcW w:w="0" w:type="auto"/>
            <w:tcBorders>
              <w:top w:val="single" w:sz="4" w:space="0" w:color="000000" w:themeColor="text1"/>
              <w:left w:val="single" w:sz="4" w:space="0" w:color="A6A6A6" w:themeColor="background1" w:themeShade="A6"/>
            </w:tcBorders>
          </w:tcPr>
          <w:p w14:paraId="5986A29B" w14:textId="753A5AF7" w:rsidR="00EE6A3C" w:rsidRPr="004D21C0" w:rsidRDefault="00EE6A3C" w:rsidP="00D01428">
            <w:pPr>
              <w:spacing w:after="0"/>
              <w:jc w:val="right"/>
              <w:rPr>
                <w:sz w:val="16"/>
                <w:szCs w:val="16"/>
              </w:rPr>
            </w:pPr>
            <w:r w:rsidRPr="004D21C0">
              <w:rPr>
                <w:sz w:val="16"/>
                <w:szCs w:val="16"/>
              </w:rPr>
              <w:t>$6,254,526</w:t>
            </w:r>
          </w:p>
        </w:tc>
        <w:tc>
          <w:tcPr>
            <w:tcW w:w="0" w:type="auto"/>
            <w:tcBorders>
              <w:top w:val="single" w:sz="4" w:space="0" w:color="000000" w:themeColor="text1"/>
              <w:right w:val="nil"/>
            </w:tcBorders>
          </w:tcPr>
          <w:p w14:paraId="1D18EED3" w14:textId="5AC0B089" w:rsidR="00EE6A3C" w:rsidRPr="004D21C0" w:rsidRDefault="00EE6A3C" w:rsidP="00D01428">
            <w:pPr>
              <w:spacing w:after="0"/>
              <w:jc w:val="right"/>
              <w:rPr>
                <w:sz w:val="16"/>
                <w:szCs w:val="16"/>
              </w:rPr>
            </w:pPr>
            <w:r w:rsidRPr="004D21C0">
              <w:rPr>
                <w:sz w:val="16"/>
                <w:szCs w:val="16"/>
              </w:rPr>
              <w:t>$6,254,526</w:t>
            </w:r>
          </w:p>
        </w:tc>
        <w:tc>
          <w:tcPr>
            <w:tcW w:w="0" w:type="auto"/>
            <w:tcBorders>
              <w:top w:val="single" w:sz="4" w:space="0" w:color="000000" w:themeColor="text1"/>
              <w:left w:val="nil"/>
              <w:right w:val="single" w:sz="4" w:space="0" w:color="A6A6A6" w:themeColor="background1" w:themeShade="A6"/>
            </w:tcBorders>
          </w:tcPr>
          <w:p w14:paraId="608ED850" w14:textId="2D416CE2" w:rsidR="00EE6A3C" w:rsidRPr="004D21C0" w:rsidRDefault="00EE6A3C" w:rsidP="00D01428">
            <w:pPr>
              <w:spacing w:after="0"/>
              <w:jc w:val="right"/>
              <w:rPr>
                <w:sz w:val="16"/>
                <w:szCs w:val="16"/>
              </w:rPr>
            </w:pPr>
            <w:r w:rsidRPr="004D21C0">
              <w:rPr>
                <w:sz w:val="16"/>
                <w:szCs w:val="16"/>
              </w:rPr>
              <w:t>$6,254,526</w:t>
            </w:r>
          </w:p>
        </w:tc>
        <w:tc>
          <w:tcPr>
            <w:tcW w:w="0" w:type="auto"/>
            <w:tcBorders>
              <w:left w:val="single" w:sz="4" w:space="0" w:color="A6A6A6" w:themeColor="background1" w:themeShade="A6"/>
            </w:tcBorders>
          </w:tcPr>
          <w:p w14:paraId="630D4FB9" w14:textId="0BA5D192" w:rsidR="00EE6A3C" w:rsidRPr="004D21C0" w:rsidRDefault="00EE6A3C" w:rsidP="00D01428">
            <w:pPr>
              <w:spacing w:after="0"/>
              <w:jc w:val="right"/>
              <w:rPr>
                <w:sz w:val="16"/>
                <w:szCs w:val="16"/>
              </w:rPr>
            </w:pPr>
            <w:r w:rsidRPr="004D21C0">
              <w:rPr>
                <w:sz w:val="16"/>
                <w:szCs w:val="16"/>
              </w:rPr>
              <w:t>$6,254,526</w:t>
            </w:r>
          </w:p>
        </w:tc>
        <w:tc>
          <w:tcPr>
            <w:tcW w:w="0" w:type="auto"/>
          </w:tcPr>
          <w:p w14:paraId="10B8642C" w14:textId="73658DA6" w:rsidR="00EE6A3C" w:rsidRPr="004D21C0" w:rsidRDefault="00EE6A3C" w:rsidP="00D01428">
            <w:pPr>
              <w:spacing w:after="0"/>
              <w:jc w:val="right"/>
              <w:rPr>
                <w:sz w:val="16"/>
                <w:szCs w:val="16"/>
              </w:rPr>
            </w:pPr>
            <w:r w:rsidRPr="004D21C0">
              <w:rPr>
                <w:sz w:val="16"/>
                <w:szCs w:val="16"/>
              </w:rPr>
              <w:t>$6,254,526</w:t>
            </w:r>
          </w:p>
        </w:tc>
        <w:tc>
          <w:tcPr>
            <w:tcW w:w="0" w:type="auto"/>
            <w:tcBorders>
              <w:top w:val="single" w:sz="4" w:space="0" w:color="000000" w:themeColor="text1"/>
              <w:right w:val="single" w:sz="4" w:space="0" w:color="A6A6A6" w:themeColor="background1" w:themeShade="A6"/>
            </w:tcBorders>
          </w:tcPr>
          <w:p w14:paraId="0437C0F0" w14:textId="19F821AD" w:rsidR="00EE6A3C" w:rsidRPr="004D21C0" w:rsidRDefault="00EE6A3C" w:rsidP="00D01428">
            <w:pPr>
              <w:spacing w:after="0"/>
              <w:jc w:val="right"/>
              <w:rPr>
                <w:sz w:val="16"/>
                <w:szCs w:val="16"/>
              </w:rPr>
            </w:pPr>
            <w:r w:rsidRPr="004D21C0">
              <w:rPr>
                <w:sz w:val="16"/>
                <w:szCs w:val="16"/>
              </w:rPr>
              <w:t>$6,254,526</w:t>
            </w:r>
          </w:p>
        </w:tc>
      </w:tr>
      <w:tr w:rsidR="00F81A61" w:rsidRPr="004D21C0" w14:paraId="67777607" w14:textId="77777777" w:rsidTr="002E4062">
        <w:trPr>
          <w:trHeight w:val="23"/>
        </w:trPr>
        <w:tc>
          <w:tcPr>
            <w:tcW w:w="0" w:type="auto"/>
          </w:tcPr>
          <w:p w14:paraId="7548DB57" w14:textId="4C7CFAEB" w:rsidR="00EE6A3C" w:rsidRPr="004D21C0" w:rsidRDefault="00EE6A3C"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138709A5" w14:textId="1BADE322" w:rsidR="00EE6A3C" w:rsidRPr="004D21C0" w:rsidRDefault="00EE6A3C" w:rsidP="004D21C0">
            <w:pPr>
              <w:spacing w:after="0"/>
              <w:rPr>
                <w:sz w:val="16"/>
                <w:szCs w:val="16"/>
              </w:rPr>
            </w:pPr>
            <w:r w:rsidRPr="004D21C0">
              <w:rPr>
                <w:sz w:val="16"/>
                <w:szCs w:val="16"/>
              </w:rPr>
              <w:t>Subgroup A and B - NBA payments</w:t>
            </w:r>
          </w:p>
        </w:tc>
        <w:tc>
          <w:tcPr>
            <w:tcW w:w="0" w:type="auto"/>
            <w:tcBorders>
              <w:top w:val="single" w:sz="4" w:space="0" w:color="000000" w:themeColor="text1"/>
              <w:left w:val="single" w:sz="4" w:space="0" w:color="A6A6A6" w:themeColor="background1" w:themeShade="A6"/>
            </w:tcBorders>
          </w:tcPr>
          <w:p w14:paraId="3E89BB09" w14:textId="41FAF045" w:rsidR="00EE6A3C" w:rsidRPr="004D21C0" w:rsidRDefault="00EE6A3C" w:rsidP="00D01428">
            <w:pPr>
              <w:spacing w:after="0"/>
              <w:jc w:val="right"/>
              <w:rPr>
                <w:sz w:val="16"/>
                <w:szCs w:val="16"/>
              </w:rPr>
            </w:pPr>
            <w:r w:rsidRPr="004D21C0">
              <w:rPr>
                <w:sz w:val="16"/>
                <w:szCs w:val="16"/>
              </w:rPr>
              <w:t>$2,201,487</w:t>
            </w:r>
          </w:p>
        </w:tc>
        <w:tc>
          <w:tcPr>
            <w:tcW w:w="0" w:type="auto"/>
            <w:tcBorders>
              <w:top w:val="single" w:sz="4" w:space="0" w:color="000000" w:themeColor="text1"/>
              <w:right w:val="nil"/>
            </w:tcBorders>
          </w:tcPr>
          <w:p w14:paraId="44D915AC" w14:textId="52E05C8F" w:rsidR="00EE6A3C" w:rsidRPr="004D21C0" w:rsidRDefault="00EE6A3C" w:rsidP="00D01428">
            <w:pPr>
              <w:spacing w:after="0"/>
              <w:jc w:val="right"/>
              <w:rPr>
                <w:sz w:val="16"/>
                <w:szCs w:val="16"/>
              </w:rPr>
            </w:pPr>
            <w:r w:rsidRPr="004D21C0">
              <w:rPr>
                <w:sz w:val="16"/>
                <w:szCs w:val="16"/>
              </w:rPr>
              <w:t>$2,201,487</w:t>
            </w:r>
          </w:p>
        </w:tc>
        <w:tc>
          <w:tcPr>
            <w:tcW w:w="0" w:type="auto"/>
            <w:tcBorders>
              <w:top w:val="single" w:sz="4" w:space="0" w:color="000000" w:themeColor="text1"/>
              <w:left w:val="nil"/>
              <w:right w:val="single" w:sz="4" w:space="0" w:color="A6A6A6" w:themeColor="background1" w:themeShade="A6"/>
            </w:tcBorders>
          </w:tcPr>
          <w:p w14:paraId="57213350" w14:textId="044BBD75" w:rsidR="00EE6A3C" w:rsidRPr="004D21C0" w:rsidRDefault="00EE6A3C" w:rsidP="00D01428">
            <w:pPr>
              <w:spacing w:after="0"/>
              <w:jc w:val="right"/>
              <w:rPr>
                <w:sz w:val="16"/>
                <w:szCs w:val="16"/>
              </w:rPr>
            </w:pPr>
            <w:r w:rsidRPr="004D21C0">
              <w:rPr>
                <w:sz w:val="16"/>
                <w:szCs w:val="16"/>
              </w:rPr>
              <w:t>$2,201,487</w:t>
            </w:r>
          </w:p>
        </w:tc>
        <w:tc>
          <w:tcPr>
            <w:tcW w:w="0" w:type="auto"/>
            <w:tcBorders>
              <w:left w:val="single" w:sz="4" w:space="0" w:color="A6A6A6" w:themeColor="background1" w:themeShade="A6"/>
            </w:tcBorders>
          </w:tcPr>
          <w:p w14:paraId="2FBA5702" w14:textId="5F30B3CD" w:rsidR="00EE6A3C" w:rsidRPr="004D21C0" w:rsidRDefault="00EE6A3C" w:rsidP="00D01428">
            <w:pPr>
              <w:spacing w:after="0"/>
              <w:jc w:val="right"/>
              <w:rPr>
                <w:sz w:val="16"/>
                <w:szCs w:val="16"/>
              </w:rPr>
            </w:pPr>
            <w:r w:rsidRPr="004D21C0">
              <w:rPr>
                <w:sz w:val="16"/>
                <w:szCs w:val="16"/>
              </w:rPr>
              <w:t>$2,201,487</w:t>
            </w:r>
          </w:p>
        </w:tc>
        <w:tc>
          <w:tcPr>
            <w:tcW w:w="0" w:type="auto"/>
          </w:tcPr>
          <w:p w14:paraId="1AA8C47E" w14:textId="6A6EA406" w:rsidR="00EE6A3C" w:rsidRPr="004D21C0" w:rsidRDefault="00EE6A3C" w:rsidP="00D01428">
            <w:pPr>
              <w:spacing w:after="0"/>
              <w:jc w:val="right"/>
              <w:rPr>
                <w:sz w:val="16"/>
                <w:szCs w:val="16"/>
              </w:rPr>
            </w:pPr>
            <w:r w:rsidRPr="004D21C0">
              <w:rPr>
                <w:sz w:val="16"/>
                <w:szCs w:val="16"/>
              </w:rPr>
              <w:t>$2,201,487</w:t>
            </w:r>
          </w:p>
        </w:tc>
        <w:tc>
          <w:tcPr>
            <w:tcW w:w="0" w:type="auto"/>
            <w:tcBorders>
              <w:top w:val="single" w:sz="4" w:space="0" w:color="000000" w:themeColor="text1"/>
              <w:right w:val="single" w:sz="4" w:space="0" w:color="A6A6A6" w:themeColor="background1" w:themeShade="A6"/>
            </w:tcBorders>
          </w:tcPr>
          <w:p w14:paraId="6D5B69E1" w14:textId="3197713E" w:rsidR="00EE6A3C" w:rsidRPr="004D21C0" w:rsidRDefault="00EE6A3C" w:rsidP="00D01428">
            <w:pPr>
              <w:spacing w:after="0"/>
              <w:jc w:val="right"/>
              <w:rPr>
                <w:sz w:val="16"/>
                <w:szCs w:val="16"/>
              </w:rPr>
            </w:pPr>
            <w:r w:rsidRPr="004D21C0">
              <w:rPr>
                <w:sz w:val="16"/>
                <w:szCs w:val="16"/>
              </w:rPr>
              <w:t>$2,201,487</w:t>
            </w:r>
          </w:p>
        </w:tc>
      </w:tr>
      <w:tr w:rsidR="00F81A61" w:rsidRPr="004D21C0" w14:paraId="46DF52A0" w14:textId="77777777" w:rsidTr="002E4062">
        <w:trPr>
          <w:trHeight w:val="23"/>
        </w:trPr>
        <w:tc>
          <w:tcPr>
            <w:tcW w:w="0" w:type="auto"/>
          </w:tcPr>
          <w:p w14:paraId="02F2692E" w14:textId="768FA29D" w:rsidR="00EE6A3C" w:rsidRPr="004D21C0" w:rsidRDefault="00EE6A3C" w:rsidP="004D21C0">
            <w:pPr>
              <w:spacing w:after="0"/>
              <w:rPr>
                <w:sz w:val="16"/>
                <w:szCs w:val="16"/>
              </w:rPr>
            </w:pPr>
            <w:r w:rsidRPr="004D21C0">
              <w:rPr>
                <w:sz w:val="16"/>
                <w:szCs w:val="16"/>
              </w:rPr>
              <w:t>Government</w:t>
            </w:r>
          </w:p>
        </w:tc>
        <w:tc>
          <w:tcPr>
            <w:tcW w:w="0" w:type="auto"/>
            <w:tcBorders>
              <w:right w:val="single" w:sz="4" w:space="0" w:color="BCBCB9" w:themeColor="text2" w:themeShade="E6"/>
            </w:tcBorders>
          </w:tcPr>
          <w:p w14:paraId="75D88BEC" w14:textId="301E0A4C" w:rsidR="00EE6A3C" w:rsidRPr="004D21C0" w:rsidRDefault="00EE6A3C" w:rsidP="004D21C0">
            <w:pPr>
              <w:spacing w:after="0"/>
              <w:rPr>
                <w:sz w:val="16"/>
                <w:szCs w:val="16"/>
              </w:rPr>
            </w:pPr>
            <w:r w:rsidRPr="004D21C0">
              <w:rPr>
                <w:sz w:val="16"/>
                <w:szCs w:val="16"/>
              </w:rPr>
              <w:t>Subgroup A – Residential aged care, Commonwealth contribution</w:t>
            </w:r>
          </w:p>
        </w:tc>
        <w:tc>
          <w:tcPr>
            <w:tcW w:w="0" w:type="auto"/>
            <w:tcBorders>
              <w:top w:val="single" w:sz="4" w:space="0" w:color="000000" w:themeColor="text1"/>
              <w:left w:val="single" w:sz="4" w:space="0" w:color="A6A6A6" w:themeColor="background1" w:themeShade="A6"/>
            </w:tcBorders>
          </w:tcPr>
          <w:p w14:paraId="0F7CDD77" w14:textId="68AFED5F" w:rsidR="00EE6A3C" w:rsidRPr="004D21C0" w:rsidRDefault="00EE6A3C" w:rsidP="00D01428">
            <w:pPr>
              <w:spacing w:after="0"/>
              <w:jc w:val="right"/>
              <w:rPr>
                <w:sz w:val="16"/>
                <w:szCs w:val="16"/>
              </w:rPr>
            </w:pPr>
            <w:r w:rsidRPr="004D21C0">
              <w:rPr>
                <w:sz w:val="16"/>
                <w:szCs w:val="16"/>
              </w:rPr>
              <w:t>$6,476,597</w:t>
            </w:r>
          </w:p>
        </w:tc>
        <w:tc>
          <w:tcPr>
            <w:tcW w:w="0" w:type="auto"/>
            <w:tcBorders>
              <w:top w:val="single" w:sz="4" w:space="0" w:color="000000" w:themeColor="text1"/>
              <w:right w:val="nil"/>
            </w:tcBorders>
          </w:tcPr>
          <w:p w14:paraId="4448D41B" w14:textId="4032345F" w:rsidR="00EE6A3C" w:rsidRPr="004D21C0" w:rsidRDefault="00EE6A3C" w:rsidP="00D01428">
            <w:pPr>
              <w:spacing w:after="0"/>
              <w:jc w:val="right"/>
              <w:rPr>
                <w:sz w:val="16"/>
                <w:szCs w:val="16"/>
              </w:rPr>
            </w:pPr>
            <w:r w:rsidRPr="004D21C0">
              <w:rPr>
                <w:sz w:val="16"/>
                <w:szCs w:val="16"/>
              </w:rPr>
              <w:t>$8,938,753</w:t>
            </w:r>
          </w:p>
        </w:tc>
        <w:tc>
          <w:tcPr>
            <w:tcW w:w="0" w:type="auto"/>
            <w:tcBorders>
              <w:top w:val="single" w:sz="4" w:space="0" w:color="000000" w:themeColor="text1"/>
              <w:left w:val="nil"/>
              <w:right w:val="single" w:sz="4" w:space="0" w:color="A6A6A6" w:themeColor="background1" w:themeShade="A6"/>
            </w:tcBorders>
          </w:tcPr>
          <w:p w14:paraId="38FDDA4A" w14:textId="610FF8B3" w:rsidR="00EE6A3C" w:rsidRPr="004D21C0" w:rsidRDefault="00EE6A3C" w:rsidP="00D01428">
            <w:pPr>
              <w:spacing w:after="0"/>
              <w:jc w:val="right"/>
              <w:rPr>
                <w:sz w:val="16"/>
                <w:szCs w:val="16"/>
              </w:rPr>
            </w:pPr>
            <w:r w:rsidRPr="004D21C0">
              <w:rPr>
                <w:sz w:val="16"/>
                <w:szCs w:val="16"/>
              </w:rPr>
              <w:t>$11,309,861</w:t>
            </w:r>
          </w:p>
        </w:tc>
        <w:tc>
          <w:tcPr>
            <w:tcW w:w="0" w:type="auto"/>
            <w:tcBorders>
              <w:left w:val="single" w:sz="4" w:space="0" w:color="A6A6A6" w:themeColor="background1" w:themeShade="A6"/>
            </w:tcBorders>
          </w:tcPr>
          <w:p w14:paraId="7DAC117C" w14:textId="19E0230E" w:rsidR="00EE6A3C" w:rsidRPr="004D21C0" w:rsidRDefault="00EE6A3C" w:rsidP="00D01428">
            <w:pPr>
              <w:spacing w:after="0"/>
              <w:jc w:val="right"/>
              <w:rPr>
                <w:sz w:val="16"/>
                <w:szCs w:val="16"/>
              </w:rPr>
            </w:pPr>
            <w:r w:rsidRPr="004D21C0">
              <w:rPr>
                <w:sz w:val="16"/>
                <w:szCs w:val="16"/>
              </w:rPr>
              <w:t>$4,248,305</w:t>
            </w:r>
          </w:p>
        </w:tc>
        <w:tc>
          <w:tcPr>
            <w:tcW w:w="0" w:type="auto"/>
          </w:tcPr>
          <w:p w14:paraId="4D27C2A0" w14:textId="46AD8728" w:rsidR="00EE6A3C" w:rsidRPr="004D21C0" w:rsidRDefault="00EE6A3C" w:rsidP="00D01428">
            <w:pPr>
              <w:spacing w:after="0"/>
              <w:jc w:val="right"/>
              <w:rPr>
                <w:sz w:val="16"/>
                <w:szCs w:val="16"/>
              </w:rPr>
            </w:pPr>
            <w:r w:rsidRPr="004D21C0">
              <w:rPr>
                <w:sz w:val="16"/>
                <w:szCs w:val="16"/>
              </w:rPr>
              <w:t>$5,865,502</w:t>
            </w:r>
          </w:p>
        </w:tc>
        <w:tc>
          <w:tcPr>
            <w:tcW w:w="0" w:type="auto"/>
            <w:tcBorders>
              <w:top w:val="single" w:sz="4" w:space="0" w:color="000000" w:themeColor="text1"/>
              <w:right w:val="single" w:sz="4" w:space="0" w:color="A6A6A6" w:themeColor="background1" w:themeShade="A6"/>
            </w:tcBorders>
          </w:tcPr>
          <w:p w14:paraId="0FDB0D45" w14:textId="0A26F6C8" w:rsidR="00EE6A3C" w:rsidRPr="004D21C0" w:rsidRDefault="00EE6A3C" w:rsidP="00D01428">
            <w:pPr>
              <w:spacing w:after="0"/>
              <w:jc w:val="right"/>
              <w:rPr>
                <w:sz w:val="16"/>
                <w:szCs w:val="16"/>
              </w:rPr>
            </w:pPr>
            <w:r w:rsidRPr="004D21C0">
              <w:rPr>
                <w:sz w:val="16"/>
                <w:szCs w:val="16"/>
              </w:rPr>
              <w:t>$7,425,369</w:t>
            </w:r>
          </w:p>
        </w:tc>
      </w:tr>
      <w:tr w:rsidR="00F81A61" w:rsidRPr="004D21C0" w14:paraId="44E19A50" w14:textId="77777777" w:rsidTr="002E4062">
        <w:trPr>
          <w:trHeight w:val="23"/>
        </w:trPr>
        <w:tc>
          <w:tcPr>
            <w:tcW w:w="0" w:type="auto"/>
          </w:tcPr>
          <w:p w14:paraId="0FDCF890" w14:textId="62523814" w:rsidR="00EE6A3C" w:rsidRPr="004D21C0" w:rsidRDefault="00EE6A3C" w:rsidP="004D21C0">
            <w:pPr>
              <w:spacing w:after="0"/>
              <w:rPr>
                <w:sz w:val="16"/>
                <w:szCs w:val="16"/>
              </w:rPr>
            </w:pPr>
            <w:r w:rsidRPr="004D21C0">
              <w:rPr>
                <w:sz w:val="16"/>
                <w:szCs w:val="16"/>
              </w:rPr>
              <w:t>Families/carers</w:t>
            </w:r>
          </w:p>
        </w:tc>
        <w:tc>
          <w:tcPr>
            <w:tcW w:w="0" w:type="auto"/>
            <w:tcBorders>
              <w:right w:val="single" w:sz="4" w:space="0" w:color="BCBCB9" w:themeColor="text2" w:themeShade="E6"/>
            </w:tcBorders>
          </w:tcPr>
          <w:p w14:paraId="2FB0B82C" w14:textId="0682EBE0" w:rsidR="00EE6A3C" w:rsidRPr="004D21C0" w:rsidRDefault="00EE6A3C" w:rsidP="004D21C0">
            <w:pPr>
              <w:spacing w:after="0"/>
              <w:rPr>
                <w:sz w:val="16"/>
                <w:szCs w:val="16"/>
              </w:rPr>
            </w:pPr>
            <w:r w:rsidRPr="004D21C0">
              <w:rPr>
                <w:sz w:val="16"/>
                <w:szCs w:val="16"/>
              </w:rPr>
              <w:t>Subgroup A – Residential aged care, Resident contribution</w:t>
            </w:r>
          </w:p>
        </w:tc>
        <w:tc>
          <w:tcPr>
            <w:tcW w:w="0" w:type="auto"/>
            <w:tcBorders>
              <w:top w:val="single" w:sz="4" w:space="0" w:color="000000" w:themeColor="text1"/>
              <w:left w:val="single" w:sz="4" w:space="0" w:color="A6A6A6" w:themeColor="background1" w:themeShade="A6"/>
            </w:tcBorders>
          </w:tcPr>
          <w:p w14:paraId="299643D5" w14:textId="3CC4E336" w:rsidR="00EE6A3C" w:rsidRPr="004D21C0" w:rsidRDefault="00EE6A3C" w:rsidP="00D01428">
            <w:pPr>
              <w:spacing w:after="0"/>
              <w:jc w:val="right"/>
              <w:rPr>
                <w:sz w:val="16"/>
                <w:szCs w:val="16"/>
              </w:rPr>
            </w:pPr>
            <w:r w:rsidRPr="004D21C0">
              <w:rPr>
                <w:sz w:val="16"/>
                <w:szCs w:val="16"/>
              </w:rPr>
              <w:t>$2,318,951</w:t>
            </w:r>
          </w:p>
        </w:tc>
        <w:tc>
          <w:tcPr>
            <w:tcW w:w="0" w:type="auto"/>
            <w:tcBorders>
              <w:top w:val="single" w:sz="4" w:space="0" w:color="000000" w:themeColor="text1"/>
              <w:right w:val="nil"/>
            </w:tcBorders>
          </w:tcPr>
          <w:p w14:paraId="04B4FFAD" w14:textId="684D75F1" w:rsidR="00EE6A3C" w:rsidRPr="004D21C0" w:rsidRDefault="00EE6A3C" w:rsidP="00D01428">
            <w:pPr>
              <w:spacing w:after="0"/>
              <w:jc w:val="right"/>
              <w:rPr>
                <w:sz w:val="16"/>
                <w:szCs w:val="16"/>
              </w:rPr>
            </w:pPr>
            <w:r w:rsidRPr="004D21C0">
              <w:rPr>
                <w:sz w:val="16"/>
                <w:szCs w:val="16"/>
              </w:rPr>
              <w:t>$3,203,432</w:t>
            </w:r>
          </w:p>
        </w:tc>
        <w:tc>
          <w:tcPr>
            <w:tcW w:w="0" w:type="auto"/>
            <w:tcBorders>
              <w:top w:val="single" w:sz="4" w:space="0" w:color="000000" w:themeColor="text1"/>
              <w:left w:val="nil"/>
              <w:right w:val="single" w:sz="4" w:space="0" w:color="A6A6A6" w:themeColor="background1" w:themeShade="A6"/>
            </w:tcBorders>
          </w:tcPr>
          <w:p w14:paraId="2EC1334A" w14:textId="7EB28AE5" w:rsidR="00EE6A3C" w:rsidRPr="004D21C0" w:rsidRDefault="00EE6A3C" w:rsidP="00D01428">
            <w:pPr>
              <w:spacing w:after="0"/>
              <w:jc w:val="right"/>
              <w:rPr>
                <w:sz w:val="16"/>
                <w:szCs w:val="16"/>
              </w:rPr>
            </w:pPr>
            <w:r w:rsidRPr="004D21C0">
              <w:rPr>
                <w:sz w:val="16"/>
                <w:szCs w:val="16"/>
              </w:rPr>
              <w:t>$4,057,916</w:t>
            </w:r>
          </w:p>
        </w:tc>
        <w:tc>
          <w:tcPr>
            <w:tcW w:w="0" w:type="auto"/>
            <w:tcBorders>
              <w:left w:val="single" w:sz="4" w:space="0" w:color="A6A6A6" w:themeColor="background1" w:themeShade="A6"/>
            </w:tcBorders>
          </w:tcPr>
          <w:p w14:paraId="44D97480" w14:textId="13D603B1" w:rsidR="00EE6A3C" w:rsidRPr="004D21C0" w:rsidRDefault="00EE6A3C" w:rsidP="00D01428">
            <w:pPr>
              <w:spacing w:after="0"/>
              <w:jc w:val="right"/>
              <w:rPr>
                <w:sz w:val="16"/>
                <w:szCs w:val="16"/>
              </w:rPr>
            </w:pPr>
            <w:r w:rsidRPr="004D21C0">
              <w:rPr>
                <w:sz w:val="16"/>
                <w:szCs w:val="16"/>
              </w:rPr>
              <w:t>$1,523,257</w:t>
            </w:r>
          </w:p>
        </w:tc>
        <w:tc>
          <w:tcPr>
            <w:tcW w:w="0" w:type="auto"/>
          </w:tcPr>
          <w:p w14:paraId="65572B70" w14:textId="14585726" w:rsidR="00EE6A3C" w:rsidRPr="004D21C0" w:rsidRDefault="00EE6A3C" w:rsidP="00D01428">
            <w:pPr>
              <w:spacing w:after="0"/>
              <w:jc w:val="right"/>
              <w:rPr>
                <w:sz w:val="16"/>
                <w:szCs w:val="16"/>
              </w:rPr>
            </w:pPr>
            <w:r w:rsidRPr="004D21C0">
              <w:rPr>
                <w:sz w:val="16"/>
                <w:szCs w:val="16"/>
              </w:rPr>
              <w:t>$2,104,693</w:t>
            </w:r>
          </w:p>
        </w:tc>
        <w:tc>
          <w:tcPr>
            <w:tcW w:w="0" w:type="auto"/>
            <w:tcBorders>
              <w:top w:val="single" w:sz="4" w:space="0" w:color="000000" w:themeColor="text1"/>
              <w:right w:val="single" w:sz="4" w:space="0" w:color="A6A6A6" w:themeColor="background1" w:themeShade="A6"/>
            </w:tcBorders>
          </w:tcPr>
          <w:p w14:paraId="3DAEEBDC" w14:textId="1C1408FA" w:rsidR="00EE6A3C" w:rsidRPr="004D21C0" w:rsidRDefault="00EE6A3C" w:rsidP="00D01428">
            <w:pPr>
              <w:spacing w:after="0"/>
              <w:jc w:val="right"/>
              <w:rPr>
                <w:sz w:val="16"/>
                <w:szCs w:val="16"/>
              </w:rPr>
            </w:pPr>
            <w:r w:rsidRPr="004D21C0">
              <w:rPr>
                <w:sz w:val="16"/>
                <w:szCs w:val="16"/>
              </w:rPr>
              <w:t>$2,666,828</w:t>
            </w:r>
          </w:p>
        </w:tc>
      </w:tr>
      <w:tr w:rsidR="00F81A61" w:rsidRPr="004D21C0" w14:paraId="0EE39516" w14:textId="77777777" w:rsidTr="002E4062">
        <w:trPr>
          <w:trHeight w:val="23"/>
        </w:trPr>
        <w:tc>
          <w:tcPr>
            <w:tcW w:w="0" w:type="auto"/>
            <w:shd w:val="clear" w:color="auto" w:fill="F2F2F2" w:themeFill="background1" w:themeFillShade="F2"/>
          </w:tcPr>
          <w:p w14:paraId="49B0B052" w14:textId="7AA08B70" w:rsidR="00EE6A3C" w:rsidRPr="004D21C0" w:rsidRDefault="00EE6A3C" w:rsidP="004D21C0">
            <w:pPr>
              <w:spacing w:after="0"/>
              <w:rPr>
                <w:sz w:val="16"/>
                <w:szCs w:val="16"/>
              </w:rPr>
            </w:pPr>
            <w:r w:rsidRPr="004D21C0">
              <w:rPr>
                <w:rFonts w:asciiTheme="majorHAnsi" w:hAnsiTheme="majorHAnsi" w:cstheme="majorHAnsi"/>
                <w:b/>
                <w:sz w:val="16"/>
                <w:szCs w:val="16"/>
              </w:rPr>
              <w:t> Societal</w:t>
            </w:r>
          </w:p>
        </w:tc>
        <w:tc>
          <w:tcPr>
            <w:tcW w:w="0" w:type="auto"/>
            <w:tcBorders>
              <w:right w:val="single" w:sz="4" w:space="0" w:color="BCBCB9" w:themeColor="text2" w:themeShade="E6"/>
            </w:tcBorders>
            <w:shd w:val="clear" w:color="auto" w:fill="F2F2F2" w:themeFill="background1" w:themeFillShade="F2"/>
          </w:tcPr>
          <w:p w14:paraId="4B9E9F1C" w14:textId="40DAF6CB" w:rsidR="00EE6A3C" w:rsidRPr="004D21C0" w:rsidRDefault="00EE6A3C" w:rsidP="004D21C0">
            <w:pPr>
              <w:spacing w:after="0"/>
              <w:rPr>
                <w:sz w:val="16"/>
                <w:szCs w:val="16"/>
              </w:rPr>
            </w:pPr>
            <w:r w:rsidRPr="004D21C0">
              <w:rPr>
                <w:rFonts w:asciiTheme="majorHAnsi" w:hAnsiTheme="majorHAnsi" w:cstheme="majorHAnsi"/>
                <w:b/>
                <w:sz w:val="16"/>
                <w:szCs w:val="16"/>
              </w:rPr>
              <w:t>Total Costs</w:t>
            </w:r>
          </w:p>
        </w:tc>
        <w:tc>
          <w:tcPr>
            <w:tcW w:w="0" w:type="auto"/>
            <w:tcBorders>
              <w:top w:val="single" w:sz="4" w:space="0" w:color="000000" w:themeColor="text1"/>
              <w:left w:val="single" w:sz="4" w:space="0" w:color="A6A6A6" w:themeColor="background1" w:themeShade="A6"/>
            </w:tcBorders>
            <w:shd w:val="clear" w:color="auto" w:fill="F2F2F2" w:themeFill="background1" w:themeFillShade="F2"/>
          </w:tcPr>
          <w:p w14:paraId="1F4ACC51" w14:textId="2287660F" w:rsidR="00EE6A3C" w:rsidRPr="004D21C0" w:rsidRDefault="00EE6A3C" w:rsidP="00D01428">
            <w:pPr>
              <w:spacing w:after="0"/>
              <w:jc w:val="right"/>
              <w:rPr>
                <w:sz w:val="16"/>
                <w:szCs w:val="16"/>
              </w:rPr>
            </w:pPr>
            <w:r w:rsidRPr="004D21C0">
              <w:rPr>
                <w:rFonts w:asciiTheme="majorHAnsi" w:hAnsiTheme="majorHAnsi" w:cstheme="majorHAnsi"/>
                <w:b/>
                <w:sz w:val="16"/>
                <w:szCs w:val="16"/>
              </w:rPr>
              <w:t>$42,450,111</w:t>
            </w:r>
          </w:p>
        </w:tc>
        <w:tc>
          <w:tcPr>
            <w:tcW w:w="0" w:type="auto"/>
            <w:tcBorders>
              <w:top w:val="single" w:sz="4" w:space="0" w:color="000000" w:themeColor="text1"/>
              <w:right w:val="nil"/>
            </w:tcBorders>
            <w:shd w:val="clear" w:color="auto" w:fill="F2F2F2" w:themeFill="background1" w:themeFillShade="F2"/>
          </w:tcPr>
          <w:p w14:paraId="138CFC6C" w14:textId="3F631275" w:rsidR="00EE6A3C" w:rsidRPr="004D21C0" w:rsidRDefault="00EE6A3C" w:rsidP="00D01428">
            <w:pPr>
              <w:spacing w:after="0"/>
              <w:jc w:val="right"/>
              <w:rPr>
                <w:sz w:val="16"/>
                <w:szCs w:val="16"/>
              </w:rPr>
            </w:pPr>
            <w:r w:rsidRPr="004D21C0">
              <w:rPr>
                <w:rFonts w:asciiTheme="majorHAnsi" w:hAnsiTheme="majorHAnsi" w:cstheme="majorHAnsi"/>
                <w:b/>
                <w:sz w:val="16"/>
                <w:szCs w:val="16"/>
              </w:rPr>
              <w:t>$45,796,748</w:t>
            </w:r>
          </w:p>
        </w:tc>
        <w:tc>
          <w:tcPr>
            <w:tcW w:w="0" w:type="auto"/>
            <w:tcBorders>
              <w:top w:val="single" w:sz="4" w:space="0" w:color="000000" w:themeColor="text1"/>
              <w:left w:val="nil"/>
              <w:right w:val="single" w:sz="4" w:space="0" w:color="A6A6A6" w:themeColor="background1" w:themeShade="A6"/>
            </w:tcBorders>
            <w:shd w:val="clear" w:color="auto" w:fill="F2F2F2" w:themeFill="background1" w:themeFillShade="F2"/>
          </w:tcPr>
          <w:p w14:paraId="22BC692B" w14:textId="0D2C1E86" w:rsidR="00EE6A3C" w:rsidRPr="00D01428" w:rsidRDefault="00EE6A3C" w:rsidP="00D01428">
            <w:pPr>
              <w:spacing w:after="0"/>
              <w:jc w:val="right"/>
              <w:rPr>
                <w:rFonts w:asciiTheme="majorHAnsi" w:hAnsiTheme="majorHAnsi" w:cstheme="majorHAnsi"/>
                <w:b/>
                <w:sz w:val="16"/>
                <w:szCs w:val="16"/>
              </w:rPr>
            </w:pPr>
            <w:r w:rsidRPr="004D21C0">
              <w:rPr>
                <w:rFonts w:asciiTheme="majorHAnsi" w:hAnsiTheme="majorHAnsi" w:cstheme="majorHAnsi"/>
                <w:b/>
                <w:sz w:val="16"/>
                <w:szCs w:val="16"/>
              </w:rPr>
              <w:t>$49,022,340</w:t>
            </w:r>
          </w:p>
        </w:tc>
        <w:tc>
          <w:tcPr>
            <w:tcW w:w="0" w:type="auto"/>
            <w:tcBorders>
              <w:left w:val="single" w:sz="4" w:space="0" w:color="A6A6A6" w:themeColor="background1" w:themeShade="A6"/>
            </w:tcBorders>
            <w:shd w:val="clear" w:color="auto" w:fill="F2F2F2" w:themeFill="background1" w:themeFillShade="F2"/>
          </w:tcPr>
          <w:p w14:paraId="311B575C" w14:textId="47A90CD3" w:rsidR="00EE6A3C" w:rsidRPr="004D21C0" w:rsidRDefault="00EE6A3C" w:rsidP="00D01428">
            <w:pPr>
              <w:spacing w:after="0"/>
              <w:jc w:val="right"/>
              <w:rPr>
                <w:sz w:val="16"/>
                <w:szCs w:val="16"/>
              </w:rPr>
            </w:pPr>
            <w:r w:rsidRPr="004D21C0">
              <w:rPr>
                <w:rFonts w:asciiTheme="majorHAnsi" w:hAnsiTheme="majorHAnsi" w:cstheme="majorHAnsi"/>
                <w:b/>
                <w:sz w:val="16"/>
                <w:szCs w:val="16"/>
              </w:rPr>
              <w:t>$39,426,125</w:t>
            </w:r>
          </w:p>
        </w:tc>
        <w:tc>
          <w:tcPr>
            <w:tcW w:w="0" w:type="auto"/>
            <w:shd w:val="clear" w:color="auto" w:fill="F2F2F2" w:themeFill="background1" w:themeFillShade="F2"/>
          </w:tcPr>
          <w:p w14:paraId="00F33BDE" w14:textId="3B5DE8B9" w:rsidR="00EE6A3C" w:rsidRPr="004D21C0" w:rsidRDefault="00EE6A3C" w:rsidP="00D01428">
            <w:pPr>
              <w:spacing w:after="0"/>
              <w:jc w:val="right"/>
              <w:rPr>
                <w:sz w:val="16"/>
                <w:szCs w:val="16"/>
              </w:rPr>
            </w:pPr>
            <w:r w:rsidRPr="004D21C0">
              <w:rPr>
                <w:rFonts w:asciiTheme="majorHAnsi" w:hAnsiTheme="majorHAnsi" w:cstheme="majorHAnsi"/>
                <w:b/>
                <w:sz w:val="16"/>
                <w:szCs w:val="16"/>
              </w:rPr>
              <w:t>$41,624,758</w:t>
            </w:r>
          </w:p>
        </w:tc>
        <w:tc>
          <w:tcPr>
            <w:tcW w:w="0" w:type="auto"/>
            <w:tcBorders>
              <w:top w:val="single" w:sz="4" w:space="0" w:color="000000" w:themeColor="text1"/>
              <w:right w:val="single" w:sz="4" w:space="0" w:color="A6A6A6" w:themeColor="background1" w:themeShade="A6"/>
            </w:tcBorders>
            <w:shd w:val="clear" w:color="auto" w:fill="F2F2F2" w:themeFill="background1" w:themeFillShade="F2"/>
          </w:tcPr>
          <w:p w14:paraId="67CBB0FE" w14:textId="1CB5D488" w:rsidR="00EE6A3C" w:rsidRPr="004D21C0" w:rsidRDefault="00EE6A3C" w:rsidP="00D01428">
            <w:pPr>
              <w:spacing w:after="0"/>
              <w:jc w:val="right"/>
              <w:rPr>
                <w:sz w:val="16"/>
                <w:szCs w:val="16"/>
              </w:rPr>
            </w:pPr>
            <w:r w:rsidRPr="004D21C0">
              <w:rPr>
                <w:rFonts w:asciiTheme="majorHAnsi" w:hAnsiTheme="majorHAnsi" w:cstheme="majorHAnsi"/>
                <w:b/>
                <w:sz w:val="16"/>
                <w:szCs w:val="16"/>
              </w:rPr>
              <w:t>$43,746,761</w:t>
            </w:r>
          </w:p>
        </w:tc>
      </w:tr>
    </w:tbl>
    <w:p w14:paraId="109FAB64" w14:textId="6FFF865B" w:rsidR="00835A8A" w:rsidRDefault="007C559B" w:rsidP="000C55CF">
      <w:pPr>
        <w:pStyle w:val="SourcetextTableorChart"/>
        <w:rPr>
          <w:lang w:val="en-AU"/>
        </w:rPr>
      </w:pPr>
      <w:r>
        <w:rPr>
          <w:lang w:val="en-AU"/>
        </w:rPr>
        <w:t>Source: Deloitte Access Economics calculations.</w:t>
      </w:r>
    </w:p>
    <w:p w14:paraId="26949435" w14:textId="1D4F91F8" w:rsidR="00835A8A" w:rsidRDefault="00835A8A">
      <w:pPr>
        <w:rPr>
          <w:lang w:val="en-AU"/>
        </w:rPr>
        <w:sectPr w:rsidR="00835A8A" w:rsidSect="00245FF5">
          <w:pgSz w:w="16838" w:h="11906" w:orient="landscape" w:code="9"/>
          <w:pgMar w:top="680" w:right="1985" w:bottom="1274" w:left="1134" w:header="680" w:footer="567" w:gutter="0"/>
          <w:cols w:space="284"/>
          <w:titlePg/>
          <w:docGrid w:linePitch="360"/>
        </w:sectPr>
      </w:pPr>
    </w:p>
    <w:p w14:paraId="20C23611" w14:textId="3B2E1EEC" w:rsidR="007C559B" w:rsidRPr="0024743B" w:rsidRDefault="001D2192" w:rsidP="003F2F73">
      <w:pPr>
        <w:pStyle w:val="Caption"/>
        <w:rPr>
          <w:lang w:val="en-AU"/>
        </w:rPr>
      </w:pPr>
      <w:bookmarkStart w:id="97" w:name="_Ref125368022"/>
      <w:r>
        <w:t>Table</w:t>
      </w:r>
      <w:r w:rsidR="007C559B">
        <w:t xml:space="preserve"> </w:t>
      </w:r>
      <w:r w:rsidR="005B7353">
        <w:fldChar w:fldCharType="begin"/>
      </w:r>
      <w:r w:rsidR="005B7353">
        <w:instrText xml:space="preserve"> STYLEREF 1 \s </w:instrText>
      </w:r>
      <w:r w:rsidR="005B7353">
        <w:fldChar w:fldCharType="separate"/>
      </w:r>
      <w:r w:rsidR="00D32536">
        <w:rPr>
          <w:noProof/>
        </w:rPr>
        <w:t>6</w:t>
      </w:r>
      <w:r w:rsidR="005B7353">
        <w:fldChar w:fldCharType="end"/>
      </w:r>
      <w:r w:rsidR="005B7353">
        <w:t>.</w:t>
      </w:r>
      <w:r w:rsidR="005B7353">
        <w:fldChar w:fldCharType="begin"/>
      </w:r>
      <w:r w:rsidR="005B7353">
        <w:instrText xml:space="preserve"> SEQ Table \* ARABIC \s 1 </w:instrText>
      </w:r>
      <w:r w:rsidR="005B7353">
        <w:fldChar w:fldCharType="separate"/>
      </w:r>
      <w:r w:rsidR="00D32536">
        <w:rPr>
          <w:noProof/>
        </w:rPr>
        <w:t>3</w:t>
      </w:r>
      <w:r w:rsidR="005B7353">
        <w:fldChar w:fldCharType="end"/>
      </w:r>
      <w:bookmarkEnd w:id="97"/>
      <w:r w:rsidR="00452A35">
        <w:t xml:space="preserve"> </w:t>
      </w:r>
      <w:r w:rsidR="007C559B">
        <w:t>Program</w:t>
      </w:r>
      <w:r w:rsidR="00A15F21">
        <w:t xml:space="preserve"> level BCR </w:t>
      </w:r>
      <w:r w:rsidR="00D159A8">
        <w:t>results – Government perspective</w:t>
      </w:r>
    </w:p>
    <w:tbl>
      <w:tblPr>
        <w:tblStyle w:val="Deloittetable"/>
        <w:tblW w:w="9493" w:type="dxa"/>
        <w:tblLayout w:type="fixed"/>
        <w:tblLook w:val="04A0" w:firstRow="1" w:lastRow="0" w:firstColumn="1" w:lastColumn="0" w:noHBand="0" w:noVBand="1"/>
      </w:tblPr>
      <w:tblGrid>
        <w:gridCol w:w="2816"/>
        <w:gridCol w:w="1113"/>
        <w:gridCol w:w="1113"/>
        <w:gridCol w:w="1113"/>
        <w:gridCol w:w="1113"/>
        <w:gridCol w:w="1112"/>
        <w:gridCol w:w="1113"/>
      </w:tblGrid>
      <w:tr w:rsidR="00D95619" w:rsidRPr="00277484" w14:paraId="6A52C66D" w14:textId="7669C474" w:rsidTr="00AD27FD">
        <w:trPr>
          <w:cnfStyle w:val="100000000000" w:firstRow="1" w:lastRow="0" w:firstColumn="0" w:lastColumn="0" w:oddVBand="0" w:evenVBand="0" w:oddHBand="0" w:evenHBand="0" w:firstRowFirstColumn="0" w:firstRowLastColumn="0" w:lastRowFirstColumn="0" w:lastRowLastColumn="0"/>
          <w:trHeight w:val="109"/>
        </w:trPr>
        <w:tc>
          <w:tcPr>
            <w:tcW w:w="0" w:type="dxa"/>
            <w:tcBorders>
              <w:right w:val="single" w:sz="4" w:space="0" w:color="D9D9D9" w:themeColor="background1" w:themeShade="D9"/>
            </w:tcBorders>
          </w:tcPr>
          <w:p w14:paraId="29AC17AE" w14:textId="4F865A54" w:rsidR="00D95619" w:rsidRDefault="00D95619" w:rsidP="00F35542">
            <w:pPr>
              <w:pStyle w:val="TableHeadingLeft"/>
              <w:keepNext/>
              <w:jc w:val="center"/>
            </w:pPr>
          </w:p>
        </w:tc>
        <w:tc>
          <w:tcPr>
            <w:tcW w:w="0" w:type="dxa"/>
            <w:tcBorders>
              <w:left w:val="nil"/>
              <w:right w:val="nil"/>
            </w:tcBorders>
          </w:tcPr>
          <w:p w14:paraId="25AE7FAD" w14:textId="72D169D2" w:rsidR="00D95619" w:rsidRDefault="00D95619" w:rsidP="00F35542">
            <w:pPr>
              <w:pStyle w:val="TableHeadingLeft"/>
              <w:keepNext/>
              <w:jc w:val="center"/>
            </w:pPr>
          </w:p>
        </w:tc>
        <w:tc>
          <w:tcPr>
            <w:tcW w:w="0" w:type="dxa"/>
            <w:tcBorders>
              <w:left w:val="nil"/>
              <w:right w:val="nil"/>
            </w:tcBorders>
            <w:noWrap/>
          </w:tcPr>
          <w:p w14:paraId="6ADF84C9" w14:textId="725B4941" w:rsidR="00D95619" w:rsidRDefault="00D95619" w:rsidP="00F35542">
            <w:pPr>
              <w:pStyle w:val="TableHeadingLeft"/>
              <w:keepNext/>
              <w:jc w:val="center"/>
            </w:pPr>
            <w:r>
              <w:t>Optimised</w:t>
            </w:r>
          </w:p>
        </w:tc>
        <w:tc>
          <w:tcPr>
            <w:tcW w:w="0" w:type="dxa"/>
            <w:tcBorders>
              <w:left w:val="nil"/>
              <w:right w:val="single" w:sz="4" w:space="0" w:color="D0D0CE" w:themeColor="text2"/>
            </w:tcBorders>
          </w:tcPr>
          <w:p w14:paraId="1BF60F7A" w14:textId="3FA47D98" w:rsidR="00D95619" w:rsidRDefault="00D95619" w:rsidP="00F35542">
            <w:pPr>
              <w:pStyle w:val="TableHeadingLeft"/>
              <w:keepNext/>
              <w:jc w:val="center"/>
            </w:pPr>
          </w:p>
        </w:tc>
        <w:tc>
          <w:tcPr>
            <w:tcW w:w="0" w:type="dxa"/>
            <w:tcBorders>
              <w:left w:val="single" w:sz="4" w:space="0" w:color="D0D0CE" w:themeColor="text2"/>
              <w:right w:val="nil"/>
            </w:tcBorders>
          </w:tcPr>
          <w:p w14:paraId="06863EDA" w14:textId="153E9E68" w:rsidR="00D95619" w:rsidRDefault="00D95619" w:rsidP="00D95619">
            <w:pPr>
              <w:pStyle w:val="TableHeadingLeft"/>
              <w:keepNext/>
            </w:pPr>
          </w:p>
        </w:tc>
        <w:tc>
          <w:tcPr>
            <w:tcW w:w="0" w:type="dxa"/>
            <w:tcBorders>
              <w:left w:val="nil"/>
              <w:right w:val="nil"/>
            </w:tcBorders>
          </w:tcPr>
          <w:p w14:paraId="6725DC80" w14:textId="1E4FA645" w:rsidR="00D95619" w:rsidRDefault="00A91304" w:rsidP="00AD27FD">
            <w:pPr>
              <w:pStyle w:val="TableHeadingLeft"/>
              <w:keepNext/>
              <w:jc w:val="center"/>
            </w:pPr>
            <w:r>
              <w:t>Observed</w:t>
            </w:r>
          </w:p>
        </w:tc>
        <w:tc>
          <w:tcPr>
            <w:tcW w:w="0" w:type="dxa"/>
            <w:tcBorders>
              <w:left w:val="nil"/>
              <w:right w:val="single" w:sz="4" w:space="0" w:color="D9D9D9" w:themeColor="background1" w:themeShade="D9"/>
            </w:tcBorders>
          </w:tcPr>
          <w:p w14:paraId="1D6B651C" w14:textId="142264EB" w:rsidR="00D95619" w:rsidRDefault="00D95619" w:rsidP="00AD27FD">
            <w:pPr>
              <w:pStyle w:val="TableHeadingLeft"/>
              <w:keepNext/>
            </w:pPr>
          </w:p>
        </w:tc>
      </w:tr>
      <w:tr w:rsidR="00883735" w:rsidRPr="00277484" w14:paraId="0DFA9F36" w14:textId="77777777" w:rsidTr="00D95619">
        <w:trPr>
          <w:trHeight w:val="109"/>
        </w:trPr>
        <w:tc>
          <w:tcPr>
            <w:tcW w:w="2816" w:type="dxa"/>
            <w:tcBorders>
              <w:right w:val="single" w:sz="4" w:space="0" w:color="D9D9D9" w:themeColor="background1" w:themeShade="D9"/>
            </w:tcBorders>
            <w:shd w:val="clear" w:color="auto" w:fill="auto"/>
          </w:tcPr>
          <w:p w14:paraId="50AE4429" w14:textId="5207BC26" w:rsidR="00883735" w:rsidRPr="0045387B" w:rsidRDefault="00883735" w:rsidP="00883735">
            <w:pPr>
              <w:keepNext/>
              <w:spacing w:after="0" w:line="240" w:lineRule="auto"/>
            </w:pPr>
            <w:r w:rsidRPr="0045387B">
              <w:rPr>
                <w:color w:val="002060"/>
                <w:sz w:val="17"/>
                <w:szCs w:val="17"/>
              </w:rPr>
              <w:t>Benefits realisation time horizon:</w:t>
            </w:r>
          </w:p>
        </w:tc>
        <w:tc>
          <w:tcPr>
            <w:tcW w:w="1113" w:type="dxa"/>
            <w:tcBorders>
              <w:top w:val="single" w:sz="4" w:space="0" w:color="000000" w:themeColor="text1"/>
              <w:left w:val="single" w:sz="4" w:space="0" w:color="D9D9D9" w:themeColor="background1" w:themeShade="D9"/>
              <w:bottom w:val="single" w:sz="4" w:space="0" w:color="000000" w:themeColor="text1"/>
              <w:right w:val="single" w:sz="4" w:space="0" w:color="D9D9D9" w:themeColor="background1" w:themeShade="D9"/>
            </w:tcBorders>
            <w:shd w:val="clear" w:color="auto" w:fill="auto"/>
            <w:noWrap/>
          </w:tcPr>
          <w:p w14:paraId="4879BF06" w14:textId="043AD520" w:rsidR="00883735" w:rsidRPr="0045387B" w:rsidRDefault="0045387B" w:rsidP="0011317D">
            <w:pPr>
              <w:keepNext/>
              <w:spacing w:after="0" w:line="240" w:lineRule="auto"/>
              <w:jc w:val="center"/>
            </w:pPr>
            <w:r>
              <w:rPr>
                <w:color w:val="000000" w:themeColor="text1"/>
                <w:sz w:val="17"/>
                <w:szCs w:val="17"/>
              </w:rPr>
              <w:t xml:space="preserve">1: </w:t>
            </w:r>
            <w:r w:rsidR="00883735" w:rsidRPr="0045387B">
              <w:rPr>
                <w:color w:val="000000" w:themeColor="text1"/>
                <w:sz w:val="17"/>
                <w:szCs w:val="17"/>
              </w:rPr>
              <w:t>Within Program only</w:t>
            </w:r>
          </w:p>
        </w:tc>
        <w:tc>
          <w:tcPr>
            <w:tcW w:w="1113" w:type="dxa"/>
            <w:tcBorders>
              <w:top w:val="single" w:sz="4" w:space="0" w:color="000000" w:themeColor="text1"/>
              <w:left w:val="single" w:sz="4" w:space="0" w:color="D9D9D9" w:themeColor="background1" w:themeShade="D9"/>
              <w:bottom w:val="single" w:sz="4" w:space="0" w:color="000000" w:themeColor="text1"/>
              <w:right w:val="single" w:sz="4" w:space="0" w:color="D9D9D9" w:themeColor="background1" w:themeShade="D9"/>
            </w:tcBorders>
            <w:shd w:val="clear" w:color="auto" w:fill="auto"/>
          </w:tcPr>
          <w:p w14:paraId="01A212C3" w14:textId="382C0FEC" w:rsidR="00883735" w:rsidRPr="0045387B" w:rsidRDefault="0045387B" w:rsidP="0011317D">
            <w:pPr>
              <w:keepNext/>
              <w:spacing w:after="0" w:line="240" w:lineRule="auto"/>
              <w:jc w:val="center"/>
            </w:pPr>
            <w:r>
              <w:rPr>
                <w:color w:val="000000" w:themeColor="text1"/>
                <w:sz w:val="17"/>
                <w:szCs w:val="17"/>
              </w:rPr>
              <w:t xml:space="preserve">2: </w:t>
            </w:r>
            <w:r w:rsidR="00883735" w:rsidRPr="0045387B">
              <w:rPr>
                <w:color w:val="000000" w:themeColor="text1"/>
                <w:sz w:val="17"/>
                <w:szCs w:val="17"/>
              </w:rPr>
              <w:t>Within Program + 9 months post-Program</w:t>
            </w:r>
          </w:p>
        </w:tc>
        <w:tc>
          <w:tcPr>
            <w:tcW w:w="1113" w:type="dxa"/>
            <w:tcBorders>
              <w:top w:val="single" w:sz="4" w:space="0" w:color="000000" w:themeColor="text1"/>
              <w:left w:val="single" w:sz="4" w:space="0" w:color="D9D9D9" w:themeColor="background1" w:themeShade="D9"/>
              <w:bottom w:val="single" w:sz="4" w:space="0" w:color="000000" w:themeColor="text1"/>
              <w:right w:val="single" w:sz="4" w:space="0" w:color="D9D9D9" w:themeColor="background1" w:themeShade="D9"/>
            </w:tcBorders>
            <w:shd w:val="clear" w:color="auto" w:fill="auto"/>
          </w:tcPr>
          <w:p w14:paraId="41B6848D" w14:textId="7D110B4C" w:rsidR="00883735" w:rsidRPr="0045387B" w:rsidRDefault="0045387B" w:rsidP="0011317D">
            <w:pPr>
              <w:spacing w:after="0" w:line="240" w:lineRule="auto"/>
              <w:jc w:val="center"/>
            </w:pPr>
            <w:r>
              <w:rPr>
                <w:color w:val="000000" w:themeColor="text1"/>
                <w:sz w:val="17"/>
                <w:szCs w:val="17"/>
              </w:rPr>
              <w:t xml:space="preserve">3: </w:t>
            </w:r>
            <w:r w:rsidR="00883735" w:rsidRPr="0045387B">
              <w:rPr>
                <w:color w:val="000000" w:themeColor="text1"/>
                <w:sz w:val="17"/>
                <w:szCs w:val="17"/>
              </w:rPr>
              <w:t>Within Program + 18 months post-Program</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auto"/>
            <w:noWrap/>
          </w:tcPr>
          <w:p w14:paraId="1207FA88" w14:textId="78619A0C" w:rsidR="00883735" w:rsidRPr="0045387B" w:rsidRDefault="00D95619" w:rsidP="0011317D">
            <w:pPr>
              <w:keepNext/>
              <w:spacing w:after="0" w:line="240" w:lineRule="auto"/>
              <w:jc w:val="center"/>
            </w:pPr>
            <w:r>
              <w:rPr>
                <w:color w:val="000000" w:themeColor="text1"/>
                <w:sz w:val="17"/>
                <w:szCs w:val="17"/>
              </w:rPr>
              <w:t>1</w:t>
            </w:r>
            <w:r w:rsidR="0045387B">
              <w:rPr>
                <w:color w:val="000000" w:themeColor="text1"/>
                <w:sz w:val="17"/>
                <w:szCs w:val="17"/>
              </w:rPr>
              <w:t xml:space="preserve">: </w:t>
            </w:r>
            <w:r w:rsidR="00883735" w:rsidRPr="0045387B">
              <w:rPr>
                <w:color w:val="000000" w:themeColor="text1"/>
                <w:sz w:val="17"/>
                <w:szCs w:val="17"/>
              </w:rPr>
              <w:t>Within Program only</w:t>
            </w:r>
          </w:p>
        </w:tc>
        <w:tc>
          <w:tcPr>
            <w:tcW w:w="1112"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auto"/>
          </w:tcPr>
          <w:p w14:paraId="5722E229" w14:textId="23E997A9" w:rsidR="00883735" w:rsidRPr="0045387B" w:rsidRDefault="0045387B" w:rsidP="0011317D">
            <w:pPr>
              <w:keepNext/>
              <w:spacing w:after="0" w:line="240" w:lineRule="auto"/>
              <w:jc w:val="center"/>
            </w:pPr>
            <w:r>
              <w:rPr>
                <w:color w:val="000000" w:themeColor="text1"/>
                <w:sz w:val="17"/>
                <w:szCs w:val="17"/>
              </w:rPr>
              <w:t xml:space="preserve">2: </w:t>
            </w:r>
            <w:r w:rsidR="00883735" w:rsidRPr="0045387B">
              <w:rPr>
                <w:color w:val="000000" w:themeColor="text1"/>
                <w:sz w:val="17"/>
                <w:szCs w:val="17"/>
              </w:rPr>
              <w:t>Within Program + 9 months post-Program</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tcPr>
          <w:p w14:paraId="704B25EB" w14:textId="1F5AF1B7" w:rsidR="00883735" w:rsidRPr="0045387B" w:rsidRDefault="0045387B" w:rsidP="0011317D">
            <w:pPr>
              <w:keepNext/>
              <w:spacing w:after="0" w:line="240" w:lineRule="auto"/>
              <w:jc w:val="center"/>
            </w:pPr>
            <w:r>
              <w:rPr>
                <w:color w:val="000000" w:themeColor="text1"/>
                <w:sz w:val="17"/>
                <w:szCs w:val="17"/>
              </w:rPr>
              <w:t xml:space="preserve">3: </w:t>
            </w:r>
            <w:r w:rsidR="00883735" w:rsidRPr="0045387B">
              <w:rPr>
                <w:color w:val="000000" w:themeColor="text1"/>
                <w:sz w:val="17"/>
                <w:szCs w:val="17"/>
              </w:rPr>
              <w:t>Within Program + 18 months post-Program</w:t>
            </w:r>
          </w:p>
        </w:tc>
      </w:tr>
      <w:tr w:rsidR="0050548C" w:rsidRPr="00277484" w14:paraId="2A6C12E2" w14:textId="31341B58" w:rsidTr="00D95619">
        <w:trPr>
          <w:trHeight w:val="109"/>
        </w:trPr>
        <w:tc>
          <w:tcPr>
            <w:tcW w:w="2816" w:type="dxa"/>
            <w:tcBorders>
              <w:right w:val="single" w:sz="4" w:space="0" w:color="D9D9D9" w:themeColor="background1" w:themeShade="D9"/>
            </w:tcBorders>
          </w:tcPr>
          <w:p w14:paraId="04932AC7" w14:textId="77777777" w:rsidR="0050548C" w:rsidRPr="003E3441" w:rsidRDefault="0050548C" w:rsidP="0050548C">
            <w:pPr>
              <w:keepNext/>
              <w:spacing w:after="0" w:line="240" w:lineRule="auto"/>
            </w:pPr>
            <w:r>
              <w:t>Benefits</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noWrap/>
          </w:tcPr>
          <w:p w14:paraId="1CDCCC58" w14:textId="77777777" w:rsidR="0050548C" w:rsidRPr="00277484" w:rsidRDefault="0050548C" w:rsidP="0050548C">
            <w:pPr>
              <w:keepNext/>
              <w:spacing w:after="0" w:line="240" w:lineRule="auto"/>
              <w:jc w:val="right"/>
            </w:pPr>
            <w:r w:rsidRPr="000679DA">
              <w:t>$44,496,905</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1F04CB9B" w14:textId="64476F4D" w:rsidR="0050548C" w:rsidRPr="000679DA" w:rsidRDefault="0050548C" w:rsidP="0050548C">
            <w:pPr>
              <w:spacing w:after="0" w:line="240" w:lineRule="auto"/>
              <w:jc w:val="right"/>
            </w:pPr>
            <w:r w:rsidRPr="00C55504">
              <w:t>$62,063,185</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5D4DA8E5" w14:textId="2385C0EE" w:rsidR="0050548C" w:rsidRPr="000679DA" w:rsidRDefault="0050548C" w:rsidP="0050548C">
            <w:pPr>
              <w:spacing w:after="0" w:line="240" w:lineRule="auto"/>
              <w:jc w:val="right"/>
            </w:pPr>
            <w:r w:rsidRPr="00C55504">
              <w:t>$79,253,867</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noWrap/>
          </w:tcPr>
          <w:p w14:paraId="5D97FA59" w14:textId="5D4729C6" w:rsidR="0050548C" w:rsidRPr="00277484" w:rsidRDefault="0050548C" w:rsidP="0050548C">
            <w:pPr>
              <w:keepNext/>
              <w:spacing w:after="0" w:line="240" w:lineRule="auto"/>
              <w:jc w:val="right"/>
            </w:pPr>
            <w:r w:rsidRPr="00151FB7">
              <w:t>$29,635,524</w:t>
            </w:r>
          </w:p>
        </w:tc>
        <w:tc>
          <w:tcPr>
            <w:tcW w:w="1112" w:type="dxa"/>
            <w:tcBorders>
              <w:top w:val="single" w:sz="4" w:space="0" w:color="000000" w:themeColor="text1"/>
              <w:left w:val="single" w:sz="4" w:space="0" w:color="D9D9D9" w:themeColor="background1" w:themeShade="D9"/>
              <w:right w:val="single" w:sz="4" w:space="0" w:color="D9D9D9" w:themeColor="background1" w:themeShade="D9"/>
            </w:tcBorders>
          </w:tcPr>
          <w:p w14:paraId="480BCDD0" w14:textId="294A990A" w:rsidR="0050548C" w:rsidRPr="000679DA" w:rsidRDefault="0050548C" w:rsidP="0050548C">
            <w:pPr>
              <w:spacing w:after="0" w:line="240" w:lineRule="auto"/>
              <w:jc w:val="right"/>
            </w:pPr>
            <w:r w:rsidRPr="00F74B2F">
              <w:t>$41,223,018</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tcPr>
          <w:p w14:paraId="63C082B4" w14:textId="2DDDD153" w:rsidR="0050548C" w:rsidRPr="000679DA" w:rsidRDefault="0050548C" w:rsidP="0050548C">
            <w:pPr>
              <w:keepNext/>
              <w:spacing w:after="0" w:line="240" w:lineRule="auto"/>
              <w:jc w:val="right"/>
            </w:pPr>
            <w:r w:rsidRPr="00C138FB">
              <w:t>$52,532,158</w:t>
            </w:r>
          </w:p>
        </w:tc>
      </w:tr>
      <w:tr w:rsidR="0050548C" w:rsidRPr="00277484" w14:paraId="78FD63FA" w14:textId="5F0D7CE7" w:rsidTr="00D95619">
        <w:trPr>
          <w:trHeight w:val="109"/>
        </w:trPr>
        <w:tc>
          <w:tcPr>
            <w:tcW w:w="2816" w:type="dxa"/>
            <w:tcBorders>
              <w:right w:val="single" w:sz="4" w:space="0" w:color="D9D9D9" w:themeColor="background1" w:themeShade="D9"/>
            </w:tcBorders>
          </w:tcPr>
          <w:p w14:paraId="0F1D26D2" w14:textId="77777777" w:rsidR="0050548C" w:rsidRPr="003E3441" w:rsidRDefault="0050548C" w:rsidP="0050548C">
            <w:pPr>
              <w:keepNext/>
              <w:spacing w:after="0" w:line="240" w:lineRule="auto"/>
            </w:pPr>
            <w:r>
              <w:t>Costs</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noWrap/>
          </w:tcPr>
          <w:p w14:paraId="6C66FB09" w14:textId="77777777" w:rsidR="0050548C" w:rsidRPr="00277484" w:rsidRDefault="0050548C" w:rsidP="0050548C">
            <w:pPr>
              <w:keepNext/>
              <w:spacing w:after="0" w:line="240" w:lineRule="auto"/>
              <w:jc w:val="right"/>
            </w:pPr>
            <w:r w:rsidRPr="000679DA">
              <w:t>$40,131,160</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5A6D6121" w14:textId="31B43BF0" w:rsidR="0050548C" w:rsidRPr="000679DA" w:rsidRDefault="0050548C" w:rsidP="0050548C">
            <w:pPr>
              <w:keepNext/>
              <w:spacing w:after="0" w:line="240" w:lineRule="auto"/>
              <w:jc w:val="right"/>
            </w:pPr>
            <w:r w:rsidRPr="00C55504">
              <w:t>$42,593,316</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5EC00292" w14:textId="6A6C3768" w:rsidR="0050548C" w:rsidRPr="000679DA" w:rsidRDefault="0050548C" w:rsidP="0050548C">
            <w:pPr>
              <w:keepNext/>
              <w:spacing w:after="0" w:line="240" w:lineRule="auto"/>
              <w:jc w:val="right"/>
            </w:pPr>
            <w:r w:rsidRPr="00C55504">
              <w:t>$44,964,424</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noWrap/>
          </w:tcPr>
          <w:p w14:paraId="45B983AD" w14:textId="54968D16" w:rsidR="0050548C" w:rsidRPr="00277484" w:rsidRDefault="0050548C" w:rsidP="0050548C">
            <w:pPr>
              <w:keepNext/>
              <w:spacing w:after="0" w:line="240" w:lineRule="auto"/>
              <w:jc w:val="right"/>
            </w:pPr>
            <w:r w:rsidRPr="00151FB7">
              <w:t>$37,902,868</w:t>
            </w:r>
          </w:p>
        </w:tc>
        <w:tc>
          <w:tcPr>
            <w:tcW w:w="1112" w:type="dxa"/>
            <w:tcBorders>
              <w:top w:val="single" w:sz="4" w:space="0" w:color="000000" w:themeColor="text1"/>
              <w:left w:val="single" w:sz="4" w:space="0" w:color="D9D9D9" w:themeColor="background1" w:themeShade="D9"/>
              <w:right w:val="single" w:sz="4" w:space="0" w:color="D9D9D9" w:themeColor="background1" w:themeShade="D9"/>
            </w:tcBorders>
          </w:tcPr>
          <w:p w14:paraId="2B920B2C" w14:textId="2EAF6BF2" w:rsidR="0050548C" w:rsidRPr="000679DA" w:rsidRDefault="0050548C" w:rsidP="0050548C">
            <w:pPr>
              <w:keepNext/>
              <w:spacing w:after="0" w:line="240" w:lineRule="auto"/>
              <w:jc w:val="right"/>
            </w:pPr>
            <w:r w:rsidRPr="00F74B2F">
              <w:t>$39,520,065</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tcPr>
          <w:p w14:paraId="2F2C80B4" w14:textId="1ACCEC6C" w:rsidR="0050548C" w:rsidRPr="000679DA" w:rsidRDefault="0050548C" w:rsidP="0050548C">
            <w:pPr>
              <w:keepNext/>
              <w:spacing w:after="0" w:line="240" w:lineRule="auto"/>
              <w:jc w:val="right"/>
            </w:pPr>
            <w:r w:rsidRPr="00C138FB">
              <w:t>$41,079,933</w:t>
            </w:r>
          </w:p>
        </w:tc>
      </w:tr>
      <w:tr w:rsidR="0050548C" w:rsidRPr="00277484" w14:paraId="6F331A29" w14:textId="6102E399" w:rsidTr="00D95619">
        <w:trPr>
          <w:trHeight w:val="109"/>
        </w:trPr>
        <w:tc>
          <w:tcPr>
            <w:tcW w:w="2816" w:type="dxa"/>
            <w:tcBorders>
              <w:right w:val="single" w:sz="4" w:space="0" w:color="D9D9D9" w:themeColor="background1" w:themeShade="D9"/>
            </w:tcBorders>
          </w:tcPr>
          <w:p w14:paraId="2BF16FBF" w14:textId="77777777" w:rsidR="0050548C" w:rsidRPr="003E3441" w:rsidRDefault="0050548C" w:rsidP="0050548C">
            <w:pPr>
              <w:keepNext/>
              <w:spacing w:after="0" w:line="240" w:lineRule="auto"/>
            </w:pPr>
            <w:r>
              <w:t>NPV</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noWrap/>
          </w:tcPr>
          <w:p w14:paraId="6858CB06" w14:textId="77777777" w:rsidR="0050548C" w:rsidRPr="00277484" w:rsidRDefault="0050548C" w:rsidP="0050548C">
            <w:pPr>
              <w:keepNext/>
              <w:spacing w:after="0" w:line="240" w:lineRule="auto"/>
              <w:jc w:val="right"/>
            </w:pPr>
            <w:r w:rsidRPr="000679DA">
              <w:t>$4,365,745</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2EFFFFAB" w14:textId="286A513F" w:rsidR="0050548C" w:rsidRPr="000679DA" w:rsidRDefault="0050548C" w:rsidP="0050548C">
            <w:pPr>
              <w:keepNext/>
              <w:spacing w:after="0" w:line="240" w:lineRule="auto"/>
              <w:jc w:val="right"/>
            </w:pPr>
            <w:r w:rsidRPr="00C55504">
              <w:t>$19,469,869</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1CB33D82" w14:textId="11BBA72B" w:rsidR="0050548C" w:rsidRPr="000679DA" w:rsidRDefault="0050548C" w:rsidP="0050548C">
            <w:pPr>
              <w:keepNext/>
              <w:spacing w:after="0" w:line="240" w:lineRule="auto"/>
              <w:jc w:val="right"/>
            </w:pPr>
            <w:r w:rsidRPr="00C55504">
              <w:t>$34,289,443</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noWrap/>
          </w:tcPr>
          <w:p w14:paraId="3171A0D0" w14:textId="6708E8D2" w:rsidR="0050548C" w:rsidRPr="00277484" w:rsidRDefault="0050548C" w:rsidP="0050548C">
            <w:pPr>
              <w:keepNext/>
              <w:spacing w:after="0" w:line="240" w:lineRule="auto"/>
              <w:jc w:val="right"/>
            </w:pPr>
            <w:r w:rsidRPr="00151FB7">
              <w:t>-$8,267,345</w:t>
            </w:r>
          </w:p>
        </w:tc>
        <w:tc>
          <w:tcPr>
            <w:tcW w:w="1112" w:type="dxa"/>
            <w:tcBorders>
              <w:top w:val="single" w:sz="4" w:space="0" w:color="000000" w:themeColor="text1"/>
              <w:left w:val="single" w:sz="4" w:space="0" w:color="D9D9D9" w:themeColor="background1" w:themeShade="D9"/>
              <w:right w:val="single" w:sz="4" w:space="0" w:color="D9D9D9" w:themeColor="background1" w:themeShade="D9"/>
            </w:tcBorders>
          </w:tcPr>
          <w:p w14:paraId="7C4F4128" w14:textId="5BD8B613" w:rsidR="0050548C" w:rsidRPr="000679DA" w:rsidRDefault="0050548C" w:rsidP="0050548C">
            <w:pPr>
              <w:keepNext/>
              <w:spacing w:after="0" w:line="240" w:lineRule="auto"/>
              <w:jc w:val="right"/>
            </w:pPr>
            <w:r w:rsidRPr="00F74B2F">
              <w:t>$1,702,953</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tcPr>
          <w:p w14:paraId="1FF3F218" w14:textId="23CDE56C" w:rsidR="0050548C" w:rsidRPr="000679DA" w:rsidRDefault="0050548C" w:rsidP="0050548C">
            <w:pPr>
              <w:keepNext/>
              <w:spacing w:after="0" w:line="240" w:lineRule="auto"/>
              <w:jc w:val="right"/>
            </w:pPr>
            <w:r w:rsidRPr="00C138FB">
              <w:t>$11,452,225</w:t>
            </w:r>
          </w:p>
        </w:tc>
      </w:tr>
      <w:tr w:rsidR="0050548C" w:rsidRPr="00277484" w14:paraId="23441771" w14:textId="28BAB9F5" w:rsidTr="00D95619">
        <w:trPr>
          <w:trHeight w:val="109"/>
        </w:trPr>
        <w:tc>
          <w:tcPr>
            <w:tcW w:w="2816" w:type="dxa"/>
            <w:tcBorders>
              <w:right w:val="single" w:sz="4" w:space="0" w:color="D9D9D9" w:themeColor="background1" w:themeShade="D9"/>
            </w:tcBorders>
            <w:shd w:val="clear" w:color="auto" w:fill="F2F2F2" w:themeFill="background1" w:themeFillShade="F2"/>
          </w:tcPr>
          <w:p w14:paraId="167F857E" w14:textId="77777777" w:rsidR="0050548C" w:rsidRPr="009A7E66" w:rsidRDefault="0050548C" w:rsidP="0050548C">
            <w:pPr>
              <w:keepNext/>
              <w:spacing w:after="0" w:line="240" w:lineRule="auto"/>
              <w:rPr>
                <w:rFonts w:asciiTheme="majorHAnsi" w:hAnsiTheme="majorHAnsi" w:cstheme="majorHAnsi"/>
                <w:b/>
              </w:rPr>
            </w:pPr>
            <w:r w:rsidRPr="009A7E66">
              <w:rPr>
                <w:rFonts w:asciiTheme="majorHAnsi" w:hAnsiTheme="majorHAnsi" w:cstheme="majorHAnsi"/>
                <w:b/>
              </w:rPr>
              <w:t>BCR</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noWrap/>
          </w:tcPr>
          <w:p w14:paraId="3530EA25" w14:textId="77777777" w:rsidR="0050548C" w:rsidRPr="009A7E66" w:rsidRDefault="0050548C" w:rsidP="0050548C">
            <w:pPr>
              <w:keepNext/>
              <w:spacing w:after="0" w:line="240" w:lineRule="auto"/>
              <w:jc w:val="right"/>
              <w:rPr>
                <w:rFonts w:asciiTheme="majorHAnsi" w:hAnsiTheme="majorHAnsi" w:cstheme="majorHAnsi"/>
                <w:b/>
              </w:rPr>
            </w:pPr>
            <w:r w:rsidRPr="009A7E66">
              <w:rPr>
                <w:rFonts w:asciiTheme="majorHAnsi" w:hAnsiTheme="majorHAnsi" w:cstheme="majorHAnsi"/>
                <w:b/>
              </w:rPr>
              <w:t>1.11</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vAlign w:val="bottom"/>
          </w:tcPr>
          <w:p w14:paraId="6FC0A820" w14:textId="3D35E1E1" w:rsidR="0050548C" w:rsidRPr="009A7E66" w:rsidRDefault="0050548C" w:rsidP="0050548C">
            <w:pPr>
              <w:keepNext/>
              <w:spacing w:after="0" w:line="240" w:lineRule="auto"/>
              <w:jc w:val="right"/>
              <w:rPr>
                <w:rFonts w:asciiTheme="majorHAnsi" w:hAnsiTheme="majorHAnsi" w:cstheme="majorHAnsi"/>
                <w:b/>
              </w:rPr>
            </w:pPr>
            <w:r w:rsidRPr="00C55504">
              <w:rPr>
                <w:rFonts w:asciiTheme="majorHAnsi" w:hAnsiTheme="majorHAnsi" w:cstheme="majorHAnsi"/>
                <w:b/>
              </w:rPr>
              <w:t>1.46</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vAlign w:val="bottom"/>
          </w:tcPr>
          <w:p w14:paraId="6E03BDF3" w14:textId="16805DA9" w:rsidR="0050548C" w:rsidRPr="009A7E66" w:rsidRDefault="0050548C" w:rsidP="0050548C">
            <w:pPr>
              <w:keepNext/>
              <w:spacing w:after="0" w:line="240" w:lineRule="auto"/>
              <w:jc w:val="right"/>
              <w:rPr>
                <w:rFonts w:asciiTheme="majorHAnsi" w:hAnsiTheme="majorHAnsi" w:cstheme="majorHAnsi"/>
                <w:b/>
              </w:rPr>
            </w:pPr>
            <w:r w:rsidRPr="00C55504">
              <w:rPr>
                <w:rFonts w:asciiTheme="majorHAnsi" w:hAnsiTheme="majorHAnsi" w:cstheme="majorHAnsi"/>
                <w:b/>
              </w:rPr>
              <w:t>1.76</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noWrap/>
          </w:tcPr>
          <w:p w14:paraId="30937033" w14:textId="5595DF14" w:rsidR="0050548C" w:rsidRPr="009A7E66" w:rsidRDefault="0050548C" w:rsidP="0050548C">
            <w:pPr>
              <w:keepNext/>
              <w:spacing w:after="0" w:line="240" w:lineRule="auto"/>
              <w:jc w:val="right"/>
              <w:rPr>
                <w:rFonts w:asciiTheme="majorHAnsi" w:hAnsiTheme="majorHAnsi" w:cstheme="majorHAnsi"/>
                <w:b/>
              </w:rPr>
            </w:pPr>
            <w:r w:rsidRPr="00C55504">
              <w:rPr>
                <w:rFonts w:asciiTheme="majorHAnsi" w:hAnsiTheme="majorHAnsi" w:cstheme="majorHAnsi"/>
                <w:b/>
              </w:rPr>
              <w:t>0.78</w:t>
            </w:r>
          </w:p>
        </w:tc>
        <w:tc>
          <w:tcPr>
            <w:tcW w:w="1112"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tcPr>
          <w:p w14:paraId="1F40E45E" w14:textId="07235DC6" w:rsidR="0050548C" w:rsidRPr="009A7E66" w:rsidRDefault="0050548C" w:rsidP="0050548C">
            <w:pPr>
              <w:keepNext/>
              <w:spacing w:after="0" w:line="240" w:lineRule="auto"/>
              <w:jc w:val="right"/>
              <w:rPr>
                <w:rFonts w:asciiTheme="majorHAnsi" w:hAnsiTheme="majorHAnsi" w:cstheme="majorHAnsi"/>
                <w:b/>
              </w:rPr>
            </w:pPr>
            <w:r w:rsidRPr="00C55504">
              <w:rPr>
                <w:rFonts w:asciiTheme="majorHAnsi" w:hAnsiTheme="majorHAnsi" w:cstheme="majorHAnsi"/>
                <w:b/>
              </w:rPr>
              <w:t>1.04</w:t>
            </w:r>
          </w:p>
        </w:tc>
        <w:tc>
          <w:tcPr>
            <w:tcW w:w="111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tcPr>
          <w:p w14:paraId="00547529" w14:textId="5B3084A9" w:rsidR="0050548C" w:rsidRPr="009A7E66" w:rsidRDefault="0050548C" w:rsidP="0050548C">
            <w:pPr>
              <w:keepNext/>
              <w:spacing w:after="0" w:line="240" w:lineRule="auto"/>
              <w:jc w:val="right"/>
              <w:rPr>
                <w:rFonts w:asciiTheme="majorHAnsi" w:hAnsiTheme="majorHAnsi" w:cstheme="majorHAnsi"/>
                <w:b/>
              </w:rPr>
            </w:pPr>
            <w:r w:rsidRPr="00C55504">
              <w:rPr>
                <w:rFonts w:asciiTheme="majorHAnsi" w:hAnsiTheme="majorHAnsi" w:cstheme="majorHAnsi"/>
                <w:b/>
              </w:rPr>
              <w:t>1.28</w:t>
            </w:r>
          </w:p>
        </w:tc>
      </w:tr>
    </w:tbl>
    <w:p w14:paraId="65553E9F" w14:textId="77777777" w:rsidR="00065D6C" w:rsidRDefault="00065D6C" w:rsidP="00F32523">
      <w:pPr>
        <w:rPr>
          <w:lang w:val="en-AU"/>
        </w:rPr>
      </w:pPr>
    </w:p>
    <w:p w14:paraId="14CA0F71" w14:textId="5240CB09" w:rsidR="00D159A8" w:rsidRPr="00F35542" w:rsidRDefault="001D2192" w:rsidP="000217E8">
      <w:pPr>
        <w:pStyle w:val="Caption"/>
      </w:pPr>
      <w:bookmarkStart w:id="98" w:name="_Ref125368030"/>
      <w:r>
        <w:t>Table</w:t>
      </w:r>
      <w:r w:rsidR="006F1292">
        <w:t xml:space="preserve"> </w:t>
      </w:r>
      <w:r w:rsidR="005B7353">
        <w:fldChar w:fldCharType="begin"/>
      </w:r>
      <w:r w:rsidR="005B7353">
        <w:instrText xml:space="preserve"> STYLEREF 1 \s </w:instrText>
      </w:r>
      <w:r w:rsidR="005B7353">
        <w:fldChar w:fldCharType="separate"/>
      </w:r>
      <w:r w:rsidR="00D32536">
        <w:rPr>
          <w:noProof/>
        </w:rPr>
        <w:t>6</w:t>
      </w:r>
      <w:r w:rsidR="005B7353">
        <w:fldChar w:fldCharType="end"/>
      </w:r>
      <w:r w:rsidR="005B7353">
        <w:t>.</w:t>
      </w:r>
      <w:r w:rsidR="005B7353">
        <w:fldChar w:fldCharType="begin"/>
      </w:r>
      <w:r w:rsidR="005B7353">
        <w:instrText xml:space="preserve"> SEQ Table \* ARABIC \s 1 </w:instrText>
      </w:r>
      <w:r w:rsidR="005B7353">
        <w:fldChar w:fldCharType="separate"/>
      </w:r>
      <w:r w:rsidR="00D32536">
        <w:rPr>
          <w:noProof/>
        </w:rPr>
        <w:t>4</w:t>
      </w:r>
      <w:r w:rsidR="005B7353">
        <w:fldChar w:fldCharType="end"/>
      </w:r>
      <w:bookmarkEnd w:id="98"/>
      <w:r w:rsidR="006F1292">
        <w:t xml:space="preserve"> </w:t>
      </w:r>
      <w:r w:rsidR="006F1292" w:rsidRPr="00F35542">
        <w:t>Program level BCR results – Societal perspective</w:t>
      </w:r>
    </w:p>
    <w:tbl>
      <w:tblPr>
        <w:tblStyle w:val="Deloittetable"/>
        <w:tblW w:w="9493" w:type="dxa"/>
        <w:tblLayout w:type="fixed"/>
        <w:tblLook w:val="04A0" w:firstRow="1" w:lastRow="0" w:firstColumn="1" w:lastColumn="0" w:noHBand="0" w:noVBand="1"/>
      </w:tblPr>
      <w:tblGrid>
        <w:gridCol w:w="2875"/>
        <w:gridCol w:w="1103"/>
        <w:gridCol w:w="1103"/>
        <w:gridCol w:w="1103"/>
        <w:gridCol w:w="1103"/>
        <w:gridCol w:w="1103"/>
        <w:gridCol w:w="1103"/>
      </w:tblGrid>
      <w:tr w:rsidR="002C7B75" w:rsidRPr="00277484" w14:paraId="64009FB6" w14:textId="77777777" w:rsidTr="00AD27FD">
        <w:trPr>
          <w:cnfStyle w:val="100000000000" w:firstRow="1" w:lastRow="0" w:firstColumn="0" w:lastColumn="0" w:oddVBand="0" w:evenVBand="0" w:oddHBand="0" w:evenHBand="0" w:firstRowFirstColumn="0" w:firstRowLastColumn="0" w:lastRowFirstColumn="0" w:lastRowLastColumn="0"/>
          <w:trHeight w:val="109"/>
        </w:trPr>
        <w:tc>
          <w:tcPr>
            <w:tcW w:w="0" w:type="dxa"/>
            <w:tcBorders>
              <w:right w:val="single" w:sz="4" w:space="0" w:color="D9D9D9" w:themeColor="background1" w:themeShade="D9"/>
            </w:tcBorders>
          </w:tcPr>
          <w:p w14:paraId="61EC4D73" w14:textId="40279010" w:rsidR="002C7B75" w:rsidRDefault="002C7B75" w:rsidP="00274435">
            <w:pPr>
              <w:pStyle w:val="TableHeadingLeft"/>
              <w:keepNext/>
              <w:jc w:val="center"/>
            </w:pPr>
          </w:p>
        </w:tc>
        <w:tc>
          <w:tcPr>
            <w:tcW w:w="0" w:type="dxa"/>
            <w:tcBorders>
              <w:left w:val="nil"/>
              <w:right w:val="nil"/>
            </w:tcBorders>
          </w:tcPr>
          <w:p w14:paraId="2524B6A0" w14:textId="2674C561" w:rsidR="002C7B75" w:rsidRDefault="002C7B75" w:rsidP="00274435">
            <w:pPr>
              <w:pStyle w:val="TableHeadingLeft"/>
              <w:keepNext/>
              <w:jc w:val="center"/>
            </w:pPr>
          </w:p>
        </w:tc>
        <w:tc>
          <w:tcPr>
            <w:tcW w:w="0" w:type="dxa"/>
            <w:tcBorders>
              <w:left w:val="nil"/>
              <w:right w:val="nil"/>
            </w:tcBorders>
            <w:noWrap/>
          </w:tcPr>
          <w:p w14:paraId="439F1855" w14:textId="313EC729" w:rsidR="002C7B75" w:rsidRDefault="002C7B75" w:rsidP="00274435">
            <w:pPr>
              <w:pStyle w:val="TableHeadingLeft"/>
              <w:keepNext/>
              <w:jc w:val="center"/>
            </w:pPr>
            <w:r>
              <w:t>Optimised</w:t>
            </w:r>
          </w:p>
        </w:tc>
        <w:tc>
          <w:tcPr>
            <w:tcW w:w="0" w:type="dxa"/>
            <w:tcBorders>
              <w:left w:val="nil"/>
              <w:right w:val="single" w:sz="4" w:space="0" w:color="D0D0CE" w:themeColor="text2"/>
            </w:tcBorders>
          </w:tcPr>
          <w:p w14:paraId="4975449A" w14:textId="18527BC3" w:rsidR="002C7B75" w:rsidRDefault="002C7B75" w:rsidP="00274435">
            <w:pPr>
              <w:pStyle w:val="TableHeadingLeft"/>
              <w:keepNext/>
              <w:jc w:val="center"/>
            </w:pPr>
          </w:p>
        </w:tc>
        <w:tc>
          <w:tcPr>
            <w:tcW w:w="0" w:type="dxa"/>
            <w:tcBorders>
              <w:left w:val="single" w:sz="4" w:space="0" w:color="D0D0CE" w:themeColor="text2"/>
              <w:right w:val="nil"/>
            </w:tcBorders>
          </w:tcPr>
          <w:p w14:paraId="55F37307" w14:textId="77777777" w:rsidR="002C7B75" w:rsidRDefault="002C7B75" w:rsidP="00274435">
            <w:pPr>
              <w:pStyle w:val="TableHeadingLeft"/>
              <w:keepNext/>
              <w:jc w:val="center"/>
            </w:pPr>
          </w:p>
        </w:tc>
        <w:tc>
          <w:tcPr>
            <w:tcW w:w="0" w:type="dxa"/>
            <w:tcBorders>
              <w:left w:val="nil"/>
              <w:right w:val="nil"/>
            </w:tcBorders>
          </w:tcPr>
          <w:p w14:paraId="7790AA88" w14:textId="57AC6204" w:rsidR="002C7B75" w:rsidRDefault="002C7B75" w:rsidP="00274435">
            <w:pPr>
              <w:pStyle w:val="TableHeadingLeft"/>
              <w:keepNext/>
              <w:jc w:val="center"/>
            </w:pPr>
            <w:r>
              <w:t>Observed</w:t>
            </w:r>
          </w:p>
        </w:tc>
        <w:tc>
          <w:tcPr>
            <w:tcW w:w="0" w:type="dxa"/>
            <w:tcBorders>
              <w:left w:val="nil"/>
              <w:right w:val="single" w:sz="4" w:space="0" w:color="D9D9D9" w:themeColor="background1" w:themeShade="D9"/>
            </w:tcBorders>
          </w:tcPr>
          <w:p w14:paraId="6DB8C23D" w14:textId="64C0DD37" w:rsidR="002C7B75" w:rsidRDefault="002C7B75" w:rsidP="00274435">
            <w:pPr>
              <w:pStyle w:val="TableHeadingLeft"/>
              <w:keepNext/>
              <w:jc w:val="center"/>
            </w:pPr>
          </w:p>
        </w:tc>
      </w:tr>
      <w:tr w:rsidR="00155CE3" w:rsidRPr="00277484" w14:paraId="4CEA4AD3" w14:textId="77777777" w:rsidTr="002C7B75">
        <w:trPr>
          <w:trHeight w:val="109"/>
        </w:trPr>
        <w:tc>
          <w:tcPr>
            <w:tcW w:w="2875" w:type="dxa"/>
            <w:tcBorders>
              <w:right w:val="single" w:sz="4" w:space="0" w:color="D9D9D9" w:themeColor="background1" w:themeShade="D9"/>
            </w:tcBorders>
            <w:shd w:val="clear" w:color="auto" w:fill="auto"/>
          </w:tcPr>
          <w:p w14:paraId="385D6AD3" w14:textId="179FA1E3" w:rsidR="00155CE3" w:rsidRPr="0045387B" w:rsidRDefault="00155CE3" w:rsidP="00155CE3">
            <w:pPr>
              <w:keepNext/>
              <w:spacing w:after="0" w:line="240" w:lineRule="auto"/>
            </w:pPr>
            <w:r w:rsidRPr="0045387B">
              <w:rPr>
                <w:color w:val="002060"/>
                <w:sz w:val="17"/>
                <w:szCs w:val="17"/>
              </w:rPr>
              <w:t>Benefits realisation time horizon:</w:t>
            </w:r>
          </w:p>
        </w:tc>
        <w:tc>
          <w:tcPr>
            <w:tcW w:w="1103" w:type="dxa"/>
            <w:tcBorders>
              <w:top w:val="single" w:sz="4" w:space="0" w:color="000000" w:themeColor="text1"/>
              <w:left w:val="single" w:sz="4" w:space="0" w:color="D9D9D9" w:themeColor="background1" w:themeShade="D9"/>
              <w:bottom w:val="single" w:sz="4" w:space="0" w:color="000000" w:themeColor="text1"/>
              <w:right w:val="single" w:sz="4" w:space="0" w:color="D9D9D9" w:themeColor="background1" w:themeShade="D9"/>
            </w:tcBorders>
            <w:shd w:val="clear" w:color="auto" w:fill="auto"/>
            <w:noWrap/>
          </w:tcPr>
          <w:p w14:paraId="72D7E595" w14:textId="59C9D5A0" w:rsidR="00155CE3" w:rsidRPr="0045387B" w:rsidRDefault="0045387B" w:rsidP="0011317D">
            <w:pPr>
              <w:keepNext/>
              <w:spacing w:after="0" w:line="240" w:lineRule="auto"/>
              <w:jc w:val="center"/>
            </w:pPr>
            <w:r>
              <w:rPr>
                <w:color w:val="000000" w:themeColor="text1"/>
                <w:sz w:val="17"/>
                <w:szCs w:val="17"/>
              </w:rPr>
              <w:t xml:space="preserve">1: </w:t>
            </w:r>
            <w:r w:rsidR="00155CE3" w:rsidRPr="0045387B">
              <w:rPr>
                <w:color w:val="000000" w:themeColor="text1"/>
                <w:sz w:val="17"/>
                <w:szCs w:val="17"/>
              </w:rPr>
              <w:t>Within Program only</w:t>
            </w:r>
          </w:p>
        </w:tc>
        <w:tc>
          <w:tcPr>
            <w:tcW w:w="1103" w:type="dxa"/>
            <w:tcBorders>
              <w:top w:val="single" w:sz="4" w:space="0" w:color="000000" w:themeColor="text1"/>
              <w:left w:val="single" w:sz="4" w:space="0" w:color="D9D9D9" w:themeColor="background1" w:themeShade="D9"/>
              <w:bottom w:val="single" w:sz="4" w:space="0" w:color="000000" w:themeColor="text1"/>
              <w:right w:val="single" w:sz="4" w:space="0" w:color="D9D9D9" w:themeColor="background1" w:themeShade="D9"/>
            </w:tcBorders>
            <w:shd w:val="clear" w:color="auto" w:fill="auto"/>
          </w:tcPr>
          <w:p w14:paraId="5F8F8987" w14:textId="079B6A5F" w:rsidR="00155CE3" w:rsidRPr="0045387B" w:rsidRDefault="0045387B" w:rsidP="0011317D">
            <w:pPr>
              <w:keepNext/>
              <w:spacing w:after="0" w:line="240" w:lineRule="auto"/>
              <w:jc w:val="center"/>
            </w:pPr>
            <w:r>
              <w:rPr>
                <w:color w:val="000000" w:themeColor="text1"/>
                <w:sz w:val="17"/>
                <w:szCs w:val="17"/>
              </w:rPr>
              <w:t xml:space="preserve">2: </w:t>
            </w:r>
            <w:r w:rsidR="00155CE3" w:rsidRPr="0045387B">
              <w:rPr>
                <w:color w:val="000000" w:themeColor="text1"/>
                <w:sz w:val="17"/>
                <w:szCs w:val="17"/>
              </w:rPr>
              <w:t>Within Program + 9 months post-Program</w:t>
            </w:r>
            <w:r w:rsidR="005A0672" w:rsidRPr="0045387B">
              <w:rPr>
                <w:color w:val="000000" w:themeColor="text1"/>
                <w:sz w:val="17"/>
                <w:szCs w:val="17"/>
              </w:rPr>
              <w:t>*</w:t>
            </w:r>
          </w:p>
        </w:tc>
        <w:tc>
          <w:tcPr>
            <w:tcW w:w="1103" w:type="dxa"/>
            <w:tcBorders>
              <w:top w:val="single" w:sz="4" w:space="0" w:color="000000" w:themeColor="text1"/>
              <w:left w:val="single" w:sz="4" w:space="0" w:color="D9D9D9" w:themeColor="background1" w:themeShade="D9"/>
              <w:bottom w:val="single" w:sz="4" w:space="0" w:color="000000" w:themeColor="text1"/>
              <w:right w:val="single" w:sz="4" w:space="0" w:color="D9D9D9" w:themeColor="background1" w:themeShade="D9"/>
            </w:tcBorders>
            <w:shd w:val="clear" w:color="auto" w:fill="auto"/>
          </w:tcPr>
          <w:p w14:paraId="209BD863" w14:textId="3941A359" w:rsidR="00155CE3" w:rsidRPr="0045387B" w:rsidRDefault="0045387B" w:rsidP="0011317D">
            <w:pPr>
              <w:keepNext/>
              <w:spacing w:after="0" w:line="240" w:lineRule="auto"/>
              <w:jc w:val="center"/>
            </w:pPr>
            <w:r>
              <w:rPr>
                <w:color w:val="000000" w:themeColor="text1"/>
                <w:sz w:val="17"/>
                <w:szCs w:val="17"/>
              </w:rPr>
              <w:t xml:space="preserve">3: </w:t>
            </w:r>
            <w:r w:rsidR="00155CE3" w:rsidRPr="0045387B">
              <w:rPr>
                <w:color w:val="000000" w:themeColor="text1"/>
                <w:sz w:val="17"/>
                <w:szCs w:val="17"/>
              </w:rPr>
              <w:t>Within Program + 18 months post-Program</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auto"/>
            <w:noWrap/>
          </w:tcPr>
          <w:p w14:paraId="15C9075D" w14:textId="1D5C274F" w:rsidR="00155CE3" w:rsidRPr="0045387B" w:rsidRDefault="0045387B" w:rsidP="0011317D">
            <w:pPr>
              <w:keepNext/>
              <w:spacing w:after="0" w:line="240" w:lineRule="auto"/>
              <w:jc w:val="center"/>
            </w:pPr>
            <w:r>
              <w:rPr>
                <w:color w:val="000000" w:themeColor="text1"/>
                <w:sz w:val="17"/>
                <w:szCs w:val="17"/>
              </w:rPr>
              <w:t xml:space="preserve">1: </w:t>
            </w:r>
            <w:r w:rsidR="00155CE3" w:rsidRPr="0045387B">
              <w:rPr>
                <w:color w:val="000000" w:themeColor="text1"/>
                <w:sz w:val="17"/>
                <w:szCs w:val="17"/>
              </w:rPr>
              <w:t>Within Program only</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auto"/>
          </w:tcPr>
          <w:p w14:paraId="5C2C3381" w14:textId="3AD9A85A" w:rsidR="00155CE3" w:rsidRPr="0045387B" w:rsidRDefault="0045387B" w:rsidP="0011317D">
            <w:pPr>
              <w:keepNext/>
              <w:spacing w:after="0" w:line="240" w:lineRule="auto"/>
              <w:jc w:val="center"/>
            </w:pPr>
            <w:r>
              <w:rPr>
                <w:color w:val="000000" w:themeColor="text1"/>
                <w:sz w:val="17"/>
                <w:szCs w:val="17"/>
              </w:rPr>
              <w:t xml:space="preserve">2: </w:t>
            </w:r>
            <w:r w:rsidR="00155CE3" w:rsidRPr="0045387B">
              <w:rPr>
                <w:color w:val="000000" w:themeColor="text1"/>
                <w:sz w:val="17"/>
                <w:szCs w:val="17"/>
              </w:rPr>
              <w:t>Within Program + 9 months post-Program</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26C0C8F6" w14:textId="19941ED8" w:rsidR="00155CE3" w:rsidRPr="0045387B" w:rsidRDefault="0045387B" w:rsidP="0011317D">
            <w:pPr>
              <w:keepNext/>
              <w:spacing w:after="0" w:line="240" w:lineRule="auto"/>
              <w:jc w:val="center"/>
            </w:pPr>
            <w:r>
              <w:rPr>
                <w:color w:val="000000" w:themeColor="text1"/>
                <w:sz w:val="17"/>
                <w:szCs w:val="17"/>
              </w:rPr>
              <w:t xml:space="preserve">3: </w:t>
            </w:r>
            <w:r w:rsidR="00155CE3" w:rsidRPr="0045387B">
              <w:rPr>
                <w:color w:val="000000" w:themeColor="text1"/>
                <w:sz w:val="17"/>
                <w:szCs w:val="17"/>
              </w:rPr>
              <w:t>Within Program + 18 months post-Program</w:t>
            </w:r>
          </w:p>
        </w:tc>
      </w:tr>
      <w:tr w:rsidR="00444388" w:rsidRPr="00277484" w14:paraId="42512666" w14:textId="77777777" w:rsidTr="002C7B75">
        <w:trPr>
          <w:trHeight w:val="109"/>
        </w:trPr>
        <w:tc>
          <w:tcPr>
            <w:tcW w:w="2875" w:type="dxa"/>
            <w:tcBorders>
              <w:right w:val="single" w:sz="4" w:space="0" w:color="D9D9D9" w:themeColor="background1" w:themeShade="D9"/>
            </w:tcBorders>
          </w:tcPr>
          <w:p w14:paraId="148AC6CF" w14:textId="77777777" w:rsidR="00444388" w:rsidRPr="003E3441" w:rsidRDefault="00444388" w:rsidP="00444388">
            <w:pPr>
              <w:keepNext/>
              <w:spacing w:after="0" w:line="240" w:lineRule="auto"/>
            </w:pPr>
            <w:r>
              <w:t>Benefits</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noWrap/>
          </w:tcPr>
          <w:p w14:paraId="2AF9AA33" w14:textId="1835A053" w:rsidR="00444388" w:rsidRPr="00277484" w:rsidRDefault="00444388" w:rsidP="00444388">
            <w:pPr>
              <w:keepNext/>
              <w:spacing w:after="0" w:line="240" w:lineRule="auto"/>
              <w:jc w:val="right"/>
            </w:pPr>
            <w:r w:rsidRPr="000679DA">
              <w:t>$44,496,905</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47032671" w14:textId="6F5E389C" w:rsidR="00444388" w:rsidRPr="000679DA" w:rsidRDefault="00444388" w:rsidP="00444388">
            <w:pPr>
              <w:keepNext/>
              <w:spacing w:after="0" w:line="240" w:lineRule="auto"/>
              <w:jc w:val="right"/>
            </w:pPr>
            <w:r w:rsidRPr="00C55504">
              <w:t>$62,063,185</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5EE69491" w14:textId="0CAEA41F" w:rsidR="00444388" w:rsidRPr="000679DA" w:rsidRDefault="00444388" w:rsidP="00444388">
            <w:pPr>
              <w:keepNext/>
              <w:spacing w:after="0" w:line="240" w:lineRule="auto"/>
              <w:jc w:val="right"/>
            </w:pPr>
            <w:r w:rsidRPr="00834472">
              <w:t>$79,253,867</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noWrap/>
          </w:tcPr>
          <w:p w14:paraId="4EDE5E82" w14:textId="22DAFF06" w:rsidR="00444388" w:rsidRPr="00277484" w:rsidRDefault="00444388" w:rsidP="00444388">
            <w:pPr>
              <w:keepNext/>
              <w:spacing w:after="0" w:line="240" w:lineRule="auto"/>
              <w:jc w:val="right"/>
            </w:pPr>
            <w:r w:rsidRPr="00270C13">
              <w:t>$29,635,524</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43DC8747" w14:textId="419FE397" w:rsidR="00444388" w:rsidRPr="000679DA" w:rsidRDefault="00444388" w:rsidP="00444388">
            <w:pPr>
              <w:keepNext/>
              <w:spacing w:after="0" w:line="240" w:lineRule="auto"/>
              <w:jc w:val="right"/>
            </w:pPr>
            <w:r w:rsidRPr="006C0572">
              <w:t>$41,223,018</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7E3E97C4" w14:textId="2DEAF4C5" w:rsidR="00444388" w:rsidRPr="000679DA" w:rsidRDefault="00444388" w:rsidP="00444388">
            <w:pPr>
              <w:keepNext/>
              <w:spacing w:after="0" w:line="240" w:lineRule="auto"/>
              <w:jc w:val="right"/>
            </w:pPr>
            <w:r w:rsidRPr="007B6331">
              <w:t>$52,532,158</w:t>
            </w:r>
          </w:p>
        </w:tc>
      </w:tr>
      <w:tr w:rsidR="00444388" w:rsidRPr="00277484" w14:paraId="304D76B8" w14:textId="77777777" w:rsidTr="002C7B75">
        <w:trPr>
          <w:trHeight w:val="109"/>
        </w:trPr>
        <w:tc>
          <w:tcPr>
            <w:tcW w:w="2875" w:type="dxa"/>
            <w:tcBorders>
              <w:right w:val="single" w:sz="4" w:space="0" w:color="D9D9D9" w:themeColor="background1" w:themeShade="D9"/>
            </w:tcBorders>
          </w:tcPr>
          <w:p w14:paraId="3E3AFBFC" w14:textId="77777777" w:rsidR="00444388" w:rsidRPr="003E3441" w:rsidRDefault="00444388" w:rsidP="00444388">
            <w:pPr>
              <w:keepNext/>
              <w:spacing w:after="0" w:line="240" w:lineRule="auto"/>
            </w:pPr>
            <w:r>
              <w:t>Costs</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noWrap/>
          </w:tcPr>
          <w:p w14:paraId="77E1BFB8" w14:textId="271DCFE3" w:rsidR="00444388" w:rsidRPr="00277484" w:rsidRDefault="00444388" w:rsidP="00444388">
            <w:pPr>
              <w:keepNext/>
              <w:spacing w:after="0" w:line="240" w:lineRule="auto"/>
              <w:jc w:val="right"/>
            </w:pPr>
            <w:r w:rsidRPr="00F94D06">
              <w:t>$42,450,111</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2A84F97F" w14:textId="29BCE609" w:rsidR="00444388" w:rsidRPr="000679DA" w:rsidRDefault="00444388" w:rsidP="00444388">
            <w:pPr>
              <w:keepNext/>
              <w:spacing w:after="0" w:line="240" w:lineRule="auto"/>
              <w:jc w:val="right"/>
            </w:pPr>
            <w:r w:rsidRPr="00C55504">
              <w:t>$45,796,748</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4A643628" w14:textId="4ED1B126" w:rsidR="00444388" w:rsidRPr="000679DA" w:rsidRDefault="00444388" w:rsidP="00444388">
            <w:pPr>
              <w:keepNext/>
              <w:spacing w:after="0" w:line="240" w:lineRule="auto"/>
              <w:jc w:val="right"/>
            </w:pPr>
            <w:r w:rsidRPr="00834472">
              <w:t>$49,022,340</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noWrap/>
          </w:tcPr>
          <w:p w14:paraId="017E7F24" w14:textId="5D85DC63" w:rsidR="00444388" w:rsidRPr="00277484" w:rsidRDefault="00444388" w:rsidP="00444388">
            <w:pPr>
              <w:keepNext/>
              <w:spacing w:after="0" w:line="240" w:lineRule="auto"/>
              <w:jc w:val="right"/>
            </w:pPr>
            <w:r w:rsidRPr="00270C13">
              <w:t>$39,426,125</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6CE03D0D" w14:textId="7364BD25" w:rsidR="00444388" w:rsidRPr="000679DA" w:rsidRDefault="00444388" w:rsidP="00444388">
            <w:pPr>
              <w:keepNext/>
              <w:spacing w:after="0" w:line="240" w:lineRule="auto"/>
              <w:jc w:val="right"/>
            </w:pPr>
            <w:r w:rsidRPr="006C0572">
              <w:t>$41,624,758</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719305AB" w14:textId="7AB925F4" w:rsidR="00444388" w:rsidRPr="000679DA" w:rsidRDefault="00444388" w:rsidP="00444388">
            <w:pPr>
              <w:keepNext/>
              <w:spacing w:after="0" w:line="240" w:lineRule="auto"/>
              <w:jc w:val="right"/>
            </w:pPr>
            <w:r w:rsidRPr="007B6331">
              <w:t>$43,746,761</w:t>
            </w:r>
          </w:p>
        </w:tc>
      </w:tr>
      <w:tr w:rsidR="00444388" w:rsidRPr="00277484" w14:paraId="3E6E1FBB" w14:textId="77777777" w:rsidTr="002C7B75">
        <w:trPr>
          <w:trHeight w:val="109"/>
        </w:trPr>
        <w:tc>
          <w:tcPr>
            <w:tcW w:w="2875" w:type="dxa"/>
            <w:tcBorders>
              <w:right w:val="single" w:sz="4" w:space="0" w:color="D9D9D9" w:themeColor="background1" w:themeShade="D9"/>
            </w:tcBorders>
          </w:tcPr>
          <w:p w14:paraId="26D04597" w14:textId="77777777" w:rsidR="00444388" w:rsidRPr="003E3441" w:rsidRDefault="00444388" w:rsidP="00444388">
            <w:pPr>
              <w:keepNext/>
              <w:spacing w:after="0" w:line="240" w:lineRule="auto"/>
            </w:pPr>
            <w:r>
              <w:t>NPV</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noWrap/>
          </w:tcPr>
          <w:p w14:paraId="1F0A760B" w14:textId="16DB0B34" w:rsidR="00444388" w:rsidRPr="00277484" w:rsidRDefault="00444388" w:rsidP="00444388">
            <w:pPr>
              <w:keepNext/>
              <w:spacing w:after="0" w:line="240" w:lineRule="auto"/>
              <w:jc w:val="right"/>
            </w:pPr>
            <w:r w:rsidRPr="00F94D06">
              <w:t>$2,046,794</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vAlign w:val="bottom"/>
          </w:tcPr>
          <w:p w14:paraId="6F5F42B5" w14:textId="7F5180CC" w:rsidR="00444388" w:rsidRPr="000679DA" w:rsidRDefault="00444388" w:rsidP="00444388">
            <w:pPr>
              <w:keepNext/>
              <w:spacing w:after="0" w:line="240" w:lineRule="auto"/>
              <w:jc w:val="right"/>
            </w:pPr>
            <w:r w:rsidRPr="00C55504">
              <w:t>$16,266,437</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348F1B3B" w14:textId="74C70CD7" w:rsidR="00444388" w:rsidRPr="000679DA" w:rsidRDefault="00444388" w:rsidP="00444388">
            <w:pPr>
              <w:keepNext/>
              <w:spacing w:after="0" w:line="240" w:lineRule="auto"/>
              <w:jc w:val="right"/>
            </w:pPr>
            <w:r w:rsidRPr="00834472">
              <w:t>$30,231,527</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noWrap/>
          </w:tcPr>
          <w:p w14:paraId="71147B79" w14:textId="13448254" w:rsidR="00444388" w:rsidRPr="00277484" w:rsidRDefault="00444388" w:rsidP="00444388">
            <w:pPr>
              <w:keepNext/>
              <w:spacing w:after="0" w:line="240" w:lineRule="auto"/>
              <w:jc w:val="right"/>
            </w:pPr>
            <w:r w:rsidRPr="00270C13">
              <w:t>-$9,790,602</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39D1D761" w14:textId="46488B7C" w:rsidR="00444388" w:rsidRPr="000679DA" w:rsidRDefault="00444388" w:rsidP="00444388">
            <w:pPr>
              <w:keepNext/>
              <w:spacing w:after="0" w:line="240" w:lineRule="auto"/>
              <w:jc w:val="right"/>
            </w:pPr>
            <w:r w:rsidRPr="006C0572">
              <w:t>-$401,740</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tcPr>
          <w:p w14:paraId="424078FB" w14:textId="681BEC03" w:rsidR="00444388" w:rsidRPr="000679DA" w:rsidRDefault="00444388" w:rsidP="00444388">
            <w:pPr>
              <w:keepNext/>
              <w:spacing w:after="0" w:line="240" w:lineRule="auto"/>
              <w:jc w:val="right"/>
            </w:pPr>
            <w:r w:rsidRPr="007B6331">
              <w:t>$8,785,397</w:t>
            </w:r>
          </w:p>
        </w:tc>
      </w:tr>
      <w:tr w:rsidR="00A602F8" w:rsidRPr="00277484" w14:paraId="40924B7C" w14:textId="77777777" w:rsidTr="002C7B75">
        <w:trPr>
          <w:trHeight w:val="109"/>
        </w:trPr>
        <w:tc>
          <w:tcPr>
            <w:tcW w:w="2875" w:type="dxa"/>
            <w:tcBorders>
              <w:right w:val="single" w:sz="4" w:space="0" w:color="D9D9D9" w:themeColor="background1" w:themeShade="D9"/>
            </w:tcBorders>
            <w:shd w:val="clear" w:color="auto" w:fill="F2F2F2" w:themeFill="background1" w:themeFillShade="F2"/>
          </w:tcPr>
          <w:p w14:paraId="21C42E04" w14:textId="77777777" w:rsidR="00444388" w:rsidRPr="009A7E66" w:rsidRDefault="00444388" w:rsidP="00444388">
            <w:pPr>
              <w:keepNext/>
              <w:spacing w:after="0" w:line="240" w:lineRule="auto"/>
              <w:rPr>
                <w:rFonts w:asciiTheme="majorHAnsi" w:hAnsiTheme="majorHAnsi" w:cstheme="majorHAnsi"/>
                <w:b/>
              </w:rPr>
            </w:pPr>
            <w:r w:rsidRPr="009A7E66">
              <w:rPr>
                <w:rFonts w:asciiTheme="majorHAnsi" w:hAnsiTheme="majorHAnsi" w:cstheme="majorHAnsi"/>
                <w:b/>
              </w:rPr>
              <w:t>BCR</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noWrap/>
          </w:tcPr>
          <w:p w14:paraId="7E260433" w14:textId="5CB135EB" w:rsidR="00444388" w:rsidRPr="009A7E66" w:rsidRDefault="00444388" w:rsidP="00444388">
            <w:pPr>
              <w:keepNext/>
              <w:spacing w:after="0" w:line="240" w:lineRule="auto"/>
              <w:jc w:val="right"/>
              <w:rPr>
                <w:rFonts w:asciiTheme="majorHAnsi" w:hAnsiTheme="majorHAnsi" w:cstheme="majorHAnsi"/>
                <w:b/>
              </w:rPr>
            </w:pPr>
            <w:r w:rsidRPr="009A7E66">
              <w:rPr>
                <w:rFonts w:asciiTheme="majorHAnsi" w:hAnsiTheme="majorHAnsi" w:cstheme="majorHAnsi"/>
                <w:b/>
              </w:rPr>
              <w:t>1.05</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vAlign w:val="bottom"/>
          </w:tcPr>
          <w:p w14:paraId="137C13F0" w14:textId="123A125F" w:rsidR="00444388" w:rsidRPr="009A7E66" w:rsidRDefault="00444388" w:rsidP="00444388">
            <w:pPr>
              <w:keepNext/>
              <w:spacing w:after="0" w:line="240" w:lineRule="auto"/>
              <w:jc w:val="right"/>
              <w:rPr>
                <w:rFonts w:asciiTheme="majorHAnsi" w:hAnsiTheme="majorHAnsi" w:cstheme="majorHAnsi"/>
                <w:b/>
              </w:rPr>
            </w:pPr>
            <w:r w:rsidRPr="00C55504">
              <w:rPr>
                <w:rFonts w:asciiTheme="majorHAnsi" w:hAnsiTheme="majorHAnsi" w:cstheme="majorHAnsi"/>
                <w:b/>
              </w:rPr>
              <w:t>1.36</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tcPr>
          <w:p w14:paraId="1A1597F6" w14:textId="143763F8" w:rsidR="00444388" w:rsidRPr="009A7E66" w:rsidRDefault="00444388" w:rsidP="00444388">
            <w:pPr>
              <w:keepNext/>
              <w:spacing w:after="0" w:line="240" w:lineRule="auto"/>
              <w:jc w:val="right"/>
              <w:rPr>
                <w:rFonts w:asciiTheme="majorHAnsi" w:hAnsiTheme="majorHAnsi" w:cstheme="majorHAnsi"/>
                <w:b/>
              </w:rPr>
            </w:pPr>
            <w:r w:rsidRPr="00C55504">
              <w:rPr>
                <w:rFonts w:asciiTheme="majorHAnsi" w:hAnsiTheme="majorHAnsi" w:cstheme="majorHAnsi"/>
                <w:b/>
              </w:rPr>
              <w:t>1.62</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noWrap/>
          </w:tcPr>
          <w:p w14:paraId="49736D91" w14:textId="2C02D1CC" w:rsidR="00444388" w:rsidRPr="009A7E66" w:rsidRDefault="00444388" w:rsidP="00444388">
            <w:pPr>
              <w:keepNext/>
              <w:spacing w:after="0" w:line="240" w:lineRule="auto"/>
              <w:jc w:val="right"/>
              <w:rPr>
                <w:rFonts w:asciiTheme="majorHAnsi" w:hAnsiTheme="majorHAnsi" w:cstheme="majorHAnsi"/>
                <w:b/>
              </w:rPr>
            </w:pPr>
            <w:r w:rsidRPr="00C55504">
              <w:rPr>
                <w:rFonts w:asciiTheme="majorHAnsi" w:hAnsiTheme="majorHAnsi" w:cstheme="majorHAnsi"/>
                <w:b/>
              </w:rPr>
              <w:t>0.75</w:t>
            </w:r>
          </w:p>
        </w:tc>
        <w:tc>
          <w:tcPr>
            <w:tcW w:w="1103" w:type="dxa"/>
            <w:tcBorders>
              <w:top w:val="single" w:sz="4" w:space="0" w:color="000000" w:themeColor="text1"/>
              <w:left w:val="single" w:sz="4" w:space="0" w:color="D9D9D9" w:themeColor="background1" w:themeShade="D9"/>
              <w:right w:val="single" w:sz="4" w:space="0" w:color="D9D9D9" w:themeColor="background1" w:themeShade="D9"/>
            </w:tcBorders>
            <w:shd w:val="clear" w:color="auto" w:fill="F2F2F2" w:themeFill="background1" w:themeFillShade="F2"/>
          </w:tcPr>
          <w:p w14:paraId="6C3F2C2A" w14:textId="7DBDEF8C" w:rsidR="00444388" w:rsidRPr="009A7E66" w:rsidRDefault="00444388" w:rsidP="00444388">
            <w:pPr>
              <w:keepNext/>
              <w:spacing w:after="0" w:line="240" w:lineRule="auto"/>
              <w:jc w:val="right"/>
              <w:rPr>
                <w:rFonts w:asciiTheme="majorHAnsi" w:hAnsiTheme="majorHAnsi" w:cstheme="majorHAnsi"/>
                <w:b/>
              </w:rPr>
            </w:pPr>
            <w:r w:rsidRPr="00C55504">
              <w:rPr>
                <w:rFonts w:asciiTheme="majorHAnsi" w:hAnsiTheme="majorHAnsi" w:cstheme="majorHAnsi"/>
                <w:b/>
              </w:rPr>
              <w:t>0.99</w:t>
            </w:r>
          </w:p>
        </w:tc>
        <w:tc>
          <w:tcPr>
            <w:tcW w:w="1103" w:type="dxa"/>
            <w:tcBorders>
              <w:left w:val="single" w:sz="4" w:space="0" w:color="D9D9D9" w:themeColor="background1" w:themeShade="D9"/>
            </w:tcBorders>
            <w:shd w:val="clear" w:color="auto" w:fill="F2F2F2" w:themeFill="background1" w:themeFillShade="F2"/>
          </w:tcPr>
          <w:p w14:paraId="4E8E34F4" w14:textId="7A9BDAF3" w:rsidR="00444388" w:rsidRPr="009A7E66" w:rsidRDefault="00444388" w:rsidP="00444388">
            <w:pPr>
              <w:keepNext/>
              <w:spacing w:after="0" w:line="240" w:lineRule="auto"/>
              <w:jc w:val="right"/>
              <w:rPr>
                <w:rFonts w:asciiTheme="majorHAnsi" w:hAnsiTheme="majorHAnsi" w:cstheme="majorHAnsi"/>
                <w:b/>
              </w:rPr>
            </w:pPr>
            <w:r w:rsidRPr="00C55504">
              <w:rPr>
                <w:rFonts w:asciiTheme="majorHAnsi" w:hAnsiTheme="majorHAnsi" w:cstheme="majorHAnsi"/>
                <w:b/>
              </w:rPr>
              <w:t>1.20</w:t>
            </w:r>
          </w:p>
        </w:tc>
      </w:tr>
    </w:tbl>
    <w:p w14:paraId="1FBB0A73" w14:textId="75896CC8" w:rsidR="005A0672" w:rsidRPr="009847EB" w:rsidRDefault="005A0672" w:rsidP="005A0672">
      <w:pPr>
        <w:spacing w:after="0"/>
        <w:rPr>
          <w:color w:val="53565A" w:themeColor="background2"/>
          <w:sz w:val="16"/>
          <w:szCs w:val="18"/>
        </w:rPr>
      </w:pPr>
      <w:r w:rsidRPr="009847EB">
        <w:rPr>
          <w:color w:val="53565A" w:themeColor="background2"/>
          <w:sz w:val="16"/>
          <w:szCs w:val="18"/>
        </w:rPr>
        <w:t xml:space="preserve">Source: Deloitte Access Economics </w:t>
      </w:r>
      <w:r>
        <w:rPr>
          <w:color w:val="53565A" w:themeColor="background2"/>
          <w:sz w:val="16"/>
          <w:szCs w:val="18"/>
        </w:rPr>
        <w:t>calculations</w:t>
      </w:r>
      <w:r w:rsidRPr="009847EB">
        <w:rPr>
          <w:color w:val="53565A" w:themeColor="background2"/>
          <w:sz w:val="16"/>
          <w:szCs w:val="18"/>
        </w:rPr>
        <w:t>.</w:t>
      </w:r>
    </w:p>
    <w:p w14:paraId="658C98AB" w14:textId="650E17D2" w:rsidR="005A0672" w:rsidRPr="009847EB" w:rsidRDefault="005A0672" w:rsidP="005A0672">
      <w:pPr>
        <w:rPr>
          <w:color w:val="53565A" w:themeColor="background2"/>
          <w:sz w:val="16"/>
          <w:szCs w:val="18"/>
        </w:rPr>
      </w:pPr>
      <w:r w:rsidRPr="009847EB">
        <w:rPr>
          <w:color w:val="53565A" w:themeColor="background2"/>
          <w:sz w:val="16"/>
          <w:szCs w:val="18"/>
        </w:rPr>
        <w:t xml:space="preserve">Note i: </w:t>
      </w:r>
      <w:r w:rsidR="00326D04">
        <w:rPr>
          <w:color w:val="53565A" w:themeColor="background2"/>
          <w:sz w:val="16"/>
          <w:szCs w:val="18"/>
        </w:rPr>
        <w:t xml:space="preserve">*A visual depiction of the results from this scenario is </w:t>
      </w:r>
      <w:r w:rsidR="00326D04" w:rsidRPr="002F0566">
        <w:rPr>
          <w:color w:val="53565A" w:themeColor="background2"/>
          <w:sz w:val="16"/>
          <w:szCs w:val="16"/>
        </w:rPr>
        <w:t xml:space="preserve">presented in </w:t>
      </w:r>
      <w:r w:rsidR="002F0566" w:rsidRPr="002F0566">
        <w:rPr>
          <w:color w:val="53565A" w:themeColor="background2"/>
          <w:sz w:val="16"/>
          <w:szCs w:val="16"/>
        </w:rPr>
        <w:fldChar w:fldCharType="begin"/>
      </w:r>
      <w:r w:rsidR="002F0566" w:rsidRPr="002F0566">
        <w:rPr>
          <w:color w:val="53565A" w:themeColor="background2"/>
          <w:sz w:val="16"/>
          <w:szCs w:val="16"/>
        </w:rPr>
        <w:instrText xml:space="preserve"> REF _Ref125368049 \h  \* MERGEFORMAT </w:instrText>
      </w:r>
      <w:r w:rsidR="002F0566" w:rsidRPr="002F0566">
        <w:rPr>
          <w:color w:val="53565A" w:themeColor="background2"/>
          <w:sz w:val="16"/>
          <w:szCs w:val="16"/>
        </w:rPr>
      </w:r>
      <w:r w:rsidR="002F0566" w:rsidRPr="002F0566">
        <w:rPr>
          <w:color w:val="53565A" w:themeColor="background2"/>
          <w:sz w:val="16"/>
          <w:szCs w:val="16"/>
        </w:rPr>
        <w:fldChar w:fldCharType="separate"/>
      </w:r>
      <w:r w:rsidR="00D32536" w:rsidRPr="00D32536">
        <w:rPr>
          <w:color w:val="53565A" w:themeColor="background2"/>
          <w:sz w:val="16"/>
          <w:szCs w:val="16"/>
        </w:rPr>
        <w:t xml:space="preserve">Figure </w:t>
      </w:r>
      <w:r w:rsidR="00D32536" w:rsidRPr="00D32536">
        <w:rPr>
          <w:noProof/>
          <w:color w:val="53565A" w:themeColor="background2"/>
          <w:sz w:val="16"/>
          <w:szCs w:val="16"/>
        </w:rPr>
        <w:t>6.5</w:t>
      </w:r>
      <w:r w:rsidR="002F0566" w:rsidRPr="002F0566">
        <w:rPr>
          <w:color w:val="53565A" w:themeColor="background2"/>
          <w:sz w:val="16"/>
          <w:szCs w:val="16"/>
        </w:rPr>
        <w:fldChar w:fldCharType="end"/>
      </w:r>
      <w:r w:rsidR="00623272">
        <w:rPr>
          <w:color w:val="53565A" w:themeColor="background2"/>
          <w:sz w:val="16"/>
          <w:szCs w:val="18"/>
        </w:rPr>
        <w:t>.</w:t>
      </w:r>
    </w:p>
    <w:p w14:paraId="2A62FB8F" w14:textId="77777777" w:rsidR="00F42DC4" w:rsidRPr="00F42DC4" w:rsidRDefault="00F42DC4" w:rsidP="00F42DC4">
      <w:pPr>
        <w:rPr>
          <w:lang w:val="en-AU"/>
        </w:rPr>
      </w:pPr>
    </w:p>
    <w:p w14:paraId="3A880BBB" w14:textId="4363528A" w:rsidR="003132A3" w:rsidRDefault="00D42E2C" w:rsidP="00755CC8">
      <w:pPr>
        <w:rPr>
          <w:lang w:val="en-AU"/>
        </w:rPr>
        <w:sectPr w:rsidR="003132A3" w:rsidSect="00345344">
          <w:pgSz w:w="11906" w:h="16838" w:code="9"/>
          <w:pgMar w:top="1985" w:right="1274" w:bottom="1134" w:left="680" w:header="680" w:footer="567" w:gutter="0"/>
          <w:cols w:space="284"/>
          <w:titlePg/>
          <w:docGrid w:linePitch="360"/>
        </w:sectPr>
      </w:pPr>
      <w:r>
        <w:rPr>
          <w:lang w:val="en-AU"/>
        </w:rPr>
        <w:t>.</w:t>
      </w:r>
    </w:p>
    <w:p w14:paraId="6D34D593" w14:textId="28B46661" w:rsidR="00667AAB" w:rsidRDefault="00667AAB" w:rsidP="00755CC8"/>
    <w:p w14:paraId="1EF26ADB" w14:textId="040CEABA" w:rsidR="00667AAB" w:rsidRDefault="006668C4" w:rsidP="006668C4">
      <w:pPr>
        <w:pStyle w:val="Caption"/>
      </w:pPr>
      <w:bookmarkStart w:id="99" w:name="_Ref125368049"/>
      <w:r>
        <w:t xml:space="preserve">Figure </w:t>
      </w:r>
      <w:r w:rsidR="00915F8B">
        <w:fldChar w:fldCharType="begin"/>
      </w:r>
      <w:r w:rsidR="00915F8B">
        <w:instrText xml:space="preserve"> STYLEREF 1 \s </w:instrText>
      </w:r>
      <w:r w:rsidR="00915F8B">
        <w:fldChar w:fldCharType="separate"/>
      </w:r>
      <w:r w:rsidR="00D32536">
        <w:rPr>
          <w:noProof/>
        </w:rPr>
        <w:t>6</w:t>
      </w:r>
      <w:r w:rsidR="00915F8B">
        <w:fldChar w:fldCharType="end"/>
      </w:r>
      <w:r w:rsidR="0019382D">
        <w:t>.</w:t>
      </w:r>
      <w:r w:rsidR="008875A8">
        <w:fldChar w:fldCharType="begin"/>
      </w:r>
      <w:r w:rsidR="008875A8">
        <w:instrText xml:space="preserve"> SEQ Figure \* ARABIC \s 1 </w:instrText>
      </w:r>
      <w:r w:rsidR="008875A8">
        <w:fldChar w:fldCharType="separate"/>
      </w:r>
      <w:r w:rsidR="00D32536">
        <w:rPr>
          <w:noProof/>
        </w:rPr>
        <w:t>5</w:t>
      </w:r>
      <w:r w:rsidR="008875A8">
        <w:fldChar w:fldCharType="end"/>
      </w:r>
      <w:bookmarkEnd w:id="99"/>
      <w:r>
        <w:t xml:space="preserve"> </w:t>
      </w:r>
      <w:r w:rsidR="00054D42">
        <w:t xml:space="preserve">Optimised 2 scenario – societal perspective. </w:t>
      </w:r>
      <w:r w:rsidR="000568D2">
        <w:t>Occupancy rate:</w:t>
      </w:r>
      <w:r w:rsidR="00667AAB">
        <w:t xml:space="preserve"> </w:t>
      </w:r>
      <w:r w:rsidR="00200C5E">
        <w:t>100</w:t>
      </w:r>
      <w:r w:rsidR="00054D42">
        <w:t>%</w:t>
      </w:r>
      <w:r w:rsidR="00D13FAC">
        <w:t xml:space="preserve">. </w:t>
      </w:r>
      <w:r w:rsidR="000568D2">
        <w:t xml:space="preserve">Benefits realisation timeframe: </w:t>
      </w:r>
      <w:r w:rsidR="000160B4" w:rsidRPr="00930CA5">
        <w:t>Within</w:t>
      </w:r>
      <w:r w:rsidR="00CB464A">
        <w:t xml:space="preserve"> </w:t>
      </w:r>
      <w:r w:rsidR="00667AAB">
        <w:t xml:space="preserve">Program </w:t>
      </w:r>
      <w:r w:rsidR="000160B4" w:rsidRPr="00930CA5">
        <w:t>+ 9 months post-Program.</w:t>
      </w:r>
      <w:r w:rsidR="000160B4">
        <w:t xml:space="preserve"> </w:t>
      </w:r>
      <w:r w:rsidR="00667AAB">
        <w:t>(PV, $m)</w:t>
      </w:r>
    </w:p>
    <w:p w14:paraId="18E3505E" w14:textId="482B8E3E" w:rsidR="00755CC8" w:rsidRDefault="00E60B73" w:rsidP="00755CC8">
      <w:pPr>
        <w:rPr>
          <w:lang w:val="en-AU"/>
        </w:rPr>
      </w:pPr>
      <w:r w:rsidRPr="00E60B73">
        <w:rPr>
          <w:lang w:val="en-AU"/>
        </w:rPr>
        <w:t xml:space="preserve"> </w:t>
      </w:r>
      <w:r w:rsidR="00FC419B" w:rsidRPr="00FC419B">
        <w:rPr>
          <w:noProof/>
        </w:rPr>
        <w:drawing>
          <wp:inline distT="0" distB="0" distL="0" distR="0" wp14:anchorId="3DBBD841" wp14:editId="0127C9C3">
            <wp:extent cx="8711565" cy="4102735"/>
            <wp:effectExtent l="0" t="0" r="0" b="0"/>
            <wp:docPr id="21" name="Picture 21" descr="This image is a waterfall chart of the benefits and costs monetised for the Optimised 2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is a waterfall chart of the benefits and costs monetised for the Optimised 2 scenario.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11565" cy="4102735"/>
                    </a:xfrm>
                    <a:prstGeom prst="rect">
                      <a:avLst/>
                    </a:prstGeom>
                    <a:noFill/>
                    <a:ln>
                      <a:noFill/>
                    </a:ln>
                  </pic:spPr>
                </pic:pic>
              </a:graphicData>
            </a:graphic>
          </wp:inline>
        </w:drawing>
      </w:r>
    </w:p>
    <w:p w14:paraId="273F4782" w14:textId="300C4A0B" w:rsidR="003132A3" w:rsidRPr="00755CC8" w:rsidRDefault="00AE4A4E" w:rsidP="00965C55">
      <w:pPr>
        <w:pStyle w:val="SourcetextTableorChart"/>
        <w:rPr>
          <w:lang w:val="en-AU"/>
        </w:rPr>
      </w:pPr>
      <w:r>
        <w:rPr>
          <w:lang w:val="en-AU"/>
        </w:rPr>
        <w:t xml:space="preserve">Source: Deloitte Access Economics. </w:t>
      </w:r>
    </w:p>
    <w:p w14:paraId="6CA99C1C" w14:textId="08698236" w:rsidR="006E798D" w:rsidRDefault="006E798D">
      <w:pPr>
        <w:spacing w:after="200" w:line="276" w:lineRule="auto"/>
        <w:rPr>
          <w:lang w:val="en-AU"/>
        </w:rPr>
      </w:pPr>
      <w:r>
        <w:rPr>
          <w:lang w:val="en-AU"/>
        </w:rPr>
        <w:br w:type="page"/>
      </w:r>
    </w:p>
    <w:p w14:paraId="52B51667" w14:textId="77777777" w:rsidR="003132A3" w:rsidRDefault="003132A3" w:rsidP="00CA6FAC">
      <w:pPr>
        <w:rPr>
          <w:lang w:val="en-AU"/>
        </w:rPr>
        <w:sectPr w:rsidR="003132A3" w:rsidSect="003132A3">
          <w:pgSz w:w="16838" w:h="11906" w:orient="landscape" w:code="9"/>
          <w:pgMar w:top="680" w:right="1985" w:bottom="1274" w:left="1134" w:header="680" w:footer="567" w:gutter="0"/>
          <w:cols w:space="284"/>
          <w:titlePg/>
          <w:docGrid w:linePitch="360"/>
        </w:sectPr>
      </w:pPr>
    </w:p>
    <w:p w14:paraId="52237D6D" w14:textId="1CA1C391" w:rsidR="006E798D" w:rsidRDefault="006E798D" w:rsidP="00F7632B">
      <w:pPr>
        <w:pStyle w:val="Heading3"/>
        <w:spacing w:after="0"/>
        <w:rPr>
          <w:lang w:val="en-AU"/>
        </w:rPr>
      </w:pPr>
      <w:bookmarkStart w:id="100" w:name="_Ref125307266"/>
      <w:r>
        <w:rPr>
          <w:lang w:val="en-AU"/>
        </w:rPr>
        <w:t>Program value for money – observations and insights</w:t>
      </w:r>
      <w:bookmarkEnd w:id="100"/>
    </w:p>
    <w:p w14:paraId="1355CEED" w14:textId="2A11FA3E" w:rsidR="00E96B89" w:rsidRDefault="00E94A17" w:rsidP="00E96B89">
      <w:pPr>
        <w:rPr>
          <w:lang w:val="en-AU"/>
        </w:rPr>
      </w:pPr>
      <w:r>
        <w:rPr>
          <w:lang w:val="en-AU"/>
        </w:rPr>
        <w:t xml:space="preserve">The figures presented in the preceding section </w:t>
      </w:r>
      <w:r w:rsidR="00F7632B">
        <w:rPr>
          <w:lang w:val="en-AU"/>
        </w:rPr>
        <w:t>highlight several key themes:</w:t>
      </w:r>
    </w:p>
    <w:p w14:paraId="362E49EF" w14:textId="50FD8029" w:rsidR="001A4D79" w:rsidRPr="001A4D79" w:rsidRDefault="000366B8" w:rsidP="001A4D79">
      <w:pPr>
        <w:pStyle w:val="Heading4thematicstatement"/>
        <w:spacing w:after="170"/>
        <w:rPr>
          <w:rFonts w:asciiTheme="majorHAnsi" w:hAnsiTheme="majorHAnsi" w:cstheme="majorHAnsi"/>
        </w:rPr>
      </w:pPr>
      <w:r w:rsidRPr="001A4D79">
        <w:rPr>
          <w:rFonts w:asciiTheme="majorHAnsi" w:hAnsiTheme="majorHAnsi" w:cstheme="majorHAnsi"/>
        </w:rPr>
        <w:t xml:space="preserve">When operating </w:t>
      </w:r>
      <w:r w:rsidR="00B46F23" w:rsidRPr="001A4D79">
        <w:rPr>
          <w:rFonts w:asciiTheme="majorHAnsi" w:hAnsiTheme="majorHAnsi" w:cstheme="majorHAnsi"/>
        </w:rPr>
        <w:t>near</w:t>
      </w:r>
      <w:r w:rsidRPr="001A4D79">
        <w:rPr>
          <w:rFonts w:asciiTheme="majorHAnsi" w:hAnsiTheme="majorHAnsi" w:cstheme="majorHAnsi"/>
        </w:rPr>
        <w:t xml:space="preserve"> capacity </w:t>
      </w:r>
      <w:r w:rsidR="00637E8D" w:rsidRPr="001A4D79">
        <w:rPr>
          <w:rFonts w:asciiTheme="majorHAnsi" w:hAnsiTheme="majorHAnsi" w:cstheme="majorHAnsi"/>
        </w:rPr>
        <w:t xml:space="preserve">the Program </w:t>
      </w:r>
      <w:r w:rsidR="003636D9" w:rsidRPr="001A4D79">
        <w:rPr>
          <w:rFonts w:asciiTheme="majorHAnsi" w:hAnsiTheme="majorHAnsi" w:cstheme="majorHAnsi"/>
        </w:rPr>
        <w:t xml:space="preserve">generates </w:t>
      </w:r>
      <w:r w:rsidR="00B84100" w:rsidRPr="001A4D79">
        <w:rPr>
          <w:rFonts w:asciiTheme="majorHAnsi" w:hAnsiTheme="majorHAnsi" w:cstheme="majorHAnsi"/>
        </w:rPr>
        <w:t xml:space="preserve">a </w:t>
      </w:r>
      <w:r w:rsidR="0035754E">
        <w:rPr>
          <w:rFonts w:asciiTheme="majorHAnsi" w:hAnsiTheme="majorHAnsi" w:cstheme="majorHAnsi"/>
        </w:rPr>
        <w:t>positive</w:t>
      </w:r>
      <w:r w:rsidR="00DC64F7" w:rsidRPr="001A4D79">
        <w:rPr>
          <w:rFonts w:asciiTheme="majorHAnsi" w:hAnsiTheme="majorHAnsi" w:cstheme="majorHAnsi"/>
        </w:rPr>
        <w:t xml:space="preserve"> return on investment</w:t>
      </w:r>
      <w:r w:rsidR="007204F7" w:rsidRPr="001A4D79">
        <w:rPr>
          <w:rFonts w:asciiTheme="majorHAnsi" w:hAnsiTheme="majorHAnsi" w:cstheme="majorHAnsi"/>
        </w:rPr>
        <w:t xml:space="preserve"> for government</w:t>
      </w:r>
      <w:r w:rsidR="00DC64F7" w:rsidRPr="001A4D79">
        <w:rPr>
          <w:rFonts w:asciiTheme="majorHAnsi" w:hAnsiTheme="majorHAnsi" w:cstheme="majorHAnsi"/>
        </w:rPr>
        <w:t>.</w:t>
      </w:r>
      <w:r w:rsidR="00D819D9" w:rsidRPr="001A4D79">
        <w:rPr>
          <w:rFonts w:asciiTheme="majorHAnsi" w:hAnsiTheme="majorHAnsi" w:cstheme="majorHAnsi"/>
        </w:rPr>
        <w:t xml:space="preserve"> </w:t>
      </w:r>
    </w:p>
    <w:p w14:paraId="0A72F5E8" w14:textId="633E7995" w:rsidR="00F7632B" w:rsidRPr="003527B6" w:rsidRDefault="00D819D9" w:rsidP="003527B6">
      <w:pPr>
        <w:rPr>
          <w:color w:val="000000" w:themeColor="text1"/>
          <w:lang w:val="en-AU"/>
        </w:rPr>
      </w:pPr>
      <w:r w:rsidRPr="003527B6">
        <w:rPr>
          <w:color w:val="000000" w:themeColor="text1"/>
          <w:lang w:val="en-AU"/>
        </w:rPr>
        <w:t>If SDCUs had operated at full occupancy, it is estimated</w:t>
      </w:r>
      <w:r w:rsidRPr="003527B6">
        <w:rPr>
          <w:rFonts w:asciiTheme="majorHAnsi" w:hAnsiTheme="majorHAnsi" w:cstheme="majorHAnsi"/>
          <w:b/>
          <w:bCs/>
          <w:lang w:val="en-AU"/>
        </w:rPr>
        <w:t xml:space="preserve"> </w:t>
      </w:r>
      <w:r w:rsidRPr="003527B6">
        <w:rPr>
          <w:color w:val="000000" w:themeColor="text1"/>
          <w:lang w:val="en-AU"/>
        </w:rPr>
        <w:t xml:space="preserve">that </w:t>
      </w:r>
      <w:r w:rsidR="00F51C14" w:rsidRPr="003527B6">
        <w:rPr>
          <w:color w:val="000000" w:themeColor="text1"/>
          <w:lang w:val="en-AU"/>
        </w:rPr>
        <w:t xml:space="preserve">the Program would have generated $1.11 </w:t>
      </w:r>
      <w:r w:rsidR="00286D5E">
        <w:rPr>
          <w:color w:val="000000" w:themeColor="text1"/>
          <w:lang w:val="en-AU"/>
        </w:rPr>
        <w:t xml:space="preserve">to government </w:t>
      </w:r>
      <w:r w:rsidR="00F51C14" w:rsidRPr="003527B6">
        <w:rPr>
          <w:color w:val="000000" w:themeColor="text1"/>
          <w:lang w:val="en-AU"/>
        </w:rPr>
        <w:t>for every $1 invested (i.e., a BCR of 1.11)</w:t>
      </w:r>
      <w:r w:rsidR="000D0446" w:rsidRPr="003527B6">
        <w:rPr>
          <w:color w:val="000000" w:themeColor="text1"/>
          <w:lang w:val="en-AU"/>
        </w:rPr>
        <w:t xml:space="preserve">, when using the </w:t>
      </w:r>
      <w:r w:rsidR="00DF34A8" w:rsidRPr="003527B6">
        <w:rPr>
          <w:color w:val="000000" w:themeColor="text1"/>
          <w:lang w:val="en-AU"/>
        </w:rPr>
        <w:t>most</w:t>
      </w:r>
      <w:r w:rsidR="000D0446" w:rsidRPr="003527B6">
        <w:rPr>
          <w:color w:val="000000" w:themeColor="text1"/>
          <w:lang w:val="en-AU"/>
        </w:rPr>
        <w:t xml:space="preserve"> conservative benefits realisation time</w:t>
      </w:r>
      <w:r w:rsidR="001203D8" w:rsidRPr="003527B6">
        <w:rPr>
          <w:color w:val="000000" w:themeColor="text1"/>
          <w:lang w:val="en-AU"/>
        </w:rPr>
        <w:t xml:space="preserve"> horizon</w:t>
      </w:r>
      <w:r w:rsidR="000D0446" w:rsidRPr="003527B6">
        <w:rPr>
          <w:color w:val="000000" w:themeColor="text1"/>
          <w:lang w:val="en-AU"/>
        </w:rPr>
        <w:t xml:space="preserve"> </w:t>
      </w:r>
      <w:r w:rsidR="00373ED5" w:rsidRPr="003527B6">
        <w:rPr>
          <w:color w:val="000000" w:themeColor="text1"/>
          <w:lang w:val="en-AU"/>
        </w:rPr>
        <w:t>that considered</w:t>
      </w:r>
      <w:r w:rsidR="00771AEF">
        <w:rPr>
          <w:color w:val="000000" w:themeColor="text1"/>
          <w:lang w:val="en-AU"/>
        </w:rPr>
        <w:t xml:space="preserve"> only</w:t>
      </w:r>
      <w:r w:rsidR="00373ED5" w:rsidRPr="003527B6">
        <w:rPr>
          <w:color w:val="000000" w:themeColor="text1"/>
          <w:lang w:val="en-AU"/>
        </w:rPr>
        <w:t xml:space="preserve"> the </w:t>
      </w:r>
      <w:r w:rsidR="001203D8" w:rsidRPr="003527B6">
        <w:rPr>
          <w:color w:val="000000" w:themeColor="text1"/>
          <w:lang w:val="en-AU"/>
        </w:rPr>
        <w:t xml:space="preserve">immediate </w:t>
      </w:r>
      <w:r w:rsidR="00373ED5" w:rsidRPr="003527B6">
        <w:rPr>
          <w:color w:val="000000" w:themeColor="text1"/>
          <w:lang w:val="en-AU"/>
        </w:rPr>
        <w:t xml:space="preserve">benefits generated </w:t>
      </w:r>
      <w:r w:rsidR="001203D8" w:rsidRPr="003527B6">
        <w:rPr>
          <w:color w:val="000000" w:themeColor="text1"/>
          <w:lang w:val="en-AU"/>
        </w:rPr>
        <w:t>while</w:t>
      </w:r>
      <w:r w:rsidR="00373ED5" w:rsidRPr="003527B6">
        <w:rPr>
          <w:color w:val="000000" w:themeColor="text1"/>
          <w:lang w:val="en-AU"/>
        </w:rPr>
        <w:t xml:space="preserve"> each resident </w:t>
      </w:r>
      <w:r w:rsidR="006807B1">
        <w:rPr>
          <w:color w:val="000000" w:themeColor="text1"/>
          <w:lang w:val="en-AU"/>
        </w:rPr>
        <w:t>was</w:t>
      </w:r>
      <w:r w:rsidR="00B77B85" w:rsidRPr="003527B6">
        <w:rPr>
          <w:color w:val="000000" w:themeColor="text1"/>
          <w:lang w:val="en-AU"/>
        </w:rPr>
        <w:t xml:space="preserve"> part of the Program</w:t>
      </w:r>
      <w:r w:rsidR="00AF45E8">
        <w:rPr>
          <w:color w:val="000000" w:themeColor="text1"/>
          <w:lang w:val="en-AU"/>
        </w:rPr>
        <w:t xml:space="preserve"> (i.e., the </w:t>
      </w:r>
      <w:r w:rsidR="00EB7CD6">
        <w:rPr>
          <w:color w:val="000000" w:themeColor="text1"/>
          <w:lang w:val="en-AU"/>
        </w:rPr>
        <w:t>‘within Program’ scenario)</w:t>
      </w:r>
      <w:r w:rsidR="00DF34A8" w:rsidRPr="003527B6">
        <w:rPr>
          <w:color w:val="000000" w:themeColor="text1"/>
          <w:lang w:val="en-AU"/>
        </w:rPr>
        <w:t>. When expanding the time horizon to 9</w:t>
      </w:r>
      <w:r w:rsidR="00746D6B" w:rsidRPr="003527B6">
        <w:rPr>
          <w:color w:val="000000" w:themeColor="text1"/>
          <w:lang w:val="en-AU"/>
        </w:rPr>
        <w:t xml:space="preserve">- and 18-months </w:t>
      </w:r>
      <w:r w:rsidR="00DF34A8" w:rsidRPr="003527B6">
        <w:rPr>
          <w:color w:val="000000" w:themeColor="text1"/>
          <w:lang w:val="en-AU"/>
        </w:rPr>
        <w:t>post-Program</w:t>
      </w:r>
      <w:r w:rsidR="006807B1">
        <w:rPr>
          <w:color w:val="000000" w:themeColor="text1"/>
          <w:lang w:val="en-AU"/>
        </w:rPr>
        <w:t xml:space="preserve"> participation</w:t>
      </w:r>
      <w:r w:rsidR="00DF34A8" w:rsidRPr="003527B6">
        <w:rPr>
          <w:color w:val="000000" w:themeColor="text1"/>
          <w:lang w:val="en-AU"/>
        </w:rPr>
        <w:t xml:space="preserve">, </w:t>
      </w:r>
      <w:r w:rsidR="004C1F99" w:rsidRPr="003527B6">
        <w:rPr>
          <w:color w:val="000000" w:themeColor="text1"/>
          <w:lang w:val="en-AU"/>
        </w:rPr>
        <w:t>the BCR increases to 1.</w:t>
      </w:r>
      <w:r w:rsidR="006911D3">
        <w:rPr>
          <w:color w:val="000000" w:themeColor="text1"/>
          <w:lang w:val="en-AU"/>
        </w:rPr>
        <w:t>46</w:t>
      </w:r>
      <w:r w:rsidR="006911D3" w:rsidRPr="003527B6">
        <w:rPr>
          <w:color w:val="000000" w:themeColor="text1"/>
          <w:lang w:val="en-AU"/>
        </w:rPr>
        <w:t xml:space="preserve"> </w:t>
      </w:r>
      <w:r w:rsidR="00746D6B" w:rsidRPr="003527B6">
        <w:rPr>
          <w:color w:val="000000" w:themeColor="text1"/>
          <w:lang w:val="en-AU"/>
        </w:rPr>
        <w:t xml:space="preserve">and </w:t>
      </w:r>
      <w:r w:rsidR="00EF7173">
        <w:rPr>
          <w:color w:val="000000" w:themeColor="text1"/>
          <w:lang w:val="en-AU"/>
        </w:rPr>
        <w:t>1.</w:t>
      </w:r>
      <w:r w:rsidR="006911D3">
        <w:rPr>
          <w:color w:val="000000" w:themeColor="text1"/>
          <w:lang w:val="en-AU"/>
        </w:rPr>
        <w:t>76</w:t>
      </w:r>
      <w:r w:rsidR="00746D6B" w:rsidRPr="003527B6">
        <w:rPr>
          <w:color w:val="000000" w:themeColor="text1"/>
          <w:lang w:val="en-AU"/>
        </w:rPr>
        <w:t>, respectively.</w:t>
      </w:r>
    </w:p>
    <w:p w14:paraId="5EA0C68F" w14:textId="45E6031C" w:rsidR="00083E5D" w:rsidRDefault="007C7268" w:rsidP="003527B6">
      <w:pPr>
        <w:rPr>
          <w:color w:val="000000" w:themeColor="text1"/>
          <w:lang w:val="en-AU"/>
        </w:rPr>
      </w:pPr>
      <w:r w:rsidRPr="003527B6">
        <w:rPr>
          <w:color w:val="000000" w:themeColor="text1"/>
          <w:lang w:val="en-AU"/>
        </w:rPr>
        <w:t>SDCU occupancy rates are a key driver of the BCR</w:t>
      </w:r>
      <w:r w:rsidR="0078233D">
        <w:rPr>
          <w:color w:val="000000" w:themeColor="text1"/>
          <w:lang w:val="en-AU"/>
        </w:rPr>
        <w:t xml:space="preserve">. </w:t>
      </w:r>
      <w:r w:rsidR="001E6341">
        <w:rPr>
          <w:color w:val="000000" w:themeColor="text1"/>
          <w:lang w:val="en-AU"/>
        </w:rPr>
        <w:t xml:space="preserve">Under a scenario where observed occupancy rates were used (i.e., </w:t>
      </w:r>
      <w:r w:rsidR="00360B78" w:rsidRPr="00360B78">
        <w:rPr>
          <w:color w:val="000000" w:themeColor="text1"/>
          <w:lang w:val="en-AU"/>
        </w:rPr>
        <w:t>41% in FY19-20, 54% in FY20-21, 85% in FY21-22)</w:t>
      </w:r>
      <w:r w:rsidR="00334FC4">
        <w:rPr>
          <w:color w:val="000000" w:themeColor="text1"/>
          <w:lang w:val="en-AU"/>
        </w:rPr>
        <w:t xml:space="preserve">, the </w:t>
      </w:r>
      <w:r w:rsidR="000C414E">
        <w:rPr>
          <w:color w:val="000000" w:themeColor="text1"/>
          <w:lang w:val="en-AU"/>
        </w:rPr>
        <w:t xml:space="preserve">‘within Program’ </w:t>
      </w:r>
      <w:r w:rsidR="007265BC">
        <w:rPr>
          <w:color w:val="000000" w:themeColor="text1"/>
          <w:lang w:val="en-AU"/>
        </w:rPr>
        <w:t xml:space="preserve">BCR </w:t>
      </w:r>
      <w:r w:rsidR="006D4D60">
        <w:rPr>
          <w:color w:val="000000" w:themeColor="text1"/>
          <w:lang w:val="en-AU"/>
        </w:rPr>
        <w:t xml:space="preserve">for government </w:t>
      </w:r>
      <w:r w:rsidR="000C414E">
        <w:rPr>
          <w:color w:val="000000" w:themeColor="text1"/>
          <w:lang w:val="en-AU"/>
        </w:rPr>
        <w:t>was comparatively lower at 0.78, increasing to 1.</w:t>
      </w:r>
      <w:r w:rsidR="0045738F">
        <w:rPr>
          <w:color w:val="000000" w:themeColor="text1"/>
          <w:lang w:val="en-AU"/>
        </w:rPr>
        <w:t xml:space="preserve">04 </w:t>
      </w:r>
      <w:r w:rsidR="000C414E">
        <w:rPr>
          <w:color w:val="000000" w:themeColor="text1"/>
          <w:lang w:val="en-AU"/>
        </w:rPr>
        <w:t>and 1.</w:t>
      </w:r>
      <w:r w:rsidR="0045738F">
        <w:rPr>
          <w:color w:val="000000" w:themeColor="text1"/>
          <w:lang w:val="en-AU"/>
        </w:rPr>
        <w:t>28</w:t>
      </w:r>
      <w:r w:rsidR="000C414E">
        <w:rPr>
          <w:color w:val="000000" w:themeColor="text1"/>
          <w:lang w:val="en-AU"/>
        </w:rPr>
        <w:t xml:space="preserve">, as </w:t>
      </w:r>
      <w:r w:rsidR="001F423D">
        <w:rPr>
          <w:color w:val="000000" w:themeColor="text1"/>
          <w:lang w:val="en-AU"/>
        </w:rPr>
        <w:t xml:space="preserve">9 and 18-month </w:t>
      </w:r>
      <w:r w:rsidR="000C414E">
        <w:rPr>
          <w:color w:val="000000" w:themeColor="text1"/>
          <w:lang w:val="en-AU"/>
        </w:rPr>
        <w:t>post-Program benefit</w:t>
      </w:r>
      <w:r w:rsidR="001F423D">
        <w:rPr>
          <w:color w:val="000000" w:themeColor="text1"/>
          <w:lang w:val="en-AU"/>
        </w:rPr>
        <w:t>s</w:t>
      </w:r>
      <w:r w:rsidR="000C414E">
        <w:rPr>
          <w:color w:val="000000" w:themeColor="text1"/>
          <w:lang w:val="en-AU"/>
        </w:rPr>
        <w:t xml:space="preserve"> were added</w:t>
      </w:r>
      <w:r w:rsidR="000F324C">
        <w:rPr>
          <w:color w:val="000000" w:themeColor="text1"/>
          <w:lang w:val="en-AU"/>
        </w:rPr>
        <w:t xml:space="preserve">. </w:t>
      </w:r>
    </w:p>
    <w:p w14:paraId="0A045FF6" w14:textId="689C77B4" w:rsidR="000A23B9" w:rsidRPr="003527B6" w:rsidRDefault="00D6530D" w:rsidP="003527B6">
      <w:pPr>
        <w:rPr>
          <w:color w:val="000000" w:themeColor="text1"/>
          <w:lang w:val="en-AU"/>
        </w:rPr>
      </w:pPr>
      <w:r>
        <w:rPr>
          <w:color w:val="000000" w:themeColor="text1"/>
          <w:lang w:val="en-AU"/>
        </w:rPr>
        <w:t>This result is driven by the</w:t>
      </w:r>
      <w:r w:rsidR="00F6239E">
        <w:rPr>
          <w:color w:val="000000" w:themeColor="text1"/>
          <w:lang w:val="en-AU"/>
        </w:rPr>
        <w:t xml:space="preserve"> fixed nature of several Program costs</w:t>
      </w:r>
      <w:r w:rsidR="00C20D1F">
        <w:rPr>
          <w:color w:val="000000" w:themeColor="text1"/>
          <w:lang w:val="en-AU"/>
        </w:rPr>
        <w:t xml:space="preserve"> (e.g., infrastructure, labour costs)</w:t>
      </w:r>
      <w:r w:rsidR="00F6239E">
        <w:rPr>
          <w:color w:val="000000" w:themeColor="text1"/>
          <w:lang w:val="en-AU"/>
        </w:rPr>
        <w:t xml:space="preserve">, relative to the </w:t>
      </w:r>
      <w:r w:rsidR="00790339">
        <w:rPr>
          <w:color w:val="000000" w:themeColor="text1"/>
          <w:lang w:val="en-AU"/>
        </w:rPr>
        <w:t>variable nature of</w:t>
      </w:r>
      <w:r w:rsidR="00264290">
        <w:rPr>
          <w:color w:val="000000" w:themeColor="text1"/>
          <w:lang w:val="en-AU"/>
        </w:rPr>
        <w:t xml:space="preserve"> both the immediate</w:t>
      </w:r>
      <w:r w:rsidR="00F6239E">
        <w:rPr>
          <w:color w:val="000000" w:themeColor="text1"/>
          <w:lang w:val="en-AU"/>
        </w:rPr>
        <w:t xml:space="preserve"> benefits</w:t>
      </w:r>
      <w:r w:rsidR="00264290">
        <w:rPr>
          <w:color w:val="000000" w:themeColor="text1"/>
          <w:lang w:val="en-AU"/>
        </w:rPr>
        <w:t xml:space="preserve"> –</w:t>
      </w:r>
      <w:r w:rsidR="00F6239E">
        <w:rPr>
          <w:color w:val="000000" w:themeColor="text1"/>
          <w:lang w:val="en-AU"/>
        </w:rPr>
        <w:t xml:space="preserve"> that </w:t>
      </w:r>
      <w:r w:rsidR="00083E5D">
        <w:rPr>
          <w:color w:val="000000" w:themeColor="text1"/>
          <w:lang w:val="en-AU"/>
        </w:rPr>
        <w:t>accrue with each occupied bed</w:t>
      </w:r>
      <w:r w:rsidR="00B93168">
        <w:rPr>
          <w:color w:val="000000" w:themeColor="text1"/>
          <w:lang w:val="en-AU"/>
        </w:rPr>
        <w:t xml:space="preserve">, and the longer-term benefits </w:t>
      </w:r>
      <w:r w:rsidR="00264290">
        <w:rPr>
          <w:color w:val="000000" w:themeColor="text1"/>
          <w:lang w:val="en-AU"/>
        </w:rPr>
        <w:t xml:space="preserve">– </w:t>
      </w:r>
      <w:r w:rsidR="00B93168">
        <w:rPr>
          <w:color w:val="000000" w:themeColor="text1"/>
          <w:lang w:val="en-AU"/>
        </w:rPr>
        <w:t xml:space="preserve">that accrue with each </w:t>
      </w:r>
      <w:r w:rsidR="00264290">
        <w:rPr>
          <w:color w:val="000000" w:themeColor="text1"/>
          <w:lang w:val="en-AU"/>
        </w:rPr>
        <w:t>discharge</w:t>
      </w:r>
      <w:r w:rsidR="00146A45">
        <w:rPr>
          <w:color w:val="000000" w:themeColor="text1"/>
          <w:lang w:val="en-AU"/>
        </w:rPr>
        <w:t xml:space="preserve"> to a less </w:t>
      </w:r>
      <w:r w:rsidR="00264290">
        <w:rPr>
          <w:color w:val="000000" w:themeColor="text1"/>
          <w:lang w:val="en-AU"/>
        </w:rPr>
        <w:t>intensive</w:t>
      </w:r>
      <w:r w:rsidR="00146A45">
        <w:rPr>
          <w:color w:val="000000" w:themeColor="text1"/>
          <w:lang w:val="en-AU"/>
        </w:rPr>
        <w:t xml:space="preserve"> care </w:t>
      </w:r>
      <w:r w:rsidR="00582F57">
        <w:rPr>
          <w:color w:val="000000" w:themeColor="text1"/>
          <w:lang w:val="en-AU"/>
        </w:rPr>
        <w:t xml:space="preserve">setting due to </w:t>
      </w:r>
      <w:r w:rsidR="00146A45">
        <w:rPr>
          <w:color w:val="000000" w:themeColor="text1"/>
          <w:lang w:val="en-AU"/>
        </w:rPr>
        <w:t>sett</w:t>
      </w:r>
      <w:r w:rsidR="005962E6">
        <w:rPr>
          <w:color w:val="000000" w:themeColor="text1"/>
          <w:lang w:val="en-AU"/>
        </w:rPr>
        <w:t>led</w:t>
      </w:r>
      <w:r w:rsidR="00146A45">
        <w:rPr>
          <w:color w:val="000000" w:themeColor="text1"/>
          <w:lang w:val="en-AU"/>
        </w:rPr>
        <w:t xml:space="preserve"> B</w:t>
      </w:r>
      <w:r w:rsidR="005962E6">
        <w:rPr>
          <w:color w:val="000000" w:themeColor="text1"/>
          <w:lang w:val="en-AU"/>
        </w:rPr>
        <w:t>P</w:t>
      </w:r>
      <w:r w:rsidR="00146A45">
        <w:rPr>
          <w:color w:val="000000" w:themeColor="text1"/>
          <w:lang w:val="en-AU"/>
        </w:rPr>
        <w:t>SD.</w:t>
      </w:r>
    </w:p>
    <w:p w14:paraId="30BB697A" w14:textId="11F3DAAA" w:rsidR="001A4D79" w:rsidRPr="001A4D79" w:rsidRDefault="00121DC1" w:rsidP="001A4D79">
      <w:pPr>
        <w:pStyle w:val="Heading4thematicstatement"/>
        <w:spacing w:after="170"/>
        <w:rPr>
          <w:rFonts w:asciiTheme="majorHAnsi" w:hAnsiTheme="majorHAnsi" w:cstheme="majorHAnsi"/>
        </w:rPr>
      </w:pPr>
      <w:r w:rsidRPr="001A4D79">
        <w:rPr>
          <w:rFonts w:asciiTheme="majorHAnsi" w:hAnsiTheme="majorHAnsi" w:cstheme="majorHAnsi"/>
        </w:rPr>
        <w:t xml:space="preserve">The value of the Program </w:t>
      </w:r>
      <w:r w:rsidR="00A57E65" w:rsidRPr="001A4D79">
        <w:rPr>
          <w:rFonts w:asciiTheme="majorHAnsi" w:hAnsiTheme="majorHAnsi" w:cstheme="majorHAnsi"/>
        </w:rPr>
        <w:t xml:space="preserve">increases </w:t>
      </w:r>
      <w:r w:rsidR="00D67C30" w:rsidRPr="001A4D79">
        <w:rPr>
          <w:rFonts w:asciiTheme="majorHAnsi" w:hAnsiTheme="majorHAnsi" w:cstheme="majorHAnsi"/>
        </w:rPr>
        <w:t>the longer each discharged resident remain</w:t>
      </w:r>
      <w:r w:rsidR="00655904">
        <w:rPr>
          <w:rFonts w:asciiTheme="majorHAnsi" w:hAnsiTheme="majorHAnsi" w:cstheme="majorHAnsi"/>
        </w:rPr>
        <w:t>s</w:t>
      </w:r>
      <w:r w:rsidR="00D67C30" w:rsidRPr="001A4D79">
        <w:rPr>
          <w:rFonts w:asciiTheme="majorHAnsi" w:hAnsiTheme="majorHAnsi" w:cstheme="majorHAnsi"/>
        </w:rPr>
        <w:t xml:space="preserve"> in less </w:t>
      </w:r>
      <w:r w:rsidR="00A01247" w:rsidRPr="001A4D79">
        <w:rPr>
          <w:rFonts w:asciiTheme="majorHAnsi" w:hAnsiTheme="majorHAnsi" w:cstheme="majorHAnsi"/>
        </w:rPr>
        <w:t>intensive care settings.</w:t>
      </w:r>
    </w:p>
    <w:p w14:paraId="451D1377" w14:textId="56E003F8" w:rsidR="00D25D4C" w:rsidRDefault="005038FC" w:rsidP="003527B6">
      <w:pPr>
        <w:rPr>
          <w:color w:val="000000" w:themeColor="text1"/>
          <w:lang w:val="en-AU"/>
        </w:rPr>
      </w:pPr>
      <w:r w:rsidRPr="005038FC">
        <w:rPr>
          <w:color w:val="000000" w:themeColor="text1"/>
          <w:lang w:val="en-AU"/>
        </w:rPr>
        <w:t>The size of the BCR</w:t>
      </w:r>
      <w:r w:rsidRPr="003E20BA">
        <w:rPr>
          <w:color w:val="000000" w:themeColor="text1"/>
          <w:lang w:val="en-AU"/>
        </w:rPr>
        <w:t xml:space="preserve"> </w:t>
      </w:r>
      <w:r w:rsidR="00B12B8B">
        <w:rPr>
          <w:color w:val="000000" w:themeColor="text1"/>
          <w:lang w:val="en-AU"/>
        </w:rPr>
        <w:t>increases</w:t>
      </w:r>
      <w:r w:rsidR="00021A95">
        <w:rPr>
          <w:color w:val="000000" w:themeColor="text1"/>
          <w:lang w:val="en-AU"/>
        </w:rPr>
        <w:t xml:space="preserve"> in </w:t>
      </w:r>
      <w:r w:rsidR="009A0D06">
        <w:rPr>
          <w:color w:val="000000" w:themeColor="text1"/>
          <w:lang w:val="en-AU"/>
        </w:rPr>
        <w:t>line with the</w:t>
      </w:r>
      <w:r w:rsidR="00CA679B" w:rsidRPr="003E20BA">
        <w:rPr>
          <w:color w:val="000000" w:themeColor="text1"/>
          <w:lang w:val="en-AU"/>
        </w:rPr>
        <w:t xml:space="preserve"> benefits realisation time horizon</w:t>
      </w:r>
      <w:r w:rsidR="00B86A34">
        <w:rPr>
          <w:color w:val="000000" w:themeColor="text1"/>
          <w:lang w:val="en-AU"/>
        </w:rPr>
        <w:t xml:space="preserve">. The government payer BCR </w:t>
      </w:r>
      <w:r w:rsidR="00796321">
        <w:rPr>
          <w:color w:val="000000" w:themeColor="text1"/>
          <w:lang w:val="en-AU"/>
        </w:rPr>
        <w:t xml:space="preserve">increases significantly </w:t>
      </w:r>
      <w:r w:rsidR="00E80C50">
        <w:rPr>
          <w:color w:val="000000" w:themeColor="text1"/>
          <w:lang w:val="en-AU"/>
        </w:rPr>
        <w:t xml:space="preserve">when </w:t>
      </w:r>
      <w:r w:rsidR="00792E3C">
        <w:rPr>
          <w:color w:val="000000" w:themeColor="text1"/>
          <w:lang w:val="en-AU"/>
        </w:rPr>
        <w:t xml:space="preserve">expanding </w:t>
      </w:r>
      <w:r w:rsidR="00093507">
        <w:rPr>
          <w:color w:val="000000" w:themeColor="text1"/>
          <w:lang w:val="en-AU"/>
        </w:rPr>
        <w:t xml:space="preserve">the time horizon from </w:t>
      </w:r>
      <w:r w:rsidR="004F2D4A">
        <w:rPr>
          <w:color w:val="000000" w:themeColor="text1"/>
          <w:lang w:val="en-AU"/>
        </w:rPr>
        <w:t>Program discharge date</w:t>
      </w:r>
      <w:r w:rsidR="004335D3">
        <w:rPr>
          <w:color w:val="000000" w:themeColor="text1"/>
          <w:lang w:val="en-AU"/>
        </w:rPr>
        <w:t xml:space="preserve"> (i.e., the ‘within Program’ scenario)</w:t>
      </w:r>
      <w:r w:rsidR="004F2D4A">
        <w:rPr>
          <w:color w:val="000000" w:themeColor="text1"/>
          <w:lang w:val="en-AU"/>
        </w:rPr>
        <w:t xml:space="preserve"> to 18-month</w:t>
      </w:r>
      <w:r w:rsidR="005E665E">
        <w:rPr>
          <w:color w:val="000000" w:themeColor="text1"/>
          <w:lang w:val="en-AU"/>
        </w:rPr>
        <w:t>s</w:t>
      </w:r>
      <w:r w:rsidR="004F2D4A">
        <w:rPr>
          <w:color w:val="000000" w:themeColor="text1"/>
          <w:lang w:val="en-AU"/>
        </w:rPr>
        <w:t xml:space="preserve"> post</w:t>
      </w:r>
      <w:r w:rsidR="001D6727">
        <w:rPr>
          <w:color w:val="000000" w:themeColor="text1"/>
          <w:lang w:val="en-AU"/>
        </w:rPr>
        <w:t>-</w:t>
      </w:r>
      <w:r w:rsidR="004F2D4A">
        <w:rPr>
          <w:color w:val="000000" w:themeColor="text1"/>
          <w:lang w:val="en-AU"/>
        </w:rPr>
        <w:t xml:space="preserve">Program. If the </w:t>
      </w:r>
      <w:r w:rsidR="00D558F4">
        <w:rPr>
          <w:color w:val="000000" w:themeColor="text1"/>
          <w:lang w:val="en-AU"/>
        </w:rPr>
        <w:t xml:space="preserve">time horizon </w:t>
      </w:r>
      <w:r w:rsidR="003B5B37">
        <w:rPr>
          <w:color w:val="000000" w:themeColor="text1"/>
          <w:lang w:val="en-AU"/>
        </w:rPr>
        <w:t>were</w:t>
      </w:r>
      <w:r w:rsidR="00D558F4">
        <w:rPr>
          <w:color w:val="000000" w:themeColor="text1"/>
          <w:lang w:val="en-AU"/>
        </w:rPr>
        <w:t xml:space="preserve"> expanded </w:t>
      </w:r>
      <w:r w:rsidR="003D28A0">
        <w:rPr>
          <w:color w:val="000000" w:themeColor="text1"/>
          <w:lang w:val="en-AU"/>
        </w:rPr>
        <w:t>further</w:t>
      </w:r>
      <w:r w:rsidR="00C726E6">
        <w:rPr>
          <w:color w:val="000000" w:themeColor="text1"/>
          <w:lang w:val="en-AU"/>
        </w:rPr>
        <w:t xml:space="preserve">, the BCR would </w:t>
      </w:r>
      <w:r w:rsidR="003D28A0">
        <w:rPr>
          <w:color w:val="000000" w:themeColor="text1"/>
          <w:lang w:val="en-AU"/>
        </w:rPr>
        <w:t xml:space="preserve">continue to </w:t>
      </w:r>
      <w:r w:rsidR="005E3910">
        <w:rPr>
          <w:color w:val="000000" w:themeColor="text1"/>
          <w:lang w:val="en-AU"/>
        </w:rPr>
        <w:t>increase.</w:t>
      </w:r>
      <w:r w:rsidR="00364390">
        <w:rPr>
          <w:color w:val="000000" w:themeColor="text1"/>
          <w:lang w:val="en-AU"/>
        </w:rPr>
        <w:t xml:space="preserve"> However,</w:t>
      </w:r>
      <w:r w:rsidR="00AE6655">
        <w:rPr>
          <w:color w:val="000000" w:themeColor="text1"/>
          <w:lang w:val="en-AU"/>
        </w:rPr>
        <w:t xml:space="preserve"> it is expected that</w:t>
      </w:r>
      <w:r w:rsidR="00364390">
        <w:rPr>
          <w:color w:val="000000" w:themeColor="text1"/>
          <w:lang w:val="en-AU"/>
        </w:rPr>
        <w:t xml:space="preserve"> gains </w:t>
      </w:r>
      <w:r w:rsidR="00AE6655">
        <w:rPr>
          <w:color w:val="000000" w:themeColor="text1"/>
          <w:lang w:val="en-AU"/>
        </w:rPr>
        <w:t>would become</w:t>
      </w:r>
      <w:r w:rsidR="00364390">
        <w:rPr>
          <w:color w:val="000000" w:themeColor="text1"/>
          <w:lang w:val="en-AU"/>
        </w:rPr>
        <w:t xml:space="preserve"> increasingly marginal over time</w:t>
      </w:r>
      <w:r w:rsidR="00356CC9">
        <w:rPr>
          <w:color w:val="000000" w:themeColor="text1"/>
          <w:lang w:val="en-AU"/>
        </w:rPr>
        <w:t xml:space="preserve"> due to events such as death or need for palliative care</w:t>
      </w:r>
      <w:r w:rsidR="00C726E6">
        <w:rPr>
          <w:color w:val="000000" w:themeColor="text1"/>
          <w:lang w:val="en-AU"/>
        </w:rPr>
        <w:t>.</w:t>
      </w:r>
      <w:r w:rsidR="009A0D06">
        <w:rPr>
          <w:color w:val="000000" w:themeColor="text1"/>
          <w:lang w:val="en-AU"/>
        </w:rPr>
        <w:t xml:space="preserve"> </w:t>
      </w:r>
    </w:p>
    <w:p w14:paraId="68BAD23F" w14:textId="79E3744F" w:rsidR="00DE5190" w:rsidRPr="0019759D" w:rsidRDefault="00674374" w:rsidP="00DE5190">
      <w:pPr>
        <w:rPr>
          <w:color w:val="000000" w:themeColor="text1"/>
          <w:lang w:val="en-AU"/>
        </w:rPr>
      </w:pPr>
      <w:r>
        <w:rPr>
          <w:color w:val="000000" w:themeColor="text1"/>
          <w:lang w:val="en-AU"/>
        </w:rPr>
        <w:t>This shows that</w:t>
      </w:r>
      <w:r w:rsidR="00680D8E">
        <w:rPr>
          <w:color w:val="000000" w:themeColor="text1"/>
          <w:lang w:val="en-AU"/>
        </w:rPr>
        <w:t xml:space="preserve"> the</w:t>
      </w:r>
      <w:r>
        <w:rPr>
          <w:color w:val="000000" w:themeColor="text1"/>
          <w:lang w:val="en-AU"/>
        </w:rPr>
        <w:t xml:space="preserve"> primary value of the Program </w:t>
      </w:r>
      <w:r w:rsidR="009D7612">
        <w:rPr>
          <w:color w:val="000000" w:themeColor="text1"/>
          <w:lang w:val="en-AU"/>
        </w:rPr>
        <w:t>is</w:t>
      </w:r>
      <w:r w:rsidR="00236D87">
        <w:rPr>
          <w:color w:val="000000" w:themeColor="text1"/>
          <w:lang w:val="en-AU"/>
        </w:rPr>
        <w:t xml:space="preserve"> not </w:t>
      </w:r>
      <w:r w:rsidR="00EA30E1">
        <w:rPr>
          <w:color w:val="000000" w:themeColor="text1"/>
          <w:lang w:val="en-AU"/>
        </w:rPr>
        <w:t xml:space="preserve">the immediate </w:t>
      </w:r>
      <w:r w:rsidR="00CD2A53">
        <w:rPr>
          <w:color w:val="000000" w:themeColor="text1"/>
          <w:lang w:val="en-AU"/>
        </w:rPr>
        <w:t xml:space="preserve">cost-savings </w:t>
      </w:r>
      <w:r w:rsidR="00EA30E1">
        <w:rPr>
          <w:color w:val="000000" w:themeColor="text1"/>
          <w:lang w:val="en-AU"/>
        </w:rPr>
        <w:t xml:space="preserve">that may be </w:t>
      </w:r>
      <w:r w:rsidR="00CD2A53">
        <w:rPr>
          <w:color w:val="000000" w:themeColor="text1"/>
          <w:lang w:val="en-AU"/>
        </w:rPr>
        <w:t>generated</w:t>
      </w:r>
      <w:r w:rsidR="00EA30E1">
        <w:rPr>
          <w:color w:val="000000" w:themeColor="text1"/>
          <w:lang w:val="en-AU"/>
        </w:rPr>
        <w:t xml:space="preserve"> by subst</w:t>
      </w:r>
      <w:r w:rsidR="00CD2A53">
        <w:rPr>
          <w:color w:val="000000" w:themeColor="text1"/>
          <w:lang w:val="en-AU"/>
        </w:rPr>
        <w:t>ituting</w:t>
      </w:r>
      <w:r w:rsidR="00EA30E1">
        <w:rPr>
          <w:color w:val="000000" w:themeColor="text1"/>
          <w:lang w:val="en-AU"/>
        </w:rPr>
        <w:t xml:space="preserve"> inpatient </w:t>
      </w:r>
      <w:r w:rsidR="00AA6575">
        <w:rPr>
          <w:color w:val="000000" w:themeColor="text1"/>
          <w:lang w:val="en-AU"/>
        </w:rPr>
        <w:t>care</w:t>
      </w:r>
      <w:r w:rsidR="00EA30E1">
        <w:rPr>
          <w:color w:val="000000" w:themeColor="text1"/>
          <w:lang w:val="en-AU"/>
        </w:rPr>
        <w:t xml:space="preserve"> with </w:t>
      </w:r>
      <w:r w:rsidR="00D174EF">
        <w:rPr>
          <w:color w:val="000000" w:themeColor="text1"/>
          <w:lang w:val="en-AU"/>
        </w:rPr>
        <w:t>specialis</w:t>
      </w:r>
      <w:r w:rsidR="00AA6575">
        <w:rPr>
          <w:color w:val="000000" w:themeColor="text1"/>
          <w:lang w:val="en-AU"/>
        </w:rPr>
        <w:t>t</w:t>
      </w:r>
      <w:r w:rsidR="00D174EF">
        <w:rPr>
          <w:color w:val="000000" w:themeColor="text1"/>
          <w:lang w:val="en-AU"/>
        </w:rPr>
        <w:t xml:space="preserve"> residential care for a</w:t>
      </w:r>
      <w:r w:rsidR="00B518FA">
        <w:rPr>
          <w:color w:val="000000" w:themeColor="text1"/>
          <w:lang w:val="en-AU"/>
        </w:rPr>
        <w:t xml:space="preserve"> 12-month period</w:t>
      </w:r>
      <w:r w:rsidR="00150131">
        <w:rPr>
          <w:color w:val="000000" w:themeColor="text1"/>
          <w:lang w:val="en-AU"/>
        </w:rPr>
        <w:t xml:space="preserve">, but </w:t>
      </w:r>
      <w:r w:rsidR="00D174EF">
        <w:rPr>
          <w:color w:val="000000" w:themeColor="text1"/>
          <w:lang w:val="en-AU"/>
        </w:rPr>
        <w:t>the Program’s role</w:t>
      </w:r>
      <w:r w:rsidR="009A2C8B">
        <w:rPr>
          <w:color w:val="000000" w:themeColor="text1"/>
          <w:lang w:val="en-AU"/>
        </w:rPr>
        <w:t xml:space="preserve"> as the only current intervention in Australia able to </w:t>
      </w:r>
      <w:r w:rsidR="00345A82">
        <w:rPr>
          <w:color w:val="000000" w:themeColor="text1"/>
          <w:lang w:val="en-AU"/>
        </w:rPr>
        <w:t>facilitate access to a</w:t>
      </w:r>
      <w:r w:rsidR="008F6BEB">
        <w:rPr>
          <w:color w:val="000000" w:themeColor="text1"/>
          <w:lang w:val="en-AU"/>
        </w:rPr>
        <w:t xml:space="preserve"> less intensive care setting</w:t>
      </w:r>
      <w:r w:rsidR="000E04A8">
        <w:rPr>
          <w:color w:val="000000" w:themeColor="text1"/>
          <w:lang w:val="en-AU"/>
        </w:rPr>
        <w:t>s</w:t>
      </w:r>
      <w:r w:rsidR="008F6BEB">
        <w:rPr>
          <w:color w:val="000000" w:themeColor="text1"/>
          <w:lang w:val="en-AU"/>
        </w:rPr>
        <w:t xml:space="preserve"> </w:t>
      </w:r>
      <w:r w:rsidR="008F6BEB" w:rsidRPr="00DA3B0F">
        <w:rPr>
          <w:color w:val="000000" w:themeColor="text1"/>
          <w:lang w:val="en-AU"/>
        </w:rPr>
        <w:t>long</w:t>
      </w:r>
      <w:r w:rsidR="000E04A8" w:rsidRPr="00DA3B0F">
        <w:rPr>
          <w:color w:val="000000" w:themeColor="text1"/>
          <w:lang w:val="en-AU"/>
        </w:rPr>
        <w:t>-</w:t>
      </w:r>
      <w:r w:rsidR="008F6BEB" w:rsidRPr="00DA3B0F">
        <w:rPr>
          <w:color w:val="000000" w:themeColor="text1"/>
          <w:lang w:val="en-AU"/>
        </w:rPr>
        <w:t>term</w:t>
      </w:r>
      <w:r w:rsidR="008F6BEB" w:rsidRPr="0053621E">
        <w:rPr>
          <w:color w:val="000000" w:themeColor="text1"/>
          <w:lang w:val="en-AU"/>
        </w:rPr>
        <w:t>.</w:t>
      </w:r>
      <w:r w:rsidR="008F6BEB">
        <w:rPr>
          <w:color w:val="000000" w:themeColor="text1"/>
          <w:lang w:val="en-AU"/>
        </w:rPr>
        <w:t xml:space="preserve"> </w:t>
      </w:r>
      <w:r w:rsidR="00F275B3">
        <w:rPr>
          <w:color w:val="000000" w:themeColor="text1"/>
          <w:lang w:val="en-AU"/>
        </w:rPr>
        <w:t xml:space="preserve">Part of </w:t>
      </w:r>
      <w:r w:rsidR="00FF0DB0">
        <w:rPr>
          <w:color w:val="000000" w:themeColor="text1"/>
          <w:lang w:val="en-AU"/>
        </w:rPr>
        <w:t>the Program’s</w:t>
      </w:r>
      <w:r w:rsidR="00F43B05">
        <w:rPr>
          <w:color w:val="000000" w:themeColor="text1"/>
          <w:lang w:val="en-AU"/>
        </w:rPr>
        <w:t xml:space="preserve"> efficacy</w:t>
      </w:r>
      <w:r w:rsidR="00732C48">
        <w:rPr>
          <w:color w:val="000000" w:themeColor="text1"/>
          <w:lang w:val="en-AU"/>
        </w:rPr>
        <w:t xml:space="preserve"> in this area is</w:t>
      </w:r>
      <w:r w:rsidR="00E367DA">
        <w:rPr>
          <w:color w:val="000000" w:themeColor="text1"/>
          <w:lang w:val="en-AU"/>
        </w:rPr>
        <w:t xml:space="preserve"> </w:t>
      </w:r>
      <w:r w:rsidR="004322DA">
        <w:rPr>
          <w:color w:val="000000" w:themeColor="text1"/>
          <w:lang w:val="en-AU"/>
        </w:rPr>
        <w:t>attributable</w:t>
      </w:r>
      <w:r w:rsidR="00F275B3">
        <w:rPr>
          <w:color w:val="000000" w:themeColor="text1"/>
          <w:lang w:val="en-AU"/>
        </w:rPr>
        <w:t xml:space="preserve"> to </w:t>
      </w:r>
      <w:r w:rsidR="008C3CD6">
        <w:rPr>
          <w:color w:val="000000" w:themeColor="text1"/>
          <w:lang w:val="en-AU"/>
        </w:rPr>
        <w:t>its</w:t>
      </w:r>
      <w:r w:rsidR="00F275B3">
        <w:rPr>
          <w:color w:val="000000" w:themeColor="text1"/>
          <w:lang w:val="en-AU"/>
        </w:rPr>
        <w:t xml:space="preserve"> </w:t>
      </w:r>
      <w:r w:rsidR="00D80273">
        <w:rPr>
          <w:color w:val="000000" w:themeColor="text1"/>
          <w:lang w:val="en-AU"/>
        </w:rPr>
        <w:t>specialis</w:t>
      </w:r>
      <w:r w:rsidR="005E5168">
        <w:rPr>
          <w:color w:val="000000" w:themeColor="text1"/>
          <w:lang w:val="en-AU"/>
        </w:rPr>
        <w:t>t</w:t>
      </w:r>
      <w:r w:rsidR="00D80273">
        <w:rPr>
          <w:color w:val="000000" w:themeColor="text1"/>
          <w:lang w:val="en-AU"/>
        </w:rPr>
        <w:t xml:space="preserve"> model of care</w:t>
      </w:r>
      <w:r w:rsidR="00CD2A53">
        <w:rPr>
          <w:color w:val="000000" w:themeColor="text1"/>
          <w:lang w:val="en-AU"/>
        </w:rPr>
        <w:t xml:space="preserve"> and environment</w:t>
      </w:r>
      <w:r w:rsidR="00A44066">
        <w:rPr>
          <w:color w:val="000000" w:themeColor="text1"/>
          <w:lang w:val="en-AU"/>
        </w:rPr>
        <w:t xml:space="preserve">, </w:t>
      </w:r>
      <w:r w:rsidR="003F45F7">
        <w:rPr>
          <w:color w:val="000000" w:themeColor="text1"/>
          <w:lang w:val="en-AU"/>
        </w:rPr>
        <w:t xml:space="preserve">which is </w:t>
      </w:r>
      <w:r w:rsidR="0053621E">
        <w:rPr>
          <w:color w:val="000000" w:themeColor="text1"/>
          <w:lang w:val="en-AU"/>
        </w:rPr>
        <w:t xml:space="preserve">better able to achieve </w:t>
      </w:r>
      <w:r w:rsidR="003F45F7">
        <w:rPr>
          <w:color w:val="000000" w:themeColor="text1"/>
          <w:lang w:val="en-AU"/>
        </w:rPr>
        <w:t>stabilis</w:t>
      </w:r>
      <w:r w:rsidR="0053621E">
        <w:rPr>
          <w:color w:val="000000" w:themeColor="text1"/>
          <w:lang w:val="en-AU"/>
        </w:rPr>
        <w:t>ation of</w:t>
      </w:r>
      <w:r w:rsidR="003F45F7">
        <w:rPr>
          <w:color w:val="000000" w:themeColor="text1"/>
          <w:lang w:val="en-AU"/>
        </w:rPr>
        <w:t xml:space="preserve"> </w:t>
      </w:r>
      <w:r w:rsidR="006F1C35">
        <w:rPr>
          <w:color w:val="000000" w:themeColor="text1"/>
          <w:lang w:val="en-AU"/>
        </w:rPr>
        <w:t>BPSD</w:t>
      </w:r>
      <w:r w:rsidR="000B18D8">
        <w:rPr>
          <w:color w:val="000000" w:themeColor="text1"/>
          <w:lang w:val="en-AU"/>
        </w:rPr>
        <w:t>.</w:t>
      </w:r>
      <w:r w:rsidR="003F45F7">
        <w:rPr>
          <w:color w:val="000000" w:themeColor="text1"/>
          <w:lang w:val="en-AU"/>
        </w:rPr>
        <w:t xml:space="preserve"> </w:t>
      </w:r>
      <w:r w:rsidR="000B18D8">
        <w:rPr>
          <w:color w:val="000000" w:themeColor="text1"/>
          <w:lang w:val="en-AU"/>
        </w:rPr>
        <w:t>H</w:t>
      </w:r>
      <w:r w:rsidR="00AE0659">
        <w:rPr>
          <w:color w:val="000000" w:themeColor="text1"/>
          <w:lang w:val="en-AU"/>
        </w:rPr>
        <w:t>owever</w:t>
      </w:r>
      <w:r w:rsidR="000B18D8">
        <w:rPr>
          <w:color w:val="000000" w:themeColor="text1"/>
          <w:lang w:val="en-AU"/>
        </w:rPr>
        <w:t>,</w:t>
      </w:r>
      <w:r w:rsidR="00AE0659">
        <w:rPr>
          <w:color w:val="000000" w:themeColor="text1"/>
          <w:lang w:val="en-AU"/>
        </w:rPr>
        <w:t xml:space="preserve"> </w:t>
      </w:r>
      <w:r w:rsidR="004322DA">
        <w:rPr>
          <w:color w:val="000000" w:themeColor="text1"/>
          <w:lang w:val="en-AU"/>
        </w:rPr>
        <w:t>a secondary factor is the</w:t>
      </w:r>
      <w:r w:rsidR="00774A63">
        <w:rPr>
          <w:color w:val="000000" w:themeColor="text1"/>
          <w:lang w:val="en-AU"/>
        </w:rPr>
        <w:t xml:space="preserve"> co-located design feature of the Program. As discussed in</w:t>
      </w:r>
      <w:r w:rsidR="00953DF7">
        <w:rPr>
          <w:color w:val="000000" w:themeColor="text1"/>
          <w:lang w:val="en-AU"/>
        </w:rPr>
        <w:t xml:space="preserve"> Section</w:t>
      </w:r>
      <w:r w:rsidR="00774A63">
        <w:rPr>
          <w:color w:val="000000" w:themeColor="text1"/>
          <w:lang w:val="en-AU"/>
        </w:rPr>
        <w:t xml:space="preserve"> </w:t>
      </w:r>
      <w:r w:rsidR="00953DF7">
        <w:rPr>
          <w:color w:val="000000" w:themeColor="text1"/>
          <w:lang w:val="en-AU"/>
        </w:rPr>
        <w:fldChar w:fldCharType="begin"/>
      </w:r>
      <w:r w:rsidR="00953DF7">
        <w:rPr>
          <w:color w:val="000000" w:themeColor="text1"/>
          <w:lang w:val="en-AU"/>
        </w:rPr>
        <w:instrText xml:space="preserve"> REF _Ref123904728 \r \h </w:instrText>
      </w:r>
      <w:r w:rsidR="00953DF7">
        <w:rPr>
          <w:color w:val="000000" w:themeColor="text1"/>
          <w:lang w:val="en-AU"/>
        </w:rPr>
      </w:r>
      <w:r w:rsidR="00953DF7">
        <w:rPr>
          <w:color w:val="000000" w:themeColor="text1"/>
          <w:lang w:val="en-AU"/>
        </w:rPr>
        <w:fldChar w:fldCharType="separate"/>
      </w:r>
      <w:r w:rsidR="00D32536">
        <w:rPr>
          <w:color w:val="000000" w:themeColor="text1"/>
          <w:lang w:val="en-AU"/>
        </w:rPr>
        <w:t>5.2</w:t>
      </w:r>
      <w:r w:rsidR="00953DF7">
        <w:rPr>
          <w:color w:val="000000" w:themeColor="text1"/>
          <w:lang w:val="en-AU"/>
        </w:rPr>
        <w:fldChar w:fldCharType="end"/>
      </w:r>
      <w:r w:rsidR="00B930F3">
        <w:rPr>
          <w:color w:val="000000" w:themeColor="text1"/>
          <w:lang w:val="en-AU"/>
        </w:rPr>
        <w:t xml:space="preserve">, </w:t>
      </w:r>
      <w:r w:rsidR="0019759D">
        <w:rPr>
          <w:color w:val="000000" w:themeColor="text1"/>
          <w:lang w:val="en-AU"/>
        </w:rPr>
        <w:t>s</w:t>
      </w:r>
      <w:r w:rsidR="00DE5190" w:rsidRPr="00AF5A79">
        <w:rPr>
          <w:lang w:val="en-AU"/>
        </w:rPr>
        <w:t>takeholders</w:t>
      </w:r>
      <w:r w:rsidR="00DE5190">
        <w:rPr>
          <w:lang w:val="en-AU"/>
        </w:rPr>
        <w:t xml:space="preserve"> </w:t>
      </w:r>
      <w:r w:rsidR="00D61A7A">
        <w:rPr>
          <w:lang w:val="en-AU"/>
        </w:rPr>
        <w:t>noted a</w:t>
      </w:r>
      <w:r w:rsidR="00DE5190" w:rsidRPr="00AF5A79">
        <w:rPr>
          <w:lang w:val="en-AU"/>
        </w:rPr>
        <w:t xml:space="preserve"> </w:t>
      </w:r>
      <w:r w:rsidR="00DE5190">
        <w:rPr>
          <w:lang w:val="en-AU"/>
        </w:rPr>
        <w:t>reluctance</w:t>
      </w:r>
      <w:r w:rsidR="00DE5190" w:rsidRPr="00AF5A79">
        <w:rPr>
          <w:lang w:val="en-AU"/>
        </w:rPr>
        <w:t xml:space="preserve"> among mainstream RACFs to accept p</w:t>
      </w:r>
      <w:r w:rsidR="00DE5190">
        <w:rPr>
          <w:lang w:val="en-AU"/>
        </w:rPr>
        <w:t xml:space="preserve">eople </w:t>
      </w:r>
      <w:r w:rsidR="00DE5190" w:rsidRPr="00AF5A79">
        <w:rPr>
          <w:lang w:val="en-AU"/>
        </w:rPr>
        <w:t>with</w:t>
      </w:r>
      <w:r w:rsidR="00FD0D8F">
        <w:rPr>
          <w:lang w:val="en-AU"/>
        </w:rPr>
        <w:t xml:space="preserve"> </w:t>
      </w:r>
      <w:r w:rsidR="009F7DE1">
        <w:rPr>
          <w:lang w:val="en-AU"/>
        </w:rPr>
        <w:t>very severe</w:t>
      </w:r>
      <w:r w:rsidR="00DE5190" w:rsidRPr="00AF5A79">
        <w:rPr>
          <w:lang w:val="en-AU"/>
        </w:rPr>
        <w:t xml:space="preserve"> </w:t>
      </w:r>
      <w:r w:rsidR="00DE5190">
        <w:rPr>
          <w:lang w:val="en-AU"/>
        </w:rPr>
        <w:t xml:space="preserve">BPSD, even when their symptoms had settled. This can result in </w:t>
      </w:r>
      <w:r w:rsidR="0028056D">
        <w:rPr>
          <w:lang w:val="en-AU"/>
        </w:rPr>
        <w:t xml:space="preserve">a </w:t>
      </w:r>
      <w:r w:rsidR="00DE5190">
        <w:rPr>
          <w:lang w:val="en-AU"/>
        </w:rPr>
        <w:t xml:space="preserve">prolonged </w:t>
      </w:r>
      <w:r w:rsidR="00E41CB0">
        <w:rPr>
          <w:lang w:val="en-AU"/>
        </w:rPr>
        <w:t>multi</w:t>
      </w:r>
      <w:r w:rsidR="003E4805">
        <w:rPr>
          <w:lang w:val="en-AU"/>
        </w:rPr>
        <w:t>-</w:t>
      </w:r>
      <w:r w:rsidR="00E41CB0">
        <w:rPr>
          <w:lang w:val="en-AU"/>
        </w:rPr>
        <w:t xml:space="preserve">year </w:t>
      </w:r>
      <w:r w:rsidR="00DE5190">
        <w:rPr>
          <w:lang w:val="en-AU"/>
        </w:rPr>
        <w:t>stay</w:t>
      </w:r>
      <w:r w:rsidR="00A22075">
        <w:rPr>
          <w:lang w:val="en-AU"/>
        </w:rPr>
        <w:t>s</w:t>
      </w:r>
      <w:r w:rsidR="00DE5190">
        <w:rPr>
          <w:lang w:val="en-AU"/>
        </w:rPr>
        <w:t xml:space="preserve"> in acute care settings. </w:t>
      </w:r>
      <w:r w:rsidR="00B80302">
        <w:rPr>
          <w:lang w:val="en-AU"/>
        </w:rPr>
        <w:t xml:space="preserve">The Program is able to overcome this </w:t>
      </w:r>
      <w:r w:rsidR="002F3545">
        <w:rPr>
          <w:lang w:val="en-AU"/>
        </w:rPr>
        <w:t>challenge</w:t>
      </w:r>
      <w:r w:rsidR="00B80302">
        <w:rPr>
          <w:lang w:val="en-AU"/>
        </w:rPr>
        <w:t xml:space="preserve"> by co-locat</w:t>
      </w:r>
      <w:r w:rsidR="00577422">
        <w:rPr>
          <w:lang w:val="en-AU"/>
        </w:rPr>
        <w:t>ing</w:t>
      </w:r>
      <w:r w:rsidR="00B80302">
        <w:rPr>
          <w:lang w:val="en-AU"/>
        </w:rPr>
        <w:t xml:space="preserve"> the SDCU with</w:t>
      </w:r>
      <w:r w:rsidR="00577422">
        <w:rPr>
          <w:lang w:val="en-AU"/>
        </w:rPr>
        <w:t xml:space="preserve"> </w:t>
      </w:r>
      <w:r w:rsidR="004A62B9">
        <w:rPr>
          <w:lang w:val="en-AU"/>
        </w:rPr>
        <w:t>a</w:t>
      </w:r>
      <w:r w:rsidR="00B80302">
        <w:rPr>
          <w:lang w:val="en-AU"/>
        </w:rPr>
        <w:t xml:space="preserve"> mainstream </w:t>
      </w:r>
      <w:r w:rsidR="00337D7D">
        <w:rPr>
          <w:lang w:val="en-AU"/>
        </w:rPr>
        <w:t>RACF</w:t>
      </w:r>
      <w:r w:rsidR="004A62B9">
        <w:rPr>
          <w:lang w:val="en-AU"/>
        </w:rPr>
        <w:t xml:space="preserve"> </w:t>
      </w:r>
      <w:r w:rsidR="00A0618E">
        <w:rPr>
          <w:lang w:val="en-AU"/>
        </w:rPr>
        <w:t>(</w:t>
      </w:r>
      <w:r w:rsidR="004A62B9">
        <w:rPr>
          <w:lang w:val="en-AU"/>
        </w:rPr>
        <w:t>operated by the same provider</w:t>
      </w:r>
      <w:r w:rsidR="00A0618E">
        <w:rPr>
          <w:lang w:val="en-AU"/>
        </w:rPr>
        <w:t>)</w:t>
      </w:r>
      <w:r w:rsidR="00337D7D">
        <w:rPr>
          <w:lang w:val="en-AU"/>
        </w:rPr>
        <w:t xml:space="preserve"> and offering placement </w:t>
      </w:r>
      <w:r w:rsidR="0034252F">
        <w:rPr>
          <w:lang w:val="en-AU"/>
        </w:rPr>
        <w:t xml:space="preserve">at this facility </w:t>
      </w:r>
      <w:r w:rsidR="00577422">
        <w:rPr>
          <w:lang w:val="en-AU"/>
        </w:rPr>
        <w:t>post</w:t>
      </w:r>
      <w:r w:rsidR="0034252F">
        <w:rPr>
          <w:lang w:val="en-AU"/>
        </w:rPr>
        <w:t>-</w:t>
      </w:r>
      <w:r w:rsidR="00577422">
        <w:rPr>
          <w:lang w:val="en-AU"/>
        </w:rPr>
        <w:t>Program.</w:t>
      </w:r>
      <w:r w:rsidR="007C29DD">
        <w:rPr>
          <w:lang w:val="en-AU"/>
        </w:rPr>
        <w:t xml:space="preserve"> </w:t>
      </w:r>
      <w:r w:rsidR="003B52A9">
        <w:rPr>
          <w:color w:val="000000" w:themeColor="text1"/>
          <w:lang w:val="en-AU"/>
        </w:rPr>
        <w:t>I</w:t>
      </w:r>
      <w:r w:rsidR="00100FDC">
        <w:rPr>
          <w:color w:val="000000" w:themeColor="text1"/>
          <w:lang w:val="en-AU"/>
        </w:rPr>
        <w:t>nternal transitions to</w:t>
      </w:r>
      <w:r w:rsidR="00B05D3D">
        <w:rPr>
          <w:color w:val="000000" w:themeColor="text1"/>
          <w:lang w:val="en-AU"/>
        </w:rPr>
        <w:t xml:space="preserve"> a</w:t>
      </w:r>
      <w:r w:rsidR="00100FDC">
        <w:rPr>
          <w:color w:val="000000" w:themeColor="text1"/>
          <w:lang w:val="en-AU"/>
        </w:rPr>
        <w:t xml:space="preserve"> co-located </w:t>
      </w:r>
      <w:r w:rsidR="00B05D3D">
        <w:rPr>
          <w:color w:val="000000" w:themeColor="text1"/>
          <w:lang w:val="en-AU"/>
        </w:rPr>
        <w:t xml:space="preserve">RACF also aids </w:t>
      </w:r>
      <w:r w:rsidR="00337A56">
        <w:rPr>
          <w:lang w:val="en-AU"/>
        </w:rPr>
        <w:t xml:space="preserve">long-term symptom management as Program staff can more easily support care staff in the </w:t>
      </w:r>
      <w:r w:rsidR="00A5447B">
        <w:rPr>
          <w:lang w:val="en-AU"/>
        </w:rPr>
        <w:t>receiving</w:t>
      </w:r>
      <w:r w:rsidR="00F85E07">
        <w:rPr>
          <w:lang w:val="en-AU"/>
        </w:rPr>
        <w:t xml:space="preserve"> </w:t>
      </w:r>
      <w:r w:rsidR="00A5447B">
        <w:rPr>
          <w:lang w:val="en-AU"/>
        </w:rPr>
        <w:t>facility</w:t>
      </w:r>
      <w:r w:rsidR="00337A56">
        <w:rPr>
          <w:lang w:val="en-AU"/>
        </w:rPr>
        <w:t>.</w:t>
      </w:r>
    </w:p>
    <w:p w14:paraId="29210816" w14:textId="4C2B2495" w:rsidR="00C6489A" w:rsidRPr="00AA5E91" w:rsidRDefault="003B1E26" w:rsidP="0085082F">
      <w:pPr>
        <w:rPr>
          <w:color w:val="000000" w:themeColor="text1"/>
          <w:lang w:val="en-AU"/>
        </w:rPr>
      </w:pPr>
      <w:r>
        <w:rPr>
          <w:color w:val="000000" w:themeColor="text1"/>
          <w:lang w:val="en-AU"/>
        </w:rPr>
        <w:t xml:space="preserve">Given </w:t>
      </w:r>
      <w:r w:rsidR="00DE2F66">
        <w:rPr>
          <w:color w:val="000000" w:themeColor="text1"/>
          <w:lang w:val="en-AU"/>
        </w:rPr>
        <w:t xml:space="preserve">post-Program outcomes </w:t>
      </w:r>
      <w:r w:rsidR="00232F20">
        <w:rPr>
          <w:color w:val="000000" w:themeColor="text1"/>
          <w:lang w:val="en-AU"/>
        </w:rPr>
        <w:t>are a key lever in</w:t>
      </w:r>
      <w:r w:rsidR="00070048">
        <w:rPr>
          <w:color w:val="000000" w:themeColor="text1"/>
          <w:lang w:val="en-AU"/>
        </w:rPr>
        <w:t xml:space="preserve"> demonstrating the</w:t>
      </w:r>
      <w:r w:rsidR="00232F20">
        <w:rPr>
          <w:color w:val="000000" w:themeColor="text1"/>
          <w:lang w:val="en-AU"/>
        </w:rPr>
        <w:t xml:space="preserve"> economic value of the Program, </w:t>
      </w:r>
      <w:r w:rsidR="0085082F">
        <w:rPr>
          <w:color w:val="000000" w:themeColor="text1"/>
          <w:lang w:val="en-AU"/>
        </w:rPr>
        <w:t>effort should be made to collect data on care settings and outcomes for all discharged residents</w:t>
      </w:r>
      <w:r w:rsidR="00EA1A29">
        <w:rPr>
          <w:color w:val="000000" w:themeColor="text1"/>
          <w:lang w:val="en-AU"/>
        </w:rPr>
        <w:t xml:space="preserve"> on a routine basis</w:t>
      </w:r>
      <w:r w:rsidR="0085082F">
        <w:rPr>
          <w:color w:val="000000" w:themeColor="text1"/>
          <w:lang w:val="en-AU"/>
        </w:rPr>
        <w:t xml:space="preserve">. This is discussed further in section </w:t>
      </w:r>
      <w:r w:rsidR="0085082F">
        <w:rPr>
          <w:color w:val="000000" w:themeColor="text1"/>
          <w:lang w:val="en-AU"/>
        </w:rPr>
        <w:fldChar w:fldCharType="begin"/>
      </w:r>
      <w:r w:rsidR="0085082F">
        <w:rPr>
          <w:color w:val="000000" w:themeColor="text1"/>
          <w:lang w:val="en-AU"/>
        </w:rPr>
        <w:instrText xml:space="preserve"> REF _Ref124176166 \r \h </w:instrText>
      </w:r>
      <w:r w:rsidR="0085082F">
        <w:rPr>
          <w:color w:val="000000" w:themeColor="text1"/>
          <w:lang w:val="en-AU"/>
        </w:rPr>
      </w:r>
      <w:r w:rsidR="0085082F">
        <w:rPr>
          <w:color w:val="000000" w:themeColor="text1"/>
          <w:lang w:val="en-AU"/>
        </w:rPr>
        <w:fldChar w:fldCharType="separate"/>
      </w:r>
      <w:r w:rsidR="00D32536">
        <w:rPr>
          <w:color w:val="000000" w:themeColor="text1"/>
          <w:lang w:val="en-AU"/>
        </w:rPr>
        <w:t>9.2</w:t>
      </w:r>
      <w:r w:rsidR="0085082F">
        <w:rPr>
          <w:color w:val="000000" w:themeColor="text1"/>
          <w:lang w:val="en-AU"/>
        </w:rPr>
        <w:fldChar w:fldCharType="end"/>
      </w:r>
      <w:r w:rsidR="0085082F">
        <w:rPr>
          <w:color w:val="000000" w:themeColor="text1"/>
          <w:lang w:val="en-AU"/>
        </w:rPr>
        <w:t>.</w:t>
      </w:r>
    </w:p>
    <w:p w14:paraId="6BD820BE" w14:textId="1083E424" w:rsidR="001A4D79" w:rsidRPr="001A4D79" w:rsidRDefault="0044595C" w:rsidP="001A4D79">
      <w:pPr>
        <w:pStyle w:val="Heading4thematicstatement"/>
        <w:spacing w:after="170"/>
        <w:rPr>
          <w:rFonts w:asciiTheme="majorHAnsi" w:hAnsiTheme="majorHAnsi" w:cstheme="majorHAnsi"/>
        </w:rPr>
      </w:pPr>
      <w:r w:rsidRPr="001A4D79">
        <w:rPr>
          <w:rFonts w:asciiTheme="majorHAnsi" w:hAnsiTheme="majorHAnsi" w:cstheme="majorHAnsi"/>
        </w:rPr>
        <w:t xml:space="preserve">For people with </w:t>
      </w:r>
      <w:r w:rsidR="00D0080B">
        <w:rPr>
          <w:rFonts w:asciiTheme="majorHAnsi" w:hAnsiTheme="majorHAnsi" w:cstheme="majorHAnsi"/>
        </w:rPr>
        <w:t>very</w:t>
      </w:r>
      <w:r w:rsidRPr="001A4D79">
        <w:rPr>
          <w:rFonts w:asciiTheme="majorHAnsi" w:hAnsiTheme="majorHAnsi" w:cstheme="majorHAnsi"/>
        </w:rPr>
        <w:t xml:space="preserve"> severe BPSD, the</w:t>
      </w:r>
      <w:r w:rsidR="006C2607" w:rsidRPr="001A4D79">
        <w:rPr>
          <w:rFonts w:asciiTheme="majorHAnsi" w:hAnsiTheme="majorHAnsi" w:cstheme="majorHAnsi"/>
        </w:rPr>
        <w:t xml:space="preserve"> </w:t>
      </w:r>
      <w:r w:rsidR="00754860" w:rsidRPr="001A4D79">
        <w:rPr>
          <w:rFonts w:asciiTheme="majorHAnsi" w:hAnsiTheme="majorHAnsi" w:cstheme="majorHAnsi"/>
        </w:rPr>
        <w:t xml:space="preserve">Program </w:t>
      </w:r>
      <w:r w:rsidR="00E06710" w:rsidRPr="001A4D79">
        <w:rPr>
          <w:rFonts w:asciiTheme="majorHAnsi" w:hAnsiTheme="majorHAnsi" w:cstheme="majorHAnsi"/>
        </w:rPr>
        <w:t>achieves</w:t>
      </w:r>
      <w:r w:rsidR="003A1F9C" w:rsidRPr="001A4D79">
        <w:rPr>
          <w:rFonts w:asciiTheme="majorHAnsi" w:hAnsiTheme="majorHAnsi" w:cstheme="majorHAnsi"/>
        </w:rPr>
        <w:t xml:space="preserve"> better outcomes</w:t>
      </w:r>
      <w:r w:rsidR="00E06710" w:rsidRPr="001A4D79">
        <w:rPr>
          <w:rFonts w:asciiTheme="majorHAnsi" w:hAnsiTheme="majorHAnsi" w:cstheme="majorHAnsi"/>
        </w:rPr>
        <w:t xml:space="preserve"> and is</w:t>
      </w:r>
      <w:r w:rsidR="006C2607" w:rsidRPr="001A4D79">
        <w:rPr>
          <w:rFonts w:asciiTheme="majorHAnsi" w:hAnsiTheme="majorHAnsi" w:cstheme="majorHAnsi"/>
        </w:rPr>
        <w:t xml:space="preserve"> less expensive to deliver than long-stay psychogeriatric care. </w:t>
      </w:r>
    </w:p>
    <w:p w14:paraId="25884E9D" w14:textId="341A6D42" w:rsidR="006C2607" w:rsidRDefault="00CB3F59" w:rsidP="00B51EE4">
      <w:pPr>
        <w:pStyle w:val="ListNumber"/>
        <w:numPr>
          <w:ilvl w:val="0"/>
          <w:numId w:val="0"/>
        </w:numPr>
        <w:spacing w:after="240"/>
        <w:contextualSpacing w:val="0"/>
        <w:rPr>
          <w:rFonts w:asciiTheme="minorHAnsi" w:hAnsiTheme="minorHAnsi"/>
          <w:color w:val="000000" w:themeColor="text1"/>
          <w:lang w:val="en-AU"/>
        </w:rPr>
      </w:pPr>
      <w:r w:rsidRPr="00CB3F59">
        <w:rPr>
          <w:rFonts w:asciiTheme="minorHAnsi" w:hAnsiTheme="minorHAnsi"/>
          <w:color w:val="000000" w:themeColor="text1"/>
          <w:lang w:val="en-AU"/>
        </w:rPr>
        <w:t xml:space="preserve">While it is noted above that the primary value of the Program is </w:t>
      </w:r>
      <w:r w:rsidR="009C759C">
        <w:rPr>
          <w:rFonts w:asciiTheme="minorHAnsi" w:hAnsiTheme="minorHAnsi"/>
          <w:color w:val="000000" w:themeColor="text1"/>
          <w:lang w:val="en-AU"/>
        </w:rPr>
        <w:t xml:space="preserve">its role in </w:t>
      </w:r>
      <w:r w:rsidR="009C759C" w:rsidRPr="009C759C">
        <w:rPr>
          <w:rFonts w:asciiTheme="minorHAnsi" w:hAnsiTheme="minorHAnsi"/>
          <w:color w:val="000000" w:themeColor="text1"/>
          <w:lang w:val="en-AU"/>
        </w:rPr>
        <w:t>facilitating access to less intensive care settings long-term</w:t>
      </w:r>
      <w:r w:rsidR="008360E6">
        <w:rPr>
          <w:rFonts w:asciiTheme="minorHAnsi" w:hAnsiTheme="minorHAnsi"/>
          <w:color w:val="000000" w:themeColor="text1"/>
          <w:lang w:val="en-AU"/>
        </w:rPr>
        <w:t xml:space="preserve">, it is also noted that </w:t>
      </w:r>
      <w:r w:rsidR="00820AE2">
        <w:rPr>
          <w:rFonts w:asciiTheme="minorHAnsi" w:hAnsiTheme="minorHAnsi"/>
          <w:color w:val="000000" w:themeColor="text1"/>
          <w:lang w:val="en-AU"/>
        </w:rPr>
        <w:t xml:space="preserve">the Program offers cost-savings as </w:t>
      </w:r>
      <w:r w:rsidR="000B190D">
        <w:rPr>
          <w:rFonts w:asciiTheme="minorHAnsi" w:hAnsiTheme="minorHAnsi"/>
          <w:color w:val="000000" w:themeColor="text1"/>
          <w:lang w:val="en-AU"/>
        </w:rPr>
        <w:t>an</w:t>
      </w:r>
      <w:r w:rsidR="00820AE2">
        <w:rPr>
          <w:rFonts w:asciiTheme="minorHAnsi" w:hAnsiTheme="minorHAnsi"/>
          <w:color w:val="000000" w:themeColor="text1"/>
          <w:lang w:val="en-AU"/>
        </w:rPr>
        <w:t xml:space="preserve"> </w:t>
      </w:r>
      <w:r w:rsidR="000B190D">
        <w:rPr>
          <w:rFonts w:asciiTheme="minorHAnsi" w:hAnsiTheme="minorHAnsi"/>
          <w:color w:val="000000" w:themeColor="text1"/>
          <w:lang w:val="en-AU"/>
        </w:rPr>
        <w:t>inpatient psychogeriatric care substitution model</w:t>
      </w:r>
      <w:r w:rsidR="00D23D69">
        <w:rPr>
          <w:rFonts w:asciiTheme="minorHAnsi" w:hAnsiTheme="minorHAnsi"/>
          <w:color w:val="000000" w:themeColor="text1"/>
          <w:lang w:val="en-AU"/>
        </w:rPr>
        <w:t>.</w:t>
      </w:r>
      <w:r w:rsidR="00462EEE">
        <w:rPr>
          <w:rFonts w:asciiTheme="minorHAnsi" w:hAnsiTheme="minorHAnsi"/>
          <w:b/>
          <w:bCs/>
          <w:color w:val="000000" w:themeColor="text1"/>
          <w:lang w:val="en-AU"/>
        </w:rPr>
        <w:t xml:space="preserve"> </w:t>
      </w:r>
      <w:r w:rsidR="00C3748F">
        <w:rPr>
          <w:rFonts w:asciiTheme="minorHAnsi" w:hAnsiTheme="minorHAnsi"/>
          <w:color w:val="000000" w:themeColor="text1"/>
          <w:lang w:val="en-AU"/>
        </w:rPr>
        <w:t>That is,</w:t>
      </w:r>
      <w:r w:rsidR="006C2607" w:rsidRPr="00FB5C53">
        <w:rPr>
          <w:rFonts w:asciiTheme="minorHAnsi" w:hAnsiTheme="minorHAnsi"/>
          <w:color w:val="000000" w:themeColor="text1"/>
          <w:lang w:val="en-AU"/>
        </w:rPr>
        <w:t xml:space="preserve"> the </w:t>
      </w:r>
      <w:r w:rsidR="00455C39">
        <w:rPr>
          <w:rFonts w:asciiTheme="minorHAnsi" w:hAnsiTheme="minorHAnsi"/>
          <w:color w:val="000000" w:themeColor="text1"/>
          <w:lang w:val="en-AU"/>
        </w:rPr>
        <w:t xml:space="preserve">per day </w:t>
      </w:r>
      <w:r w:rsidR="006C2607" w:rsidRPr="00FB5C53">
        <w:rPr>
          <w:rFonts w:asciiTheme="minorHAnsi" w:hAnsiTheme="minorHAnsi"/>
          <w:color w:val="000000" w:themeColor="text1"/>
          <w:lang w:val="en-AU"/>
        </w:rPr>
        <w:t>Program costs associated with delivering specific and targeted care in a</w:t>
      </w:r>
      <w:r w:rsidR="000E21DE">
        <w:rPr>
          <w:rFonts w:asciiTheme="minorHAnsi" w:hAnsiTheme="minorHAnsi"/>
          <w:color w:val="000000" w:themeColor="text1"/>
          <w:lang w:val="en-AU"/>
        </w:rPr>
        <w:t xml:space="preserve"> </w:t>
      </w:r>
      <w:r w:rsidR="00177CDC">
        <w:rPr>
          <w:rFonts w:asciiTheme="minorHAnsi" w:hAnsiTheme="minorHAnsi"/>
          <w:color w:val="000000" w:themeColor="text1"/>
          <w:lang w:val="en-AU"/>
        </w:rPr>
        <w:t>bespoke</w:t>
      </w:r>
      <w:r w:rsidR="006C2607" w:rsidRPr="00FB5C53">
        <w:rPr>
          <w:rFonts w:asciiTheme="minorHAnsi" w:hAnsiTheme="minorHAnsi"/>
          <w:color w:val="000000" w:themeColor="text1"/>
          <w:lang w:val="en-AU"/>
        </w:rPr>
        <w:t xml:space="preserve"> environment for </w:t>
      </w:r>
      <w:r w:rsidR="00C3748F">
        <w:rPr>
          <w:rFonts w:asciiTheme="minorHAnsi" w:hAnsiTheme="minorHAnsi"/>
          <w:color w:val="000000" w:themeColor="text1"/>
          <w:lang w:val="en-AU"/>
        </w:rPr>
        <w:t xml:space="preserve">people with </w:t>
      </w:r>
      <w:r w:rsidR="00723B87">
        <w:rPr>
          <w:rFonts w:asciiTheme="minorHAnsi" w:hAnsiTheme="minorHAnsi"/>
          <w:color w:val="000000" w:themeColor="text1"/>
          <w:lang w:val="en-AU"/>
        </w:rPr>
        <w:t>very</w:t>
      </w:r>
      <w:r w:rsidR="00C3748F">
        <w:rPr>
          <w:rFonts w:asciiTheme="minorHAnsi" w:hAnsiTheme="minorHAnsi"/>
          <w:color w:val="000000" w:themeColor="text1"/>
          <w:lang w:val="en-AU"/>
        </w:rPr>
        <w:t xml:space="preserve"> severe BPSD</w:t>
      </w:r>
      <w:r w:rsidR="006C2607" w:rsidRPr="00FB5C53">
        <w:rPr>
          <w:rFonts w:asciiTheme="minorHAnsi" w:hAnsiTheme="minorHAnsi"/>
          <w:color w:val="000000" w:themeColor="text1"/>
          <w:lang w:val="en-AU"/>
        </w:rPr>
        <w:t xml:space="preserve"> </w:t>
      </w:r>
      <w:r w:rsidR="00236748">
        <w:rPr>
          <w:rFonts w:asciiTheme="minorHAnsi" w:hAnsiTheme="minorHAnsi"/>
          <w:color w:val="000000" w:themeColor="text1"/>
          <w:lang w:val="en-AU"/>
        </w:rPr>
        <w:t xml:space="preserve">is </w:t>
      </w:r>
      <w:r w:rsidR="006C2607" w:rsidRPr="00FB5C53">
        <w:rPr>
          <w:rFonts w:asciiTheme="minorHAnsi" w:hAnsiTheme="minorHAnsi"/>
          <w:color w:val="000000" w:themeColor="text1"/>
          <w:lang w:val="en-AU"/>
        </w:rPr>
        <w:t>well below the funding rate per bed-day for long-stay psychogeriatric care.</w:t>
      </w:r>
      <w:r w:rsidR="001B0B8A">
        <w:rPr>
          <w:rFonts w:asciiTheme="minorHAnsi" w:hAnsiTheme="minorHAnsi"/>
          <w:color w:val="000000" w:themeColor="text1"/>
          <w:lang w:val="en-AU"/>
        </w:rPr>
        <w:t xml:space="preserve"> </w:t>
      </w:r>
      <w:r w:rsidR="0000321A">
        <w:rPr>
          <w:rFonts w:asciiTheme="minorHAnsi" w:hAnsiTheme="minorHAnsi"/>
          <w:color w:val="000000" w:themeColor="text1"/>
          <w:lang w:val="en-AU"/>
        </w:rPr>
        <w:t>I</w:t>
      </w:r>
      <w:r w:rsidR="001B0B8A">
        <w:rPr>
          <w:rFonts w:asciiTheme="minorHAnsi" w:hAnsiTheme="minorHAnsi"/>
          <w:color w:val="000000" w:themeColor="text1"/>
          <w:lang w:val="en-AU"/>
        </w:rPr>
        <w:t>t</w:t>
      </w:r>
      <w:r w:rsidR="00241C24">
        <w:rPr>
          <w:rFonts w:asciiTheme="minorHAnsi" w:hAnsiTheme="minorHAnsi"/>
          <w:color w:val="000000" w:themeColor="text1"/>
          <w:lang w:val="en-AU"/>
        </w:rPr>
        <w:t xml:space="preserve"> delivers these cost-savings </w:t>
      </w:r>
      <w:r w:rsidR="001B0B8A" w:rsidRPr="00961667">
        <w:rPr>
          <w:rFonts w:asciiTheme="minorHAnsi" w:hAnsiTheme="minorHAnsi"/>
          <w:i/>
          <w:color w:val="000000" w:themeColor="text1"/>
          <w:lang w:val="en-AU"/>
        </w:rPr>
        <w:t>in addition</w:t>
      </w:r>
      <w:r w:rsidR="001B0B8A">
        <w:rPr>
          <w:rFonts w:asciiTheme="minorHAnsi" w:hAnsiTheme="minorHAnsi"/>
          <w:color w:val="000000" w:themeColor="text1"/>
          <w:lang w:val="en-AU"/>
        </w:rPr>
        <w:t xml:space="preserve"> to the</w:t>
      </w:r>
      <w:r w:rsidR="00241C24">
        <w:rPr>
          <w:rFonts w:asciiTheme="minorHAnsi" w:hAnsiTheme="minorHAnsi"/>
          <w:color w:val="000000" w:themeColor="text1"/>
          <w:lang w:val="en-AU"/>
        </w:rPr>
        <w:t xml:space="preserve"> </w:t>
      </w:r>
      <w:r w:rsidR="000A72D1">
        <w:rPr>
          <w:rFonts w:asciiTheme="minorHAnsi" w:hAnsiTheme="minorHAnsi"/>
          <w:color w:val="000000" w:themeColor="text1"/>
          <w:lang w:val="en-AU"/>
        </w:rPr>
        <w:t>qualitative</w:t>
      </w:r>
      <w:r w:rsidR="0012088B">
        <w:rPr>
          <w:rFonts w:asciiTheme="minorHAnsi" w:hAnsiTheme="minorHAnsi"/>
          <w:color w:val="000000" w:themeColor="text1"/>
          <w:lang w:val="en-AU"/>
        </w:rPr>
        <w:t xml:space="preserve"> benefits described in Chapter </w:t>
      </w:r>
      <w:r w:rsidR="0012088B">
        <w:rPr>
          <w:rFonts w:asciiTheme="minorHAnsi" w:hAnsiTheme="minorHAnsi"/>
          <w:color w:val="000000" w:themeColor="text1"/>
          <w:lang w:val="en-AU"/>
        </w:rPr>
        <w:fldChar w:fldCharType="begin"/>
      </w:r>
      <w:r w:rsidR="0012088B">
        <w:rPr>
          <w:rFonts w:asciiTheme="minorHAnsi" w:hAnsiTheme="minorHAnsi"/>
          <w:color w:val="000000" w:themeColor="text1"/>
          <w:lang w:val="en-AU"/>
        </w:rPr>
        <w:instrText xml:space="preserve"> REF _Ref125310421 \r \h </w:instrText>
      </w:r>
      <w:r w:rsidR="0012088B">
        <w:rPr>
          <w:rFonts w:asciiTheme="minorHAnsi" w:hAnsiTheme="minorHAnsi"/>
          <w:color w:val="000000" w:themeColor="text1"/>
          <w:lang w:val="en-AU"/>
        </w:rPr>
      </w:r>
      <w:r w:rsidR="0012088B">
        <w:rPr>
          <w:rFonts w:asciiTheme="minorHAnsi" w:hAnsiTheme="minorHAnsi"/>
          <w:color w:val="000000" w:themeColor="text1"/>
          <w:lang w:val="en-AU"/>
        </w:rPr>
        <w:fldChar w:fldCharType="separate"/>
      </w:r>
      <w:r w:rsidR="00D32536">
        <w:rPr>
          <w:rFonts w:asciiTheme="minorHAnsi" w:hAnsiTheme="minorHAnsi"/>
          <w:color w:val="000000" w:themeColor="text1"/>
          <w:lang w:val="en-AU"/>
        </w:rPr>
        <w:t>5</w:t>
      </w:r>
      <w:r w:rsidR="0012088B">
        <w:rPr>
          <w:rFonts w:asciiTheme="minorHAnsi" w:hAnsiTheme="minorHAnsi"/>
          <w:color w:val="000000" w:themeColor="text1"/>
          <w:lang w:val="en-AU"/>
        </w:rPr>
        <w:fldChar w:fldCharType="end"/>
      </w:r>
      <w:r w:rsidR="000A72D1">
        <w:rPr>
          <w:rFonts w:asciiTheme="minorHAnsi" w:hAnsiTheme="minorHAnsi"/>
          <w:color w:val="000000" w:themeColor="text1"/>
          <w:lang w:val="en-AU"/>
        </w:rPr>
        <w:t>.</w:t>
      </w:r>
    </w:p>
    <w:p w14:paraId="61159BBA" w14:textId="594A5058" w:rsidR="00097C6E" w:rsidRPr="0023457F" w:rsidRDefault="00985FA6" w:rsidP="00B51EE4">
      <w:pPr>
        <w:pStyle w:val="ListNumber"/>
        <w:numPr>
          <w:ilvl w:val="0"/>
          <w:numId w:val="0"/>
        </w:numPr>
        <w:spacing w:after="240"/>
        <w:contextualSpacing w:val="0"/>
        <w:rPr>
          <w:rFonts w:asciiTheme="minorHAnsi" w:hAnsiTheme="minorHAnsi"/>
          <w:color w:val="000000" w:themeColor="text1"/>
          <w:lang w:val="en-AU"/>
        </w:rPr>
      </w:pPr>
      <w:bookmarkStart w:id="101" w:name="_Ref123918136"/>
      <w:r>
        <w:rPr>
          <w:rFonts w:asciiTheme="minorHAnsi" w:hAnsiTheme="minorHAnsi"/>
          <w:color w:val="000000" w:themeColor="text1"/>
          <w:lang w:val="en-AU"/>
        </w:rPr>
        <w:t>R</w:t>
      </w:r>
      <w:r w:rsidR="00097C6E" w:rsidRPr="00FB5C53">
        <w:rPr>
          <w:rFonts w:asciiTheme="minorHAnsi" w:hAnsiTheme="minorHAnsi"/>
          <w:color w:val="000000" w:themeColor="text1"/>
          <w:lang w:val="en-AU"/>
        </w:rPr>
        <w:t>eleased capacity of long-stay psychogeriatric care was the largest monetisable Program benefit estimated</w:t>
      </w:r>
      <w:r w:rsidR="006924CA">
        <w:rPr>
          <w:rFonts w:asciiTheme="minorHAnsi" w:hAnsiTheme="minorHAnsi"/>
          <w:color w:val="000000" w:themeColor="text1"/>
          <w:lang w:val="en-AU"/>
        </w:rPr>
        <w:t xml:space="preserve"> across all </w:t>
      </w:r>
      <w:r w:rsidR="00D06D1B">
        <w:rPr>
          <w:rFonts w:asciiTheme="minorHAnsi" w:hAnsiTheme="minorHAnsi"/>
          <w:color w:val="000000" w:themeColor="text1"/>
          <w:lang w:val="en-AU"/>
        </w:rPr>
        <w:t>scenarios</w:t>
      </w:r>
      <w:r w:rsidR="00B973AA">
        <w:rPr>
          <w:rFonts w:asciiTheme="minorHAnsi" w:hAnsiTheme="minorHAnsi"/>
          <w:color w:val="000000" w:themeColor="text1"/>
          <w:lang w:val="en-AU"/>
        </w:rPr>
        <w:t xml:space="preserve"> evaluated</w:t>
      </w:r>
      <w:r w:rsidR="00097C6E" w:rsidRPr="00FB5C53">
        <w:rPr>
          <w:rFonts w:asciiTheme="minorHAnsi" w:hAnsiTheme="minorHAnsi"/>
          <w:color w:val="000000" w:themeColor="text1"/>
          <w:lang w:val="en-AU"/>
        </w:rPr>
        <w:t>.</w:t>
      </w:r>
      <w:r w:rsidR="00097C6E">
        <w:rPr>
          <w:rFonts w:asciiTheme="minorHAnsi" w:hAnsiTheme="minorHAnsi"/>
          <w:color w:val="000000" w:themeColor="text1"/>
          <w:lang w:val="en-AU"/>
        </w:rPr>
        <w:t xml:space="preserve"> This was based on </w:t>
      </w:r>
      <w:r w:rsidR="003A3922">
        <w:rPr>
          <w:rFonts w:asciiTheme="minorHAnsi" w:hAnsiTheme="minorHAnsi"/>
          <w:color w:val="000000" w:themeColor="text1"/>
          <w:lang w:val="en-AU"/>
        </w:rPr>
        <w:t>data that sho</w:t>
      </w:r>
      <w:r w:rsidR="00482CDB">
        <w:rPr>
          <w:rFonts w:asciiTheme="minorHAnsi" w:hAnsiTheme="minorHAnsi"/>
          <w:color w:val="000000" w:themeColor="text1"/>
          <w:lang w:val="en-AU"/>
        </w:rPr>
        <w:t>w</w:t>
      </w:r>
      <w:r w:rsidR="003A3922">
        <w:rPr>
          <w:rFonts w:asciiTheme="minorHAnsi" w:hAnsiTheme="minorHAnsi"/>
          <w:color w:val="000000" w:themeColor="text1"/>
          <w:lang w:val="en-AU"/>
        </w:rPr>
        <w:t xml:space="preserve">ed </w:t>
      </w:r>
      <w:r w:rsidR="00BA341D">
        <w:rPr>
          <w:rFonts w:asciiTheme="minorHAnsi" w:hAnsiTheme="minorHAnsi"/>
          <w:color w:val="000000" w:themeColor="text1"/>
          <w:lang w:val="en-AU"/>
        </w:rPr>
        <w:t xml:space="preserve">55% of </w:t>
      </w:r>
      <w:r w:rsidR="00482CDB">
        <w:rPr>
          <w:rFonts w:asciiTheme="minorHAnsi" w:hAnsiTheme="minorHAnsi"/>
          <w:color w:val="000000" w:themeColor="text1"/>
          <w:lang w:val="en-AU"/>
        </w:rPr>
        <w:t xml:space="preserve">Program </w:t>
      </w:r>
      <w:r w:rsidR="00BA341D">
        <w:rPr>
          <w:rFonts w:asciiTheme="minorHAnsi" w:hAnsiTheme="minorHAnsi"/>
          <w:color w:val="000000" w:themeColor="text1"/>
          <w:lang w:val="en-AU"/>
        </w:rPr>
        <w:t>residents had originated f</w:t>
      </w:r>
      <w:r w:rsidR="00FE3ED8">
        <w:rPr>
          <w:rFonts w:asciiTheme="minorHAnsi" w:hAnsiTheme="minorHAnsi"/>
          <w:color w:val="000000" w:themeColor="text1"/>
          <w:lang w:val="en-AU"/>
        </w:rPr>
        <w:t xml:space="preserve">rom </w:t>
      </w:r>
      <w:r w:rsidR="00D83AD3">
        <w:rPr>
          <w:rFonts w:asciiTheme="minorHAnsi" w:hAnsiTheme="minorHAnsi"/>
          <w:color w:val="000000" w:themeColor="text1"/>
          <w:lang w:val="en-AU"/>
        </w:rPr>
        <w:t xml:space="preserve">inpatient </w:t>
      </w:r>
      <w:r w:rsidR="00FE3ED8" w:rsidRPr="00FB5C53">
        <w:rPr>
          <w:rFonts w:asciiTheme="minorHAnsi" w:hAnsiTheme="minorHAnsi"/>
          <w:color w:val="000000" w:themeColor="text1"/>
          <w:lang w:val="en-AU"/>
        </w:rPr>
        <w:t>psychogeriatric</w:t>
      </w:r>
      <w:r w:rsidR="00FE3ED8">
        <w:rPr>
          <w:rFonts w:asciiTheme="minorHAnsi" w:hAnsiTheme="minorHAnsi"/>
          <w:color w:val="000000" w:themeColor="text1"/>
          <w:lang w:val="en-AU"/>
        </w:rPr>
        <w:t xml:space="preserve"> </w:t>
      </w:r>
      <w:r w:rsidR="00D83AD3">
        <w:rPr>
          <w:rFonts w:asciiTheme="minorHAnsi" w:hAnsiTheme="minorHAnsi"/>
          <w:color w:val="000000" w:themeColor="text1"/>
          <w:lang w:val="en-AU"/>
        </w:rPr>
        <w:t>care settings</w:t>
      </w:r>
      <w:r w:rsidR="007D7B42">
        <w:rPr>
          <w:rFonts w:asciiTheme="minorHAnsi" w:hAnsiTheme="minorHAnsi"/>
          <w:color w:val="000000" w:themeColor="text1"/>
          <w:lang w:val="en-AU"/>
        </w:rPr>
        <w:t xml:space="preserve"> (i.e., subgroup A)</w:t>
      </w:r>
      <w:r w:rsidR="0023457F">
        <w:rPr>
          <w:rFonts w:asciiTheme="minorHAnsi" w:hAnsiTheme="minorHAnsi"/>
          <w:color w:val="000000" w:themeColor="text1"/>
          <w:lang w:val="en-AU"/>
        </w:rPr>
        <w:t xml:space="preserve"> – </w:t>
      </w:r>
      <w:r w:rsidR="00513606">
        <w:rPr>
          <w:rFonts w:asciiTheme="minorHAnsi" w:hAnsiTheme="minorHAnsi"/>
          <w:color w:val="000000" w:themeColor="text1"/>
          <w:lang w:val="en-AU"/>
        </w:rPr>
        <w:t xml:space="preserve">and an assumption </w:t>
      </w:r>
      <w:r>
        <w:rPr>
          <w:rFonts w:asciiTheme="minorHAnsi" w:hAnsiTheme="minorHAnsi"/>
          <w:color w:val="000000" w:themeColor="text1"/>
          <w:lang w:val="en-AU"/>
        </w:rPr>
        <w:t xml:space="preserve">that </w:t>
      </w:r>
      <w:r w:rsidR="00513606">
        <w:rPr>
          <w:rFonts w:asciiTheme="minorHAnsi" w:hAnsiTheme="minorHAnsi"/>
          <w:color w:val="000000" w:themeColor="text1"/>
          <w:lang w:val="en-AU"/>
        </w:rPr>
        <w:t xml:space="preserve">they likely would have </w:t>
      </w:r>
      <w:r w:rsidR="009D68E2">
        <w:rPr>
          <w:rFonts w:asciiTheme="minorHAnsi" w:hAnsiTheme="minorHAnsi"/>
          <w:color w:val="000000" w:themeColor="text1"/>
          <w:lang w:val="en-AU"/>
        </w:rPr>
        <w:t>remained in this setting</w:t>
      </w:r>
      <w:r w:rsidR="00513606">
        <w:rPr>
          <w:rFonts w:asciiTheme="minorHAnsi" w:hAnsiTheme="minorHAnsi"/>
          <w:color w:val="000000" w:themeColor="text1"/>
          <w:lang w:val="en-AU"/>
        </w:rPr>
        <w:t xml:space="preserve"> in the absence of the Program.</w:t>
      </w:r>
      <w:r w:rsidR="004D1CCD">
        <w:rPr>
          <w:rFonts w:asciiTheme="minorHAnsi" w:hAnsiTheme="minorHAnsi"/>
          <w:color w:val="000000" w:themeColor="text1"/>
          <w:lang w:val="en-AU"/>
        </w:rPr>
        <w:t xml:space="preserve"> </w:t>
      </w:r>
    </w:p>
    <w:p w14:paraId="394EA230" w14:textId="06B9C794" w:rsidR="00F2674A" w:rsidRPr="00132678" w:rsidRDefault="0081024B" w:rsidP="00F2674A">
      <w:pPr>
        <w:pStyle w:val="Heading1"/>
      </w:pPr>
      <w:r>
        <w:t xml:space="preserve"> </w:t>
      </w:r>
      <w:bookmarkStart w:id="102" w:name="_Ref124176156"/>
      <w:bookmarkStart w:id="103" w:name="_Toc141714795"/>
      <w:r w:rsidR="00F2674A" w:rsidRPr="00132678">
        <w:t>Program administration</w:t>
      </w:r>
      <w:bookmarkEnd w:id="101"/>
      <w:bookmarkEnd w:id="102"/>
      <w:bookmarkEnd w:id="103"/>
    </w:p>
    <w:p w14:paraId="18B0E654" w14:textId="243DDEC1" w:rsidR="00F2674A" w:rsidRDefault="004E6BE7" w:rsidP="00F2674A">
      <w:pPr>
        <w:pStyle w:val="Sectionintro"/>
      </w:pPr>
      <w:r w:rsidRPr="004E6BE7">
        <w:t>This chapter presents key findings that emerged through evaluation activities as they relate to Program costs and other administrative factors</w:t>
      </w:r>
      <w:r>
        <w:t>.</w:t>
      </w:r>
    </w:p>
    <w:p w14:paraId="5580E4A7" w14:textId="1123B0F3" w:rsidR="00F2674A" w:rsidRDefault="00F2674A" w:rsidP="00F2674A">
      <w:r w:rsidRPr="00C35895">
        <w:t>An assessment of Program administration is explored through the following sub-sections of this chapter</w:t>
      </w:r>
      <w:r w:rsidR="007A0F43">
        <w:t xml:space="preserve">: </w:t>
      </w:r>
    </w:p>
    <w:p w14:paraId="601154B6" w14:textId="0AC2DD44" w:rsidR="003236FE" w:rsidRDefault="003236FE" w:rsidP="008B583D">
      <w:pPr>
        <w:pStyle w:val="ListBullet"/>
        <w:ind w:left="426" w:hanging="426"/>
      </w:pPr>
      <w:r>
        <w:t>general Program administration</w:t>
      </w:r>
      <w:r w:rsidR="009A5CDF">
        <w:t xml:space="preserve"> and governance</w:t>
      </w:r>
    </w:p>
    <w:p w14:paraId="4CD0C717" w14:textId="0D3908C0" w:rsidR="00F2674A" w:rsidRDefault="00F2674A" w:rsidP="008B583D">
      <w:pPr>
        <w:pStyle w:val="ListBullet"/>
        <w:ind w:left="426" w:hanging="426"/>
      </w:pPr>
      <w:r>
        <w:t>data management and reporting systems</w:t>
      </w:r>
    </w:p>
    <w:p w14:paraId="007290D4" w14:textId="685ABEFB" w:rsidR="00F2674A" w:rsidRDefault="0000219C" w:rsidP="008B583D">
      <w:pPr>
        <w:pStyle w:val="ListBullet"/>
        <w:spacing w:after="170"/>
        <w:ind w:left="426" w:hanging="426"/>
        <w:contextualSpacing w:val="0"/>
      </w:pPr>
      <w:r>
        <w:t>Program costs</w:t>
      </w:r>
      <w:r w:rsidR="00F2674A">
        <w:t>.</w:t>
      </w:r>
    </w:p>
    <w:p w14:paraId="5623A258" w14:textId="5AD07110" w:rsidR="00386D6B" w:rsidRDefault="006152D7" w:rsidP="00386D6B">
      <w:pPr>
        <w:pStyle w:val="Charttitle"/>
        <w:spacing w:after="0"/>
        <w:ind w:left="578" w:hanging="578"/>
      </w:pPr>
      <w:r w:rsidRPr="00EF56D2">
        <w:t>Overall Program management</w:t>
      </w:r>
    </w:p>
    <w:p w14:paraId="007B77BB" w14:textId="64CDEF84" w:rsidR="009A5CDF" w:rsidRDefault="006152D7" w:rsidP="00770BCC">
      <w:pPr>
        <w:pStyle w:val="Heading4thematicstatement"/>
        <w:spacing w:after="170"/>
        <w:rPr>
          <w:rFonts w:asciiTheme="majorHAnsi" w:hAnsiTheme="majorHAnsi" w:cstheme="majorHAnsi"/>
        </w:rPr>
      </w:pPr>
      <w:r>
        <w:rPr>
          <w:rFonts w:asciiTheme="majorHAnsi" w:hAnsiTheme="majorHAnsi" w:cstheme="majorHAnsi"/>
        </w:rPr>
        <w:t>Stakeholders were largely satisfied with the overall management of the</w:t>
      </w:r>
      <w:r w:rsidR="00C365F0">
        <w:rPr>
          <w:rFonts w:asciiTheme="majorHAnsi" w:hAnsiTheme="majorHAnsi" w:cstheme="majorHAnsi"/>
        </w:rPr>
        <w:t xml:space="preserve"> Progra</w:t>
      </w:r>
      <w:r>
        <w:rPr>
          <w:rFonts w:asciiTheme="majorHAnsi" w:hAnsiTheme="majorHAnsi" w:cstheme="majorHAnsi"/>
        </w:rPr>
        <w:t>m</w:t>
      </w:r>
      <w:r w:rsidR="0035238A">
        <w:rPr>
          <w:rFonts w:asciiTheme="majorHAnsi" w:hAnsiTheme="majorHAnsi" w:cstheme="majorHAnsi"/>
        </w:rPr>
        <w:t>.</w:t>
      </w:r>
      <w:r>
        <w:rPr>
          <w:rFonts w:asciiTheme="majorHAnsi" w:hAnsiTheme="majorHAnsi" w:cstheme="majorHAnsi"/>
        </w:rPr>
        <w:t xml:space="preserve"> </w:t>
      </w:r>
      <w:r w:rsidR="00875DAE">
        <w:rPr>
          <w:rFonts w:asciiTheme="majorHAnsi" w:hAnsiTheme="majorHAnsi" w:cstheme="majorHAnsi"/>
        </w:rPr>
        <w:t>K</w:t>
      </w:r>
      <w:r>
        <w:rPr>
          <w:rFonts w:asciiTheme="majorHAnsi" w:hAnsiTheme="majorHAnsi" w:cstheme="majorHAnsi"/>
        </w:rPr>
        <w:t xml:space="preserve">ey enablers </w:t>
      </w:r>
      <w:r w:rsidR="00875DAE">
        <w:rPr>
          <w:rFonts w:asciiTheme="majorHAnsi" w:hAnsiTheme="majorHAnsi" w:cstheme="majorHAnsi"/>
        </w:rPr>
        <w:t xml:space="preserve">included </w:t>
      </w:r>
      <w:r>
        <w:rPr>
          <w:rFonts w:asciiTheme="majorHAnsi" w:hAnsiTheme="majorHAnsi" w:cstheme="majorHAnsi"/>
        </w:rPr>
        <w:t xml:space="preserve">early and </w:t>
      </w:r>
      <w:r w:rsidR="00875DAE">
        <w:rPr>
          <w:rFonts w:asciiTheme="majorHAnsi" w:hAnsiTheme="majorHAnsi" w:cstheme="majorHAnsi"/>
        </w:rPr>
        <w:t>regular</w:t>
      </w:r>
      <w:r>
        <w:rPr>
          <w:rFonts w:asciiTheme="majorHAnsi" w:hAnsiTheme="majorHAnsi" w:cstheme="majorHAnsi"/>
        </w:rPr>
        <w:t xml:space="preserve"> engagement between the Department and providers, </w:t>
      </w:r>
      <w:r w:rsidR="00E81184">
        <w:rPr>
          <w:rFonts w:asciiTheme="majorHAnsi" w:hAnsiTheme="majorHAnsi" w:cstheme="majorHAnsi"/>
        </w:rPr>
        <w:t>and</w:t>
      </w:r>
      <w:r>
        <w:rPr>
          <w:rFonts w:asciiTheme="majorHAnsi" w:hAnsiTheme="majorHAnsi" w:cstheme="majorHAnsi"/>
        </w:rPr>
        <w:t xml:space="preserve"> ongoing commitment to knowledge sharing across sites. </w:t>
      </w:r>
    </w:p>
    <w:p w14:paraId="1A65C072" w14:textId="1629329A" w:rsidR="007F3148" w:rsidRDefault="006152D7" w:rsidP="009A5CDF">
      <w:pPr>
        <w:rPr>
          <w:lang w:val="en-AU"/>
        </w:rPr>
      </w:pPr>
      <w:r>
        <w:rPr>
          <w:lang w:val="en-AU"/>
        </w:rPr>
        <w:t xml:space="preserve">Over the course of the Program, stakeholders </w:t>
      </w:r>
      <w:r w:rsidR="00447F3B">
        <w:rPr>
          <w:lang w:val="en-AU"/>
        </w:rPr>
        <w:t>agreed the Department has established positive relationships with providers and</w:t>
      </w:r>
      <w:r w:rsidR="00753710">
        <w:rPr>
          <w:lang w:val="en-AU"/>
        </w:rPr>
        <w:t xml:space="preserve"> strong</w:t>
      </w:r>
      <w:r w:rsidR="00CF7C33">
        <w:rPr>
          <w:lang w:val="en-AU"/>
        </w:rPr>
        <w:t xml:space="preserve"> process</w:t>
      </w:r>
      <w:r w:rsidR="00D300D5">
        <w:rPr>
          <w:lang w:val="en-AU"/>
        </w:rPr>
        <w:t>es</w:t>
      </w:r>
      <w:r w:rsidR="00CF7C33">
        <w:rPr>
          <w:lang w:val="en-AU"/>
        </w:rPr>
        <w:t xml:space="preserve"> to support </w:t>
      </w:r>
      <w:r w:rsidR="00D300D5">
        <w:rPr>
          <w:lang w:val="en-AU"/>
        </w:rPr>
        <w:t>their</w:t>
      </w:r>
      <w:r w:rsidR="00753710">
        <w:rPr>
          <w:lang w:val="en-AU"/>
        </w:rPr>
        <w:t xml:space="preserve"> implementation </w:t>
      </w:r>
      <w:r w:rsidR="00D300D5">
        <w:rPr>
          <w:lang w:val="en-AU"/>
        </w:rPr>
        <w:t xml:space="preserve">of </w:t>
      </w:r>
      <w:r w:rsidR="00753710">
        <w:rPr>
          <w:lang w:val="en-AU"/>
        </w:rPr>
        <w:t xml:space="preserve">the Program. </w:t>
      </w:r>
      <w:r w:rsidR="00650A74">
        <w:rPr>
          <w:lang w:val="en-AU"/>
        </w:rPr>
        <w:t xml:space="preserve">Although the Department’s Program oversight has a compliance component to monitor </w:t>
      </w:r>
      <w:r w:rsidR="00FD5DA9">
        <w:rPr>
          <w:lang w:val="en-AU"/>
        </w:rPr>
        <w:t>SDCUs’</w:t>
      </w:r>
      <w:r w:rsidR="00650A74">
        <w:rPr>
          <w:lang w:val="en-AU"/>
        </w:rPr>
        <w:t xml:space="preserve"> implementation, it also places a strong focus on collaboration and </w:t>
      </w:r>
      <w:r w:rsidR="009F3E8A">
        <w:rPr>
          <w:lang w:val="en-AU"/>
        </w:rPr>
        <w:t xml:space="preserve">empowerment given the </w:t>
      </w:r>
      <w:r w:rsidR="00213382">
        <w:rPr>
          <w:lang w:val="en-AU"/>
        </w:rPr>
        <w:t xml:space="preserve">specialised </w:t>
      </w:r>
      <w:r w:rsidR="009F3E8A">
        <w:rPr>
          <w:lang w:val="en-AU"/>
        </w:rPr>
        <w:t>nature of the Program</w:t>
      </w:r>
      <w:r w:rsidR="00E556F9">
        <w:rPr>
          <w:lang w:val="en-AU"/>
        </w:rPr>
        <w:t>. Themes highlighted</w:t>
      </w:r>
      <w:r w:rsidR="007F3148">
        <w:rPr>
          <w:lang w:val="en-AU"/>
        </w:rPr>
        <w:t xml:space="preserve"> included:</w:t>
      </w:r>
    </w:p>
    <w:p w14:paraId="233B9F0A" w14:textId="3CC4C18F" w:rsidR="007F3148" w:rsidRPr="00D66487" w:rsidRDefault="00DA41DC" w:rsidP="00D66487">
      <w:pPr>
        <w:pStyle w:val="ListParagraph"/>
        <w:numPr>
          <w:ilvl w:val="0"/>
          <w:numId w:val="10"/>
        </w:numPr>
        <w:ind w:left="284" w:hanging="284"/>
        <w:contextualSpacing w:val="0"/>
      </w:pPr>
      <w:r w:rsidRPr="00D66487">
        <w:rPr>
          <w:rFonts w:asciiTheme="majorHAnsi" w:hAnsiTheme="majorHAnsi" w:cstheme="majorHAnsi"/>
          <w:b/>
        </w:rPr>
        <w:t>Early engagement with</w:t>
      </w:r>
      <w:r w:rsidR="000D75C3" w:rsidRPr="00D66487">
        <w:rPr>
          <w:rFonts w:asciiTheme="majorHAnsi" w:hAnsiTheme="majorHAnsi" w:cstheme="majorHAnsi"/>
          <w:b/>
        </w:rPr>
        <w:t xml:space="preserve"> providers.</w:t>
      </w:r>
      <w:r w:rsidR="00905BEC" w:rsidRPr="00D66487">
        <w:t xml:space="preserve"> The Department </w:t>
      </w:r>
      <w:r w:rsidR="00BE2EA4" w:rsidRPr="00D66487">
        <w:t xml:space="preserve">engaged with Phase One sites early to support </w:t>
      </w:r>
      <w:r w:rsidR="008E3812" w:rsidRPr="00D66487">
        <w:t>site</w:t>
      </w:r>
      <w:r w:rsidR="00BE2EA4" w:rsidRPr="00D66487">
        <w:t xml:space="preserve"> readiness </w:t>
      </w:r>
      <w:r w:rsidR="008E3812" w:rsidRPr="00D66487">
        <w:t>prior to opening</w:t>
      </w:r>
      <w:r w:rsidR="005361BD">
        <w:t xml:space="preserve">, </w:t>
      </w:r>
      <w:r w:rsidR="00EC01B0" w:rsidRPr="00D66487">
        <w:t>meet</w:t>
      </w:r>
      <w:r w:rsidR="005361BD">
        <w:t>ing</w:t>
      </w:r>
      <w:r w:rsidR="00EC01B0" w:rsidRPr="00D66487">
        <w:t xml:space="preserve"> with each provider </w:t>
      </w:r>
      <w:r w:rsidR="006001F6">
        <w:t>monthly</w:t>
      </w:r>
      <w:r w:rsidR="00451C65" w:rsidRPr="00D66487">
        <w:t xml:space="preserve">. This was identified as a key enabler to Program management by facilitating a shared understanding </w:t>
      </w:r>
      <w:r w:rsidR="00BD16BA" w:rsidRPr="00D66487">
        <w:t xml:space="preserve">of Program implementation and site requirements, as well as </w:t>
      </w:r>
      <w:r w:rsidR="008E3812" w:rsidRPr="00D66487">
        <w:t>build</w:t>
      </w:r>
      <w:r w:rsidR="00451C65" w:rsidRPr="00D66487">
        <w:t>ing</w:t>
      </w:r>
      <w:r w:rsidR="008E3812" w:rsidRPr="00D66487">
        <w:t xml:space="preserve"> positive relationships and open communication channels </w:t>
      </w:r>
      <w:r w:rsidR="00BD16BA" w:rsidRPr="00D66487">
        <w:t>between the Department and</w:t>
      </w:r>
      <w:r w:rsidR="008E3812" w:rsidRPr="00D66487">
        <w:t xml:space="preserve"> provider</w:t>
      </w:r>
      <w:r w:rsidR="00BD16BA" w:rsidRPr="00D66487">
        <w:t>s.</w:t>
      </w:r>
      <w:r w:rsidR="008204D0" w:rsidRPr="00D66487">
        <w:t xml:space="preserve"> </w:t>
      </w:r>
      <w:r w:rsidR="009737DB">
        <w:t xml:space="preserve">Now that </w:t>
      </w:r>
      <w:r w:rsidR="00426659">
        <w:t>Phase One providers</w:t>
      </w:r>
      <w:r w:rsidR="00C73CC8">
        <w:t xml:space="preserve"> hav</w:t>
      </w:r>
      <w:r w:rsidR="009737DB">
        <w:t xml:space="preserve">e all </w:t>
      </w:r>
      <w:r w:rsidR="00C73CC8">
        <w:t xml:space="preserve">been in operation for </w:t>
      </w:r>
      <w:r w:rsidR="00780DA6">
        <w:t xml:space="preserve">at least </w:t>
      </w:r>
      <w:r w:rsidR="00C73CC8">
        <w:t>18 months</w:t>
      </w:r>
      <w:r w:rsidR="009737DB">
        <w:t>,</w:t>
      </w:r>
      <w:r w:rsidR="00C73CC8">
        <w:t xml:space="preserve"> frequency of engagement </w:t>
      </w:r>
      <w:r w:rsidR="00744DE3">
        <w:t xml:space="preserve">occurs on a </w:t>
      </w:r>
      <w:r w:rsidR="00791CC2">
        <w:t>quarterly basis.</w:t>
      </w:r>
    </w:p>
    <w:p w14:paraId="034D6BCC" w14:textId="0144A27B" w:rsidR="006D36C9" w:rsidRPr="00D66487" w:rsidRDefault="000D75C3" w:rsidP="00D66487">
      <w:pPr>
        <w:pStyle w:val="ListParagraph"/>
        <w:numPr>
          <w:ilvl w:val="0"/>
          <w:numId w:val="10"/>
        </w:numPr>
        <w:ind w:left="284" w:hanging="284"/>
        <w:contextualSpacing w:val="0"/>
      </w:pPr>
      <w:r w:rsidRPr="00D66487">
        <w:rPr>
          <w:rFonts w:asciiTheme="majorHAnsi" w:hAnsiTheme="majorHAnsi" w:cstheme="majorHAnsi"/>
          <w:b/>
        </w:rPr>
        <w:t>Commitment to knowledge-sharing.</w:t>
      </w:r>
      <w:r w:rsidRPr="00D66487">
        <w:t xml:space="preserve"> </w:t>
      </w:r>
      <w:r w:rsidR="006D36C9">
        <w:t xml:space="preserve">The Department established the Community of Practice </w:t>
      </w:r>
      <w:r w:rsidR="00CE5E66">
        <w:t>(C</w:t>
      </w:r>
      <w:r w:rsidR="00DA41DC">
        <w:t>o</w:t>
      </w:r>
      <w:r w:rsidR="00CE5E66">
        <w:t>P)</w:t>
      </w:r>
      <w:r>
        <w:t xml:space="preserve"> </w:t>
      </w:r>
      <w:r w:rsidR="006D36C9">
        <w:t xml:space="preserve">to assist providers in developing support networks and to engage in knowledge sharing. Stakeholders across all SDCUs cited the </w:t>
      </w:r>
      <w:r w:rsidR="00AE3C9B">
        <w:t>C</w:t>
      </w:r>
      <w:r w:rsidR="00DA41DC">
        <w:t>o</w:t>
      </w:r>
      <w:r w:rsidR="00AE3C9B">
        <w:t>P</w:t>
      </w:r>
      <w:r>
        <w:t xml:space="preserve"> a</w:t>
      </w:r>
      <w:r w:rsidR="00DA41DC">
        <w:t>s</w:t>
      </w:r>
      <w:r w:rsidR="006D36C9">
        <w:t xml:space="preserve"> a strength of the Program and noted it has proven effective in providing a forum to share learnings, quality improvement practices and resources</w:t>
      </w:r>
      <w:r w:rsidR="009F6EE4">
        <w:t xml:space="preserve"> – </w:t>
      </w:r>
      <w:r w:rsidR="00DF2CB0">
        <w:t xml:space="preserve">factors that are especially important given the </w:t>
      </w:r>
      <w:r w:rsidR="00A1086D">
        <w:t xml:space="preserve">specialised </w:t>
      </w:r>
      <w:r w:rsidR="00DF2CB0">
        <w:t>nature of the Program</w:t>
      </w:r>
      <w:r>
        <w:t>.</w:t>
      </w:r>
      <w:r w:rsidR="007D071C">
        <w:t xml:space="preserve"> Several stakeholders</w:t>
      </w:r>
      <w:r w:rsidR="00DF0962">
        <w:t xml:space="preserve"> agreed there is a</w:t>
      </w:r>
      <w:r w:rsidR="000F3A1A">
        <w:t>n opportunity</w:t>
      </w:r>
      <w:r w:rsidR="00DF0962">
        <w:t xml:space="preserve"> to </w:t>
      </w:r>
      <w:r w:rsidR="00154D61">
        <w:t xml:space="preserve">use </w:t>
      </w:r>
      <w:r w:rsidR="00BA5E6B">
        <w:t>other</w:t>
      </w:r>
      <w:r w:rsidR="00DF0962">
        <w:t xml:space="preserve"> knowledge</w:t>
      </w:r>
      <w:r w:rsidR="00BA5E6B">
        <w:t xml:space="preserve"> </w:t>
      </w:r>
      <w:r w:rsidR="00E30885">
        <w:t>exchange</w:t>
      </w:r>
      <w:r w:rsidR="00BA5E6B">
        <w:t xml:space="preserve"> mechanisms</w:t>
      </w:r>
      <w:r w:rsidR="00DF0962">
        <w:t xml:space="preserve"> </w:t>
      </w:r>
      <w:r w:rsidR="00BA5E6B">
        <w:t xml:space="preserve">to </w:t>
      </w:r>
      <w:r w:rsidR="000C6EBC">
        <w:t>support</w:t>
      </w:r>
      <w:r w:rsidR="00E02FF1">
        <w:t xml:space="preserve"> </w:t>
      </w:r>
      <w:r w:rsidR="00154D61">
        <w:t>Phase Two</w:t>
      </w:r>
      <w:r w:rsidR="00E02FF1">
        <w:t xml:space="preserve"> providers</w:t>
      </w:r>
      <w:r w:rsidR="00DF0962">
        <w:t xml:space="preserve">. </w:t>
      </w:r>
      <w:r w:rsidR="002F3958">
        <w:t xml:space="preserve">Suggestions </w:t>
      </w:r>
      <w:r w:rsidR="00DF0962">
        <w:t xml:space="preserve">included </w:t>
      </w:r>
      <w:r w:rsidR="00CE5E66">
        <w:t>onboarding workshops for Phase Two sites</w:t>
      </w:r>
      <w:r w:rsidR="00E02FF1">
        <w:t xml:space="preserve"> </w:t>
      </w:r>
      <w:r w:rsidR="00CE5E66">
        <w:t xml:space="preserve">and </w:t>
      </w:r>
      <w:r w:rsidR="00097F7B">
        <w:t xml:space="preserve">a </w:t>
      </w:r>
      <w:r w:rsidR="00E02FF1">
        <w:t xml:space="preserve">resource library </w:t>
      </w:r>
      <w:r w:rsidR="00CE5E66">
        <w:t xml:space="preserve">for providers </w:t>
      </w:r>
      <w:r w:rsidR="00354ABF">
        <w:t xml:space="preserve">to </w:t>
      </w:r>
      <w:r w:rsidR="00CE5E66">
        <w:t xml:space="preserve">access which </w:t>
      </w:r>
      <w:r w:rsidR="00354ABF">
        <w:t>share</w:t>
      </w:r>
      <w:r w:rsidR="00CE5E66">
        <w:t>s</w:t>
      </w:r>
      <w:r w:rsidR="00354ABF">
        <w:t xml:space="preserve"> valuable learnings and </w:t>
      </w:r>
      <w:r w:rsidR="005E488E">
        <w:t>provid</w:t>
      </w:r>
      <w:r w:rsidR="00CE5E66">
        <w:t>es</w:t>
      </w:r>
      <w:r w:rsidR="005E488E">
        <w:t xml:space="preserve"> examples of </w:t>
      </w:r>
      <w:r w:rsidR="00354ABF">
        <w:t>established templates (e.g., care planning, discharge processes, M</w:t>
      </w:r>
      <w:r w:rsidR="00097F7B">
        <w:t>emorandum of Understanding templates</w:t>
      </w:r>
      <w:r w:rsidR="000D7C61">
        <w:t>)</w:t>
      </w:r>
      <w:r w:rsidR="00354ABF">
        <w:t xml:space="preserve">. </w:t>
      </w:r>
    </w:p>
    <w:p w14:paraId="679FFDB8" w14:textId="43FFD521" w:rsidR="00B55102" w:rsidRPr="00B55102" w:rsidRDefault="005B5532" w:rsidP="00B55102">
      <w:pPr>
        <w:rPr>
          <w:lang w:val="en-AU"/>
        </w:rPr>
      </w:pPr>
      <w:r>
        <w:t>In addition, s</w:t>
      </w:r>
      <w:r w:rsidR="00B55102">
        <w:t>takeholders across sites were complementary of the Department’s role in supporting providers. It is noted that the Department has already taken steps to innovate and improve the Program, having responded to several of the recommendations from the previous Interim Report such as implementing a Working Group for in-reach clinicians.</w:t>
      </w:r>
    </w:p>
    <w:p w14:paraId="157D0D92" w14:textId="5B076D99" w:rsidR="006152D7" w:rsidRPr="00EF56D2" w:rsidRDefault="006152D7" w:rsidP="009A5CDF">
      <w:pPr>
        <w:pStyle w:val="Charttitle"/>
        <w:spacing w:after="0"/>
        <w:ind w:left="578" w:hanging="578"/>
      </w:pPr>
      <w:r w:rsidRPr="00EF56D2">
        <w:t>Data management and reporting systems</w:t>
      </w:r>
    </w:p>
    <w:p w14:paraId="3C68A9CE" w14:textId="50BD49F2" w:rsidR="00F2674A" w:rsidRPr="00287BB2" w:rsidRDefault="00BC2DC7" w:rsidP="00770BCC">
      <w:pPr>
        <w:pStyle w:val="Heading4thematicstatement"/>
        <w:spacing w:after="170"/>
        <w:rPr>
          <w:rFonts w:asciiTheme="majorHAnsi" w:hAnsiTheme="majorHAnsi" w:cstheme="majorHAnsi"/>
        </w:rPr>
      </w:pPr>
      <w:r w:rsidRPr="00770BCC">
        <w:rPr>
          <w:rFonts w:asciiTheme="majorHAnsi" w:hAnsiTheme="majorHAnsi" w:cstheme="majorHAnsi"/>
        </w:rPr>
        <w:t xml:space="preserve">Several barriers limited the </w:t>
      </w:r>
      <w:r w:rsidR="00823814" w:rsidRPr="00287BB2">
        <w:rPr>
          <w:rFonts w:asciiTheme="majorHAnsi" w:hAnsiTheme="majorHAnsi" w:cstheme="majorHAnsi"/>
        </w:rPr>
        <w:t>collection</w:t>
      </w:r>
      <w:r w:rsidRPr="00287BB2">
        <w:rPr>
          <w:rFonts w:asciiTheme="majorHAnsi" w:hAnsiTheme="majorHAnsi" w:cstheme="majorHAnsi"/>
        </w:rPr>
        <w:t xml:space="preserve"> of unit</w:t>
      </w:r>
      <w:r w:rsidR="000217E8">
        <w:rPr>
          <w:rFonts w:asciiTheme="majorHAnsi" w:hAnsiTheme="majorHAnsi" w:cstheme="majorHAnsi"/>
        </w:rPr>
        <w:t xml:space="preserve"> </w:t>
      </w:r>
      <w:r w:rsidRPr="00287BB2">
        <w:rPr>
          <w:rFonts w:asciiTheme="majorHAnsi" w:hAnsiTheme="majorHAnsi" w:cstheme="majorHAnsi"/>
        </w:rPr>
        <w:t>record data</w:t>
      </w:r>
      <w:r w:rsidR="00132678" w:rsidRPr="00287BB2">
        <w:rPr>
          <w:rFonts w:asciiTheme="majorHAnsi" w:hAnsiTheme="majorHAnsi" w:cstheme="majorHAnsi"/>
        </w:rPr>
        <w:t xml:space="preserve"> over the length of the Program</w:t>
      </w:r>
      <w:r w:rsidRPr="00287BB2">
        <w:rPr>
          <w:rFonts w:asciiTheme="majorHAnsi" w:hAnsiTheme="majorHAnsi" w:cstheme="majorHAnsi"/>
        </w:rPr>
        <w:t xml:space="preserve">. </w:t>
      </w:r>
      <w:r w:rsidR="00F2674A" w:rsidRPr="00287BB2">
        <w:rPr>
          <w:rFonts w:asciiTheme="majorHAnsi" w:hAnsiTheme="majorHAnsi" w:cstheme="majorHAnsi"/>
        </w:rPr>
        <w:t xml:space="preserve">There is an opportunity to </w:t>
      </w:r>
      <w:r w:rsidR="00A1027B" w:rsidRPr="00287BB2">
        <w:rPr>
          <w:rFonts w:asciiTheme="majorHAnsi" w:hAnsiTheme="majorHAnsi" w:cstheme="majorHAnsi"/>
        </w:rPr>
        <w:t xml:space="preserve">strengthen data management and reporting systems </w:t>
      </w:r>
      <w:r w:rsidR="00823814" w:rsidRPr="00287BB2">
        <w:rPr>
          <w:rFonts w:asciiTheme="majorHAnsi" w:hAnsiTheme="majorHAnsi" w:cstheme="majorHAnsi"/>
        </w:rPr>
        <w:t>within</w:t>
      </w:r>
      <w:r w:rsidR="00A1027B" w:rsidRPr="00287BB2">
        <w:rPr>
          <w:rFonts w:asciiTheme="majorHAnsi" w:hAnsiTheme="majorHAnsi" w:cstheme="majorHAnsi"/>
        </w:rPr>
        <w:t xml:space="preserve"> the Program to increase the type and consistency of data collected and support future evaluation activities. </w:t>
      </w:r>
    </w:p>
    <w:p w14:paraId="22FBD553" w14:textId="4F42762F" w:rsidR="00FD637F" w:rsidRDefault="00FD637F" w:rsidP="00D307CB">
      <w:r>
        <w:t>There was high variation in the secondary data provided by SDCUs in terms of the</w:t>
      </w:r>
      <w:r w:rsidR="00CA7CB7">
        <w:t xml:space="preserve"> </w:t>
      </w:r>
      <w:r>
        <w:t>completeness</w:t>
      </w:r>
      <w:r w:rsidR="00CA7CB7">
        <w:t xml:space="preserve"> and consistency </w:t>
      </w:r>
      <w:r w:rsidR="0039532B">
        <w:t>of client-level data collected</w:t>
      </w:r>
      <w:r>
        <w:t>.</w:t>
      </w:r>
      <w:r w:rsidR="0039532B">
        <w:t xml:space="preserve"> This impacted the extent to which </w:t>
      </w:r>
      <w:r w:rsidR="0040133A">
        <w:t xml:space="preserve">clinical incidents and outcomes </w:t>
      </w:r>
      <w:r w:rsidR="0039532B">
        <w:t xml:space="preserve">could be </w:t>
      </w:r>
      <w:r w:rsidR="0040133A">
        <w:t>analysed</w:t>
      </w:r>
      <w:r w:rsidR="00B617DB">
        <w:t xml:space="preserve"> to quantify</w:t>
      </w:r>
      <w:r w:rsidR="0039532B">
        <w:t xml:space="preserve"> change</w:t>
      </w:r>
      <w:r w:rsidR="00E038CD">
        <w:t xml:space="preserve">s </w:t>
      </w:r>
      <w:r w:rsidR="0039532B">
        <w:t>over time and</w:t>
      </w:r>
      <w:r w:rsidR="00B617DB">
        <w:t xml:space="preserve"> identify</w:t>
      </w:r>
      <w:r w:rsidR="0039532B">
        <w:t xml:space="preserve"> </w:t>
      </w:r>
      <w:r w:rsidR="00B617DB">
        <w:t>trends</w:t>
      </w:r>
      <w:r w:rsidR="0039532B">
        <w:t xml:space="preserve"> across sites. </w:t>
      </w:r>
      <w:r w:rsidR="000217E8">
        <w:fldChar w:fldCharType="begin"/>
      </w:r>
      <w:r w:rsidR="000217E8">
        <w:instrText xml:space="preserve"> REF _Ref125368094 \h </w:instrText>
      </w:r>
      <w:r w:rsidR="000217E8">
        <w:fldChar w:fldCharType="separate"/>
      </w:r>
      <w:r w:rsidR="00D32536">
        <w:t xml:space="preserve">Table </w:t>
      </w:r>
      <w:r w:rsidR="00D32536">
        <w:rPr>
          <w:noProof/>
        </w:rPr>
        <w:t>7</w:t>
      </w:r>
      <w:r w:rsidR="00D32536">
        <w:t>.</w:t>
      </w:r>
      <w:r w:rsidR="00D32536">
        <w:rPr>
          <w:noProof/>
        </w:rPr>
        <w:t>1</w:t>
      </w:r>
      <w:r w:rsidR="000217E8">
        <w:fldChar w:fldCharType="end"/>
      </w:r>
      <w:r>
        <w:t xml:space="preserve"> summarises the key limitations </w:t>
      </w:r>
      <w:r w:rsidR="00FC0474">
        <w:t xml:space="preserve">with </w:t>
      </w:r>
      <w:r w:rsidR="000B1B8D">
        <w:t xml:space="preserve">client-level data collected </w:t>
      </w:r>
      <w:r w:rsidR="00FC0474">
        <w:t>and the implication on data analysis.</w:t>
      </w:r>
      <w:r w:rsidR="0039532B">
        <w:t xml:space="preserve"> </w:t>
      </w:r>
    </w:p>
    <w:p w14:paraId="77F6E153" w14:textId="10438D1D" w:rsidR="00D307CB" w:rsidRDefault="001D2192" w:rsidP="000217E8">
      <w:pPr>
        <w:pStyle w:val="Caption"/>
      </w:pPr>
      <w:bookmarkStart w:id="104" w:name="_Ref125368094"/>
      <w:r>
        <w:t>Table</w:t>
      </w:r>
      <w:r w:rsidR="009E2053">
        <w:t xml:space="preserve"> </w:t>
      </w:r>
      <w:r w:rsidR="005B7353">
        <w:fldChar w:fldCharType="begin"/>
      </w:r>
      <w:r w:rsidR="005B7353">
        <w:instrText xml:space="preserve"> STYLEREF 1 \s </w:instrText>
      </w:r>
      <w:r w:rsidR="005B7353">
        <w:fldChar w:fldCharType="separate"/>
      </w:r>
      <w:r w:rsidR="00D32536">
        <w:rPr>
          <w:noProof/>
        </w:rPr>
        <w:t>7</w:t>
      </w:r>
      <w:r w:rsidR="005B7353">
        <w:fldChar w:fldCharType="end"/>
      </w:r>
      <w:r w:rsidR="005B7353">
        <w:t>.</w:t>
      </w:r>
      <w:r w:rsidR="005B7353">
        <w:fldChar w:fldCharType="begin"/>
      </w:r>
      <w:r w:rsidR="005B7353">
        <w:instrText xml:space="preserve"> SEQ Table \* ARABIC \s 1 </w:instrText>
      </w:r>
      <w:r w:rsidR="005B7353">
        <w:fldChar w:fldCharType="separate"/>
      </w:r>
      <w:r w:rsidR="00D32536">
        <w:rPr>
          <w:noProof/>
        </w:rPr>
        <w:t>1</w:t>
      </w:r>
      <w:r w:rsidR="005B7353">
        <w:fldChar w:fldCharType="end"/>
      </w:r>
      <w:bookmarkEnd w:id="104"/>
      <w:r w:rsidR="008A5C74">
        <w:t xml:space="preserve"> </w:t>
      </w:r>
      <w:r w:rsidR="00C12989">
        <w:t xml:space="preserve">Limitations with the client-level </w:t>
      </w:r>
      <w:r w:rsidR="008A5C74">
        <w:t xml:space="preserve">data </w:t>
      </w:r>
      <w:r w:rsidR="00C12989">
        <w:t>provided by</w:t>
      </w:r>
      <w:r w:rsidR="008A5C74">
        <w:t xml:space="preserve"> SDCUs</w:t>
      </w:r>
    </w:p>
    <w:tbl>
      <w:tblPr>
        <w:tblStyle w:val="Deloittetable"/>
        <w:tblW w:w="5000" w:type="pct"/>
        <w:tblLook w:val="04A0" w:firstRow="1" w:lastRow="0" w:firstColumn="1" w:lastColumn="0" w:noHBand="0" w:noVBand="1"/>
      </w:tblPr>
      <w:tblGrid>
        <w:gridCol w:w="2834"/>
        <w:gridCol w:w="7118"/>
      </w:tblGrid>
      <w:tr w:rsidR="00FD637F" w:rsidRPr="008C740D" w14:paraId="41D209A7" w14:textId="77777777" w:rsidTr="009A1F6F">
        <w:trPr>
          <w:cnfStyle w:val="100000000000" w:firstRow="1" w:lastRow="0" w:firstColumn="0" w:lastColumn="0" w:oddVBand="0" w:evenVBand="0" w:oddHBand="0" w:evenHBand="0" w:firstRowFirstColumn="0" w:firstRowLastColumn="0" w:lastRowFirstColumn="0" w:lastRowLastColumn="0"/>
          <w:trHeight w:val="156"/>
        </w:trPr>
        <w:tc>
          <w:tcPr>
            <w:tcW w:w="1424" w:type="pct"/>
          </w:tcPr>
          <w:p w14:paraId="41C64C4A" w14:textId="77777777" w:rsidR="00FD637F" w:rsidRPr="009A1F6F" w:rsidRDefault="00FD637F" w:rsidP="00650190">
            <w:pPr>
              <w:spacing w:after="0"/>
              <w:rPr>
                <w:rFonts w:asciiTheme="majorHAnsi" w:hAnsiTheme="majorHAnsi" w:cstheme="majorHAnsi"/>
                <w:b/>
                <w:sz w:val="18"/>
                <w:szCs w:val="20"/>
              </w:rPr>
            </w:pPr>
            <w:r w:rsidRPr="009A1F6F">
              <w:rPr>
                <w:rFonts w:asciiTheme="majorHAnsi" w:hAnsiTheme="majorHAnsi" w:cstheme="majorHAnsi"/>
                <w:b/>
                <w:sz w:val="18"/>
                <w:szCs w:val="20"/>
              </w:rPr>
              <w:t>Variable name</w:t>
            </w:r>
          </w:p>
        </w:tc>
        <w:tc>
          <w:tcPr>
            <w:tcW w:w="3576" w:type="pct"/>
          </w:tcPr>
          <w:p w14:paraId="6F699DA7" w14:textId="2EDCBEFC" w:rsidR="00FD637F" w:rsidRPr="009A1F6F" w:rsidRDefault="00DA1A9D" w:rsidP="00650190">
            <w:pPr>
              <w:spacing w:after="0"/>
              <w:rPr>
                <w:rFonts w:asciiTheme="majorHAnsi" w:hAnsiTheme="majorHAnsi" w:cstheme="majorHAnsi"/>
                <w:b/>
                <w:sz w:val="18"/>
                <w:szCs w:val="20"/>
              </w:rPr>
            </w:pPr>
            <w:r w:rsidRPr="009A1F6F">
              <w:rPr>
                <w:rFonts w:asciiTheme="majorHAnsi" w:hAnsiTheme="majorHAnsi" w:cstheme="majorHAnsi"/>
                <w:b/>
                <w:sz w:val="18"/>
                <w:szCs w:val="20"/>
              </w:rPr>
              <w:t>Key l</w:t>
            </w:r>
            <w:r w:rsidR="00FD637F" w:rsidRPr="009A1F6F">
              <w:rPr>
                <w:rFonts w:asciiTheme="majorHAnsi" w:hAnsiTheme="majorHAnsi" w:cstheme="majorHAnsi"/>
                <w:b/>
                <w:sz w:val="18"/>
                <w:szCs w:val="20"/>
              </w:rPr>
              <w:t>imitations with data collection</w:t>
            </w:r>
          </w:p>
        </w:tc>
      </w:tr>
      <w:tr w:rsidR="00FD637F" w:rsidRPr="008C740D" w14:paraId="0E702922" w14:textId="77777777" w:rsidTr="009A1F6F">
        <w:trPr>
          <w:trHeight w:val="536"/>
        </w:trPr>
        <w:tc>
          <w:tcPr>
            <w:tcW w:w="1424" w:type="pct"/>
          </w:tcPr>
          <w:p w14:paraId="657E1E6B" w14:textId="77777777" w:rsidR="00FD637F" w:rsidRPr="009A1F6F" w:rsidRDefault="00FD637F" w:rsidP="00650190">
            <w:pPr>
              <w:spacing w:after="0"/>
              <w:rPr>
                <w:rFonts w:asciiTheme="majorHAnsi" w:hAnsiTheme="majorHAnsi" w:cstheme="majorHAnsi"/>
                <w:b/>
                <w:sz w:val="18"/>
                <w:szCs w:val="20"/>
              </w:rPr>
            </w:pPr>
            <w:r w:rsidRPr="009A1F6F">
              <w:rPr>
                <w:rFonts w:asciiTheme="majorHAnsi" w:hAnsiTheme="majorHAnsi" w:cstheme="majorHAnsi"/>
                <w:b/>
                <w:sz w:val="18"/>
                <w:szCs w:val="20"/>
              </w:rPr>
              <w:t>Client profile and admissi</w:t>
            </w:r>
            <w:r w:rsidR="00650190" w:rsidRPr="009A1F6F">
              <w:rPr>
                <w:rFonts w:asciiTheme="majorHAnsi" w:hAnsiTheme="majorHAnsi" w:cstheme="majorHAnsi"/>
                <w:b/>
                <w:sz w:val="18"/>
                <w:szCs w:val="20"/>
              </w:rPr>
              <w:t>on</w:t>
            </w:r>
          </w:p>
          <w:p w14:paraId="31C91A6B" w14:textId="51BE0155" w:rsidR="00650190" w:rsidRPr="008C740D" w:rsidRDefault="00650190" w:rsidP="00650190">
            <w:pPr>
              <w:spacing w:after="0"/>
              <w:rPr>
                <w:b/>
                <w:sz w:val="18"/>
                <w:szCs w:val="20"/>
              </w:rPr>
            </w:pPr>
            <w:r w:rsidRPr="008C740D">
              <w:rPr>
                <w:sz w:val="18"/>
                <w:szCs w:val="20"/>
              </w:rPr>
              <w:t>(E.g.</w:t>
            </w:r>
            <w:r w:rsidR="00AE00AA">
              <w:rPr>
                <w:sz w:val="18"/>
                <w:szCs w:val="20"/>
              </w:rPr>
              <w:t>,</w:t>
            </w:r>
            <w:r w:rsidRPr="008C740D">
              <w:rPr>
                <w:sz w:val="18"/>
                <w:szCs w:val="20"/>
              </w:rPr>
              <w:t xml:space="preserve"> DOB, gender, admission date, special needs category, discharge date, reason for discharge and discharge facility)</w:t>
            </w:r>
          </w:p>
        </w:tc>
        <w:tc>
          <w:tcPr>
            <w:tcW w:w="3576" w:type="pct"/>
          </w:tcPr>
          <w:p w14:paraId="68B9C706" w14:textId="1BEE8DF3" w:rsidR="00054456" w:rsidRPr="008C740D" w:rsidRDefault="00054456" w:rsidP="00C063DC">
            <w:pPr>
              <w:pStyle w:val="ListParagraph"/>
              <w:numPr>
                <w:ilvl w:val="0"/>
                <w:numId w:val="11"/>
              </w:numPr>
              <w:spacing w:after="0"/>
              <w:ind w:left="321" w:hanging="284"/>
              <w:rPr>
                <w:b/>
                <w:bCs/>
                <w:sz w:val="18"/>
                <w:szCs w:val="20"/>
              </w:rPr>
            </w:pPr>
            <w:r w:rsidRPr="008C740D">
              <w:rPr>
                <w:sz w:val="18"/>
                <w:szCs w:val="20"/>
              </w:rPr>
              <w:t xml:space="preserve">Some sites only provided information on residents </w:t>
            </w:r>
            <w:r w:rsidR="000B1B8D" w:rsidRPr="008C740D">
              <w:rPr>
                <w:sz w:val="18"/>
                <w:szCs w:val="20"/>
              </w:rPr>
              <w:t>over a</w:t>
            </w:r>
            <w:r w:rsidR="00B512EC" w:rsidRPr="008C740D">
              <w:rPr>
                <w:sz w:val="18"/>
                <w:szCs w:val="20"/>
              </w:rPr>
              <w:t xml:space="preserve"> </w:t>
            </w:r>
            <w:r w:rsidR="004F1E5D">
              <w:rPr>
                <w:sz w:val="18"/>
                <w:szCs w:val="20"/>
              </w:rPr>
              <w:t>six-month</w:t>
            </w:r>
            <w:r w:rsidR="000B1B8D" w:rsidRPr="008C740D">
              <w:rPr>
                <w:sz w:val="18"/>
                <w:szCs w:val="20"/>
              </w:rPr>
              <w:t xml:space="preserve"> period</w:t>
            </w:r>
            <w:r w:rsidRPr="008C740D">
              <w:rPr>
                <w:sz w:val="18"/>
                <w:szCs w:val="20"/>
              </w:rPr>
              <w:t>. One site did not provide any client profile and admission data.</w:t>
            </w:r>
          </w:p>
          <w:p w14:paraId="0E6145BE" w14:textId="77777777" w:rsidR="00DA1A9D" w:rsidRPr="00D4442C" w:rsidRDefault="00DA1A9D" w:rsidP="00C063DC">
            <w:pPr>
              <w:pStyle w:val="ListParagraph"/>
              <w:numPr>
                <w:ilvl w:val="0"/>
                <w:numId w:val="11"/>
              </w:numPr>
              <w:spacing w:after="0"/>
              <w:ind w:left="321" w:hanging="284"/>
              <w:rPr>
                <w:b/>
                <w:bCs/>
                <w:sz w:val="18"/>
                <w:szCs w:val="20"/>
              </w:rPr>
            </w:pPr>
            <w:r w:rsidRPr="008C740D">
              <w:rPr>
                <w:sz w:val="18"/>
                <w:szCs w:val="20"/>
              </w:rPr>
              <w:t xml:space="preserve">For a small number of sites, the admission and discharge data provided did not reconcile with occupancy data provided in the six-monthly performance reports. </w:t>
            </w:r>
          </w:p>
          <w:p w14:paraId="32BCC221" w14:textId="0AD147D2" w:rsidR="00DA1A9D" w:rsidRPr="008C740D" w:rsidRDefault="00D4442C" w:rsidP="00C063DC">
            <w:pPr>
              <w:pStyle w:val="ListParagraph"/>
              <w:numPr>
                <w:ilvl w:val="0"/>
                <w:numId w:val="11"/>
              </w:numPr>
              <w:spacing w:after="0"/>
              <w:ind w:left="321" w:hanging="284"/>
              <w:rPr>
                <w:b/>
                <w:bCs/>
                <w:sz w:val="18"/>
                <w:szCs w:val="20"/>
              </w:rPr>
            </w:pPr>
            <w:r w:rsidRPr="008110F1">
              <w:rPr>
                <w:sz w:val="18"/>
                <w:szCs w:val="20"/>
              </w:rPr>
              <w:t>The majority of sites did not provide consistent data on special needs categories</w:t>
            </w:r>
            <w:r w:rsidR="009E2053" w:rsidRPr="008110F1">
              <w:rPr>
                <w:sz w:val="18"/>
                <w:szCs w:val="20"/>
              </w:rPr>
              <w:t>, which limited the ability to analyse levels of access to the Program across different client groups (such as r</w:t>
            </w:r>
            <w:r w:rsidR="001558FB">
              <w:rPr>
                <w:sz w:val="18"/>
                <w:szCs w:val="20"/>
              </w:rPr>
              <w:t>egional, r</w:t>
            </w:r>
            <w:r w:rsidR="009E2053" w:rsidRPr="008110F1">
              <w:rPr>
                <w:sz w:val="18"/>
                <w:szCs w:val="20"/>
              </w:rPr>
              <w:t xml:space="preserve">ural and remote, Aboriginal and Torres Strait Islander, culturally and linguistically diverse). </w:t>
            </w:r>
          </w:p>
        </w:tc>
      </w:tr>
      <w:tr w:rsidR="00FD637F" w:rsidRPr="008C740D" w14:paraId="043B04E4" w14:textId="77777777" w:rsidTr="009A1F6F">
        <w:trPr>
          <w:trHeight w:val="504"/>
        </w:trPr>
        <w:tc>
          <w:tcPr>
            <w:tcW w:w="1424" w:type="pct"/>
          </w:tcPr>
          <w:p w14:paraId="790F9ABF" w14:textId="77777777" w:rsidR="00FD637F" w:rsidRPr="009A1F6F" w:rsidRDefault="00FD637F" w:rsidP="00650190">
            <w:pPr>
              <w:spacing w:after="0"/>
              <w:rPr>
                <w:rFonts w:asciiTheme="majorHAnsi" w:hAnsiTheme="majorHAnsi" w:cstheme="majorHAnsi"/>
                <w:b/>
                <w:sz w:val="18"/>
                <w:szCs w:val="20"/>
              </w:rPr>
            </w:pPr>
            <w:r w:rsidRPr="009A1F6F">
              <w:rPr>
                <w:rFonts w:asciiTheme="majorHAnsi" w:hAnsiTheme="majorHAnsi" w:cstheme="majorHAnsi"/>
                <w:b/>
                <w:sz w:val="18"/>
                <w:szCs w:val="20"/>
              </w:rPr>
              <w:t>Clinical incidents</w:t>
            </w:r>
          </w:p>
          <w:p w14:paraId="7FE6B937" w14:textId="203305B4" w:rsidR="00DA1A9D" w:rsidRPr="008C740D" w:rsidRDefault="00DA1A9D" w:rsidP="00650190">
            <w:pPr>
              <w:spacing w:after="0"/>
              <w:rPr>
                <w:b/>
                <w:sz w:val="18"/>
                <w:szCs w:val="20"/>
              </w:rPr>
            </w:pPr>
            <w:r w:rsidRPr="008C740D">
              <w:rPr>
                <w:sz w:val="18"/>
                <w:szCs w:val="20"/>
              </w:rPr>
              <w:t>(E.g.</w:t>
            </w:r>
            <w:r w:rsidR="00AE00AA">
              <w:rPr>
                <w:sz w:val="18"/>
                <w:szCs w:val="20"/>
              </w:rPr>
              <w:t>,</w:t>
            </w:r>
            <w:r w:rsidRPr="008C740D">
              <w:rPr>
                <w:sz w:val="18"/>
                <w:szCs w:val="20"/>
              </w:rPr>
              <w:t xml:space="preserve"> use of restraints, as well as the number and severity of falls, wounds, infections, pressure injuries</w:t>
            </w:r>
            <w:r w:rsidR="000B1B8D" w:rsidRPr="008C740D">
              <w:rPr>
                <w:sz w:val="18"/>
                <w:szCs w:val="20"/>
              </w:rPr>
              <w:t xml:space="preserve"> and </w:t>
            </w:r>
            <w:r w:rsidRPr="008C740D">
              <w:rPr>
                <w:sz w:val="18"/>
                <w:szCs w:val="20"/>
              </w:rPr>
              <w:t>behaviours of concer</w:t>
            </w:r>
            <w:r w:rsidR="000B1B8D" w:rsidRPr="008C740D">
              <w:rPr>
                <w:sz w:val="18"/>
                <w:szCs w:val="20"/>
              </w:rPr>
              <w:t>n</w:t>
            </w:r>
            <w:r w:rsidRPr="008C740D">
              <w:rPr>
                <w:sz w:val="18"/>
                <w:szCs w:val="20"/>
              </w:rPr>
              <w:t>)</w:t>
            </w:r>
          </w:p>
        </w:tc>
        <w:tc>
          <w:tcPr>
            <w:tcW w:w="3576" w:type="pct"/>
          </w:tcPr>
          <w:p w14:paraId="515C7834" w14:textId="3227DC5B" w:rsidR="00FD637F" w:rsidRPr="008C740D" w:rsidRDefault="00FD637F" w:rsidP="00C063DC">
            <w:pPr>
              <w:pStyle w:val="ListParagraph"/>
              <w:numPr>
                <w:ilvl w:val="0"/>
                <w:numId w:val="11"/>
              </w:numPr>
              <w:spacing w:after="0"/>
              <w:ind w:left="321" w:hanging="284"/>
              <w:rPr>
                <w:sz w:val="18"/>
                <w:szCs w:val="20"/>
              </w:rPr>
            </w:pPr>
            <w:r w:rsidRPr="008C740D">
              <w:rPr>
                <w:sz w:val="18"/>
                <w:szCs w:val="20"/>
              </w:rPr>
              <w:t>Approximately five sites</w:t>
            </w:r>
            <w:r w:rsidRPr="008C740D">
              <w:rPr>
                <w:rStyle w:val="FootnoteReference"/>
                <w:sz w:val="18"/>
                <w:szCs w:val="20"/>
              </w:rPr>
              <w:footnoteReference w:id="25"/>
            </w:r>
            <w:r w:rsidRPr="008C740D">
              <w:rPr>
                <w:sz w:val="18"/>
                <w:szCs w:val="20"/>
              </w:rPr>
              <w:t xml:space="preserve"> provided clinical incident data at a unit record level over their entire operating period.</w:t>
            </w:r>
            <w:r w:rsidR="008532B2">
              <w:rPr>
                <w:sz w:val="18"/>
                <w:szCs w:val="20"/>
              </w:rPr>
              <w:t xml:space="preserve"> </w:t>
            </w:r>
            <w:r w:rsidR="008532B2" w:rsidRPr="008C740D">
              <w:rPr>
                <w:sz w:val="18"/>
                <w:szCs w:val="20"/>
              </w:rPr>
              <w:t>One site did not provide any clinical incident data.</w:t>
            </w:r>
          </w:p>
          <w:p w14:paraId="2FF92631" w14:textId="30CF74AC" w:rsidR="00B5565E" w:rsidRPr="008C740D" w:rsidRDefault="00FD637F" w:rsidP="00C063DC">
            <w:pPr>
              <w:pStyle w:val="ListParagraph"/>
              <w:numPr>
                <w:ilvl w:val="0"/>
                <w:numId w:val="11"/>
              </w:numPr>
              <w:spacing w:after="0"/>
              <w:ind w:left="321" w:hanging="284"/>
              <w:rPr>
                <w:sz w:val="18"/>
                <w:szCs w:val="20"/>
              </w:rPr>
            </w:pPr>
            <w:r w:rsidRPr="008C740D">
              <w:rPr>
                <w:sz w:val="18"/>
                <w:szCs w:val="20"/>
              </w:rPr>
              <w:t xml:space="preserve">Some sites provided a severity score for each clinical incident however, the approach to classifying the severity varied across sites. </w:t>
            </w:r>
          </w:p>
        </w:tc>
      </w:tr>
      <w:tr w:rsidR="000B1B8D" w:rsidRPr="008C740D" w14:paraId="02F15CAB" w14:textId="77777777" w:rsidTr="009A1F6F">
        <w:trPr>
          <w:trHeight w:val="520"/>
        </w:trPr>
        <w:tc>
          <w:tcPr>
            <w:tcW w:w="1424" w:type="pct"/>
          </w:tcPr>
          <w:p w14:paraId="4ED056EF" w14:textId="77777777" w:rsidR="000B1B8D" w:rsidRPr="009A1F6F" w:rsidRDefault="000B1B8D" w:rsidP="00650190">
            <w:pPr>
              <w:spacing w:after="0"/>
              <w:rPr>
                <w:rFonts w:asciiTheme="majorHAnsi" w:hAnsiTheme="majorHAnsi" w:cstheme="majorHAnsi"/>
                <w:b/>
                <w:sz w:val="18"/>
                <w:szCs w:val="20"/>
              </w:rPr>
            </w:pPr>
            <w:r w:rsidRPr="009A1F6F">
              <w:rPr>
                <w:rFonts w:asciiTheme="majorHAnsi" w:hAnsiTheme="majorHAnsi" w:cstheme="majorHAnsi"/>
                <w:b/>
                <w:sz w:val="18"/>
                <w:szCs w:val="20"/>
              </w:rPr>
              <w:t>Medication variances</w:t>
            </w:r>
          </w:p>
          <w:p w14:paraId="3BAFA12E" w14:textId="4E5A17FA" w:rsidR="000B1B8D" w:rsidRPr="008C740D" w:rsidRDefault="00206170" w:rsidP="00650190">
            <w:pPr>
              <w:spacing w:after="0"/>
              <w:rPr>
                <w:b/>
                <w:sz w:val="18"/>
                <w:szCs w:val="20"/>
              </w:rPr>
            </w:pPr>
            <w:r w:rsidRPr="008C740D">
              <w:rPr>
                <w:sz w:val="18"/>
                <w:szCs w:val="20"/>
              </w:rPr>
              <w:t>(</w:t>
            </w:r>
            <w:r w:rsidR="00B617DB">
              <w:rPr>
                <w:sz w:val="18"/>
                <w:szCs w:val="20"/>
              </w:rPr>
              <w:t>E</w:t>
            </w:r>
            <w:r w:rsidRPr="008C740D">
              <w:rPr>
                <w:sz w:val="18"/>
                <w:szCs w:val="20"/>
              </w:rPr>
              <w:t>.g., frequency and dosage, changes in medications prescribed, reasons for medication variance)</w:t>
            </w:r>
          </w:p>
        </w:tc>
        <w:tc>
          <w:tcPr>
            <w:tcW w:w="3576" w:type="pct"/>
          </w:tcPr>
          <w:p w14:paraId="69F1A9E2" w14:textId="627E6B8C" w:rsidR="00B611FD" w:rsidRPr="008C740D" w:rsidRDefault="000B1B8D" w:rsidP="00C063DC">
            <w:pPr>
              <w:pStyle w:val="ListParagraph"/>
              <w:numPr>
                <w:ilvl w:val="0"/>
                <w:numId w:val="11"/>
              </w:numPr>
              <w:spacing w:after="0"/>
              <w:ind w:left="321" w:hanging="284"/>
              <w:rPr>
                <w:sz w:val="18"/>
                <w:szCs w:val="20"/>
              </w:rPr>
            </w:pPr>
            <w:r w:rsidRPr="008C740D">
              <w:rPr>
                <w:sz w:val="18"/>
                <w:szCs w:val="20"/>
              </w:rPr>
              <w:t>Two sites provided unit record data on medication variances,</w:t>
            </w:r>
            <w:r w:rsidR="00B611FD" w:rsidRPr="008C740D">
              <w:rPr>
                <w:sz w:val="18"/>
                <w:szCs w:val="20"/>
              </w:rPr>
              <w:t xml:space="preserve"> which included the type of medication and </w:t>
            </w:r>
            <w:r w:rsidR="00B617DB">
              <w:rPr>
                <w:sz w:val="18"/>
                <w:szCs w:val="20"/>
              </w:rPr>
              <w:t>variation applied</w:t>
            </w:r>
            <w:r w:rsidR="00B611FD" w:rsidRPr="008C740D">
              <w:rPr>
                <w:sz w:val="18"/>
                <w:szCs w:val="20"/>
              </w:rPr>
              <w:t xml:space="preserve">. </w:t>
            </w:r>
          </w:p>
          <w:p w14:paraId="67AF9A25" w14:textId="77777777" w:rsidR="00DA6C9A" w:rsidRDefault="00B611FD" w:rsidP="00C063DC">
            <w:pPr>
              <w:pStyle w:val="ListParagraph"/>
              <w:numPr>
                <w:ilvl w:val="0"/>
                <w:numId w:val="11"/>
              </w:numPr>
              <w:spacing w:after="0"/>
              <w:ind w:left="321" w:hanging="284"/>
              <w:rPr>
                <w:sz w:val="18"/>
                <w:szCs w:val="20"/>
              </w:rPr>
            </w:pPr>
            <w:r w:rsidRPr="008C740D">
              <w:rPr>
                <w:sz w:val="18"/>
                <w:szCs w:val="20"/>
              </w:rPr>
              <w:t xml:space="preserve">Most </w:t>
            </w:r>
            <w:r w:rsidR="000B1B8D" w:rsidRPr="008C740D">
              <w:rPr>
                <w:sz w:val="18"/>
                <w:szCs w:val="20"/>
              </w:rPr>
              <w:t>sites provided aggregate information</w:t>
            </w:r>
            <w:r w:rsidRPr="008C740D">
              <w:rPr>
                <w:sz w:val="18"/>
                <w:szCs w:val="20"/>
              </w:rPr>
              <w:t xml:space="preserve"> only</w:t>
            </w:r>
            <w:r w:rsidR="00A3450D" w:rsidRPr="008C740D">
              <w:rPr>
                <w:sz w:val="18"/>
                <w:szCs w:val="20"/>
              </w:rPr>
              <w:t xml:space="preserve"> (i.e.,</w:t>
            </w:r>
            <w:r w:rsidR="000B1B8D" w:rsidRPr="008C740D">
              <w:rPr>
                <w:sz w:val="18"/>
                <w:szCs w:val="20"/>
              </w:rPr>
              <w:t xml:space="preserve"> total number of medications initiated, </w:t>
            </w:r>
            <w:r w:rsidR="00B617DB" w:rsidRPr="008C740D">
              <w:rPr>
                <w:sz w:val="18"/>
                <w:szCs w:val="20"/>
              </w:rPr>
              <w:t>ceased,</w:t>
            </w:r>
            <w:r w:rsidR="000B1B8D" w:rsidRPr="008C740D">
              <w:rPr>
                <w:sz w:val="18"/>
                <w:szCs w:val="20"/>
              </w:rPr>
              <w:t xml:space="preserve"> or altered per resident</w:t>
            </w:r>
            <w:r w:rsidR="00B617DB">
              <w:rPr>
                <w:sz w:val="18"/>
                <w:szCs w:val="20"/>
              </w:rPr>
              <w:t xml:space="preserve"> over the length of stay</w:t>
            </w:r>
            <w:r w:rsidR="00A3450D" w:rsidRPr="008C740D">
              <w:rPr>
                <w:sz w:val="18"/>
                <w:szCs w:val="20"/>
              </w:rPr>
              <w:t xml:space="preserve">) and did not specify the type of medication. </w:t>
            </w:r>
          </w:p>
          <w:p w14:paraId="5BC72C0A" w14:textId="6AEED6B4" w:rsidR="000B1B8D" w:rsidRPr="008C740D" w:rsidRDefault="000B1B8D" w:rsidP="00C063DC">
            <w:pPr>
              <w:pStyle w:val="ListParagraph"/>
              <w:numPr>
                <w:ilvl w:val="0"/>
                <w:numId w:val="11"/>
              </w:numPr>
              <w:spacing w:after="0"/>
              <w:ind w:left="321" w:hanging="284"/>
              <w:rPr>
                <w:sz w:val="18"/>
                <w:szCs w:val="20"/>
              </w:rPr>
            </w:pPr>
            <w:r w:rsidRPr="008C740D">
              <w:rPr>
                <w:sz w:val="18"/>
                <w:szCs w:val="20"/>
              </w:rPr>
              <w:t>Three sites did not provide any data on medication variances.</w:t>
            </w:r>
          </w:p>
        </w:tc>
      </w:tr>
      <w:tr w:rsidR="00FD637F" w:rsidRPr="008C740D" w14:paraId="47D4E36B" w14:textId="77777777" w:rsidTr="009A1F6F">
        <w:trPr>
          <w:trHeight w:val="520"/>
        </w:trPr>
        <w:tc>
          <w:tcPr>
            <w:tcW w:w="1424" w:type="pct"/>
          </w:tcPr>
          <w:p w14:paraId="1C1A137C" w14:textId="77777777" w:rsidR="00FD637F" w:rsidRPr="009A1F6F" w:rsidRDefault="00FD637F" w:rsidP="00650190">
            <w:pPr>
              <w:spacing w:after="0"/>
              <w:rPr>
                <w:rFonts w:asciiTheme="majorHAnsi" w:hAnsiTheme="majorHAnsi" w:cstheme="majorHAnsi"/>
                <w:b/>
                <w:sz w:val="18"/>
                <w:szCs w:val="20"/>
              </w:rPr>
            </w:pPr>
            <w:r w:rsidRPr="009A1F6F">
              <w:rPr>
                <w:rFonts w:asciiTheme="majorHAnsi" w:hAnsiTheme="majorHAnsi" w:cstheme="majorHAnsi"/>
                <w:b/>
                <w:sz w:val="18"/>
                <w:szCs w:val="20"/>
              </w:rPr>
              <w:t>Wellbeing and functioning</w:t>
            </w:r>
          </w:p>
          <w:p w14:paraId="67373F32" w14:textId="29C87327" w:rsidR="00F36FB6" w:rsidRPr="008C740D" w:rsidRDefault="00F36FB6" w:rsidP="00650190">
            <w:pPr>
              <w:spacing w:after="0"/>
              <w:rPr>
                <w:b/>
                <w:sz w:val="18"/>
                <w:szCs w:val="20"/>
              </w:rPr>
            </w:pPr>
            <w:r w:rsidRPr="008C740D">
              <w:rPr>
                <w:sz w:val="18"/>
                <w:szCs w:val="20"/>
              </w:rPr>
              <w:t>(</w:t>
            </w:r>
            <w:r w:rsidR="004F1E5D" w:rsidRPr="008C740D">
              <w:rPr>
                <w:sz w:val="18"/>
                <w:szCs w:val="20"/>
              </w:rPr>
              <w:t>I.e.,</w:t>
            </w:r>
            <w:r w:rsidRPr="008C740D">
              <w:rPr>
                <w:sz w:val="18"/>
                <w:szCs w:val="20"/>
              </w:rPr>
              <w:t xml:space="preserve"> NPI-NH scores for each resident at admission and </w:t>
            </w:r>
            <w:r w:rsidR="00083539" w:rsidRPr="008C740D">
              <w:rPr>
                <w:sz w:val="18"/>
                <w:szCs w:val="20"/>
              </w:rPr>
              <w:t>at 3-monthly intervals until discharge)</w:t>
            </w:r>
          </w:p>
        </w:tc>
        <w:tc>
          <w:tcPr>
            <w:tcW w:w="3576" w:type="pct"/>
          </w:tcPr>
          <w:p w14:paraId="4D804CFC" w14:textId="3E545CBD" w:rsidR="00FD637F" w:rsidRPr="00066E6A" w:rsidRDefault="00FD637F" w:rsidP="00C063DC">
            <w:pPr>
              <w:pStyle w:val="ListParagraph"/>
              <w:numPr>
                <w:ilvl w:val="0"/>
                <w:numId w:val="11"/>
              </w:numPr>
              <w:spacing w:after="0"/>
              <w:ind w:left="321" w:hanging="284"/>
              <w:rPr>
                <w:sz w:val="18"/>
                <w:szCs w:val="20"/>
              </w:rPr>
            </w:pPr>
            <w:r w:rsidRPr="008C740D">
              <w:rPr>
                <w:sz w:val="18"/>
                <w:szCs w:val="20"/>
              </w:rPr>
              <w:t xml:space="preserve">Five sites provided data on </w:t>
            </w:r>
            <w:r w:rsidR="00F70EBD">
              <w:rPr>
                <w:sz w:val="18"/>
                <w:szCs w:val="20"/>
              </w:rPr>
              <w:t>residents’ aggregate</w:t>
            </w:r>
            <w:r w:rsidR="00CE171B">
              <w:rPr>
                <w:sz w:val="18"/>
                <w:szCs w:val="20"/>
              </w:rPr>
              <w:t xml:space="preserve"> </w:t>
            </w:r>
            <w:r w:rsidRPr="008C740D">
              <w:rPr>
                <w:sz w:val="18"/>
                <w:szCs w:val="20"/>
              </w:rPr>
              <w:t>NPI-NH score</w:t>
            </w:r>
            <w:r w:rsidR="00CE171B">
              <w:rPr>
                <w:sz w:val="18"/>
                <w:szCs w:val="20"/>
              </w:rPr>
              <w:t>s</w:t>
            </w:r>
            <w:r w:rsidR="00F7196F">
              <w:rPr>
                <w:sz w:val="18"/>
                <w:szCs w:val="20"/>
              </w:rPr>
              <w:t>,</w:t>
            </w:r>
            <w:r w:rsidR="00CE171B">
              <w:rPr>
                <w:sz w:val="18"/>
                <w:szCs w:val="20"/>
              </w:rPr>
              <w:t xml:space="preserve"> with</w:t>
            </w:r>
            <w:r w:rsidR="00F7196F">
              <w:rPr>
                <w:sz w:val="18"/>
                <w:szCs w:val="20"/>
              </w:rPr>
              <w:t xml:space="preserve"> o</w:t>
            </w:r>
            <w:r w:rsidR="00083539" w:rsidRPr="008C740D">
              <w:rPr>
                <w:sz w:val="18"/>
                <w:szCs w:val="20"/>
              </w:rPr>
              <w:t>n</w:t>
            </w:r>
            <w:r w:rsidRPr="008C740D">
              <w:rPr>
                <w:sz w:val="18"/>
                <w:szCs w:val="20"/>
              </w:rPr>
              <w:t>ly tw</w:t>
            </w:r>
            <w:r w:rsidR="00083539" w:rsidRPr="008C740D">
              <w:rPr>
                <w:sz w:val="18"/>
                <w:szCs w:val="20"/>
              </w:rPr>
              <w:t>o provid</w:t>
            </w:r>
            <w:r w:rsidR="00CE171B">
              <w:rPr>
                <w:sz w:val="18"/>
                <w:szCs w:val="20"/>
              </w:rPr>
              <w:t>ing</w:t>
            </w:r>
            <w:r w:rsidRPr="008C740D">
              <w:rPr>
                <w:sz w:val="18"/>
                <w:szCs w:val="20"/>
              </w:rPr>
              <w:t xml:space="preserve"> scores </w:t>
            </w:r>
            <w:r w:rsidR="00CE171B">
              <w:rPr>
                <w:sz w:val="18"/>
                <w:szCs w:val="20"/>
              </w:rPr>
              <w:t>also b</w:t>
            </w:r>
            <w:r w:rsidRPr="008C740D">
              <w:rPr>
                <w:sz w:val="18"/>
                <w:szCs w:val="20"/>
              </w:rPr>
              <w:t>roken down by domain.</w:t>
            </w:r>
            <w:r w:rsidR="00F70EBD">
              <w:rPr>
                <w:sz w:val="18"/>
                <w:szCs w:val="20"/>
              </w:rPr>
              <w:t xml:space="preserve"> </w:t>
            </w:r>
            <w:r w:rsidR="00C34762">
              <w:rPr>
                <w:sz w:val="18"/>
                <w:szCs w:val="20"/>
              </w:rPr>
              <w:t>This limited analysis at a domain level, which is more appropriate for assessing Program efficacy</w:t>
            </w:r>
            <w:r w:rsidR="000042AB">
              <w:rPr>
                <w:sz w:val="18"/>
                <w:szCs w:val="20"/>
              </w:rPr>
              <w:t xml:space="preserve">, as noted in section </w:t>
            </w:r>
            <w:r w:rsidR="000042AB">
              <w:rPr>
                <w:sz w:val="18"/>
                <w:szCs w:val="20"/>
              </w:rPr>
              <w:fldChar w:fldCharType="begin"/>
            </w:r>
            <w:r w:rsidR="000042AB">
              <w:rPr>
                <w:sz w:val="18"/>
                <w:szCs w:val="20"/>
              </w:rPr>
              <w:instrText xml:space="preserve"> REF _Ref123904728 \r \h </w:instrText>
            </w:r>
            <w:r w:rsidR="000042AB">
              <w:rPr>
                <w:sz w:val="18"/>
                <w:szCs w:val="20"/>
              </w:rPr>
            </w:r>
            <w:r w:rsidR="000042AB">
              <w:rPr>
                <w:sz w:val="18"/>
                <w:szCs w:val="20"/>
              </w:rPr>
              <w:fldChar w:fldCharType="separate"/>
            </w:r>
            <w:r w:rsidR="00D32536">
              <w:rPr>
                <w:sz w:val="18"/>
                <w:szCs w:val="20"/>
              </w:rPr>
              <w:t>5.2</w:t>
            </w:r>
            <w:r w:rsidR="000042AB">
              <w:rPr>
                <w:sz w:val="18"/>
                <w:szCs w:val="20"/>
              </w:rPr>
              <w:fldChar w:fldCharType="end"/>
            </w:r>
            <w:r w:rsidR="000042AB">
              <w:rPr>
                <w:sz w:val="18"/>
                <w:szCs w:val="20"/>
              </w:rPr>
              <w:t>.</w:t>
            </w:r>
          </w:p>
          <w:p w14:paraId="3094E182" w14:textId="1B0651C2" w:rsidR="00F7196F" w:rsidRPr="00066E6A" w:rsidRDefault="00D969D8" w:rsidP="00C063DC">
            <w:pPr>
              <w:pStyle w:val="ListParagraph"/>
              <w:numPr>
                <w:ilvl w:val="0"/>
                <w:numId w:val="11"/>
              </w:numPr>
              <w:spacing w:after="0"/>
              <w:ind w:left="321" w:hanging="284"/>
              <w:rPr>
                <w:sz w:val="18"/>
                <w:szCs w:val="20"/>
              </w:rPr>
            </w:pPr>
            <w:r>
              <w:rPr>
                <w:sz w:val="18"/>
                <w:szCs w:val="20"/>
              </w:rPr>
              <w:t xml:space="preserve">Where sites provided NPI-NH data, some residents did not have consistent scores recorded at each 3-month time interval. </w:t>
            </w:r>
          </w:p>
          <w:p w14:paraId="4E1647FF" w14:textId="5278F329" w:rsidR="00FD637F" w:rsidRPr="00066E6A" w:rsidRDefault="00FD637F" w:rsidP="00C063DC">
            <w:pPr>
              <w:pStyle w:val="ListParagraph"/>
              <w:numPr>
                <w:ilvl w:val="0"/>
                <w:numId w:val="11"/>
              </w:numPr>
              <w:spacing w:after="0"/>
              <w:ind w:left="321" w:hanging="284"/>
              <w:rPr>
                <w:sz w:val="18"/>
                <w:szCs w:val="20"/>
              </w:rPr>
            </w:pPr>
            <w:r w:rsidRPr="008C740D">
              <w:rPr>
                <w:sz w:val="18"/>
                <w:szCs w:val="20"/>
              </w:rPr>
              <w:t>There was high variation in the average NPI-NH score at admission across SDCUs, suggest</w:t>
            </w:r>
            <w:r w:rsidR="00083539" w:rsidRPr="008C740D">
              <w:rPr>
                <w:sz w:val="18"/>
                <w:szCs w:val="20"/>
              </w:rPr>
              <w:t>ing</w:t>
            </w:r>
            <w:r w:rsidRPr="008C740D">
              <w:rPr>
                <w:sz w:val="18"/>
                <w:szCs w:val="20"/>
              </w:rPr>
              <w:t xml:space="preserve"> there </w:t>
            </w:r>
            <w:r w:rsidR="009816BD">
              <w:rPr>
                <w:sz w:val="18"/>
                <w:szCs w:val="20"/>
              </w:rPr>
              <w:t>may be</w:t>
            </w:r>
            <w:r w:rsidRPr="008C740D">
              <w:rPr>
                <w:sz w:val="18"/>
                <w:szCs w:val="20"/>
              </w:rPr>
              <w:t xml:space="preserve"> variation in how the assessment is </w:t>
            </w:r>
            <w:r w:rsidR="009816BD">
              <w:rPr>
                <w:sz w:val="18"/>
                <w:szCs w:val="20"/>
              </w:rPr>
              <w:t>conducted</w:t>
            </w:r>
            <w:r w:rsidR="00083539" w:rsidRPr="008C740D">
              <w:rPr>
                <w:sz w:val="18"/>
                <w:szCs w:val="20"/>
              </w:rPr>
              <w:t xml:space="preserve"> across sites. </w:t>
            </w:r>
          </w:p>
        </w:tc>
      </w:tr>
      <w:tr w:rsidR="00FD637F" w:rsidRPr="008C740D" w14:paraId="4442C06A" w14:textId="77777777" w:rsidTr="009A1F6F">
        <w:trPr>
          <w:trHeight w:val="520"/>
        </w:trPr>
        <w:tc>
          <w:tcPr>
            <w:tcW w:w="1424" w:type="pct"/>
          </w:tcPr>
          <w:p w14:paraId="24FA6E17" w14:textId="77777777" w:rsidR="00FD637F" w:rsidRPr="002F0176" w:rsidRDefault="00FD637F" w:rsidP="00650190">
            <w:pPr>
              <w:spacing w:after="0"/>
              <w:rPr>
                <w:b/>
                <w:bCs/>
                <w:sz w:val="18"/>
                <w:szCs w:val="20"/>
              </w:rPr>
            </w:pPr>
            <w:r w:rsidRPr="002F0176">
              <w:rPr>
                <w:b/>
                <w:bCs/>
                <w:sz w:val="18"/>
                <w:szCs w:val="20"/>
              </w:rPr>
              <w:t>Health service utilisation</w:t>
            </w:r>
          </w:p>
          <w:p w14:paraId="4D255B48" w14:textId="167DFA78" w:rsidR="00144190" w:rsidRPr="008C740D" w:rsidRDefault="00144190" w:rsidP="00650190">
            <w:pPr>
              <w:spacing w:after="0"/>
              <w:rPr>
                <w:b/>
                <w:sz w:val="18"/>
                <w:szCs w:val="20"/>
              </w:rPr>
            </w:pPr>
            <w:r w:rsidRPr="008C740D">
              <w:rPr>
                <w:sz w:val="18"/>
                <w:szCs w:val="20"/>
              </w:rPr>
              <w:t>(</w:t>
            </w:r>
            <w:r w:rsidR="002F0176">
              <w:rPr>
                <w:sz w:val="18"/>
                <w:szCs w:val="20"/>
              </w:rPr>
              <w:t>E</w:t>
            </w:r>
            <w:r w:rsidR="00FE4B10">
              <w:rPr>
                <w:sz w:val="18"/>
                <w:szCs w:val="20"/>
              </w:rPr>
              <w:t>.g.,</w:t>
            </w:r>
            <w:r w:rsidRPr="008C740D">
              <w:rPr>
                <w:sz w:val="18"/>
                <w:szCs w:val="20"/>
              </w:rPr>
              <w:t xml:space="preserve"> </w:t>
            </w:r>
            <w:r w:rsidR="00FE4B10">
              <w:rPr>
                <w:sz w:val="18"/>
                <w:szCs w:val="20"/>
              </w:rPr>
              <w:t>u</w:t>
            </w:r>
            <w:r w:rsidR="00FE4B10" w:rsidRPr="008C740D">
              <w:rPr>
                <w:sz w:val="18"/>
                <w:szCs w:val="20"/>
              </w:rPr>
              <w:t xml:space="preserve">nplanned </w:t>
            </w:r>
            <w:r w:rsidRPr="008C740D">
              <w:rPr>
                <w:sz w:val="18"/>
                <w:szCs w:val="20"/>
              </w:rPr>
              <w:t>hospital transfers)</w:t>
            </w:r>
          </w:p>
        </w:tc>
        <w:tc>
          <w:tcPr>
            <w:tcW w:w="3576" w:type="pct"/>
          </w:tcPr>
          <w:p w14:paraId="03F40A7B" w14:textId="7B5B6661" w:rsidR="00EC3348" w:rsidRPr="008C740D" w:rsidRDefault="00FD637F" w:rsidP="00C063DC">
            <w:pPr>
              <w:pStyle w:val="ListParagraph"/>
              <w:numPr>
                <w:ilvl w:val="0"/>
                <w:numId w:val="18"/>
              </w:numPr>
              <w:spacing w:after="0"/>
              <w:ind w:left="321" w:hanging="284"/>
              <w:rPr>
                <w:sz w:val="18"/>
                <w:szCs w:val="20"/>
              </w:rPr>
            </w:pPr>
            <w:r w:rsidRPr="008C740D">
              <w:rPr>
                <w:sz w:val="18"/>
                <w:szCs w:val="20"/>
              </w:rPr>
              <w:t xml:space="preserve">Two sites provided health service utilisation </w:t>
            </w:r>
            <w:r w:rsidR="00B617DB">
              <w:rPr>
                <w:sz w:val="18"/>
                <w:szCs w:val="20"/>
              </w:rPr>
              <w:t xml:space="preserve">data </w:t>
            </w:r>
            <w:r w:rsidRPr="008C740D">
              <w:rPr>
                <w:sz w:val="18"/>
                <w:szCs w:val="20"/>
              </w:rPr>
              <w:t>at a unit</w:t>
            </w:r>
            <w:r w:rsidR="000217E8">
              <w:rPr>
                <w:sz w:val="18"/>
                <w:szCs w:val="20"/>
              </w:rPr>
              <w:t xml:space="preserve"> </w:t>
            </w:r>
            <w:r w:rsidRPr="008C740D">
              <w:rPr>
                <w:sz w:val="18"/>
                <w:szCs w:val="20"/>
              </w:rPr>
              <w:t>record level</w:t>
            </w:r>
            <w:r w:rsidR="00B617DB">
              <w:rPr>
                <w:sz w:val="18"/>
                <w:szCs w:val="20"/>
              </w:rPr>
              <w:t xml:space="preserve"> for each resident. </w:t>
            </w:r>
            <w:r w:rsidR="00EC3348">
              <w:rPr>
                <w:sz w:val="18"/>
                <w:szCs w:val="20"/>
              </w:rPr>
              <w:t xml:space="preserve"> </w:t>
            </w:r>
          </w:p>
        </w:tc>
      </w:tr>
    </w:tbl>
    <w:p w14:paraId="722FD300" w14:textId="106C48A9" w:rsidR="00A1604A" w:rsidRDefault="00296524" w:rsidP="00B13E70">
      <w:pPr>
        <w:spacing w:before="170"/>
      </w:pPr>
      <w:r>
        <w:t xml:space="preserve">Stakeholders </w:t>
      </w:r>
      <w:r w:rsidR="00A1604A">
        <w:t xml:space="preserve">identified </w:t>
      </w:r>
      <w:r w:rsidR="00B13E70">
        <w:t>several</w:t>
      </w:r>
      <w:r w:rsidR="00A1604A">
        <w:t xml:space="preserve"> key barriers which impacted the provision of comprehensive </w:t>
      </w:r>
      <w:r w:rsidR="00B617DB">
        <w:t xml:space="preserve">unit record </w:t>
      </w:r>
      <w:r w:rsidR="00A1604A">
        <w:t>client-data:</w:t>
      </w:r>
    </w:p>
    <w:p w14:paraId="765E0AAB" w14:textId="786D2383" w:rsidR="00915B80" w:rsidRDefault="00292EDF" w:rsidP="00C063DC">
      <w:pPr>
        <w:pStyle w:val="ListParagraph"/>
        <w:numPr>
          <w:ilvl w:val="1"/>
          <w:numId w:val="10"/>
        </w:numPr>
        <w:ind w:left="426" w:hanging="426"/>
      </w:pPr>
      <w:r w:rsidRPr="00B5420A">
        <w:rPr>
          <w:rFonts w:asciiTheme="majorHAnsi" w:hAnsiTheme="majorHAnsi" w:cstheme="majorHAnsi"/>
          <w:b/>
        </w:rPr>
        <w:t>Capacity limitations</w:t>
      </w:r>
      <w:r w:rsidR="00B13E70" w:rsidRPr="00B5420A">
        <w:rPr>
          <w:rFonts w:asciiTheme="majorHAnsi" w:hAnsiTheme="majorHAnsi" w:cstheme="majorHAnsi"/>
          <w:b/>
        </w:rPr>
        <w:t xml:space="preserve"> within SDCUs</w:t>
      </w:r>
      <w:r w:rsidRPr="00B5420A">
        <w:rPr>
          <w:rFonts w:asciiTheme="majorHAnsi" w:hAnsiTheme="majorHAnsi" w:cstheme="majorHAnsi"/>
          <w:b/>
        </w:rPr>
        <w:t>.</w:t>
      </w:r>
      <w:r>
        <w:rPr>
          <w:b/>
          <w:bCs/>
        </w:rPr>
        <w:t xml:space="preserve"> </w:t>
      </w:r>
      <w:r w:rsidR="00B13E70">
        <w:t xml:space="preserve">Staff shortages </w:t>
      </w:r>
      <w:r w:rsidR="00296524">
        <w:t xml:space="preserve">impacted </w:t>
      </w:r>
      <w:r w:rsidR="00B13E70">
        <w:t>sites’</w:t>
      </w:r>
      <w:r w:rsidR="00296524">
        <w:t xml:space="preserve"> abilit</w:t>
      </w:r>
      <w:r w:rsidR="00B13E70">
        <w:t>ies</w:t>
      </w:r>
      <w:r w:rsidR="00296524">
        <w:t xml:space="preserve"> to routinely collect and record data on clinical incidents. This</w:t>
      </w:r>
      <w:r w:rsidR="00FA1F1A">
        <w:t xml:space="preserve"> challenge was also exacerbated </w:t>
      </w:r>
      <w:r w:rsidR="009915D4">
        <w:t xml:space="preserve">by </w:t>
      </w:r>
      <w:r w:rsidR="00FA1F1A">
        <w:t xml:space="preserve">additional capacity restraints caused by </w:t>
      </w:r>
      <w:r w:rsidR="00EF2753">
        <w:t>ongoing C</w:t>
      </w:r>
      <w:r w:rsidR="00FA1F1A">
        <w:t>OVID-19</w:t>
      </w:r>
      <w:r w:rsidR="001D68DF">
        <w:t xml:space="preserve"> disruptions</w:t>
      </w:r>
      <w:r w:rsidR="00EF2753">
        <w:t xml:space="preserve">. </w:t>
      </w:r>
      <w:r w:rsidR="00FA1F1A">
        <w:t xml:space="preserve"> </w:t>
      </w:r>
    </w:p>
    <w:p w14:paraId="141BA433" w14:textId="4D99D9DC" w:rsidR="001C5C8E" w:rsidRPr="00B13E70" w:rsidRDefault="00A135E7" w:rsidP="00C063DC">
      <w:pPr>
        <w:pStyle w:val="ListParagraph"/>
        <w:numPr>
          <w:ilvl w:val="1"/>
          <w:numId w:val="10"/>
        </w:numPr>
        <w:ind w:left="426" w:hanging="426"/>
      </w:pPr>
      <w:r>
        <w:rPr>
          <w:rFonts w:asciiTheme="majorHAnsi" w:hAnsiTheme="majorHAnsi" w:cstheme="majorHAnsi"/>
          <w:b/>
        </w:rPr>
        <w:t>Unique</w:t>
      </w:r>
      <w:r w:rsidR="00915B80" w:rsidRPr="00182E38">
        <w:rPr>
          <w:rFonts w:asciiTheme="majorHAnsi" w:hAnsiTheme="majorHAnsi" w:cstheme="majorHAnsi"/>
          <w:b/>
        </w:rPr>
        <w:t xml:space="preserve"> data collection systems.</w:t>
      </w:r>
      <w:r w:rsidR="00915B80">
        <w:rPr>
          <w:b/>
          <w:bCs/>
        </w:rPr>
        <w:t xml:space="preserve"> </w:t>
      </w:r>
      <w:r w:rsidR="00F70EBD">
        <w:t>E</w:t>
      </w:r>
      <w:r>
        <w:t xml:space="preserve">ach </w:t>
      </w:r>
      <w:r w:rsidR="00F70EBD">
        <w:t xml:space="preserve">SDCU works within their provider’s </w:t>
      </w:r>
      <w:r w:rsidR="00066E6A">
        <w:t>existing</w:t>
      </w:r>
      <w:r w:rsidR="00F70EBD">
        <w:t xml:space="preserve"> data collection </w:t>
      </w:r>
      <w:r w:rsidR="00933A6A">
        <w:t>platforms (common across each RACF</w:t>
      </w:r>
      <w:r w:rsidR="006E6A6A">
        <w:t xml:space="preserve"> they operate</w:t>
      </w:r>
      <w:r w:rsidR="00933A6A">
        <w:t>)</w:t>
      </w:r>
      <w:r w:rsidR="00F70EBD">
        <w:t>, which created</w:t>
      </w:r>
      <w:r w:rsidR="00F70EBD" w:rsidRPr="00A135E7">
        <w:t xml:space="preserve"> challenges in aggregating and comparing data </w:t>
      </w:r>
      <w:r w:rsidR="00F70EBD">
        <w:t>across systems.</w:t>
      </w:r>
      <w:r w:rsidR="001C5C8E">
        <w:t xml:space="preserve"> </w:t>
      </w:r>
    </w:p>
    <w:p w14:paraId="3787F015" w14:textId="67543FB7" w:rsidR="00B13E70" w:rsidRPr="00915B80" w:rsidRDefault="00B13E70" w:rsidP="00C063DC">
      <w:pPr>
        <w:pStyle w:val="ListParagraph"/>
        <w:numPr>
          <w:ilvl w:val="1"/>
          <w:numId w:val="10"/>
        </w:numPr>
        <w:ind w:left="426" w:hanging="426"/>
      </w:pPr>
      <w:r w:rsidRPr="0030788F">
        <w:rPr>
          <w:rFonts w:asciiTheme="majorHAnsi" w:hAnsiTheme="majorHAnsi" w:cstheme="majorHAnsi"/>
          <w:b/>
        </w:rPr>
        <w:t>Data archiving processes.</w:t>
      </w:r>
      <w:r>
        <w:t xml:space="preserve"> </w:t>
      </w:r>
      <w:r w:rsidR="004C4CC0">
        <w:t>A small number of</w:t>
      </w:r>
      <w:r>
        <w:t xml:space="preserve"> site</w:t>
      </w:r>
      <w:r w:rsidR="004C4CC0">
        <w:t>s</w:t>
      </w:r>
      <w:r>
        <w:t xml:space="preserve"> only provided data for a </w:t>
      </w:r>
      <w:r w:rsidR="00CE4EEE">
        <w:t>six-month</w:t>
      </w:r>
      <w:r>
        <w:t xml:space="preserve"> period, as</w:t>
      </w:r>
      <w:r w:rsidR="00F70EBD">
        <w:t xml:space="preserve"> they advised i</w:t>
      </w:r>
      <w:r>
        <w:t>nformation from previous periods had been archived</w:t>
      </w:r>
      <w:r w:rsidR="00F70EBD">
        <w:t xml:space="preserve"> and such records were difficult to access in a timely manner.</w:t>
      </w:r>
    </w:p>
    <w:p w14:paraId="0ED2AFA9" w14:textId="7DAAA1D6" w:rsidR="00386D6B" w:rsidRDefault="00386D6B" w:rsidP="00386D6B">
      <w:pPr>
        <w:pStyle w:val="Charttitle"/>
        <w:spacing w:after="0"/>
        <w:ind w:left="578" w:hanging="578"/>
        <w:rPr>
          <w:lang w:val="en-AU"/>
        </w:rPr>
      </w:pPr>
      <w:r>
        <w:rPr>
          <w:lang w:val="en-AU"/>
        </w:rPr>
        <w:t>Program costs</w:t>
      </w:r>
    </w:p>
    <w:p w14:paraId="462DDAA5" w14:textId="76A1D123" w:rsidR="00F80A52" w:rsidRPr="00F80A52" w:rsidRDefault="00F80A52" w:rsidP="0018761B">
      <w:pPr>
        <w:spacing w:after="170"/>
        <w:rPr>
          <w:rFonts w:asciiTheme="majorHAnsi" w:hAnsiTheme="majorHAnsi" w:cstheme="majorHAnsi"/>
          <w:b/>
          <w:bCs/>
          <w:color w:val="012169"/>
          <w:lang w:val="en-AU"/>
        </w:rPr>
      </w:pPr>
      <w:r w:rsidRPr="00496622">
        <w:rPr>
          <w:rFonts w:asciiTheme="majorHAnsi" w:hAnsiTheme="majorHAnsi" w:cstheme="majorHAnsi"/>
          <w:b/>
          <w:color w:val="012169"/>
          <w:lang w:val="en-AU"/>
        </w:rPr>
        <w:t xml:space="preserve">Program costs were broadly perceived to be appropriate. However, it was noted that the financial viability for certain providers was impacted by slow uptake, and </w:t>
      </w:r>
      <w:r w:rsidR="00EE20CA" w:rsidRPr="00496622">
        <w:rPr>
          <w:rFonts w:asciiTheme="majorHAnsi" w:hAnsiTheme="majorHAnsi" w:cstheme="majorHAnsi"/>
          <w:b/>
          <w:color w:val="012169"/>
          <w:lang w:val="en-AU"/>
        </w:rPr>
        <w:t xml:space="preserve">further investigation may be </w:t>
      </w:r>
      <w:r w:rsidRPr="00496622">
        <w:rPr>
          <w:rFonts w:asciiTheme="majorHAnsi" w:hAnsiTheme="majorHAnsi" w:cstheme="majorHAnsi"/>
          <w:b/>
          <w:color w:val="012169"/>
          <w:lang w:val="en-AU"/>
        </w:rPr>
        <w:t xml:space="preserve">required to understand </w:t>
      </w:r>
      <w:r w:rsidR="00EE20CA" w:rsidRPr="00496622">
        <w:rPr>
          <w:rFonts w:asciiTheme="majorHAnsi" w:hAnsiTheme="majorHAnsi" w:cstheme="majorHAnsi"/>
          <w:b/>
          <w:color w:val="012169"/>
          <w:lang w:val="en-AU"/>
        </w:rPr>
        <w:t xml:space="preserve">areas where providers require further guidance on </w:t>
      </w:r>
      <w:r w:rsidR="00A97C59" w:rsidRPr="00496622">
        <w:rPr>
          <w:rFonts w:asciiTheme="majorHAnsi" w:hAnsiTheme="majorHAnsi" w:cstheme="majorHAnsi"/>
          <w:b/>
          <w:color w:val="012169"/>
          <w:lang w:val="en-AU"/>
        </w:rPr>
        <w:t>optimally fund</w:t>
      </w:r>
      <w:r w:rsidR="00F60352">
        <w:rPr>
          <w:rFonts w:asciiTheme="majorHAnsi" w:hAnsiTheme="majorHAnsi" w:cstheme="majorHAnsi"/>
          <w:b/>
          <w:color w:val="012169"/>
          <w:lang w:val="en-AU"/>
        </w:rPr>
        <w:t>ed</w:t>
      </w:r>
      <w:r w:rsidR="00EE20CA" w:rsidRPr="00496622">
        <w:rPr>
          <w:rFonts w:asciiTheme="majorHAnsi" w:hAnsiTheme="majorHAnsi" w:cstheme="majorHAnsi"/>
          <w:b/>
          <w:color w:val="012169"/>
          <w:lang w:val="en-AU"/>
        </w:rPr>
        <w:t xml:space="preserve"> staffing</w:t>
      </w:r>
      <w:r w:rsidR="00A97C59" w:rsidRPr="00496622">
        <w:rPr>
          <w:rFonts w:asciiTheme="majorHAnsi" w:hAnsiTheme="majorHAnsi" w:cstheme="majorHAnsi"/>
          <w:b/>
          <w:color w:val="012169"/>
          <w:lang w:val="en-AU"/>
        </w:rPr>
        <w:t xml:space="preserve"> levels</w:t>
      </w:r>
      <w:r w:rsidR="00EE20CA" w:rsidRPr="00496622">
        <w:rPr>
          <w:rFonts w:asciiTheme="majorHAnsi" w:hAnsiTheme="majorHAnsi" w:cstheme="majorHAnsi"/>
          <w:b/>
          <w:color w:val="012169"/>
          <w:lang w:val="en-AU"/>
        </w:rPr>
        <w:t xml:space="preserve"> and transitions out.</w:t>
      </w:r>
    </w:p>
    <w:p w14:paraId="4E682526" w14:textId="03DCBBF8" w:rsidR="00F8410B" w:rsidRDefault="005B3955" w:rsidP="0018761B">
      <w:r>
        <w:t>The</w:t>
      </w:r>
      <w:r w:rsidR="00DD0240">
        <w:t xml:space="preserve"> </w:t>
      </w:r>
      <w:r w:rsidR="006474C2">
        <w:t>Program uses a</w:t>
      </w:r>
      <w:r w:rsidR="00DD0240">
        <w:t xml:space="preserve"> blended funding model that comprises fixed </w:t>
      </w:r>
      <w:r w:rsidR="005761F2">
        <w:t xml:space="preserve">funding </w:t>
      </w:r>
      <w:r w:rsidR="00DD0240">
        <w:t>elements</w:t>
      </w:r>
      <w:r w:rsidR="006474C2">
        <w:t xml:space="preserve"> (</w:t>
      </w:r>
      <w:r w:rsidR="00FE4B10">
        <w:t>e.g.,</w:t>
      </w:r>
      <w:r w:rsidR="006474C2">
        <w:t xml:space="preserve"> </w:t>
      </w:r>
      <w:r w:rsidR="002163DB">
        <w:t>top-up grant</w:t>
      </w:r>
      <w:r w:rsidR="006474C2">
        <w:t xml:space="preserve"> payments irrespective of bed occupancy), as well as </w:t>
      </w:r>
      <w:r w:rsidR="0018105F">
        <w:t>outcomes-based grant payments</w:t>
      </w:r>
      <w:r w:rsidR="007F5115">
        <w:t xml:space="preserve"> (</w:t>
      </w:r>
      <w:r w:rsidR="003C57E5">
        <w:t>e.g.,</w:t>
      </w:r>
      <w:r w:rsidR="007F5115">
        <w:t xml:space="preserve"> transition payments). </w:t>
      </w:r>
      <w:r w:rsidR="00DD0240">
        <w:t xml:space="preserve"> </w:t>
      </w:r>
      <w:r>
        <w:t xml:space="preserve">Providers also </w:t>
      </w:r>
      <w:r w:rsidR="00551000">
        <w:t>receive standard residential aged care funding from both the Commonwealth and resident contributions.</w:t>
      </w:r>
      <w:r>
        <w:t xml:space="preserve"> </w:t>
      </w:r>
      <w:r w:rsidR="00CA0657">
        <w:t xml:space="preserve">According to the Program Framework, this model was pursued </w:t>
      </w:r>
      <w:r w:rsidR="0075681A">
        <w:t>in order to balance objectives including</w:t>
      </w:r>
      <w:r w:rsidR="009E1367">
        <w:t>:</w:t>
      </w:r>
      <w:r w:rsidR="002B5DC6">
        <w:rPr>
          <w:rStyle w:val="FootnoteReference"/>
        </w:rPr>
        <w:footnoteReference w:id="26"/>
      </w:r>
    </w:p>
    <w:p w14:paraId="5C190FE4" w14:textId="0C5F477D" w:rsidR="0075681A" w:rsidRDefault="002B5DC6" w:rsidP="0018761B">
      <w:pPr>
        <w:pStyle w:val="ListBullet"/>
        <w:spacing w:after="240"/>
      </w:pPr>
      <w:r>
        <w:t>an occupancy</w:t>
      </w:r>
      <w:r w:rsidR="003648E7">
        <w:t>-</w:t>
      </w:r>
      <w:r>
        <w:t>based component to ensure funding is linked to care delivered</w:t>
      </w:r>
    </w:p>
    <w:p w14:paraId="6A3C408D" w14:textId="4623CB12" w:rsidR="002B5DC6" w:rsidRDefault="002606B0" w:rsidP="0018761B">
      <w:pPr>
        <w:pStyle w:val="ListBullet"/>
        <w:spacing w:after="240"/>
      </w:pPr>
      <w:r>
        <w:t xml:space="preserve">top-up grant </w:t>
      </w:r>
      <w:r w:rsidR="002B5DC6">
        <w:t xml:space="preserve">funding to enable providers to </w:t>
      </w:r>
      <w:r w:rsidR="00500D72">
        <w:t>meet fixed costs, maintain a skilled workforce and capacity to accept clients at short notice</w:t>
      </w:r>
    </w:p>
    <w:p w14:paraId="6A3281E2" w14:textId="6632514C" w:rsidR="00500D72" w:rsidRDefault="00500D72" w:rsidP="0018761B">
      <w:pPr>
        <w:pStyle w:val="ListBullet"/>
        <w:spacing w:after="240"/>
      </w:pPr>
      <w:r>
        <w:t xml:space="preserve">provision within the </w:t>
      </w:r>
      <w:r w:rsidR="00AF42CC">
        <w:t xml:space="preserve">top-up grant </w:t>
      </w:r>
      <w:r>
        <w:t>funding to support capital upgrade and maintenance</w:t>
      </w:r>
    </w:p>
    <w:p w14:paraId="3BDFE1CA" w14:textId="4B5AFDCC" w:rsidR="00500D72" w:rsidRDefault="00500D72" w:rsidP="0018761B">
      <w:pPr>
        <w:pStyle w:val="ListBullet"/>
        <w:spacing w:after="240"/>
      </w:pPr>
      <w:r>
        <w:t>incentives for client throughput to ensure as many clients can be supported as possible within the fixed number of places</w:t>
      </w:r>
    </w:p>
    <w:p w14:paraId="669BF798" w14:textId="16D9D51E" w:rsidR="00500D72" w:rsidRDefault="00500D72" w:rsidP="0018761B">
      <w:pPr>
        <w:pStyle w:val="ListBullet"/>
        <w:spacing w:after="240"/>
      </w:pPr>
      <w:r>
        <w:t xml:space="preserve">recognising and funding the supports needed to enable clients to successfully transition to mainstream services. </w:t>
      </w:r>
    </w:p>
    <w:p w14:paraId="70171140" w14:textId="5731C93D" w:rsidR="00496622" w:rsidRDefault="00496622" w:rsidP="00496622">
      <w:pPr>
        <w:pStyle w:val="ListBullet"/>
        <w:numPr>
          <w:ilvl w:val="0"/>
          <w:numId w:val="0"/>
        </w:numPr>
        <w:spacing w:after="240"/>
        <w:ind w:left="284"/>
      </w:pPr>
    </w:p>
    <w:p w14:paraId="2DB1321C" w14:textId="3365AFB2" w:rsidR="00000062" w:rsidRDefault="00DF288C" w:rsidP="00000062">
      <w:pPr>
        <w:pStyle w:val="ListBullet"/>
        <w:numPr>
          <w:ilvl w:val="0"/>
          <w:numId w:val="0"/>
        </w:numPr>
      </w:pPr>
      <w:r>
        <w:t xml:space="preserve">Overall, the funding model for the Program </w:t>
      </w:r>
      <w:r w:rsidR="00C06465">
        <w:t xml:space="preserve">(as a combination of </w:t>
      </w:r>
      <w:r w:rsidR="00AF42CC">
        <w:t xml:space="preserve">fixed top-up grant funding </w:t>
      </w:r>
      <w:r w:rsidR="00C06465">
        <w:t xml:space="preserve">and outcomes-based payments) </w:t>
      </w:r>
      <w:r>
        <w:t>was broadly seen to be appropriate</w:t>
      </w:r>
      <w:r w:rsidR="006F6B12">
        <w:t xml:space="preserve">. </w:t>
      </w:r>
      <w:r w:rsidR="00C06465">
        <w:t>P</w:t>
      </w:r>
      <w:r w:rsidR="00000062">
        <w:t xml:space="preserve">roviders largely felt the Program costs provided by the Department were sufficient to meet the requirements of the Program, both capital costs and operational costs. </w:t>
      </w:r>
      <w:r w:rsidR="006F6B12">
        <w:t>R</w:t>
      </w:r>
      <w:r w:rsidR="00000062">
        <w:t xml:space="preserve">egarding the effectiveness of the outcome-based aspect of the funding model, which offers an additional payment for every client that successfully transitions out of the Program, it was noted that </w:t>
      </w:r>
      <w:r w:rsidR="006F6B12">
        <w:t>providers have a higher incentive to</w:t>
      </w:r>
      <w:r w:rsidR="00000062">
        <w:t xml:space="preserve"> achie</w:t>
      </w:r>
      <w:r w:rsidR="006F6B12">
        <w:t>ve</w:t>
      </w:r>
      <w:r w:rsidR="00000062">
        <w:t xml:space="preserve"> a positive outcome for clients than by payments from increased throughpu</w:t>
      </w:r>
      <w:r w:rsidR="006F6B12">
        <w:t>t.</w:t>
      </w:r>
    </w:p>
    <w:p w14:paraId="081D6FEA" w14:textId="77777777" w:rsidR="0092471E" w:rsidRDefault="0092471E" w:rsidP="0018761B">
      <w:pPr>
        <w:pStyle w:val="ListBullet"/>
        <w:numPr>
          <w:ilvl w:val="0"/>
          <w:numId w:val="0"/>
        </w:numPr>
        <w:spacing w:after="240"/>
      </w:pPr>
    </w:p>
    <w:p w14:paraId="54E189B0" w14:textId="5AE1BDD9" w:rsidR="004928F5" w:rsidRDefault="002F3EB6" w:rsidP="00BE3065">
      <w:pPr>
        <w:pStyle w:val="ListBullet"/>
        <w:numPr>
          <w:ilvl w:val="0"/>
          <w:numId w:val="0"/>
        </w:numPr>
        <w:spacing w:after="170"/>
        <w:contextualSpacing w:val="0"/>
      </w:pPr>
      <w:r>
        <w:t xml:space="preserve">Although stakeholders were broadly satisfied with the </w:t>
      </w:r>
      <w:r w:rsidR="00AE3A28">
        <w:t>overall funding structure, stakeholder consultation and provider performance reports revealed several considerations:</w:t>
      </w:r>
      <w:r w:rsidR="00347F78">
        <w:t xml:space="preserve"> </w:t>
      </w:r>
    </w:p>
    <w:p w14:paraId="2E5A3611" w14:textId="1DC39F6B" w:rsidR="0092471E" w:rsidRPr="00D66487" w:rsidRDefault="002815E4" w:rsidP="00D66487">
      <w:pPr>
        <w:pStyle w:val="ListParagraph"/>
        <w:numPr>
          <w:ilvl w:val="0"/>
          <w:numId w:val="10"/>
        </w:numPr>
        <w:ind w:left="284" w:hanging="284"/>
        <w:contextualSpacing w:val="0"/>
      </w:pPr>
      <w:r w:rsidRPr="00D66487">
        <w:rPr>
          <w:rFonts w:asciiTheme="majorHAnsi" w:hAnsiTheme="majorHAnsi" w:cstheme="majorHAnsi"/>
          <w:b/>
        </w:rPr>
        <w:t>Daily top up amount for specialist staffing.</w:t>
      </w:r>
      <w:r w:rsidRPr="00D66487">
        <w:t xml:space="preserve"> </w:t>
      </w:r>
      <w:r w:rsidR="0092471E" w:rsidRPr="00D66487">
        <w:t xml:space="preserve">There were varied perceptions on the adequacy of the daily </w:t>
      </w:r>
      <w:r w:rsidR="002D1D07">
        <w:t>top-up grant funding</w:t>
      </w:r>
      <w:r w:rsidR="0092471E" w:rsidRPr="00D66487">
        <w:t xml:space="preserve"> amount to resource appropriate staffing levels. </w:t>
      </w:r>
      <w:r w:rsidR="000022D9" w:rsidRPr="00D66487">
        <w:t>Most</w:t>
      </w:r>
      <w:r w:rsidR="0092471E" w:rsidRPr="00D66487">
        <w:t xml:space="preserve"> sites were able to recruit adequate staffing required </w:t>
      </w:r>
      <w:r w:rsidR="00264BDF" w:rsidRPr="00D66487">
        <w:t xml:space="preserve">for the </w:t>
      </w:r>
      <w:r w:rsidR="0013150D" w:rsidRPr="00D66487">
        <w:t>SDCU</w:t>
      </w:r>
      <w:r w:rsidR="0092471E" w:rsidRPr="00D66487">
        <w:t xml:space="preserve"> </w:t>
      </w:r>
      <w:r w:rsidR="00264BDF" w:rsidRPr="00D66487">
        <w:t xml:space="preserve">however, a small number of sites </w:t>
      </w:r>
      <w:r w:rsidR="0092471E" w:rsidRPr="00D66487">
        <w:t xml:space="preserve">did not feel </w:t>
      </w:r>
      <w:r w:rsidR="00264BDF" w:rsidRPr="00D66487">
        <w:t>the funding</w:t>
      </w:r>
      <w:r w:rsidR="0092471E" w:rsidRPr="00D66487">
        <w:t xml:space="preserve"> was sufficient</w:t>
      </w:r>
      <w:r w:rsidR="00F2154C" w:rsidRPr="00D66487">
        <w:t xml:space="preserve"> to achieve optimal resourcing.</w:t>
      </w:r>
      <w:r w:rsidR="0092471E" w:rsidRPr="00D66487">
        <w:t xml:space="preserve"> Therefore, </w:t>
      </w:r>
      <w:r w:rsidR="00F2154C" w:rsidRPr="00D66487">
        <w:t>the</w:t>
      </w:r>
      <w:r w:rsidR="00764542" w:rsidRPr="00D66487">
        <w:t>re</w:t>
      </w:r>
      <w:r w:rsidR="00F2154C" w:rsidRPr="00D66487">
        <w:t xml:space="preserve"> is an opportunity for the Department to utilise the </w:t>
      </w:r>
      <w:r w:rsidR="00F2154C">
        <w:t>Audited Financial Acquittal reports</w:t>
      </w:r>
      <w:r w:rsidR="00207156" w:rsidRPr="0079620C">
        <w:rPr>
          <w:vertAlign w:val="superscript"/>
        </w:rPr>
        <w:footnoteReference w:id="27"/>
      </w:r>
      <w:r w:rsidR="00F2154C">
        <w:t xml:space="preserve"> (provided at the conclusion of the next financial year) </w:t>
      </w:r>
      <w:r w:rsidR="00207156">
        <w:t xml:space="preserve">to validate observations </w:t>
      </w:r>
      <w:r w:rsidR="00207156" w:rsidRPr="00D66487">
        <w:t>and</w:t>
      </w:r>
      <w:r w:rsidR="0092471E" w:rsidRPr="00D66487">
        <w:t xml:space="preserve"> </w:t>
      </w:r>
      <w:r w:rsidR="00F2154C" w:rsidRPr="00D66487">
        <w:t xml:space="preserve">better </w:t>
      </w:r>
      <w:r w:rsidR="0092471E" w:rsidRPr="00D66487">
        <w:t xml:space="preserve">understand how </w:t>
      </w:r>
      <w:r w:rsidR="00F2154C" w:rsidRPr="00D66487">
        <w:t>funding</w:t>
      </w:r>
      <w:r w:rsidR="0092471E" w:rsidRPr="00D66487">
        <w:t xml:space="preserve"> is being utilised across sites</w:t>
      </w:r>
      <w:r w:rsidR="00207156">
        <w:t>. This may reveal</w:t>
      </w:r>
      <w:r w:rsidR="0092471E" w:rsidRPr="00D66487">
        <w:t xml:space="preserve"> opportunities to provide further guidance or parameters to providers on how the funding should be used</w:t>
      </w:r>
      <w:r w:rsidR="00F2154C" w:rsidRPr="00D66487">
        <w:t xml:space="preserve"> to</w:t>
      </w:r>
      <w:r w:rsidR="00264BDF" w:rsidRPr="00D66487">
        <w:t xml:space="preserve"> better</w:t>
      </w:r>
      <w:r w:rsidR="00F2154C" w:rsidRPr="00D66487">
        <w:t xml:space="preserve"> support adequate staffing levels</w:t>
      </w:r>
      <w:r w:rsidR="0092471E" w:rsidRPr="00D66487">
        <w:t xml:space="preserve">. </w:t>
      </w:r>
    </w:p>
    <w:p w14:paraId="29F51D30" w14:textId="6EA33C40" w:rsidR="004928F5" w:rsidRDefault="002815E4" w:rsidP="00D66487">
      <w:pPr>
        <w:pStyle w:val="ListParagraph"/>
        <w:numPr>
          <w:ilvl w:val="0"/>
          <w:numId w:val="10"/>
        </w:numPr>
        <w:ind w:left="284" w:hanging="284"/>
        <w:contextualSpacing w:val="0"/>
      </w:pPr>
      <w:r w:rsidRPr="002815E4">
        <w:rPr>
          <w:rFonts w:asciiTheme="majorHAnsi" w:hAnsiTheme="majorHAnsi" w:cstheme="majorHAnsi"/>
          <w:b/>
          <w:bCs/>
        </w:rPr>
        <w:t>Impact of slow uptake rates.</w:t>
      </w:r>
      <w:r>
        <w:t xml:space="preserve"> </w:t>
      </w:r>
      <w:r w:rsidR="002467CD" w:rsidRPr="005F285A">
        <w:t xml:space="preserve">Despite receiving </w:t>
      </w:r>
      <w:r w:rsidR="00BD112F">
        <w:t>top-up grant</w:t>
      </w:r>
      <w:r w:rsidR="00BD112F" w:rsidRPr="005F285A">
        <w:t xml:space="preserve"> </w:t>
      </w:r>
      <w:r w:rsidR="002467CD" w:rsidRPr="005F285A">
        <w:t xml:space="preserve">payments for each bed irrespective of occupancy, </w:t>
      </w:r>
      <w:r w:rsidR="00A26D5F">
        <w:t xml:space="preserve">low occupancy </w:t>
      </w:r>
      <w:r w:rsidR="00A26D5F" w:rsidRPr="00D66487">
        <w:t xml:space="preserve">can impact the Program’s financial viability </w:t>
      </w:r>
      <w:r w:rsidR="00934FCF" w:rsidRPr="00D66487">
        <w:t xml:space="preserve">for providers </w:t>
      </w:r>
      <w:r w:rsidR="00A26D5F">
        <w:t xml:space="preserve">due to the absence of </w:t>
      </w:r>
      <w:r w:rsidR="007024B1">
        <w:t>daily resident/Commonwealth contributions</w:t>
      </w:r>
      <w:r w:rsidR="00A26D5F" w:rsidRPr="00D66487">
        <w:t xml:space="preserve">. </w:t>
      </w:r>
      <w:r w:rsidR="002467CD" w:rsidRPr="00D66487">
        <w:t xml:space="preserve">Stakeholders identified this as a barrier during the first year of operation </w:t>
      </w:r>
      <w:r w:rsidR="00A645A9" w:rsidRPr="00D66487">
        <w:t>and m</w:t>
      </w:r>
      <w:r w:rsidR="0092471E">
        <w:t>any sites noted that they had exceeded the budget for the SDCU in the initial phase of implementation</w:t>
      </w:r>
      <w:r w:rsidR="00A645A9">
        <w:t>. This</w:t>
      </w:r>
      <w:r w:rsidR="00F2154C">
        <w:t xml:space="preserve"> was</w:t>
      </w:r>
      <w:r w:rsidR="0092471E">
        <w:t xml:space="preserve"> largely due to recruiting FTE to support full occupancy from opening yet taking longer than expected to achieve </w:t>
      </w:r>
      <w:r w:rsidR="00EB295D">
        <w:t>full occupancy</w:t>
      </w:r>
      <w:r w:rsidR="0092471E">
        <w:t xml:space="preserve">. Some providers were able to minimise these costs by using the newly recruited FTE in other co-located RACFs until they were required at the </w:t>
      </w:r>
      <w:r w:rsidR="00EF6D3C">
        <w:t>SDCU</w:t>
      </w:r>
      <w:r w:rsidR="0092471E">
        <w:t>.</w:t>
      </w:r>
      <w:r w:rsidR="00F2154C">
        <w:t xml:space="preserve"> </w:t>
      </w:r>
      <w:r w:rsidR="00A26D5F" w:rsidRPr="00D66487">
        <w:t>However,</w:t>
      </w:r>
      <w:r w:rsidR="00817A50" w:rsidRPr="00D66487">
        <w:t xml:space="preserve"> this challenge has persisted for some SDCUs that</w:t>
      </w:r>
      <w:r w:rsidR="00A26D5F" w:rsidRPr="00D66487">
        <w:t xml:space="preserve"> have continued to operate below full occupancy at different stages in the Program</w:t>
      </w:r>
      <w:r w:rsidR="00817A50" w:rsidRPr="00D66487">
        <w:t xml:space="preserve"> (discussed in Section </w:t>
      </w:r>
      <w:r w:rsidR="00817A50" w:rsidRPr="00D66487">
        <w:fldChar w:fldCharType="begin"/>
      </w:r>
      <w:r w:rsidR="00817A50" w:rsidRPr="00D66487">
        <w:instrText xml:space="preserve"> REF _Ref123915087 \r \h  \* MERGEFORMAT </w:instrText>
      </w:r>
      <w:r w:rsidR="00817A50" w:rsidRPr="00D66487">
        <w:fldChar w:fldCharType="separate"/>
      </w:r>
      <w:r w:rsidR="00D32536">
        <w:t>2</w:t>
      </w:r>
      <w:r w:rsidR="00817A50" w:rsidRPr="00D66487">
        <w:fldChar w:fldCharType="end"/>
      </w:r>
      <w:r w:rsidR="00817A50" w:rsidRPr="00D66487">
        <w:t>)</w:t>
      </w:r>
      <w:r w:rsidR="00A26D5F" w:rsidRPr="00D66487">
        <w:t xml:space="preserve">. </w:t>
      </w:r>
    </w:p>
    <w:p w14:paraId="62EC2BB0" w14:textId="71F6CDAD" w:rsidR="0092471E" w:rsidRDefault="00BB4F6F" w:rsidP="00D66487">
      <w:pPr>
        <w:pStyle w:val="ListParagraph"/>
        <w:numPr>
          <w:ilvl w:val="0"/>
          <w:numId w:val="10"/>
        </w:numPr>
        <w:ind w:left="284" w:hanging="284"/>
        <w:contextualSpacing w:val="0"/>
      </w:pPr>
      <w:r w:rsidRPr="00830B2B">
        <w:rPr>
          <w:rFonts w:asciiTheme="majorHAnsi" w:hAnsiTheme="majorHAnsi" w:cstheme="majorHAnsi"/>
          <w:b/>
          <w:bCs/>
        </w:rPr>
        <w:t>Transition out payments</w:t>
      </w:r>
      <w:r w:rsidR="00E0783F" w:rsidRPr="00830B2B">
        <w:rPr>
          <w:rFonts w:asciiTheme="majorHAnsi" w:hAnsiTheme="majorHAnsi" w:cstheme="majorHAnsi"/>
          <w:b/>
          <w:bCs/>
        </w:rPr>
        <w:t xml:space="preserve"> to support </w:t>
      </w:r>
      <w:r w:rsidR="00A432CD" w:rsidRPr="00830B2B">
        <w:rPr>
          <w:rFonts w:asciiTheme="majorHAnsi" w:hAnsiTheme="majorHAnsi" w:cstheme="majorHAnsi"/>
          <w:b/>
          <w:bCs/>
        </w:rPr>
        <w:t>the dischar</w:t>
      </w:r>
      <w:r w:rsidR="00830B2B" w:rsidRPr="00830B2B">
        <w:rPr>
          <w:rFonts w:asciiTheme="majorHAnsi" w:hAnsiTheme="majorHAnsi" w:cstheme="majorHAnsi"/>
          <w:b/>
          <w:bCs/>
        </w:rPr>
        <w:t>ge process.</w:t>
      </w:r>
      <w:r w:rsidR="00830B2B" w:rsidRPr="00D66487">
        <w:t xml:space="preserve"> </w:t>
      </w:r>
      <w:r w:rsidR="00F2154C">
        <w:t>There were varied perceptions as to whether the transition</w:t>
      </w:r>
      <w:r w:rsidR="00817A50">
        <w:t xml:space="preserve"> out</w:t>
      </w:r>
      <w:r w:rsidR="00F2154C">
        <w:t xml:space="preserve"> payments</w:t>
      </w:r>
      <w:r w:rsidR="002467CD">
        <w:t xml:space="preserve"> </w:t>
      </w:r>
      <w:r w:rsidR="00F2154C">
        <w:t xml:space="preserve">were adequate. The majority of stakeholders </w:t>
      </w:r>
      <w:r w:rsidR="00C06465">
        <w:t>did agree</w:t>
      </w:r>
      <w:r w:rsidR="00F2154C">
        <w:t xml:space="preserve"> that the transition out process is more resource-intensive </w:t>
      </w:r>
      <w:r w:rsidR="00A83D11">
        <w:t xml:space="preserve">due to the level of outreach required with mainstream </w:t>
      </w:r>
      <w:r w:rsidR="003C7C2F">
        <w:t xml:space="preserve">RACFs </w:t>
      </w:r>
      <w:r w:rsidR="00A83D11">
        <w:t>to support a successful discharge</w:t>
      </w:r>
      <w:r w:rsidR="007E247C">
        <w:t xml:space="preserve"> (discussed in Section </w:t>
      </w:r>
      <w:r w:rsidR="007E247C">
        <w:fldChar w:fldCharType="begin"/>
      </w:r>
      <w:r w:rsidR="007E247C">
        <w:instrText xml:space="preserve"> REF _Ref123914573 \r \h  \* MERGEFORMAT </w:instrText>
      </w:r>
      <w:r w:rsidR="007E247C">
        <w:fldChar w:fldCharType="separate"/>
      </w:r>
      <w:r w:rsidR="00D32536">
        <w:t>4.2</w:t>
      </w:r>
      <w:r w:rsidR="007E247C">
        <w:fldChar w:fldCharType="end"/>
      </w:r>
      <w:r w:rsidR="007E247C">
        <w:t>).</w:t>
      </w:r>
      <w:r w:rsidR="00817A50">
        <w:t xml:space="preserve"> </w:t>
      </w:r>
      <w:r w:rsidR="00C06465">
        <w:t xml:space="preserve">However, </w:t>
      </w:r>
      <w:r w:rsidR="00264BDF">
        <w:t>most</w:t>
      </w:r>
      <w:r w:rsidR="00817A50">
        <w:t xml:space="preserve"> SDCUs </w:t>
      </w:r>
      <w:r w:rsidR="007779EF">
        <w:t>were able to sufficiently resource transitions out</w:t>
      </w:r>
      <w:r w:rsidR="002D40CE">
        <w:t xml:space="preserve">, which may be partly driven by </w:t>
      </w:r>
      <w:r w:rsidR="005F0747">
        <w:t>the</w:t>
      </w:r>
      <w:r w:rsidR="00C06465">
        <w:t xml:space="preserve"> lower cost of an internal transition</w:t>
      </w:r>
      <w:r w:rsidR="005F0747">
        <w:t xml:space="preserve"> which offsets more intensive external transitions</w:t>
      </w:r>
      <w:r w:rsidR="00C06465">
        <w:t xml:space="preserve">. </w:t>
      </w:r>
      <w:r w:rsidR="002D40CE">
        <w:t>However, some SDCUs felt that the payment did not always cover the full cost of the transition out</w:t>
      </w:r>
      <w:r w:rsidR="0019108E">
        <w:t>. Accordingly, t</w:t>
      </w:r>
      <w:r w:rsidR="00C06465">
        <w:t>h</w:t>
      </w:r>
      <w:r w:rsidR="00A123F5">
        <w:t>ere is an opportunity</w:t>
      </w:r>
      <w:r w:rsidR="004D29B5">
        <w:t xml:space="preserve"> to explore </w:t>
      </w:r>
      <w:r w:rsidR="00ED63EF">
        <w:t xml:space="preserve">the </w:t>
      </w:r>
      <w:r w:rsidR="00CD2CDC">
        <w:t xml:space="preserve">elements of a </w:t>
      </w:r>
      <w:r w:rsidR="00ED63EF">
        <w:t xml:space="preserve">transition out </w:t>
      </w:r>
      <w:r w:rsidR="00CD2CDC">
        <w:t>which may require</w:t>
      </w:r>
      <w:r w:rsidR="004D29B5">
        <w:t xml:space="preserve"> </w:t>
      </w:r>
      <w:r w:rsidR="00ED63EF">
        <w:t>higher</w:t>
      </w:r>
      <w:r w:rsidR="004D29B5">
        <w:t xml:space="preserve"> resourcin</w:t>
      </w:r>
      <w:r w:rsidR="00ED63EF">
        <w:t xml:space="preserve">g </w:t>
      </w:r>
      <w:r w:rsidR="00CD2CDC">
        <w:t>and</w:t>
      </w:r>
      <w:r w:rsidR="00650DB8">
        <w:t xml:space="preserve"> where providers may require more </w:t>
      </w:r>
      <w:r w:rsidR="008A1ADF">
        <w:t xml:space="preserve">financial </w:t>
      </w:r>
      <w:r w:rsidR="00650DB8">
        <w:t>support</w:t>
      </w:r>
      <w:r w:rsidR="003F0698">
        <w:t xml:space="preserve"> (i.e., </w:t>
      </w:r>
      <w:r w:rsidR="00434AFA">
        <w:t>a tiered approach to transition-out payment based on discharge complexity).</w:t>
      </w:r>
    </w:p>
    <w:p w14:paraId="1448DE7B" w14:textId="77777777" w:rsidR="00CD2AD5" w:rsidRPr="0018761B" w:rsidRDefault="00CD2AD5" w:rsidP="0018761B">
      <w:pPr>
        <w:rPr>
          <w:rFonts w:asciiTheme="majorHAnsi" w:hAnsiTheme="majorHAnsi" w:cstheme="majorHAnsi"/>
          <w:b/>
          <w:color w:val="012169"/>
          <w:lang w:val="en-AU"/>
        </w:rPr>
      </w:pPr>
      <w:r w:rsidRPr="0018761B">
        <w:rPr>
          <w:rFonts w:asciiTheme="majorHAnsi" w:hAnsiTheme="majorHAnsi" w:cstheme="majorHAnsi"/>
          <w:b/>
          <w:color w:val="012169"/>
          <w:lang w:val="en-AU"/>
        </w:rPr>
        <w:t>The retention of care staff may require incentives to offset the perceived risks of working at the SDCU.</w:t>
      </w:r>
    </w:p>
    <w:p w14:paraId="70F9EC5B" w14:textId="603F0C8A" w:rsidR="00970AE1" w:rsidRPr="00756263" w:rsidRDefault="00CD2AD5" w:rsidP="0018761B">
      <w:r>
        <w:t xml:space="preserve">The risk-pay tradeoff for care staff was identified as a key driver of care staff attrition in SDCUs (Section </w:t>
      </w:r>
      <w:r w:rsidR="005B413B">
        <w:fldChar w:fldCharType="begin"/>
      </w:r>
      <w:r w:rsidR="005B413B">
        <w:instrText xml:space="preserve"> REF _Ref123897179 \r \h </w:instrText>
      </w:r>
      <w:r w:rsidR="005B413B">
        <w:fldChar w:fldCharType="separate"/>
      </w:r>
      <w:r w:rsidR="00D32536">
        <w:t>3.1</w:t>
      </w:r>
      <w:r w:rsidR="005B413B">
        <w:fldChar w:fldCharType="end"/>
      </w:r>
      <w:r>
        <w:t xml:space="preserve">) following similar findings in the </w:t>
      </w:r>
      <w:r w:rsidRPr="00AC631E">
        <w:rPr>
          <w:b/>
          <w:bCs/>
        </w:rPr>
        <w:t>Interim Report (2021)</w:t>
      </w:r>
      <w:r>
        <w:t xml:space="preserve">. </w:t>
      </w:r>
      <w:r w:rsidR="00EC0C33">
        <w:t>Although some SDCUs reported higher levels of staff confidence and skill level and lower levels of care staff attrition over the course of the Program, the</w:t>
      </w:r>
      <w:r w:rsidR="004B6D5D">
        <w:t>re continues to be</w:t>
      </w:r>
      <w:r>
        <w:t xml:space="preserve"> perceived safety risks in working with the resident cohort</w:t>
      </w:r>
      <w:r w:rsidR="00EC0C33">
        <w:t xml:space="preserve"> </w:t>
      </w:r>
      <w:r>
        <w:t>when compared to roles within mainstream RACFs for comparable pay</w:t>
      </w:r>
      <w:r w:rsidR="000E73D1">
        <w:t>.</w:t>
      </w:r>
      <w:r w:rsidR="000A1954">
        <w:t xml:space="preserve"> </w:t>
      </w:r>
      <w:r w:rsidR="000E73D1">
        <w:t xml:space="preserve">It was suggested that </w:t>
      </w:r>
      <w:r w:rsidR="000A1954">
        <w:t>further training and support for care staff may facilitate higher staff confidence and job satisfaction among care staff (as mentioned in Section 3 and Section 5.3). However, c</w:t>
      </w:r>
      <w:r>
        <w:t xml:space="preserve">onsistent with the </w:t>
      </w:r>
      <w:r w:rsidRPr="00AC631E">
        <w:rPr>
          <w:b/>
          <w:bCs/>
        </w:rPr>
        <w:t>Interim Report</w:t>
      </w:r>
      <w:r w:rsidR="000A1954" w:rsidRPr="00AC631E">
        <w:rPr>
          <w:b/>
          <w:bCs/>
        </w:rPr>
        <w:t xml:space="preserve"> (2021)</w:t>
      </w:r>
      <w:r>
        <w:t xml:space="preserve">, </w:t>
      </w:r>
      <w:r w:rsidR="000A1954">
        <w:t xml:space="preserve">if </w:t>
      </w:r>
      <w:r w:rsidR="00E46485">
        <w:t xml:space="preserve">this </w:t>
      </w:r>
      <w:r>
        <w:t>issue persists as the Pro</w:t>
      </w:r>
      <w:r w:rsidR="000A1954">
        <w:t>gram moves into Phase Two</w:t>
      </w:r>
      <w:r>
        <w:t>, care staff may need to be recruited at higher levels that better reflect the scope of their role.</w:t>
      </w:r>
      <w:r w:rsidR="00E36565">
        <w:t xml:space="preserve"> </w:t>
      </w:r>
      <w:r w:rsidR="00970AE1">
        <w:rPr>
          <w:b/>
          <w:bCs/>
          <w:color w:val="012169"/>
        </w:rPr>
        <w:br w:type="page"/>
      </w:r>
    </w:p>
    <w:p w14:paraId="414276AD" w14:textId="77777777" w:rsidR="00310663" w:rsidRPr="00801306" w:rsidRDefault="0009274B" w:rsidP="00310663">
      <w:pPr>
        <w:pStyle w:val="Heading1"/>
      </w:pPr>
      <w:r>
        <w:t xml:space="preserve"> </w:t>
      </w:r>
      <w:bookmarkStart w:id="105" w:name="_Ref129247876"/>
      <w:bookmarkStart w:id="106" w:name="_Ref129247910"/>
      <w:bookmarkStart w:id="107" w:name="_Toc141714796"/>
      <w:r w:rsidR="00310663">
        <w:t>Expanding Program scope</w:t>
      </w:r>
      <w:bookmarkEnd w:id="105"/>
      <w:bookmarkEnd w:id="106"/>
      <w:bookmarkEnd w:id="107"/>
    </w:p>
    <w:p w14:paraId="2DCFAAFB" w14:textId="77777777" w:rsidR="00310663" w:rsidRDefault="00310663" w:rsidP="00310663">
      <w:r>
        <w:t>Recommendation 16 (Section 1) of the Royal Commission into Aged Care Quality and Safety states that:</w:t>
      </w:r>
    </w:p>
    <w:p w14:paraId="12DF3AC0" w14:textId="77777777" w:rsidR="00310663" w:rsidRPr="006158DD" w:rsidRDefault="00310663" w:rsidP="00310663">
      <w:pPr>
        <w:rPr>
          <w:i/>
          <w:iCs/>
        </w:rPr>
      </w:pPr>
      <w:r>
        <w:t>“</w:t>
      </w:r>
      <w:r>
        <w:rPr>
          <w:i/>
          <w:iCs/>
        </w:rPr>
        <w:t>B</w:t>
      </w:r>
      <w:r w:rsidRPr="006158DD">
        <w:rPr>
          <w:i/>
          <w:iCs/>
        </w:rPr>
        <w:t>y 1 July 2023, the Australian Government should review and publicly report on:</w:t>
      </w:r>
    </w:p>
    <w:p w14:paraId="18DD89E1" w14:textId="77777777" w:rsidR="00310663" w:rsidRDefault="00310663" w:rsidP="00310663">
      <w:pPr>
        <w:pStyle w:val="ListParagraph"/>
        <w:numPr>
          <w:ilvl w:val="1"/>
          <w:numId w:val="61"/>
        </w:numPr>
        <w:rPr>
          <w:i/>
          <w:iCs/>
        </w:rPr>
      </w:pPr>
      <w:r>
        <w:rPr>
          <w:i/>
          <w:iCs/>
        </w:rPr>
        <w:t>Whether the number of Specialist Dementia Care Units established or planned to be established is sufficient to address need within the areas and populations they are designed to cover</w:t>
      </w:r>
    </w:p>
    <w:p w14:paraId="05FF4413" w14:textId="77777777" w:rsidR="00310663" w:rsidRPr="006158DD" w:rsidRDefault="00310663" w:rsidP="00310663">
      <w:pPr>
        <w:pStyle w:val="ListParagraph"/>
        <w:numPr>
          <w:ilvl w:val="1"/>
          <w:numId w:val="61"/>
        </w:numPr>
        <w:rPr>
          <w:i/>
          <w:iCs/>
        </w:rPr>
      </w:pPr>
      <w:r w:rsidRPr="006158DD">
        <w:rPr>
          <w:i/>
          <w:iCs/>
        </w:rPr>
        <w:t>the capacity of [SDCUs] to address the needs of people exhibiting extreme changed behaviour and whether further resources are required; and</w:t>
      </w:r>
    </w:p>
    <w:p w14:paraId="2CE33D62" w14:textId="77777777" w:rsidR="00310663" w:rsidRPr="006158DD" w:rsidRDefault="00310663" w:rsidP="00310663">
      <w:pPr>
        <w:pStyle w:val="ListParagraph"/>
        <w:numPr>
          <w:ilvl w:val="1"/>
          <w:numId w:val="61"/>
        </w:numPr>
        <w:rPr>
          <w:i/>
          <w:iCs/>
        </w:rPr>
      </w:pPr>
      <w:r w:rsidRPr="006158DD">
        <w:rPr>
          <w:i/>
          <w:iCs/>
        </w:rPr>
        <w:t>the suitability of SDCUs to support shorter-stay respite for people living with moderate to extreme changed behaviour.</w:t>
      </w:r>
      <w:r>
        <w:rPr>
          <w:i/>
          <w:iCs/>
        </w:rPr>
        <w:t>”</w:t>
      </w:r>
      <w:r w:rsidRPr="006158DD">
        <w:rPr>
          <w:rStyle w:val="FootnoteReference"/>
          <w:i/>
          <w:iCs/>
        </w:rPr>
        <w:footnoteReference w:id="28"/>
      </w:r>
    </w:p>
    <w:p w14:paraId="24B6A016" w14:textId="6839D8DB" w:rsidR="00310663" w:rsidRDefault="00310663" w:rsidP="00310663">
      <w:r>
        <w:t>As the evaluation activities for this report commenced, the Department asked Deloitte Access Economics to canvass stakeholder views regarding statements (b) and (c), to support the Department’s overall activities regarding this Recommendation.</w:t>
      </w:r>
      <w:r>
        <w:rPr>
          <w:rStyle w:val="FootnoteReference"/>
        </w:rPr>
        <w:footnoteReference w:id="29"/>
      </w:r>
      <w:r>
        <w:t xml:space="preserve"> To that end, additional questions were added to the stakeholder consultation guides, such that Program stakeholders (SDCU staff, Program managers, in-reach clinicians and Program referrers) and DSA stakeholders (NBA service program managers and assessors) were asked to reflect on potential Program expansions for respite services and people exhibiting Tier 7 </w:t>
      </w:r>
      <w:r w:rsidR="00A52411">
        <w:t xml:space="preserve">(extreme) </w:t>
      </w:r>
      <w:r>
        <w:t>behaviours, including any potential</w:t>
      </w:r>
      <w:r w:rsidRPr="00684CAA">
        <w:t xml:space="preserve"> limitations</w:t>
      </w:r>
      <w:r>
        <w:t xml:space="preserve"> or additional resources required. The findings are outlined below.</w:t>
      </w:r>
    </w:p>
    <w:p w14:paraId="0D282A69" w14:textId="77777777" w:rsidR="00310663" w:rsidRPr="00FA564F" w:rsidRDefault="00310663" w:rsidP="00310663">
      <w:pPr>
        <w:spacing w:after="170"/>
        <w:rPr>
          <w:rFonts w:asciiTheme="majorHAnsi" w:hAnsiTheme="majorHAnsi" w:cstheme="majorHAnsi"/>
          <w:b/>
          <w:color w:val="012169"/>
        </w:rPr>
      </w:pPr>
      <w:r w:rsidRPr="00FA564F">
        <w:rPr>
          <w:rFonts w:asciiTheme="majorHAnsi" w:hAnsiTheme="majorHAnsi" w:cstheme="majorHAnsi"/>
          <w:b/>
          <w:color w:val="012169"/>
        </w:rPr>
        <w:t xml:space="preserve">Stakeholders largely agreed that short-term respite would not be an appropriate offering within the </w:t>
      </w:r>
      <w:r>
        <w:rPr>
          <w:rFonts w:asciiTheme="majorHAnsi" w:hAnsiTheme="majorHAnsi" w:cstheme="majorHAnsi"/>
          <w:b/>
          <w:color w:val="012169"/>
        </w:rPr>
        <w:t>Program</w:t>
      </w:r>
      <w:r w:rsidRPr="00FA564F">
        <w:rPr>
          <w:rFonts w:asciiTheme="majorHAnsi" w:hAnsiTheme="majorHAnsi" w:cstheme="majorHAnsi"/>
          <w:b/>
          <w:color w:val="012169"/>
        </w:rPr>
        <w:t>.</w:t>
      </w:r>
    </w:p>
    <w:p w14:paraId="58EFBD62" w14:textId="2DE85A0C" w:rsidR="00310663" w:rsidRDefault="00310663" w:rsidP="00310663">
      <w:pPr>
        <w:spacing w:after="170"/>
        <w:rPr>
          <w:lang w:val="en-AU"/>
        </w:rPr>
      </w:pPr>
      <w:r>
        <w:rPr>
          <w:lang w:val="en-AU"/>
        </w:rPr>
        <w:t>S</w:t>
      </w:r>
      <w:r w:rsidRPr="004C45BF">
        <w:rPr>
          <w:lang w:val="en-AU"/>
        </w:rPr>
        <w:t xml:space="preserve">takeholders acknowledged there is a strong need for further support services targeted to carers of </w:t>
      </w:r>
      <w:r>
        <w:rPr>
          <w:lang w:val="en-AU"/>
        </w:rPr>
        <w:t xml:space="preserve">people exhibiting </w:t>
      </w:r>
      <w:r w:rsidR="00B83A3A">
        <w:rPr>
          <w:lang w:val="en-AU"/>
        </w:rPr>
        <w:t>moderate to extreme</w:t>
      </w:r>
      <w:r>
        <w:rPr>
          <w:lang w:val="en-AU"/>
        </w:rPr>
        <w:t xml:space="preserve"> BPSD, including across mainstream RACFs and people being cared for in home settings. </w:t>
      </w:r>
      <w:r w:rsidRPr="004C45BF">
        <w:rPr>
          <w:lang w:val="en-AU"/>
        </w:rPr>
        <w:t xml:space="preserve">However, </w:t>
      </w:r>
      <w:r>
        <w:rPr>
          <w:lang w:val="en-AU"/>
        </w:rPr>
        <w:t xml:space="preserve">there was a </w:t>
      </w:r>
      <w:r w:rsidRPr="00C80219">
        <w:rPr>
          <w:lang w:val="en-AU"/>
        </w:rPr>
        <w:t xml:space="preserve">strong consensus </w:t>
      </w:r>
      <w:r>
        <w:rPr>
          <w:lang w:val="en-AU"/>
        </w:rPr>
        <w:t xml:space="preserve">among stakeholders </w:t>
      </w:r>
      <w:r w:rsidRPr="00C80219">
        <w:rPr>
          <w:lang w:val="en-AU"/>
        </w:rPr>
        <w:t>that</w:t>
      </w:r>
      <w:r>
        <w:rPr>
          <w:lang w:val="en-AU"/>
        </w:rPr>
        <w:t xml:space="preserve"> providing</w:t>
      </w:r>
      <w:r w:rsidRPr="00C80219">
        <w:rPr>
          <w:lang w:val="en-AU"/>
        </w:rPr>
        <w:t xml:space="preserve"> </w:t>
      </w:r>
      <w:r>
        <w:rPr>
          <w:lang w:val="en-AU"/>
        </w:rPr>
        <w:t xml:space="preserve">short-term respite through the Program would be too disruptive to the respite residents, </w:t>
      </w:r>
      <w:r w:rsidR="004909DF">
        <w:rPr>
          <w:lang w:val="en-AU"/>
        </w:rPr>
        <w:t xml:space="preserve">as well as </w:t>
      </w:r>
      <w:r>
        <w:rPr>
          <w:lang w:val="en-AU"/>
        </w:rPr>
        <w:t xml:space="preserve">for the broader Program. </w:t>
      </w:r>
    </w:p>
    <w:p w14:paraId="00413E22" w14:textId="77777777" w:rsidR="00310663" w:rsidRPr="006479F8" w:rsidRDefault="00310663" w:rsidP="00310663">
      <w:pPr>
        <w:spacing w:after="0"/>
        <w:rPr>
          <w:u w:val="single"/>
          <w:lang w:val="en-AU"/>
        </w:rPr>
      </w:pPr>
      <w:r>
        <w:rPr>
          <w:u w:val="single"/>
          <w:lang w:val="en-AU"/>
        </w:rPr>
        <w:t>Disruptions to respite residents and their carers</w:t>
      </w:r>
    </w:p>
    <w:p w14:paraId="61F9568C" w14:textId="01733CE2" w:rsidR="00310663" w:rsidRDefault="00310663" w:rsidP="00310663">
      <w:pPr>
        <w:spacing w:after="170"/>
        <w:rPr>
          <w:lang w:val="en-AU"/>
        </w:rPr>
      </w:pPr>
      <w:r>
        <w:rPr>
          <w:lang w:val="en-AU"/>
        </w:rPr>
        <w:t xml:space="preserve">Stakeholders broadly agreed that short-term respite would not provide enough time for the Program to have a positive impact on settling BPSD, as it can take time for residents to begin showing improvements </w:t>
      </w:r>
      <w:r w:rsidRPr="000F6E36">
        <w:rPr>
          <w:lang w:val="en-AU"/>
        </w:rPr>
        <w:t xml:space="preserve">(see Section </w:t>
      </w:r>
      <w:r w:rsidRPr="000F6E36">
        <w:rPr>
          <w:lang w:val="en-AU"/>
        </w:rPr>
        <w:fldChar w:fldCharType="begin"/>
      </w:r>
      <w:r w:rsidRPr="000F6E36">
        <w:rPr>
          <w:lang w:val="en-AU"/>
        </w:rPr>
        <w:instrText xml:space="preserve"> REF _Ref123904728 \w \h  \* MERGEFORMAT </w:instrText>
      </w:r>
      <w:r w:rsidRPr="000F6E36">
        <w:rPr>
          <w:lang w:val="en-AU"/>
        </w:rPr>
      </w:r>
      <w:r w:rsidRPr="000F6E36">
        <w:rPr>
          <w:lang w:val="en-AU"/>
        </w:rPr>
        <w:fldChar w:fldCharType="separate"/>
      </w:r>
      <w:r w:rsidR="00D32536">
        <w:rPr>
          <w:lang w:val="en-AU"/>
        </w:rPr>
        <w:t>5.2</w:t>
      </w:r>
      <w:r w:rsidRPr="000F6E36">
        <w:rPr>
          <w:lang w:val="en-AU"/>
        </w:rPr>
        <w:fldChar w:fldCharType="end"/>
      </w:r>
      <w:r w:rsidRPr="000F6E36">
        <w:rPr>
          <w:lang w:val="en-AU"/>
        </w:rPr>
        <w:t>)</w:t>
      </w:r>
      <w:r>
        <w:rPr>
          <w:lang w:val="en-AU"/>
        </w:rPr>
        <w:t xml:space="preserve">. Further, they believed transferring a patient in and out of the SDCU over a short period of time would likely </w:t>
      </w:r>
      <w:r w:rsidRPr="000F6E36">
        <w:rPr>
          <w:lang w:val="en-AU"/>
        </w:rPr>
        <w:t xml:space="preserve">exacerbate </w:t>
      </w:r>
      <w:r>
        <w:rPr>
          <w:lang w:val="en-AU"/>
        </w:rPr>
        <w:t>their</w:t>
      </w:r>
      <w:r w:rsidRPr="000F6E36">
        <w:rPr>
          <w:lang w:val="en-AU"/>
        </w:rPr>
        <w:t xml:space="preserve"> BPSD</w:t>
      </w:r>
      <w:r>
        <w:rPr>
          <w:lang w:val="en-AU"/>
        </w:rPr>
        <w:t xml:space="preserve">, as </w:t>
      </w:r>
      <w:r w:rsidRPr="000F6E36">
        <w:rPr>
          <w:lang w:val="en-AU"/>
        </w:rPr>
        <w:t xml:space="preserve">transitions </w:t>
      </w:r>
      <w:r>
        <w:rPr>
          <w:lang w:val="en-AU"/>
        </w:rPr>
        <w:t xml:space="preserve">in and out of the SDCU </w:t>
      </w:r>
      <w:r w:rsidRPr="000F6E36">
        <w:rPr>
          <w:lang w:val="en-AU"/>
        </w:rPr>
        <w:t xml:space="preserve">can be highly disruptive to patients and </w:t>
      </w:r>
      <w:r>
        <w:rPr>
          <w:lang w:val="en-AU"/>
        </w:rPr>
        <w:t xml:space="preserve">can often cause </w:t>
      </w:r>
      <w:r w:rsidR="002005C2">
        <w:rPr>
          <w:lang w:val="en-AU"/>
        </w:rPr>
        <w:t>behaviours</w:t>
      </w:r>
      <w:r w:rsidRPr="000F6E36">
        <w:rPr>
          <w:lang w:val="en-AU"/>
        </w:rPr>
        <w:t xml:space="preserve"> </w:t>
      </w:r>
      <w:r>
        <w:rPr>
          <w:lang w:val="en-AU"/>
        </w:rPr>
        <w:t xml:space="preserve">to </w:t>
      </w:r>
      <w:r w:rsidRPr="000F6E36">
        <w:rPr>
          <w:lang w:val="en-AU"/>
        </w:rPr>
        <w:t xml:space="preserve">worsen </w:t>
      </w:r>
      <w:r>
        <w:rPr>
          <w:lang w:val="en-AU"/>
        </w:rPr>
        <w:t>temporarily.</w:t>
      </w:r>
    </w:p>
    <w:p w14:paraId="357A1B8B" w14:textId="7CBA7CD5" w:rsidR="00310663" w:rsidRDefault="00310663" w:rsidP="00310663">
      <w:pPr>
        <w:spacing w:after="170"/>
        <w:rPr>
          <w:lang w:val="en-AU"/>
        </w:rPr>
      </w:pPr>
      <w:r>
        <w:rPr>
          <w:lang w:val="en-AU"/>
        </w:rPr>
        <w:t xml:space="preserve">Accordingly, the exacerbation of BPSD would </w:t>
      </w:r>
      <w:r w:rsidR="003C57E5">
        <w:rPr>
          <w:lang w:val="en-AU"/>
        </w:rPr>
        <w:t xml:space="preserve">likely </w:t>
      </w:r>
      <w:r w:rsidRPr="006479F8">
        <w:rPr>
          <w:lang w:val="en-AU"/>
        </w:rPr>
        <w:t>minimis</w:t>
      </w:r>
      <w:r>
        <w:rPr>
          <w:lang w:val="en-AU"/>
        </w:rPr>
        <w:t>e</w:t>
      </w:r>
      <w:r w:rsidRPr="006479F8">
        <w:rPr>
          <w:lang w:val="en-AU"/>
        </w:rPr>
        <w:t xml:space="preserve"> </w:t>
      </w:r>
      <w:r>
        <w:rPr>
          <w:lang w:val="en-AU"/>
        </w:rPr>
        <w:t xml:space="preserve">the short-term relief afforded to the respite carer. Some Program staff also noted that family/carers are also involved in the transition in and care planning process for new admissions, which would further reduce the relief given to carers during the respite period. </w:t>
      </w:r>
    </w:p>
    <w:p w14:paraId="287F6DD4" w14:textId="77777777" w:rsidR="00310663" w:rsidRPr="006479F8" w:rsidRDefault="00310663" w:rsidP="00310663">
      <w:pPr>
        <w:spacing w:after="0"/>
        <w:rPr>
          <w:u w:val="single"/>
          <w:lang w:val="en-AU"/>
        </w:rPr>
      </w:pPr>
      <w:r>
        <w:rPr>
          <w:u w:val="single"/>
          <w:lang w:val="en-AU"/>
        </w:rPr>
        <w:t>Long-term disruptions to existing Program residents and SDCU staff</w:t>
      </w:r>
    </w:p>
    <w:p w14:paraId="3BA518AF" w14:textId="5FF50174" w:rsidR="00310663" w:rsidRDefault="00310663" w:rsidP="00310663">
      <w:pPr>
        <w:spacing w:after="0"/>
        <w:rPr>
          <w:lang w:val="en-AU"/>
        </w:rPr>
      </w:pPr>
      <w:r>
        <w:rPr>
          <w:lang w:val="en-AU"/>
        </w:rPr>
        <w:t xml:space="preserve">The high resident turnover from short-term respite residents was also expected to </w:t>
      </w:r>
      <w:r w:rsidRPr="000F6E36">
        <w:rPr>
          <w:lang w:val="en-AU"/>
        </w:rPr>
        <w:t xml:space="preserve">exacerbate BPSD among current residents, given </w:t>
      </w:r>
      <w:r>
        <w:rPr>
          <w:lang w:val="en-AU"/>
        </w:rPr>
        <w:t xml:space="preserve">their </w:t>
      </w:r>
      <w:r w:rsidRPr="000F6E36">
        <w:rPr>
          <w:lang w:val="en-AU"/>
        </w:rPr>
        <w:t xml:space="preserve">BPSD </w:t>
      </w:r>
      <w:r w:rsidR="00410B8E">
        <w:rPr>
          <w:lang w:val="en-AU"/>
        </w:rPr>
        <w:t>can be</w:t>
      </w:r>
      <w:r w:rsidRPr="000F6E36">
        <w:rPr>
          <w:lang w:val="en-AU"/>
        </w:rPr>
        <w:t xml:space="preserve"> heavily impacted by chang</w:t>
      </w:r>
      <w:r>
        <w:rPr>
          <w:lang w:val="en-AU"/>
        </w:rPr>
        <w:t>es to the</w:t>
      </w:r>
      <w:r w:rsidRPr="000F6E36">
        <w:rPr>
          <w:lang w:val="en-AU"/>
        </w:rPr>
        <w:t xml:space="preserve"> </w:t>
      </w:r>
      <w:r>
        <w:rPr>
          <w:lang w:val="en-AU"/>
        </w:rPr>
        <w:t>resident</w:t>
      </w:r>
      <w:r w:rsidRPr="000F6E36">
        <w:rPr>
          <w:lang w:val="en-AU"/>
        </w:rPr>
        <w:t xml:space="preserve"> dynamic (see Section </w:t>
      </w:r>
      <w:r w:rsidRPr="000F6E36">
        <w:rPr>
          <w:lang w:val="en-AU"/>
        </w:rPr>
        <w:fldChar w:fldCharType="begin"/>
      </w:r>
      <w:r w:rsidRPr="000F6E36">
        <w:rPr>
          <w:lang w:val="en-AU"/>
        </w:rPr>
        <w:instrText xml:space="preserve"> REF _Ref123904728 \w \h  \* MERGEFORMAT </w:instrText>
      </w:r>
      <w:r w:rsidRPr="000F6E36">
        <w:rPr>
          <w:lang w:val="en-AU"/>
        </w:rPr>
      </w:r>
      <w:r w:rsidRPr="000F6E36">
        <w:rPr>
          <w:lang w:val="en-AU"/>
        </w:rPr>
        <w:fldChar w:fldCharType="separate"/>
      </w:r>
      <w:r w:rsidR="00D32536">
        <w:rPr>
          <w:lang w:val="en-AU"/>
        </w:rPr>
        <w:t>5.2</w:t>
      </w:r>
      <w:r w:rsidRPr="000F6E36">
        <w:rPr>
          <w:lang w:val="en-AU"/>
        </w:rPr>
        <w:fldChar w:fldCharType="end"/>
      </w:r>
      <w:r w:rsidRPr="000F6E36">
        <w:rPr>
          <w:lang w:val="en-AU"/>
        </w:rPr>
        <w:t>)</w:t>
      </w:r>
      <w:r>
        <w:rPr>
          <w:lang w:val="en-AU"/>
        </w:rPr>
        <w:t>. Most Program staff believed respite residents would be difficult to integrate into the existing resident mix and could hinder the progress of existing Program residents. It was also suggested that exacerbated BPSD could place additional strain on care staff. Stakeholders at some SDCUs felt that the current level of staff confidence, skill level and capacity at their site would not be equipped to manage the mix of respite and longer-term residents.</w:t>
      </w:r>
    </w:p>
    <w:p w14:paraId="47B0D408" w14:textId="77777777" w:rsidR="00310663" w:rsidRDefault="00310663" w:rsidP="00310663">
      <w:pPr>
        <w:spacing w:after="0"/>
        <w:rPr>
          <w:lang w:val="en-AU"/>
        </w:rPr>
      </w:pPr>
    </w:p>
    <w:p w14:paraId="65C3044E" w14:textId="77777777" w:rsidR="00310663" w:rsidRPr="008A7FB4" w:rsidRDefault="00310663" w:rsidP="00310663">
      <w:pPr>
        <w:spacing w:after="0"/>
        <w:rPr>
          <w:lang w:val="en-AU"/>
        </w:rPr>
      </w:pPr>
      <w:r>
        <w:rPr>
          <w:u w:val="single"/>
          <w:lang w:val="en-AU"/>
        </w:rPr>
        <w:t>Impact on Program uptake</w:t>
      </w:r>
    </w:p>
    <w:p w14:paraId="05891688" w14:textId="77777777" w:rsidR="00310663" w:rsidRDefault="00310663" w:rsidP="00310663">
      <w:pPr>
        <w:spacing w:after="170"/>
        <w:rPr>
          <w:lang w:val="en-AU"/>
        </w:rPr>
      </w:pPr>
      <w:r>
        <w:rPr>
          <w:lang w:val="en-AU"/>
        </w:rPr>
        <w:t xml:space="preserve">Stakeholders also felt that short-term respite would have broader implications on Program uptake, as the admission of respite residents may: </w:t>
      </w:r>
    </w:p>
    <w:p w14:paraId="77320BFC" w14:textId="1D8B286A" w:rsidR="00310663" w:rsidRDefault="00310663" w:rsidP="00310663">
      <w:pPr>
        <w:numPr>
          <w:ilvl w:val="1"/>
          <w:numId w:val="19"/>
        </w:numPr>
        <w:tabs>
          <w:tab w:val="clear" w:pos="1440"/>
        </w:tabs>
        <w:spacing w:after="0"/>
        <w:ind w:left="426" w:hanging="426"/>
        <w:rPr>
          <w:lang w:val="en-AU"/>
        </w:rPr>
      </w:pPr>
      <w:r w:rsidRPr="000F6E36">
        <w:rPr>
          <w:lang w:val="en-AU"/>
        </w:rPr>
        <w:t>increase waitlist times for existing</w:t>
      </w:r>
      <w:r>
        <w:rPr>
          <w:lang w:val="en-AU"/>
        </w:rPr>
        <w:t xml:space="preserve"> Program</w:t>
      </w:r>
      <w:r w:rsidRPr="000F6E36">
        <w:rPr>
          <w:lang w:val="en-AU"/>
        </w:rPr>
        <w:t xml:space="preserve"> applicants, </w:t>
      </w:r>
      <w:r>
        <w:rPr>
          <w:lang w:val="en-AU"/>
        </w:rPr>
        <w:t xml:space="preserve">by reducing the number </w:t>
      </w:r>
      <w:r w:rsidR="00410B8E">
        <w:rPr>
          <w:lang w:val="en-AU"/>
        </w:rPr>
        <w:t xml:space="preserve">of </w:t>
      </w:r>
      <w:r w:rsidRPr="000F6E36">
        <w:rPr>
          <w:lang w:val="en-AU"/>
        </w:rPr>
        <w:t xml:space="preserve">Program beds </w:t>
      </w:r>
      <w:r>
        <w:rPr>
          <w:lang w:val="en-AU"/>
        </w:rPr>
        <w:t>available</w:t>
      </w:r>
    </w:p>
    <w:p w14:paraId="5602C5AC" w14:textId="6CD666A7" w:rsidR="00310663" w:rsidRDefault="00310663" w:rsidP="00310663">
      <w:pPr>
        <w:numPr>
          <w:ilvl w:val="1"/>
          <w:numId w:val="19"/>
        </w:numPr>
        <w:tabs>
          <w:tab w:val="clear" w:pos="1440"/>
        </w:tabs>
        <w:spacing w:after="0"/>
        <w:ind w:left="426" w:hanging="426"/>
        <w:rPr>
          <w:lang w:val="en-AU"/>
        </w:rPr>
      </w:pPr>
      <w:r>
        <w:rPr>
          <w:lang w:val="en-AU"/>
        </w:rPr>
        <w:t xml:space="preserve">create difficulties transitioning respite residents that would qualify for the Program back to their original care setting following a respite period, given reluctance among families and mainstream RACFs to discharge (see Section </w:t>
      </w:r>
      <w:r>
        <w:rPr>
          <w:lang w:val="en-AU"/>
        </w:rPr>
        <w:fldChar w:fldCharType="begin"/>
      </w:r>
      <w:r>
        <w:rPr>
          <w:lang w:val="en-AU"/>
        </w:rPr>
        <w:instrText xml:space="preserve"> REF _Ref123907438 \w \h </w:instrText>
      </w:r>
      <w:r>
        <w:rPr>
          <w:lang w:val="en-AU"/>
        </w:rPr>
      </w:r>
      <w:r>
        <w:rPr>
          <w:lang w:val="en-AU"/>
        </w:rPr>
        <w:fldChar w:fldCharType="separate"/>
      </w:r>
      <w:r w:rsidR="00D32536">
        <w:rPr>
          <w:lang w:val="en-AU"/>
        </w:rPr>
        <w:t>4.1</w:t>
      </w:r>
      <w:r>
        <w:rPr>
          <w:lang w:val="en-AU"/>
        </w:rPr>
        <w:fldChar w:fldCharType="end"/>
      </w:r>
      <w:r>
        <w:rPr>
          <w:lang w:val="en-AU"/>
        </w:rPr>
        <w:t>)</w:t>
      </w:r>
    </w:p>
    <w:p w14:paraId="43662C87" w14:textId="77777777" w:rsidR="00310663" w:rsidRPr="001315F3" w:rsidRDefault="00310663" w:rsidP="00310663">
      <w:pPr>
        <w:numPr>
          <w:ilvl w:val="1"/>
          <w:numId w:val="19"/>
        </w:numPr>
        <w:tabs>
          <w:tab w:val="clear" w:pos="1440"/>
        </w:tabs>
        <w:spacing w:after="0"/>
        <w:ind w:left="426" w:hanging="426"/>
        <w:rPr>
          <w:lang w:val="en-AU"/>
        </w:rPr>
      </w:pPr>
      <w:r>
        <w:rPr>
          <w:lang w:val="en-AU"/>
        </w:rPr>
        <w:t>create incentives</w:t>
      </w:r>
      <w:r w:rsidRPr="001315F3">
        <w:rPr>
          <w:lang w:val="en-AU"/>
        </w:rPr>
        <w:t xml:space="preserve"> among providers to </w:t>
      </w:r>
      <w:r>
        <w:rPr>
          <w:lang w:val="en-AU"/>
        </w:rPr>
        <w:t xml:space="preserve">favour either </w:t>
      </w:r>
      <w:r w:rsidRPr="001315F3">
        <w:rPr>
          <w:lang w:val="en-AU"/>
        </w:rPr>
        <w:t>respite or longer-stay Program admissions</w:t>
      </w:r>
      <w:r>
        <w:rPr>
          <w:lang w:val="en-AU"/>
        </w:rPr>
        <w:t>,</w:t>
      </w:r>
      <w:r w:rsidRPr="001315F3">
        <w:rPr>
          <w:lang w:val="en-AU"/>
        </w:rPr>
        <w:t xml:space="preserve"> depending on </w:t>
      </w:r>
      <w:r>
        <w:rPr>
          <w:lang w:val="en-AU"/>
        </w:rPr>
        <w:t xml:space="preserve">the </w:t>
      </w:r>
      <w:r w:rsidRPr="001315F3">
        <w:rPr>
          <w:lang w:val="en-AU"/>
        </w:rPr>
        <w:t xml:space="preserve">different funding options available for different cohorts. </w:t>
      </w:r>
    </w:p>
    <w:p w14:paraId="41C7171A" w14:textId="77777777" w:rsidR="00310663" w:rsidRPr="008A7FB4" w:rsidRDefault="00310663" w:rsidP="00310663">
      <w:pPr>
        <w:spacing w:after="0"/>
        <w:rPr>
          <w:lang w:val="en-AU"/>
        </w:rPr>
      </w:pPr>
    </w:p>
    <w:p w14:paraId="0DCE150B" w14:textId="77777777" w:rsidR="00310663" w:rsidRPr="00C80219" w:rsidRDefault="00310663" w:rsidP="00310663">
      <w:pPr>
        <w:spacing w:after="0"/>
        <w:rPr>
          <w:lang w:val="en-AU"/>
        </w:rPr>
      </w:pPr>
      <w:r>
        <w:rPr>
          <w:lang w:val="en-AU"/>
        </w:rPr>
        <w:t>It was suggested that</w:t>
      </w:r>
      <w:r w:rsidRPr="00C80219">
        <w:rPr>
          <w:lang w:val="en-AU"/>
        </w:rPr>
        <w:t xml:space="preserve"> </w:t>
      </w:r>
      <w:r>
        <w:rPr>
          <w:lang w:val="en-AU"/>
        </w:rPr>
        <w:t>a more appropriate alternative may be to provide outreach support to carers within their existing care setting, for example through relief carers, additional care staff or further education opportunities on best-practice dementia care. This could provide much needed relief to existing carers and valuable opportunities for education and capability uplift, whilst avoiding disruptions of moving the person between care settings</w:t>
      </w:r>
      <w:r w:rsidRPr="00C80219">
        <w:rPr>
          <w:lang w:val="en-AU"/>
        </w:rPr>
        <w:t xml:space="preserve">. </w:t>
      </w:r>
    </w:p>
    <w:p w14:paraId="3609FD3F" w14:textId="77777777" w:rsidR="00310663" w:rsidRPr="00C80219" w:rsidRDefault="00310663" w:rsidP="00310663">
      <w:pPr>
        <w:spacing w:after="0"/>
        <w:rPr>
          <w:lang w:val="en-AU"/>
        </w:rPr>
      </w:pPr>
    </w:p>
    <w:p w14:paraId="384520D8" w14:textId="6EA73958" w:rsidR="00310663" w:rsidRPr="00D9676C" w:rsidRDefault="00310663" w:rsidP="00310663">
      <w:pPr>
        <w:spacing w:after="170"/>
        <w:rPr>
          <w:rFonts w:asciiTheme="majorHAnsi" w:hAnsiTheme="majorHAnsi" w:cstheme="majorHAnsi"/>
          <w:b/>
          <w:color w:val="012169"/>
        </w:rPr>
      </w:pPr>
      <w:r>
        <w:rPr>
          <w:rFonts w:asciiTheme="majorHAnsi" w:hAnsiTheme="majorHAnsi" w:cstheme="majorHAnsi"/>
          <w:b/>
          <w:bCs/>
          <w:color w:val="012169"/>
        </w:rPr>
        <w:t>There was broad consensus that</w:t>
      </w:r>
      <w:r w:rsidRPr="00D9676C">
        <w:rPr>
          <w:rFonts w:asciiTheme="majorHAnsi" w:hAnsiTheme="majorHAnsi" w:cstheme="majorHAnsi"/>
          <w:b/>
          <w:color w:val="012169"/>
        </w:rPr>
        <w:t xml:space="preserve"> the current </w:t>
      </w:r>
      <w:r>
        <w:rPr>
          <w:rFonts w:asciiTheme="majorHAnsi" w:hAnsiTheme="majorHAnsi" w:cstheme="majorHAnsi"/>
          <w:b/>
          <w:color w:val="012169"/>
        </w:rPr>
        <w:t>Program</w:t>
      </w:r>
      <w:r w:rsidRPr="00D9676C">
        <w:rPr>
          <w:rFonts w:asciiTheme="majorHAnsi" w:hAnsiTheme="majorHAnsi" w:cstheme="majorHAnsi"/>
          <w:b/>
          <w:color w:val="012169"/>
        </w:rPr>
        <w:t xml:space="preserve"> would not be suitable for people </w:t>
      </w:r>
      <w:r>
        <w:rPr>
          <w:rFonts w:asciiTheme="majorHAnsi" w:hAnsiTheme="majorHAnsi" w:cstheme="majorHAnsi"/>
          <w:b/>
          <w:color w:val="012169"/>
        </w:rPr>
        <w:t>exhibiting extreme</w:t>
      </w:r>
      <w:r w:rsidRPr="00D9676C">
        <w:rPr>
          <w:rFonts w:asciiTheme="majorHAnsi" w:hAnsiTheme="majorHAnsi" w:cstheme="majorHAnsi"/>
          <w:b/>
          <w:color w:val="012169"/>
        </w:rPr>
        <w:t xml:space="preserve"> BPSD.</w:t>
      </w:r>
    </w:p>
    <w:p w14:paraId="4F09D8D5" w14:textId="70285323" w:rsidR="00310663" w:rsidRDefault="00310663" w:rsidP="00310663">
      <w:pPr>
        <w:spacing w:after="170"/>
        <w:rPr>
          <w:lang w:val="en-AU"/>
        </w:rPr>
      </w:pPr>
      <w:r>
        <w:rPr>
          <w:lang w:val="en-AU"/>
        </w:rPr>
        <w:t>S</w:t>
      </w:r>
      <w:r w:rsidRPr="004C45BF">
        <w:rPr>
          <w:lang w:val="en-AU"/>
        </w:rPr>
        <w:t xml:space="preserve">takeholders </w:t>
      </w:r>
      <w:r>
        <w:rPr>
          <w:lang w:val="en-AU"/>
        </w:rPr>
        <w:t xml:space="preserve">across most sites </w:t>
      </w:r>
      <w:r w:rsidRPr="004C45BF">
        <w:rPr>
          <w:lang w:val="en-AU"/>
        </w:rPr>
        <w:t xml:space="preserve">acknowledged there is </w:t>
      </w:r>
      <w:r>
        <w:rPr>
          <w:lang w:val="en-AU"/>
        </w:rPr>
        <w:t>demand in their state or territory</w:t>
      </w:r>
      <w:r w:rsidRPr="004C45BF">
        <w:rPr>
          <w:lang w:val="en-AU"/>
        </w:rPr>
        <w:t xml:space="preserve"> for </w:t>
      </w:r>
      <w:r>
        <w:rPr>
          <w:lang w:val="en-AU"/>
        </w:rPr>
        <w:t xml:space="preserve">specialist support for patients exhibiting Tier 7 BPSD and they believed elements of the SDCP Framework (such as the unit design and focus on person-centred care) would be beneficial to this cohort. However, stakeholders believed the current staffing profile of SDCUs (outlined in Section </w:t>
      </w:r>
      <w:r>
        <w:rPr>
          <w:lang w:val="en-AU"/>
        </w:rPr>
        <w:fldChar w:fldCharType="begin"/>
      </w:r>
      <w:r>
        <w:rPr>
          <w:lang w:val="en-AU"/>
        </w:rPr>
        <w:instrText xml:space="preserve"> REF _Ref123910972 \w \h </w:instrText>
      </w:r>
      <w:r>
        <w:rPr>
          <w:lang w:val="en-AU"/>
        </w:rPr>
      </w:r>
      <w:r>
        <w:rPr>
          <w:lang w:val="en-AU"/>
        </w:rPr>
        <w:fldChar w:fldCharType="separate"/>
      </w:r>
      <w:r w:rsidR="00D32536">
        <w:rPr>
          <w:lang w:val="en-AU"/>
        </w:rPr>
        <w:t>3.1</w:t>
      </w:r>
      <w:r>
        <w:rPr>
          <w:lang w:val="en-AU"/>
        </w:rPr>
        <w:fldChar w:fldCharType="end"/>
      </w:r>
      <w:r>
        <w:rPr>
          <w:lang w:val="en-AU"/>
        </w:rPr>
        <w:t>) is not equipped to provide quality and safe care to Tier 7 residents. To safely support residents exhibiting such extreme behaviours, the Program’s model of care would need to include:</w:t>
      </w:r>
    </w:p>
    <w:p w14:paraId="47D03F77" w14:textId="77777777" w:rsidR="00310663" w:rsidRDefault="00310663" w:rsidP="00310663">
      <w:pPr>
        <w:numPr>
          <w:ilvl w:val="1"/>
          <w:numId w:val="20"/>
        </w:numPr>
        <w:tabs>
          <w:tab w:val="clear" w:pos="1440"/>
        </w:tabs>
        <w:spacing w:after="0"/>
        <w:ind w:left="284" w:hanging="284"/>
        <w:rPr>
          <w:lang w:val="en-AU"/>
        </w:rPr>
      </w:pPr>
      <w:r>
        <w:rPr>
          <w:lang w:val="en-AU"/>
        </w:rPr>
        <w:t xml:space="preserve">24/7 </w:t>
      </w:r>
      <w:r w:rsidRPr="00644750">
        <w:rPr>
          <w:lang w:val="en-AU"/>
        </w:rPr>
        <w:t>medical support</w:t>
      </w:r>
      <w:r>
        <w:rPr>
          <w:lang w:val="en-AU"/>
        </w:rPr>
        <w:t xml:space="preserve"> to ensure timely access to clinical assessments and pharmacological interventions</w:t>
      </w:r>
    </w:p>
    <w:p w14:paraId="1B1F9B23" w14:textId="77777777" w:rsidR="00310663" w:rsidRPr="00644750" w:rsidRDefault="00310663" w:rsidP="00310663">
      <w:pPr>
        <w:numPr>
          <w:ilvl w:val="1"/>
          <w:numId w:val="20"/>
        </w:numPr>
        <w:tabs>
          <w:tab w:val="clear" w:pos="1440"/>
        </w:tabs>
        <w:spacing w:after="0"/>
        <w:ind w:left="284" w:hanging="284"/>
        <w:rPr>
          <w:lang w:val="en-AU"/>
        </w:rPr>
      </w:pPr>
      <w:r>
        <w:rPr>
          <w:lang w:val="en-AU"/>
        </w:rPr>
        <w:t>more specialised training for Program staff to strengthen their capability and confidence in managing more extreme behaviours</w:t>
      </w:r>
    </w:p>
    <w:p w14:paraId="268F5E90" w14:textId="77777777" w:rsidR="00310663" w:rsidRDefault="00310663" w:rsidP="00310663">
      <w:pPr>
        <w:numPr>
          <w:ilvl w:val="1"/>
          <w:numId w:val="20"/>
        </w:numPr>
        <w:tabs>
          <w:tab w:val="clear" w:pos="1440"/>
        </w:tabs>
        <w:spacing w:after="0"/>
        <w:ind w:left="284" w:hanging="284"/>
        <w:rPr>
          <w:lang w:val="en-AU"/>
        </w:rPr>
      </w:pPr>
      <w:r w:rsidRPr="00644750">
        <w:rPr>
          <w:lang w:val="en-AU"/>
        </w:rPr>
        <w:t xml:space="preserve">higher staff ratios </w:t>
      </w:r>
      <w:r>
        <w:rPr>
          <w:lang w:val="en-AU"/>
        </w:rPr>
        <w:t xml:space="preserve">for care staff </w:t>
      </w:r>
      <w:r w:rsidRPr="00644750">
        <w:rPr>
          <w:lang w:val="en-AU"/>
        </w:rPr>
        <w:t>to ensure adequate supervision and safety precaution</w:t>
      </w:r>
      <w:r>
        <w:rPr>
          <w:lang w:val="en-AU"/>
        </w:rPr>
        <w:t>s</w:t>
      </w:r>
    </w:p>
    <w:p w14:paraId="652B93C6" w14:textId="77777777" w:rsidR="00310663" w:rsidRPr="00D062CE" w:rsidRDefault="00310663" w:rsidP="00310663">
      <w:pPr>
        <w:numPr>
          <w:ilvl w:val="1"/>
          <w:numId w:val="20"/>
        </w:numPr>
        <w:tabs>
          <w:tab w:val="clear" w:pos="1440"/>
        </w:tabs>
        <w:spacing w:after="0"/>
        <w:ind w:left="284" w:hanging="284"/>
        <w:rPr>
          <w:lang w:val="en-AU"/>
        </w:rPr>
      </w:pPr>
      <w:r>
        <w:rPr>
          <w:lang w:val="en-AU"/>
        </w:rPr>
        <w:t>security personnel within the SDCU to protect staff, resident and visitor safety.</w:t>
      </w:r>
    </w:p>
    <w:p w14:paraId="53D10E7C" w14:textId="77777777" w:rsidR="00310663" w:rsidRDefault="00310663" w:rsidP="00310663">
      <w:pPr>
        <w:spacing w:after="0"/>
        <w:rPr>
          <w:b/>
          <w:bCs/>
          <w:lang w:val="en-AU"/>
        </w:rPr>
      </w:pPr>
    </w:p>
    <w:p w14:paraId="49B88B03" w14:textId="68C3B0CE" w:rsidR="00310663" w:rsidRPr="0079620C" w:rsidRDefault="00310663" w:rsidP="0079620C">
      <w:pPr>
        <w:spacing w:after="0"/>
        <w:rPr>
          <w:lang w:val="en-AU"/>
        </w:rPr>
      </w:pPr>
      <w:r w:rsidRPr="00644750">
        <w:rPr>
          <w:lang w:val="en-AU"/>
        </w:rPr>
        <w:t xml:space="preserve">Stakeholders generally did not believe the current </w:t>
      </w:r>
      <w:r>
        <w:rPr>
          <w:lang w:val="en-AU"/>
        </w:rPr>
        <w:t>care</w:t>
      </w:r>
      <w:r w:rsidRPr="00644750">
        <w:rPr>
          <w:lang w:val="en-AU"/>
        </w:rPr>
        <w:t xml:space="preserve"> staff were equipped to manage Tier 7 </w:t>
      </w:r>
      <w:r w:rsidR="00A34C41">
        <w:rPr>
          <w:lang w:val="en-AU"/>
        </w:rPr>
        <w:t xml:space="preserve">(extreme) </w:t>
      </w:r>
      <w:r w:rsidRPr="00644750">
        <w:rPr>
          <w:lang w:val="en-AU"/>
        </w:rPr>
        <w:t xml:space="preserve">BPSD, given their current confidence and skill level, and need for more specialised training in </w:t>
      </w:r>
      <w:r w:rsidR="00933BFF">
        <w:rPr>
          <w:lang w:val="en-AU"/>
        </w:rPr>
        <w:t xml:space="preserve">very severe </w:t>
      </w:r>
      <w:r w:rsidRPr="00644750">
        <w:rPr>
          <w:lang w:val="en-AU"/>
        </w:rPr>
        <w:t>BPSD</w:t>
      </w:r>
      <w:r>
        <w:rPr>
          <w:lang w:val="en-AU"/>
        </w:rPr>
        <w:t xml:space="preserve"> (see Section </w:t>
      </w:r>
      <w:r>
        <w:rPr>
          <w:lang w:val="en-AU"/>
        </w:rPr>
        <w:fldChar w:fldCharType="begin"/>
      </w:r>
      <w:r>
        <w:rPr>
          <w:lang w:val="en-AU"/>
        </w:rPr>
        <w:instrText xml:space="preserve"> REF _Ref123912226 \w \h </w:instrText>
      </w:r>
      <w:r>
        <w:rPr>
          <w:lang w:val="en-AU"/>
        </w:rPr>
      </w:r>
      <w:r>
        <w:rPr>
          <w:lang w:val="en-AU"/>
        </w:rPr>
        <w:fldChar w:fldCharType="separate"/>
      </w:r>
      <w:r w:rsidR="00D32536">
        <w:rPr>
          <w:lang w:val="en-AU"/>
        </w:rPr>
        <w:t>3.2</w:t>
      </w:r>
      <w:r>
        <w:rPr>
          <w:lang w:val="en-AU"/>
        </w:rPr>
        <w:fldChar w:fldCharType="end"/>
      </w:r>
      <w:r>
        <w:rPr>
          <w:lang w:val="en-AU"/>
        </w:rPr>
        <w:t>)</w:t>
      </w:r>
      <w:r w:rsidRPr="00644750">
        <w:rPr>
          <w:lang w:val="en-AU"/>
        </w:rPr>
        <w:t xml:space="preserve">. </w:t>
      </w:r>
      <w:r>
        <w:rPr>
          <w:lang w:val="en-AU"/>
        </w:rPr>
        <w:t xml:space="preserve">Anecdotally, previous Program residents whose behaviours escalated were discharged to an alternative care setting because the care staff were not equipped to manage </w:t>
      </w:r>
      <w:r w:rsidR="00B305FF">
        <w:rPr>
          <w:lang w:val="en-AU"/>
        </w:rPr>
        <w:t>extreme</w:t>
      </w:r>
      <w:r>
        <w:rPr>
          <w:lang w:val="en-AU"/>
        </w:rPr>
        <w:t xml:space="preserve"> behaviours or the resident was seen to escalate other residents’ </w:t>
      </w:r>
      <w:r w:rsidR="00933BFF">
        <w:rPr>
          <w:lang w:val="en-AU"/>
        </w:rPr>
        <w:t>symptoms</w:t>
      </w:r>
      <w:r>
        <w:rPr>
          <w:lang w:val="en-AU"/>
        </w:rPr>
        <w:t>. It was also suggested that more risk averse p</w:t>
      </w:r>
      <w:r w:rsidRPr="00644750">
        <w:rPr>
          <w:lang w:val="en-AU"/>
        </w:rPr>
        <w:t>rovide</w:t>
      </w:r>
      <w:r>
        <w:rPr>
          <w:lang w:val="en-AU"/>
        </w:rPr>
        <w:t>rs</w:t>
      </w:r>
      <w:r w:rsidRPr="00644750">
        <w:rPr>
          <w:lang w:val="en-AU"/>
        </w:rPr>
        <w:t xml:space="preserve"> may </w:t>
      </w:r>
      <w:r>
        <w:rPr>
          <w:lang w:val="en-AU"/>
        </w:rPr>
        <w:t xml:space="preserve">be </w:t>
      </w:r>
      <w:r w:rsidRPr="00644750">
        <w:rPr>
          <w:lang w:val="en-AU"/>
        </w:rPr>
        <w:t xml:space="preserve">reluctant to accept </w:t>
      </w:r>
      <w:r w:rsidR="00635127">
        <w:rPr>
          <w:lang w:val="en-AU"/>
        </w:rPr>
        <w:t>people exhibiting extreme behaviours</w:t>
      </w:r>
      <w:r>
        <w:rPr>
          <w:lang w:val="en-AU"/>
        </w:rPr>
        <w:t>, given t</w:t>
      </w:r>
      <w:r w:rsidRPr="00644750">
        <w:rPr>
          <w:lang w:val="en-AU"/>
        </w:rPr>
        <w:t xml:space="preserve">he </w:t>
      </w:r>
      <w:r>
        <w:rPr>
          <w:lang w:val="en-AU"/>
        </w:rPr>
        <w:t xml:space="preserve">higher care, safety and security needs of this cohort and the </w:t>
      </w:r>
      <w:r w:rsidRPr="00644750">
        <w:rPr>
          <w:lang w:val="en-AU"/>
        </w:rPr>
        <w:t>strict reporting requirements under the Aged Care Quality Standards.</w:t>
      </w:r>
    </w:p>
    <w:p w14:paraId="424AE511" w14:textId="4B4FA6A3" w:rsidR="0009274B" w:rsidRPr="00A94F6E" w:rsidRDefault="0009274B" w:rsidP="0009274B">
      <w:pPr>
        <w:pStyle w:val="Heading1"/>
      </w:pPr>
      <w:bookmarkStart w:id="108" w:name="_Toc141714797"/>
      <w:r w:rsidRPr="00A94F6E">
        <w:t xml:space="preserve">Implications for ongoing </w:t>
      </w:r>
      <w:r w:rsidR="00865123" w:rsidRPr="00A94F6E">
        <w:t>implementation</w:t>
      </w:r>
      <w:bookmarkEnd w:id="108"/>
    </w:p>
    <w:p w14:paraId="4E42948B" w14:textId="156FB48B" w:rsidR="0009274B" w:rsidRDefault="00865123" w:rsidP="0009274B">
      <w:pPr>
        <w:pStyle w:val="Sectionintro"/>
      </w:pPr>
      <w:r>
        <w:t>This chapter provides concluding remarks as well as a summary of the key lessons learned and considerations for implementation</w:t>
      </w:r>
      <w:r w:rsidR="00FD2E3A" w:rsidRPr="00FD2E3A">
        <w:t xml:space="preserve"> of Phase Two of the Program</w:t>
      </w:r>
      <w:r w:rsidR="00EE5517">
        <w:t xml:space="preserve">. </w:t>
      </w:r>
    </w:p>
    <w:p w14:paraId="156BF44D" w14:textId="3555CB2B" w:rsidR="00865123" w:rsidRDefault="006F773A" w:rsidP="00496622">
      <w:pPr>
        <w:pStyle w:val="Heading2"/>
        <w:spacing w:after="0"/>
        <w:ind w:left="578" w:hanging="578"/>
      </w:pPr>
      <w:r>
        <w:t>Concluding remarks</w:t>
      </w:r>
    </w:p>
    <w:p w14:paraId="3960B83E" w14:textId="249D177F" w:rsidR="008B078F" w:rsidRDefault="008B078F" w:rsidP="008B078F">
      <w:r>
        <w:t>Overall, findings generated through the evaluation activities show that the Program has been well implemented to date. Of note, awareness of the Program has continued to grow over time and m</w:t>
      </w:r>
      <w:r w:rsidR="00A05544">
        <w:t>ost</w:t>
      </w:r>
      <w:r>
        <w:t xml:space="preserve"> sites have </w:t>
      </w:r>
      <w:r w:rsidR="00E253FE">
        <w:t xml:space="preserve">now </w:t>
      </w:r>
      <w:r>
        <w:t>achieved full</w:t>
      </w:r>
      <w:r w:rsidR="00CF298E">
        <w:t xml:space="preserve"> or high </w:t>
      </w:r>
      <w:r>
        <w:t>occupancy</w:t>
      </w:r>
      <w:r w:rsidR="00BB590D">
        <w:t xml:space="preserve"> rates</w:t>
      </w:r>
      <w:r>
        <w:t xml:space="preserve">. </w:t>
      </w:r>
      <w:r w:rsidR="00B81A7A">
        <w:t>There was consensus across stakeholders consulted that t</w:t>
      </w:r>
      <w:r>
        <w:t xml:space="preserve">ransitions in and out of the </w:t>
      </w:r>
      <w:r w:rsidR="00EF6D3C">
        <w:t xml:space="preserve">Program </w:t>
      </w:r>
      <w:r>
        <w:t>have become more efficient and coordinated over time</w:t>
      </w:r>
      <w:r w:rsidR="00B81A7A">
        <w:t>. In addition,</w:t>
      </w:r>
      <w:r>
        <w:t xml:space="preserve"> the clinical governance structures and Program partnerships </w:t>
      </w:r>
      <w:r w:rsidR="00B81A7A">
        <w:t xml:space="preserve">(with </w:t>
      </w:r>
      <w:r w:rsidR="00035ADD">
        <w:t>specialist in-reach clinicians employed by state/territory hea</w:t>
      </w:r>
      <w:r w:rsidR="00786ED4">
        <w:t>l</w:t>
      </w:r>
      <w:r w:rsidR="00035ADD">
        <w:t xml:space="preserve">th departments) </w:t>
      </w:r>
      <w:r>
        <w:t xml:space="preserve">have been effective in supporting optimal care for </w:t>
      </w:r>
      <w:r w:rsidR="00882FD5">
        <w:t xml:space="preserve">people with </w:t>
      </w:r>
      <w:r w:rsidR="004028F0">
        <w:t>very</w:t>
      </w:r>
      <w:r w:rsidR="00882FD5">
        <w:t xml:space="preserve"> severe BPSD</w:t>
      </w:r>
      <w:r>
        <w:t xml:space="preserve">. </w:t>
      </w:r>
      <w:r w:rsidR="00076433">
        <w:t>Key to implementation success has been an</w:t>
      </w:r>
      <w:r w:rsidR="00724F2A">
        <w:t xml:space="preserve"> ongoing commitment</w:t>
      </w:r>
      <w:r w:rsidR="00EE7075">
        <w:t xml:space="preserve"> to </w:t>
      </w:r>
      <w:r w:rsidR="00AD10CE">
        <w:t xml:space="preserve">knowledge exchange across </w:t>
      </w:r>
      <w:r w:rsidR="00F20D35">
        <w:t>SDCUs</w:t>
      </w:r>
      <w:r w:rsidR="00EE7075">
        <w:t xml:space="preserve"> and a strong focus on</w:t>
      </w:r>
      <w:r w:rsidR="00724F2A">
        <w:t xml:space="preserve"> </w:t>
      </w:r>
      <w:r w:rsidR="00AD10CE">
        <w:t>evolving in response to</w:t>
      </w:r>
      <w:r>
        <w:t xml:space="preserve"> learnings</w:t>
      </w:r>
      <w:r w:rsidR="0007393E">
        <w:t xml:space="preserve"> – </w:t>
      </w:r>
      <w:r w:rsidR="00D95F08">
        <w:t>two</w:t>
      </w:r>
      <w:r w:rsidR="005F597F">
        <w:t xml:space="preserve"> </w:t>
      </w:r>
      <w:r w:rsidR="00EB5B56">
        <w:t xml:space="preserve">critical success factors given </w:t>
      </w:r>
      <w:r w:rsidR="00681FC0">
        <w:t xml:space="preserve">the infancy of the Program and </w:t>
      </w:r>
      <w:r w:rsidR="009B5F5C">
        <w:t xml:space="preserve">the new way of delivering </w:t>
      </w:r>
      <w:r w:rsidR="00705BBC">
        <w:t xml:space="preserve">aged </w:t>
      </w:r>
      <w:r w:rsidR="009B5F5C">
        <w:t>care for all participating providers</w:t>
      </w:r>
      <w:r w:rsidR="00724F2A">
        <w:t>.</w:t>
      </w:r>
      <w:r>
        <w:t xml:space="preserve"> </w:t>
      </w:r>
      <w:r w:rsidR="002379F1">
        <w:t>There</w:t>
      </w:r>
      <w:r w:rsidR="007D7C24" w:rsidRPr="007D7C24">
        <w:t xml:space="preserve"> is opportunity to apply the early learnings from Phase One</w:t>
      </w:r>
      <w:r w:rsidR="002379F1">
        <w:t xml:space="preserve"> </w:t>
      </w:r>
      <w:r w:rsidR="007D7C24" w:rsidRPr="007D7C24">
        <w:t>to support the implementation of Phase Two sites.</w:t>
      </w:r>
    </w:p>
    <w:p w14:paraId="63FC46C3" w14:textId="6099F5F2" w:rsidR="00E11EFD" w:rsidRDefault="008B078F" w:rsidP="008B078F">
      <w:r>
        <w:t xml:space="preserve">Evaluation findings also indicate the Program has successfully achieved </w:t>
      </w:r>
      <w:r w:rsidR="00C77221">
        <w:t>its objectives</w:t>
      </w:r>
      <w:r>
        <w:t xml:space="preserve"> </w:t>
      </w:r>
      <w:r w:rsidR="005472CB">
        <w:t>to</w:t>
      </w:r>
      <w:r w:rsidR="00E11EFD">
        <w:t>:</w:t>
      </w:r>
    </w:p>
    <w:p w14:paraId="65F1D38D" w14:textId="1C7D727E" w:rsidR="00E11EFD" w:rsidRPr="00D66487" w:rsidRDefault="005B3693" w:rsidP="00D66487">
      <w:pPr>
        <w:pStyle w:val="ListParagraph"/>
        <w:numPr>
          <w:ilvl w:val="0"/>
          <w:numId w:val="10"/>
        </w:numPr>
        <w:ind w:left="284" w:hanging="284"/>
        <w:contextualSpacing w:val="0"/>
      </w:pPr>
      <w:r>
        <w:rPr>
          <w:rFonts w:asciiTheme="majorHAnsi" w:hAnsiTheme="majorHAnsi" w:cstheme="majorHAnsi"/>
          <w:b/>
        </w:rPr>
        <w:t>P</w:t>
      </w:r>
      <w:r w:rsidR="00CB7B41" w:rsidRPr="005B3693">
        <w:rPr>
          <w:rFonts w:asciiTheme="majorHAnsi" w:hAnsiTheme="majorHAnsi" w:cstheme="majorHAnsi"/>
          <w:b/>
        </w:rPr>
        <w:t>rovide care for people exhibiting very severe BPSD who are unable to be effectively cared for by mainstream aged care services</w:t>
      </w:r>
      <w:r w:rsidR="00393633" w:rsidRPr="005B3693">
        <w:rPr>
          <w:rFonts w:asciiTheme="majorHAnsi" w:hAnsiTheme="majorHAnsi" w:cstheme="majorHAnsi"/>
          <w:b/>
        </w:rPr>
        <w:t>.</w:t>
      </w:r>
      <w:r w:rsidR="00393633" w:rsidRPr="00D66487">
        <w:rPr>
          <w:rFonts w:asciiTheme="majorHAnsi" w:hAnsiTheme="majorHAnsi" w:cstheme="majorHAnsi"/>
          <w:b/>
        </w:rPr>
        <w:t xml:space="preserve"> </w:t>
      </w:r>
      <w:r w:rsidR="00054AFF">
        <w:t xml:space="preserve">SDCUs provide a purpose-built dementia friendly environment that facilitates </w:t>
      </w:r>
      <w:r w:rsidR="00EE52F9">
        <w:t>better</w:t>
      </w:r>
      <w:r w:rsidR="00054AFF">
        <w:t xml:space="preserve"> management of </w:t>
      </w:r>
      <w:r w:rsidR="002B6740">
        <w:t xml:space="preserve">very severe </w:t>
      </w:r>
      <w:r w:rsidR="00054AFF">
        <w:t>BPSD, reduced use of chemical and physical restraints, and fosters higher quality of life for residents.</w:t>
      </w:r>
      <w:r w:rsidR="0072725C">
        <w:t xml:space="preserve"> This has also provided additional benefits to family/carers of residents through </w:t>
      </w:r>
      <w:r w:rsidR="00270D15">
        <w:t>reduced carer burden and distress</w:t>
      </w:r>
      <w:r w:rsidR="00DB41B3">
        <w:t>.</w:t>
      </w:r>
    </w:p>
    <w:p w14:paraId="5FD2416C" w14:textId="2F35021E" w:rsidR="00347517" w:rsidRPr="00D66487" w:rsidRDefault="005B3693" w:rsidP="00D66487">
      <w:pPr>
        <w:pStyle w:val="ListParagraph"/>
        <w:numPr>
          <w:ilvl w:val="0"/>
          <w:numId w:val="10"/>
        </w:numPr>
        <w:ind w:left="284" w:hanging="284"/>
        <w:contextualSpacing w:val="0"/>
      </w:pPr>
      <w:r w:rsidRPr="005B3693">
        <w:rPr>
          <w:rFonts w:asciiTheme="majorHAnsi" w:hAnsiTheme="majorHAnsi" w:cstheme="majorHAnsi"/>
          <w:b/>
        </w:rPr>
        <w:t>P</w:t>
      </w:r>
      <w:r w:rsidR="00CB7B41" w:rsidRPr="005B3693">
        <w:rPr>
          <w:rFonts w:asciiTheme="majorHAnsi" w:hAnsiTheme="majorHAnsi" w:cstheme="majorHAnsi"/>
          <w:b/>
        </w:rPr>
        <w:t>rovide care with a focus on stabilising and reducing the person’s symptoms over time</w:t>
      </w:r>
      <w:r w:rsidR="00393633" w:rsidRPr="005B3693">
        <w:rPr>
          <w:rFonts w:asciiTheme="majorHAnsi" w:hAnsiTheme="majorHAnsi" w:cstheme="majorHAnsi"/>
          <w:b/>
        </w:rPr>
        <w:t>.</w:t>
      </w:r>
      <w:r w:rsidR="007546E0" w:rsidRPr="00D66487">
        <w:t xml:space="preserve"> </w:t>
      </w:r>
      <w:r w:rsidR="007546E0">
        <w:t xml:space="preserve">The </w:t>
      </w:r>
      <w:r w:rsidR="00054AFF">
        <w:t xml:space="preserve">model of care has been effective in </w:t>
      </w:r>
      <w:r w:rsidR="005B15E6">
        <w:t>settling</w:t>
      </w:r>
      <w:r w:rsidR="00054AFF">
        <w:t xml:space="preserve"> </w:t>
      </w:r>
      <w:r w:rsidR="00F3643B">
        <w:t>very</w:t>
      </w:r>
      <w:r w:rsidR="00054AFF">
        <w:t xml:space="preserve"> severe BPSD </w:t>
      </w:r>
      <w:r w:rsidR="0089642D">
        <w:t>for</w:t>
      </w:r>
      <w:r w:rsidR="00CB7B41">
        <w:t xml:space="preserve"> the </w:t>
      </w:r>
      <w:r w:rsidR="0089642D">
        <w:t>majority of residents</w:t>
      </w:r>
      <w:r w:rsidR="00DB41B3">
        <w:t>. It</w:t>
      </w:r>
      <w:r w:rsidR="00054AFF">
        <w:t xml:space="preserve"> has enabled 62 residents</w:t>
      </w:r>
      <w:r w:rsidR="00CB7B41">
        <w:t xml:space="preserve"> to </w:t>
      </w:r>
      <w:r w:rsidR="00054AFF">
        <w:t xml:space="preserve">be </w:t>
      </w:r>
      <w:r w:rsidR="005B15E6">
        <w:t>transition</w:t>
      </w:r>
      <w:r w:rsidR="0089642D">
        <w:t>ed</w:t>
      </w:r>
      <w:r w:rsidR="005B15E6">
        <w:t xml:space="preserve"> to</w:t>
      </w:r>
      <w:r w:rsidR="00CB7B41">
        <w:t xml:space="preserve"> less intensive care </w:t>
      </w:r>
      <w:r w:rsidR="005B15E6">
        <w:t>settings</w:t>
      </w:r>
      <w:r w:rsidR="00054AFF">
        <w:t xml:space="preserve"> as a result</w:t>
      </w:r>
      <w:r w:rsidR="00DB41B3">
        <w:t>, with the majority experiencing long-term symptom management within mainstream RACFs</w:t>
      </w:r>
      <w:r w:rsidR="00054AFF">
        <w:t>.</w:t>
      </w:r>
    </w:p>
    <w:p w14:paraId="287DFE30" w14:textId="1C84E9D7" w:rsidR="00167EB5" w:rsidRPr="00D66487" w:rsidRDefault="005B3693" w:rsidP="00D66487">
      <w:pPr>
        <w:pStyle w:val="ListParagraph"/>
        <w:numPr>
          <w:ilvl w:val="0"/>
          <w:numId w:val="10"/>
        </w:numPr>
        <w:ind w:left="284" w:hanging="284"/>
        <w:contextualSpacing w:val="0"/>
      </w:pPr>
      <w:r w:rsidRPr="00347517">
        <w:rPr>
          <w:rFonts w:asciiTheme="majorHAnsi" w:hAnsiTheme="majorHAnsi" w:cstheme="majorHAnsi"/>
          <w:b/>
        </w:rPr>
        <w:t>E</w:t>
      </w:r>
      <w:r w:rsidR="00167EB5" w:rsidRPr="00347517">
        <w:rPr>
          <w:rFonts w:asciiTheme="majorHAnsi" w:hAnsiTheme="majorHAnsi" w:cstheme="majorHAnsi"/>
          <w:b/>
        </w:rPr>
        <w:t>nhance the existing health and aged care service systems for people with very severe BPSD</w:t>
      </w:r>
      <w:r w:rsidR="00393633" w:rsidRPr="00347517">
        <w:rPr>
          <w:rFonts w:asciiTheme="majorHAnsi" w:hAnsiTheme="majorHAnsi" w:cstheme="majorHAnsi"/>
          <w:b/>
        </w:rPr>
        <w:t>.</w:t>
      </w:r>
      <w:r w:rsidR="0089642D" w:rsidRPr="00D66487">
        <w:t xml:space="preserve"> </w:t>
      </w:r>
      <w:r w:rsidR="0089642D">
        <w:t xml:space="preserve">SDCUs have </w:t>
      </w:r>
      <w:r w:rsidR="00EE6550">
        <w:t>increase</w:t>
      </w:r>
      <w:r w:rsidR="00B5645C">
        <w:t>d</w:t>
      </w:r>
      <w:r w:rsidR="00EE6550">
        <w:t xml:space="preserve"> the</w:t>
      </w:r>
      <w:r w:rsidR="0089642D">
        <w:t xml:space="preserve"> care </w:t>
      </w:r>
      <w:r w:rsidR="0080526E">
        <w:t xml:space="preserve">options </w:t>
      </w:r>
      <w:r w:rsidR="00EE6550">
        <w:t xml:space="preserve">available to </w:t>
      </w:r>
      <w:r w:rsidR="0080526E">
        <w:t xml:space="preserve">people with </w:t>
      </w:r>
      <w:r w:rsidR="00FE605F">
        <w:t>very</w:t>
      </w:r>
      <w:r w:rsidR="0080526E">
        <w:t xml:space="preserve"> severe BPSD</w:t>
      </w:r>
      <w:r w:rsidR="0035416F">
        <w:t xml:space="preserve"> by</w:t>
      </w:r>
      <w:r w:rsidR="00EE6550">
        <w:t xml:space="preserve"> improv</w:t>
      </w:r>
      <w:r w:rsidR="0035416F">
        <w:t>ing</w:t>
      </w:r>
      <w:r w:rsidR="00EE6550">
        <w:t xml:space="preserve"> residents’</w:t>
      </w:r>
      <w:r w:rsidR="00BA6104">
        <w:t xml:space="preserve"> access to mainstream RACFs</w:t>
      </w:r>
      <w:r w:rsidR="0072725C">
        <w:t xml:space="preserve">. </w:t>
      </w:r>
      <w:r w:rsidR="0072725C" w:rsidRPr="0072725C">
        <w:t xml:space="preserve">The successful transition of residents into mainstream RACFs has also led to </w:t>
      </w:r>
      <w:r w:rsidR="0072725C">
        <w:t>cost</w:t>
      </w:r>
      <w:r w:rsidR="0072725C" w:rsidRPr="0072725C">
        <w:t xml:space="preserve"> savings for Government through avoided use of hospital</w:t>
      </w:r>
      <w:r w:rsidR="00BA6104">
        <w:t xml:space="preserve"> and </w:t>
      </w:r>
      <w:r w:rsidR="0072725C" w:rsidRPr="0072725C">
        <w:t>health services</w:t>
      </w:r>
      <w:r w:rsidR="00266B0F">
        <w:t xml:space="preserve">. </w:t>
      </w:r>
      <w:r w:rsidR="00347517" w:rsidRPr="00D66487">
        <w:t>If SDCUs had operated at full occupancy, it is estimated that the Program would have generated $1.</w:t>
      </w:r>
      <w:r w:rsidR="0014206D">
        <w:t>11</w:t>
      </w:r>
      <w:r w:rsidR="00347517" w:rsidRPr="00D66487">
        <w:t xml:space="preserve"> to government for every $1 invested (i.e., a NPV BCR of 1.</w:t>
      </w:r>
      <w:r w:rsidR="0014206D">
        <w:t>11</w:t>
      </w:r>
      <w:r w:rsidR="00347517" w:rsidRPr="00D66487">
        <w:t xml:space="preserve">), when using the most conservative benefits realisation time horizon that considered only the immediate benefits generated while each resident was part of the Program. When expanding the time horizon to 9- and 18-months post-Program participation, the BCR increases to </w:t>
      </w:r>
      <w:r w:rsidR="002C4654">
        <w:t xml:space="preserve">1.46 and </w:t>
      </w:r>
      <w:r w:rsidR="00347517" w:rsidRPr="00D66487">
        <w:t>1.</w:t>
      </w:r>
      <w:r w:rsidR="0092027F">
        <w:t>7</w:t>
      </w:r>
      <w:r w:rsidR="002C4654">
        <w:t>6</w:t>
      </w:r>
      <w:r w:rsidR="00347517" w:rsidRPr="00D66487">
        <w:t>, respectively.</w:t>
      </w:r>
    </w:p>
    <w:p w14:paraId="2BE79D14" w14:textId="6E676DB6" w:rsidR="008B078F" w:rsidRDefault="005B3693" w:rsidP="00D66487">
      <w:pPr>
        <w:pStyle w:val="ListParagraph"/>
        <w:numPr>
          <w:ilvl w:val="0"/>
          <w:numId w:val="10"/>
        </w:numPr>
        <w:ind w:left="284" w:hanging="284"/>
        <w:contextualSpacing w:val="0"/>
      </w:pPr>
      <w:r w:rsidRPr="005B3693">
        <w:rPr>
          <w:rFonts w:asciiTheme="majorHAnsi" w:hAnsiTheme="majorHAnsi" w:cstheme="majorHAnsi"/>
          <w:b/>
        </w:rPr>
        <w:t>G</w:t>
      </w:r>
      <w:r w:rsidR="00167EB5" w:rsidRPr="005B3693">
        <w:rPr>
          <w:rFonts w:asciiTheme="majorHAnsi" w:hAnsiTheme="majorHAnsi" w:cstheme="majorHAnsi"/>
          <w:b/>
        </w:rPr>
        <w:t>enerate evidence on best practice care for people exhibiting very severe BPSD that can be adapted for use in mainstream settings to benefit all people with dementia</w:t>
      </w:r>
      <w:r w:rsidR="00393633" w:rsidRPr="00D66487">
        <w:rPr>
          <w:rFonts w:asciiTheme="majorHAnsi" w:hAnsiTheme="majorHAnsi" w:cstheme="majorHAnsi"/>
          <w:b/>
        </w:rPr>
        <w:t>.</w:t>
      </w:r>
      <w:r w:rsidR="0089642D" w:rsidRPr="00D66487">
        <w:t xml:space="preserve"> </w:t>
      </w:r>
      <w:r w:rsidR="00E12C32">
        <w:t xml:space="preserve">Through the successful management of BPSD, </w:t>
      </w:r>
      <w:r w:rsidR="0089642D">
        <w:t>SDCUs act as ‘centers of excellence’ t</w:t>
      </w:r>
      <w:r w:rsidR="00E12C32">
        <w:t>hat</w:t>
      </w:r>
      <w:r w:rsidR="0089642D">
        <w:t xml:space="preserve"> demo</w:t>
      </w:r>
      <w:r w:rsidR="00E12C32">
        <w:t xml:space="preserve">nstrate and promote best-practice </w:t>
      </w:r>
      <w:r w:rsidR="0089642D">
        <w:t xml:space="preserve">care </w:t>
      </w:r>
      <w:r w:rsidR="00875ECC">
        <w:t xml:space="preserve">for people with </w:t>
      </w:r>
      <w:r w:rsidR="007A4E8D">
        <w:t xml:space="preserve">very severe </w:t>
      </w:r>
      <w:r w:rsidR="00875ECC">
        <w:t>BPSD</w:t>
      </w:r>
      <w:r w:rsidR="00E12C32">
        <w:t xml:space="preserve"> to the broader aged care sector through </w:t>
      </w:r>
      <w:r w:rsidR="0089642D">
        <w:t>facilitating knowledge-spillover with mainstream RACFs</w:t>
      </w:r>
      <w:r w:rsidR="00875ECC">
        <w:t>.</w:t>
      </w:r>
    </w:p>
    <w:p w14:paraId="0A7E6A2A" w14:textId="41504FC8" w:rsidR="008B078F" w:rsidRPr="002D7D48" w:rsidRDefault="008B078F" w:rsidP="008B078F">
      <w:r>
        <w:t>Alongside these takeaways, the evaluation identified several lessons learned and opportunities to enhance the ongoing implementation for current SDCUs</w:t>
      </w:r>
      <w:r w:rsidR="00525498">
        <w:t>,</w:t>
      </w:r>
      <w:r>
        <w:t xml:space="preserve"> support the scalability of SDCUs as part of Phase Two</w:t>
      </w:r>
      <w:r w:rsidR="00E02CEA">
        <w:t>,</w:t>
      </w:r>
      <w:r w:rsidR="00525498">
        <w:t xml:space="preserve"> and ultimately optimise the outcomes realised across the Program. </w:t>
      </w:r>
    </w:p>
    <w:p w14:paraId="5F7C4DD6" w14:textId="22F5FA66" w:rsidR="006F773A" w:rsidRDefault="006F773A" w:rsidP="00496622">
      <w:pPr>
        <w:pStyle w:val="Heading2"/>
        <w:spacing w:after="0"/>
        <w:ind w:left="578" w:hanging="578"/>
      </w:pPr>
      <w:bookmarkStart w:id="109" w:name="_Ref124176166"/>
      <w:r>
        <w:t>Implications for ongoing implementation</w:t>
      </w:r>
      <w:bookmarkEnd w:id="109"/>
    </w:p>
    <w:p w14:paraId="7844DAD2" w14:textId="77777777" w:rsidR="000F1FBA" w:rsidRDefault="000F1FBA" w:rsidP="000F1FBA">
      <w:pPr>
        <w:spacing w:after="0"/>
        <w:rPr>
          <w:rFonts w:asciiTheme="majorHAnsi" w:hAnsiTheme="majorHAnsi" w:cstheme="majorHAnsi"/>
          <w:b/>
          <w:u w:val="single"/>
        </w:rPr>
      </w:pPr>
      <w:r w:rsidRPr="00496622">
        <w:rPr>
          <w:rFonts w:asciiTheme="majorHAnsi" w:hAnsiTheme="majorHAnsi" w:cstheme="majorHAnsi"/>
          <w:b/>
          <w:u w:val="single"/>
        </w:rPr>
        <w:t>Department level</w:t>
      </w:r>
    </w:p>
    <w:p w14:paraId="048B9AC3" w14:textId="77777777" w:rsidR="006639F1" w:rsidRPr="00CE1C25" w:rsidRDefault="006639F1" w:rsidP="00496622">
      <w:pPr>
        <w:spacing w:after="0"/>
        <w:rPr>
          <w:rFonts w:asciiTheme="majorHAnsi" w:hAnsiTheme="majorHAnsi" w:cstheme="majorHAnsi"/>
          <w:b/>
          <w:color w:val="041E42"/>
        </w:rPr>
      </w:pPr>
      <w:r w:rsidRPr="00CE1C25">
        <w:rPr>
          <w:rFonts w:asciiTheme="majorHAnsi" w:hAnsiTheme="majorHAnsi" w:cstheme="majorHAnsi"/>
          <w:b/>
          <w:color w:val="041E42"/>
        </w:rPr>
        <w:t>Referral and admission</w:t>
      </w:r>
    </w:p>
    <w:p w14:paraId="303BEB93" w14:textId="77777777" w:rsidR="00F91BD9" w:rsidRDefault="00F91BD9" w:rsidP="00F91BD9">
      <w:pPr>
        <w:pStyle w:val="ListParagraph"/>
        <w:numPr>
          <w:ilvl w:val="0"/>
          <w:numId w:val="39"/>
        </w:numPr>
        <w:spacing w:after="170"/>
        <w:contextualSpacing w:val="0"/>
      </w:pPr>
      <w:r>
        <w:t>Continue to work with DSA and SDCUs t</w:t>
      </w:r>
      <w:r w:rsidRPr="00FD6EA9">
        <w:t xml:space="preserve">o </w:t>
      </w:r>
      <w:r>
        <w:t>create</w:t>
      </w:r>
      <w:r w:rsidRPr="00FD6EA9">
        <w:t xml:space="preserve"> standardise</w:t>
      </w:r>
      <w:r>
        <w:t>d</w:t>
      </w:r>
      <w:r w:rsidRPr="00FD6EA9">
        <w:t xml:space="preserve"> promotional materials </w:t>
      </w:r>
      <w:r>
        <w:t>and informational resources regarding the referral and transition in processes t</w:t>
      </w:r>
      <w:r w:rsidRPr="00FD6EA9">
        <w:t>o support future site openings</w:t>
      </w:r>
      <w:r>
        <w:t>. This should enable</w:t>
      </w:r>
      <w:r w:rsidRPr="00FD6EA9">
        <w:t xml:space="preserve"> consistent messagin</w:t>
      </w:r>
      <w:r>
        <w:t xml:space="preserve">g across sites (both within and across jurisdictions), support further education to prospective referrers around the eligibility criteria, ensure that providers have a consistent understanding of the target Program cohort, </w:t>
      </w:r>
      <w:r w:rsidRPr="00FD6EA9">
        <w:t>a</w:t>
      </w:r>
      <w:r>
        <w:t>n</w:t>
      </w:r>
      <w:r w:rsidRPr="00FD6EA9">
        <w:t>d reduce duplication of effor</w:t>
      </w:r>
      <w:r>
        <w:t>t across SDCUs.</w:t>
      </w:r>
    </w:p>
    <w:p w14:paraId="389E72A3" w14:textId="19968E6A" w:rsidR="00396A61" w:rsidRDefault="0074626E" w:rsidP="00CF08D2">
      <w:pPr>
        <w:pStyle w:val="ListParagraph"/>
        <w:numPr>
          <w:ilvl w:val="0"/>
          <w:numId w:val="39"/>
        </w:numPr>
        <w:spacing w:after="170"/>
        <w:contextualSpacing w:val="0"/>
      </w:pPr>
      <w:r>
        <w:t>Continue to work</w:t>
      </w:r>
      <w:r w:rsidR="00396A61">
        <w:t xml:space="preserve"> with DSA and</w:t>
      </w:r>
      <w:r w:rsidR="00C0741E">
        <w:t xml:space="preserve"> existing/future</w:t>
      </w:r>
      <w:r w:rsidR="00396A61">
        <w:t xml:space="preserve"> </w:t>
      </w:r>
      <w:r w:rsidR="000F1FBA">
        <w:t>SDCUs</w:t>
      </w:r>
      <w:r w:rsidR="00396A61">
        <w:t xml:space="preserve"> in regional areas to </w:t>
      </w:r>
      <w:r w:rsidR="00196076">
        <w:t xml:space="preserve">identify </w:t>
      </w:r>
      <w:r w:rsidR="00D7059F">
        <w:t>and find solutions to</w:t>
      </w:r>
      <w:r w:rsidR="00396A61">
        <w:t xml:space="preserve"> </w:t>
      </w:r>
      <w:r w:rsidR="00D7059F">
        <w:t>unique</w:t>
      </w:r>
      <w:r w:rsidR="00396A61">
        <w:t xml:space="preserve"> ba</w:t>
      </w:r>
      <w:r w:rsidR="00BA60AC">
        <w:t xml:space="preserve">rriers </w:t>
      </w:r>
      <w:r w:rsidR="00992A77">
        <w:t>impeding timely</w:t>
      </w:r>
      <w:r w:rsidR="00BA60AC">
        <w:t xml:space="preserve"> </w:t>
      </w:r>
      <w:r w:rsidR="0016703B">
        <w:t>referral, assessment and admission</w:t>
      </w:r>
      <w:r w:rsidR="00396A61">
        <w:t xml:space="preserve">. </w:t>
      </w:r>
    </w:p>
    <w:p w14:paraId="7367323D" w14:textId="5CFD6039" w:rsidR="0071639C" w:rsidRDefault="0071639C" w:rsidP="0071639C">
      <w:pPr>
        <w:pStyle w:val="ListParagraph"/>
        <w:numPr>
          <w:ilvl w:val="0"/>
          <w:numId w:val="39"/>
        </w:numPr>
        <w:spacing w:after="170"/>
        <w:contextualSpacing w:val="0"/>
      </w:pPr>
      <w:r>
        <w:t>Consider providing increased guidance to SDCUs regarding the recommended frequency of CAC meetings,</w:t>
      </w:r>
      <w:r w:rsidRPr="001B2919">
        <w:t xml:space="preserve"> </w:t>
      </w:r>
      <w:r>
        <w:t>to create more standardisation across sites and improve the timeliness of suitability assessments.</w:t>
      </w:r>
    </w:p>
    <w:p w14:paraId="31A09F5F" w14:textId="77777777" w:rsidR="00CE1C25" w:rsidRPr="00CE1C25" w:rsidRDefault="001576EA" w:rsidP="00CE1C25">
      <w:pPr>
        <w:spacing w:after="0"/>
        <w:rPr>
          <w:rFonts w:asciiTheme="majorHAnsi" w:hAnsiTheme="majorHAnsi" w:cstheme="majorHAnsi"/>
          <w:b/>
          <w:color w:val="041E42"/>
        </w:rPr>
      </w:pPr>
      <w:r>
        <w:rPr>
          <w:rFonts w:asciiTheme="majorHAnsi" w:hAnsiTheme="majorHAnsi" w:cstheme="majorHAnsi"/>
          <w:b/>
          <w:color w:val="041E42"/>
        </w:rPr>
        <w:t>Care delivery</w:t>
      </w:r>
    </w:p>
    <w:p w14:paraId="7A0ED647" w14:textId="77777777" w:rsidR="00196C5B" w:rsidRDefault="00196C5B" w:rsidP="00CF08D2">
      <w:pPr>
        <w:pStyle w:val="ListParagraph"/>
        <w:numPr>
          <w:ilvl w:val="0"/>
          <w:numId w:val="39"/>
        </w:numPr>
        <w:spacing w:after="170"/>
        <w:contextualSpacing w:val="0"/>
      </w:pPr>
      <w:r>
        <w:t xml:space="preserve">For Phase Two sites, promote the importance of the in-reach clinicians’ role in capacity building of care staff related to behavioural management. This could include highlighting the expected educational aspects of the role in discussions with the jurisdictional mental health agencies and including it in the Memorandum of Understanding. </w:t>
      </w:r>
    </w:p>
    <w:p w14:paraId="263F48AC" w14:textId="3E25A1C1" w:rsidR="00196C5B" w:rsidRPr="0051671C" w:rsidRDefault="00196C5B" w:rsidP="00CF08D2">
      <w:pPr>
        <w:pStyle w:val="ListParagraph"/>
        <w:numPr>
          <w:ilvl w:val="0"/>
          <w:numId w:val="39"/>
        </w:numPr>
        <w:spacing w:after="170"/>
        <w:contextualSpacing w:val="0"/>
      </w:pPr>
      <w:r>
        <w:t xml:space="preserve">Examine the feasibility of recommending the need for a SDCU dedicated FTE RN (as opposed to a co-located RN) once </w:t>
      </w:r>
      <w:r w:rsidRPr="0051671C">
        <w:t xml:space="preserve">a site reaches full occupancy. </w:t>
      </w:r>
      <w:r w:rsidR="00A16D5A">
        <w:t xml:space="preserve">Also consider promoting </w:t>
      </w:r>
      <w:r w:rsidR="0087483F">
        <w:t>high staffing ratios for afternoons and evenings</w:t>
      </w:r>
      <w:r w:rsidR="00C557FA">
        <w:t xml:space="preserve"> (e.g.</w:t>
      </w:r>
      <w:r w:rsidR="00786ED4">
        <w:t>,</w:t>
      </w:r>
      <w:r w:rsidR="00C557FA">
        <w:t xml:space="preserve"> a dedicated recreational staff member for afternoon shifts</w:t>
      </w:r>
      <w:r w:rsidR="009247C0">
        <w:t>)</w:t>
      </w:r>
      <w:r w:rsidR="0087483F">
        <w:t>.</w:t>
      </w:r>
    </w:p>
    <w:p w14:paraId="64D3B118" w14:textId="77777777" w:rsidR="0051671C" w:rsidRPr="0051671C" w:rsidRDefault="0051671C" w:rsidP="00CF08D2">
      <w:pPr>
        <w:pStyle w:val="ListParagraph"/>
        <w:numPr>
          <w:ilvl w:val="0"/>
          <w:numId w:val="39"/>
        </w:numPr>
        <w:spacing w:after="170"/>
        <w:contextualSpacing w:val="0"/>
      </w:pPr>
      <w:r w:rsidRPr="0051671C">
        <w:t xml:space="preserve">Consider the need to provide further clarity on </w:t>
      </w:r>
      <w:r w:rsidR="00643236">
        <w:t>expected</w:t>
      </w:r>
      <w:r w:rsidRPr="0051671C">
        <w:t xml:space="preserve"> formal training standards for </w:t>
      </w:r>
      <w:r w:rsidR="00643236">
        <w:t>care staff</w:t>
      </w:r>
      <w:r w:rsidRPr="0051671C">
        <w:t>. As part of this, the Department should consider centralising training in behavioural management and offering it a national level</w:t>
      </w:r>
      <w:r>
        <w:t>.</w:t>
      </w:r>
      <w:r w:rsidR="00295AB1">
        <w:t xml:space="preserve"> </w:t>
      </w:r>
    </w:p>
    <w:p w14:paraId="283DD1EB" w14:textId="3FE236B3" w:rsidR="006B28B2" w:rsidRDefault="00196C5B" w:rsidP="00CF08D2">
      <w:pPr>
        <w:pStyle w:val="ListParagraph"/>
        <w:numPr>
          <w:ilvl w:val="0"/>
          <w:numId w:val="39"/>
        </w:numPr>
        <w:spacing w:after="170"/>
        <w:contextualSpacing w:val="0"/>
      </w:pPr>
      <w:r>
        <w:t>As the Program grows (</w:t>
      </w:r>
      <w:r w:rsidR="009F516E">
        <w:t>i.e.,</w:t>
      </w:r>
      <w:r>
        <w:t xml:space="preserve"> when Phase One sites reach full occupancy and Phase Two sites open), monitor the need to recruit a part-time social worker role in each jurisdiction for the purpose of</w:t>
      </w:r>
      <w:r w:rsidR="00616066">
        <w:t xml:space="preserve"> strengthening person-</w:t>
      </w:r>
      <w:r w:rsidR="0083053B">
        <w:t>centered</w:t>
      </w:r>
      <w:r w:rsidR="00616066">
        <w:t xml:space="preserve"> care for residents,</w:t>
      </w:r>
      <w:r>
        <w:t xml:space="preserve"> supporting external transitions</w:t>
      </w:r>
      <w:r w:rsidR="00616066">
        <w:t xml:space="preserve"> and providing targeted psychosocial wellbeing support for Program staff and family/carers.</w:t>
      </w:r>
    </w:p>
    <w:p w14:paraId="44D0DE5D" w14:textId="14805E0F" w:rsidR="007515B1" w:rsidRPr="008E1130" w:rsidRDefault="0049144A" w:rsidP="00CF08D2">
      <w:pPr>
        <w:pStyle w:val="ListParagraph"/>
        <w:numPr>
          <w:ilvl w:val="0"/>
          <w:numId w:val="39"/>
        </w:numPr>
        <w:spacing w:after="170"/>
        <w:contextualSpacing w:val="0"/>
      </w:pPr>
      <w:r w:rsidRPr="00FA0F47">
        <w:rPr>
          <w:rFonts w:cstheme="minorHAnsi"/>
          <w:szCs w:val="20"/>
          <w:lang w:val="en-AU"/>
        </w:rPr>
        <w:t>Given variation in staffing arrangements</w:t>
      </w:r>
      <w:r w:rsidR="007515B1" w:rsidRPr="00FA0F47">
        <w:rPr>
          <w:rFonts w:cstheme="minorHAnsi"/>
          <w:szCs w:val="20"/>
          <w:lang w:val="en-AU"/>
        </w:rPr>
        <w:t xml:space="preserve"> across SDCUs, </w:t>
      </w:r>
      <w:r w:rsidR="00FA0F47" w:rsidRPr="00FA0F47">
        <w:rPr>
          <w:rFonts w:cstheme="minorHAnsi"/>
          <w:szCs w:val="20"/>
          <w:lang w:val="en-AU"/>
        </w:rPr>
        <w:t>consider utilis</w:t>
      </w:r>
      <w:r w:rsidR="00FA0F47">
        <w:rPr>
          <w:rFonts w:cstheme="minorHAnsi"/>
          <w:szCs w:val="20"/>
          <w:lang w:val="en-AU"/>
        </w:rPr>
        <w:t>ing</w:t>
      </w:r>
      <w:r w:rsidR="00FA0F47" w:rsidRPr="00FA0F47">
        <w:rPr>
          <w:rFonts w:cstheme="minorHAnsi"/>
          <w:szCs w:val="20"/>
          <w:lang w:val="en-AU"/>
        </w:rPr>
        <w:t xml:space="preserve"> the </w:t>
      </w:r>
      <w:r w:rsidR="00FA0F47">
        <w:t>Audited Financial Acquittal reports</w:t>
      </w:r>
      <w:r w:rsidR="005B3693">
        <w:t xml:space="preserve"> to </w:t>
      </w:r>
      <w:r w:rsidR="005B3693" w:rsidRPr="00FA0F47">
        <w:rPr>
          <w:rFonts w:cstheme="minorHAnsi"/>
          <w:szCs w:val="20"/>
          <w:lang w:val="en-AU"/>
        </w:rPr>
        <w:t xml:space="preserve">better understand how </w:t>
      </w:r>
      <w:r w:rsidR="005B3693">
        <w:rPr>
          <w:rFonts w:cstheme="minorHAnsi"/>
          <w:szCs w:val="20"/>
          <w:lang w:val="en-AU"/>
        </w:rPr>
        <w:t xml:space="preserve">Program </w:t>
      </w:r>
      <w:r w:rsidR="005B3693" w:rsidRPr="00FA0F47">
        <w:rPr>
          <w:rFonts w:cstheme="minorHAnsi"/>
          <w:szCs w:val="20"/>
          <w:lang w:val="en-AU"/>
        </w:rPr>
        <w:t>funding is being utilised across sites</w:t>
      </w:r>
      <w:r w:rsidR="005B3693">
        <w:t>.</w:t>
      </w:r>
      <w:r w:rsidR="00FA0F47">
        <w:t xml:space="preserve"> This may reveal</w:t>
      </w:r>
      <w:r w:rsidR="00FA0F47" w:rsidRPr="00FA0F47">
        <w:rPr>
          <w:rFonts w:cstheme="minorHAnsi"/>
          <w:szCs w:val="20"/>
          <w:lang w:val="en-AU"/>
        </w:rPr>
        <w:t xml:space="preserve"> opportunities to provide further guidance </w:t>
      </w:r>
      <w:r w:rsidR="00AA493E">
        <w:rPr>
          <w:rFonts w:cstheme="minorHAnsi"/>
          <w:szCs w:val="20"/>
          <w:lang w:val="en-AU"/>
        </w:rPr>
        <w:t>to</w:t>
      </w:r>
      <w:r w:rsidR="005B3693" w:rsidRPr="00FA0F47">
        <w:rPr>
          <w:rFonts w:cstheme="minorHAnsi"/>
          <w:szCs w:val="20"/>
          <w:lang w:val="en-AU"/>
        </w:rPr>
        <w:t xml:space="preserve"> </w:t>
      </w:r>
      <w:r w:rsidR="00434AFA">
        <w:rPr>
          <w:rFonts w:cstheme="minorHAnsi"/>
          <w:szCs w:val="20"/>
          <w:lang w:val="en-AU"/>
        </w:rPr>
        <w:t>SDCUs</w:t>
      </w:r>
      <w:r w:rsidR="00FA0F47" w:rsidRPr="00FA0F47">
        <w:rPr>
          <w:rFonts w:cstheme="minorHAnsi"/>
          <w:szCs w:val="20"/>
          <w:lang w:val="en-AU"/>
        </w:rPr>
        <w:t xml:space="preserve"> on how the funding should be used to support adequate staffing levels. </w:t>
      </w:r>
      <w:r w:rsidR="003172ED">
        <w:rPr>
          <w:rFonts w:cstheme="minorHAnsi"/>
          <w:szCs w:val="20"/>
          <w:lang w:val="en-AU"/>
        </w:rPr>
        <w:t xml:space="preserve">In addition, seek to understand </w:t>
      </w:r>
      <w:r w:rsidR="000D5792">
        <w:rPr>
          <w:rFonts w:cstheme="minorHAnsi"/>
          <w:szCs w:val="20"/>
          <w:lang w:val="en-AU"/>
        </w:rPr>
        <w:t>the types of discharges that</w:t>
      </w:r>
      <w:r w:rsidR="00FC2D93">
        <w:rPr>
          <w:rFonts w:cstheme="minorHAnsi"/>
          <w:szCs w:val="20"/>
          <w:lang w:val="en-AU"/>
        </w:rPr>
        <w:t xml:space="preserve"> require </w:t>
      </w:r>
      <w:r w:rsidR="00387979">
        <w:rPr>
          <w:rFonts w:cstheme="minorHAnsi"/>
          <w:szCs w:val="20"/>
          <w:lang w:val="en-AU"/>
        </w:rPr>
        <w:t>additional</w:t>
      </w:r>
      <w:r w:rsidR="003C7CA6">
        <w:rPr>
          <w:rFonts w:cstheme="minorHAnsi"/>
          <w:szCs w:val="20"/>
          <w:lang w:val="en-AU"/>
        </w:rPr>
        <w:t xml:space="preserve"> financial support </w:t>
      </w:r>
      <w:r w:rsidR="00230E1A">
        <w:rPr>
          <w:rFonts w:cstheme="minorHAnsi"/>
          <w:szCs w:val="20"/>
          <w:lang w:val="en-AU"/>
        </w:rPr>
        <w:t>to inform whether a tiered approach to transition</w:t>
      </w:r>
      <w:r w:rsidR="00387979">
        <w:rPr>
          <w:rFonts w:cstheme="minorHAnsi"/>
          <w:szCs w:val="20"/>
          <w:lang w:val="en-AU"/>
        </w:rPr>
        <w:t xml:space="preserve"> </w:t>
      </w:r>
      <w:r w:rsidR="00621718">
        <w:rPr>
          <w:rFonts w:cstheme="minorHAnsi"/>
          <w:szCs w:val="20"/>
          <w:lang w:val="en-AU"/>
        </w:rPr>
        <w:t>out</w:t>
      </w:r>
      <w:r w:rsidR="00230E1A">
        <w:rPr>
          <w:rFonts w:cstheme="minorHAnsi"/>
          <w:szCs w:val="20"/>
          <w:lang w:val="en-AU"/>
        </w:rPr>
        <w:t xml:space="preserve"> payments (based on discharge complexity) may be appropriate.</w:t>
      </w:r>
    </w:p>
    <w:p w14:paraId="1BEF7313" w14:textId="77777777" w:rsidR="000F1FBA" w:rsidRPr="008E1130" w:rsidRDefault="000F1FBA" w:rsidP="00CF08D2">
      <w:pPr>
        <w:pStyle w:val="ListParagraph"/>
        <w:numPr>
          <w:ilvl w:val="0"/>
          <w:numId w:val="39"/>
        </w:numPr>
        <w:spacing w:after="170"/>
        <w:ind w:left="714" w:hanging="357"/>
        <w:contextualSpacing w:val="0"/>
        <w:rPr>
          <w:lang w:val="en-AU"/>
        </w:rPr>
      </w:pPr>
      <w:r>
        <w:t>Work with current SDCUs to explore the criteria each SDCU uses to monitor residents’ progress and determine readiness for discharge. Identify any opportunities to apply these learnings to inform care planning processes for Phase Two sites.</w:t>
      </w:r>
    </w:p>
    <w:p w14:paraId="4C1E58D9" w14:textId="77777777" w:rsidR="001576EA" w:rsidRPr="001576EA" w:rsidRDefault="001576EA" w:rsidP="001576EA">
      <w:pPr>
        <w:spacing w:after="0"/>
        <w:rPr>
          <w:rFonts w:asciiTheme="majorHAnsi" w:hAnsiTheme="majorHAnsi" w:cstheme="majorHAnsi"/>
          <w:b/>
          <w:color w:val="041E42"/>
        </w:rPr>
      </w:pPr>
      <w:r w:rsidRPr="001576EA">
        <w:rPr>
          <w:rFonts w:asciiTheme="majorHAnsi" w:hAnsiTheme="majorHAnsi" w:cstheme="majorHAnsi"/>
          <w:b/>
          <w:color w:val="041E42"/>
        </w:rPr>
        <w:t>Data collection</w:t>
      </w:r>
    </w:p>
    <w:p w14:paraId="43435878" w14:textId="77777777" w:rsidR="001716FD" w:rsidRPr="00A73670" w:rsidRDefault="002F5D59" w:rsidP="00CF08D2">
      <w:pPr>
        <w:pStyle w:val="ListParagraph"/>
        <w:numPr>
          <w:ilvl w:val="0"/>
          <w:numId w:val="39"/>
        </w:numPr>
        <w:spacing w:after="170"/>
        <w:ind w:left="714" w:hanging="357"/>
        <w:contextualSpacing w:val="0"/>
      </w:pPr>
      <w:r>
        <w:rPr>
          <w:lang w:val="en-AU"/>
        </w:rPr>
        <w:t>Consider p</w:t>
      </w:r>
      <w:r w:rsidR="001716FD" w:rsidRPr="00526FF7">
        <w:rPr>
          <w:lang w:val="en-AU"/>
        </w:rPr>
        <w:t>rovid</w:t>
      </w:r>
      <w:r>
        <w:rPr>
          <w:lang w:val="en-AU"/>
        </w:rPr>
        <w:t>ing</w:t>
      </w:r>
      <w:r w:rsidR="001716FD" w:rsidRPr="00526FF7">
        <w:rPr>
          <w:lang w:val="en-AU"/>
        </w:rPr>
        <w:t xml:space="preserve"> standardised training to SDCUs </w:t>
      </w:r>
      <w:r w:rsidR="001716FD">
        <w:rPr>
          <w:lang w:val="en-AU"/>
        </w:rPr>
        <w:t xml:space="preserve">on </w:t>
      </w:r>
      <w:r w:rsidR="00264421">
        <w:rPr>
          <w:lang w:val="en-AU"/>
        </w:rPr>
        <w:t>administration of the</w:t>
      </w:r>
      <w:r w:rsidR="001716FD" w:rsidRPr="00526FF7">
        <w:rPr>
          <w:lang w:val="en-AU"/>
        </w:rPr>
        <w:t xml:space="preserve"> NPI-NH</w:t>
      </w:r>
      <w:r w:rsidR="001716FD">
        <w:rPr>
          <w:lang w:val="en-AU"/>
        </w:rPr>
        <w:t xml:space="preserve"> assessment</w:t>
      </w:r>
      <w:r w:rsidR="001716FD" w:rsidRPr="00526FF7">
        <w:rPr>
          <w:lang w:val="en-AU"/>
        </w:rPr>
        <w:t xml:space="preserve"> </w:t>
      </w:r>
      <w:r w:rsidR="001716FD">
        <w:rPr>
          <w:lang w:val="en-AU"/>
        </w:rPr>
        <w:t xml:space="preserve">tool and </w:t>
      </w:r>
      <w:r w:rsidR="001716FD" w:rsidRPr="00526FF7">
        <w:rPr>
          <w:lang w:val="en-AU"/>
        </w:rPr>
        <w:t xml:space="preserve">promote the consistent capture </w:t>
      </w:r>
      <w:r w:rsidR="001716FD">
        <w:rPr>
          <w:lang w:val="en-AU"/>
        </w:rPr>
        <w:t xml:space="preserve">of NPI-NH </w:t>
      </w:r>
      <w:r w:rsidR="001716FD" w:rsidRPr="00526FF7">
        <w:rPr>
          <w:lang w:val="en-AU"/>
        </w:rPr>
        <w:t>scores at a domain level</w:t>
      </w:r>
      <w:r w:rsidR="00900F53">
        <w:rPr>
          <w:lang w:val="en-AU"/>
        </w:rPr>
        <w:t xml:space="preserve"> (particularly the domains related to aggression and agitation)</w:t>
      </w:r>
      <w:r w:rsidR="001716FD" w:rsidRPr="00526FF7">
        <w:rPr>
          <w:lang w:val="en-AU"/>
        </w:rPr>
        <w:t xml:space="preserve"> in order to facilitate stronger resident monitoring and evaluation </w:t>
      </w:r>
      <w:r w:rsidR="00DE1C6C">
        <w:rPr>
          <w:lang w:val="en-AU"/>
        </w:rPr>
        <w:t>of Program efficacy</w:t>
      </w:r>
      <w:r w:rsidR="001716FD" w:rsidRPr="00526FF7">
        <w:rPr>
          <w:lang w:val="en-AU"/>
        </w:rPr>
        <w:t xml:space="preserve">. </w:t>
      </w:r>
    </w:p>
    <w:p w14:paraId="09A5D30E" w14:textId="51F60079" w:rsidR="002C1608" w:rsidRPr="00375EC2" w:rsidRDefault="002C1608" w:rsidP="00CF08D2">
      <w:pPr>
        <w:pStyle w:val="ListParagraph"/>
        <w:numPr>
          <w:ilvl w:val="0"/>
          <w:numId w:val="39"/>
        </w:numPr>
        <w:spacing w:after="170"/>
        <w:ind w:left="714" w:hanging="357"/>
        <w:contextualSpacing w:val="0"/>
        <w:rPr>
          <w:lang w:val="en-AU"/>
        </w:rPr>
      </w:pPr>
      <w:r>
        <w:t>Work with providers to understand current approaches to capturing aggregate data as part of their existing reporting obligations (e.g.</w:t>
      </w:r>
      <w:r w:rsidR="00786ED4">
        <w:t>,</w:t>
      </w:r>
      <w:r>
        <w:t xml:space="preserve"> National Aged Care Mandatory Quality Indicator Program</w:t>
      </w:r>
      <w:r w:rsidR="00C07CC0">
        <w:t xml:space="preserve"> (NACMQIP</w:t>
      </w:r>
      <w:r>
        <w:t xml:space="preserve">) and identify mechanisms which may allow </w:t>
      </w:r>
      <w:r w:rsidR="00607A49">
        <w:t>this data</w:t>
      </w:r>
      <w:r>
        <w:t xml:space="preserve"> to be </w:t>
      </w:r>
      <w:r w:rsidR="007A3446">
        <w:t>provided for SDCUs</w:t>
      </w:r>
      <w:r>
        <w:t xml:space="preserve">. For example, consider whether it is possible for providers to insert a flag for </w:t>
      </w:r>
      <w:r w:rsidR="00966BAE">
        <w:t xml:space="preserve">an </w:t>
      </w:r>
      <w:r>
        <w:t>SDC</w:t>
      </w:r>
      <w:r w:rsidR="00966BAE">
        <w:t>U</w:t>
      </w:r>
      <w:r>
        <w:t xml:space="preserve"> within</w:t>
      </w:r>
      <w:r w:rsidR="006B0BDE">
        <w:t xml:space="preserve"> the</w:t>
      </w:r>
      <w:r>
        <w:t xml:space="preserve"> data systems</w:t>
      </w:r>
      <w:r w:rsidR="006B0BDE">
        <w:t xml:space="preserve"> used </w:t>
      </w:r>
      <w:r w:rsidR="00937EAC">
        <w:t>to capture these</w:t>
      </w:r>
      <w:r w:rsidR="006B0BDE">
        <w:t xml:space="preserve"> indicators</w:t>
      </w:r>
      <w:r>
        <w:t>.</w:t>
      </w:r>
      <w:r w:rsidR="00676E05">
        <w:t xml:space="preserve"> While the</w:t>
      </w:r>
      <w:r>
        <w:t xml:space="preserve"> </w:t>
      </w:r>
      <w:r w:rsidR="00C07CC0">
        <w:t xml:space="preserve">NACMQIP indicators will not provide a view </w:t>
      </w:r>
      <w:r w:rsidR="00D91C99">
        <w:t xml:space="preserve">on the Program’s impact on residents over time, </w:t>
      </w:r>
      <w:r w:rsidR="00DE786F">
        <w:t>it will provide a view on the</w:t>
      </w:r>
      <w:r w:rsidR="003E1023">
        <w:t xml:space="preserve"> annual</w:t>
      </w:r>
      <w:r w:rsidR="00DE786F">
        <w:t xml:space="preserve"> prevalence of </w:t>
      </w:r>
      <w:r w:rsidR="009A5590">
        <w:t xml:space="preserve">incidents (e.g., falls, physical restraints, hospital presentations etc.), </w:t>
      </w:r>
      <w:r w:rsidR="00BF2ABD">
        <w:t xml:space="preserve">which could be </w:t>
      </w:r>
      <w:r w:rsidR="00310AB5">
        <w:t>used to</w:t>
      </w:r>
      <w:r w:rsidR="00BF2ABD">
        <w:t xml:space="preserve"> </w:t>
      </w:r>
      <w:r w:rsidR="00310AB5">
        <w:t>profile</w:t>
      </w:r>
      <w:r w:rsidR="00BF2ABD">
        <w:t xml:space="preserve"> how patterns of behavio</w:t>
      </w:r>
      <w:r w:rsidR="00310AB5">
        <w:t>u</w:t>
      </w:r>
      <w:r w:rsidR="00BF2ABD">
        <w:t xml:space="preserve">r in an SDCU differ to </w:t>
      </w:r>
      <w:r w:rsidR="00310AB5">
        <w:t>those observed in</w:t>
      </w:r>
      <w:r w:rsidR="00BF2ABD">
        <w:t xml:space="preserve"> mainstream RACFs.</w:t>
      </w:r>
      <w:r w:rsidR="009A5590">
        <w:t xml:space="preserve"> </w:t>
      </w:r>
    </w:p>
    <w:p w14:paraId="6EE421C5" w14:textId="41136C62" w:rsidR="00CE7E1F" w:rsidRDefault="00CE7E1F" w:rsidP="0079620C">
      <w:pPr>
        <w:pStyle w:val="ListParagraph"/>
        <w:numPr>
          <w:ilvl w:val="0"/>
          <w:numId w:val="39"/>
        </w:numPr>
        <w:spacing w:after="170"/>
        <w:contextualSpacing w:val="0"/>
      </w:pPr>
      <w:r>
        <w:t>To supplement insights from the NPI-NH</w:t>
      </w:r>
      <w:r w:rsidR="00381329">
        <w:t xml:space="preserve"> </w:t>
      </w:r>
      <w:r>
        <w:t xml:space="preserve">on resident progress, consider selecting a small set of outcomes measures and work with SDCUs to consistently collect and report on these indicators at a resident level as part of six-monthly reporting. Suggested outcomes include: </w:t>
      </w:r>
    </w:p>
    <w:p w14:paraId="40F07DAD" w14:textId="3CEBFB9B" w:rsidR="00CE7E1F" w:rsidRDefault="00CE7E1F" w:rsidP="00CE7E1F">
      <w:pPr>
        <w:pStyle w:val="ListParagraph"/>
        <w:numPr>
          <w:ilvl w:val="1"/>
          <w:numId w:val="56"/>
        </w:numPr>
        <w:spacing w:after="170"/>
        <w:ind w:left="1434" w:hanging="357"/>
        <w:contextualSpacing w:val="0"/>
      </w:pPr>
      <w:r>
        <w:t>Number of ED presentations and unplanned admissions (including length of stay) during Program tenure.</w:t>
      </w:r>
    </w:p>
    <w:p w14:paraId="65121A1B" w14:textId="10ACC695" w:rsidR="00CE7E1F" w:rsidRDefault="00CE7E1F" w:rsidP="00CE7E1F">
      <w:pPr>
        <w:pStyle w:val="ListParagraph"/>
        <w:numPr>
          <w:ilvl w:val="1"/>
          <w:numId w:val="56"/>
        </w:numPr>
        <w:spacing w:after="170"/>
        <w:ind w:left="1434" w:hanging="357"/>
        <w:contextualSpacing w:val="0"/>
      </w:pPr>
      <w:r>
        <w:t>Medication variances by drug class for discharging residents (e.g</w:t>
      </w:r>
      <w:r w:rsidR="009F516E">
        <w:t>.,</w:t>
      </w:r>
      <w:r>
        <w:t xml:space="preserve"> ‘reduction in dose’ of antipsychotic) – to assess reduction in chemical restraints, a key program objective.</w:t>
      </w:r>
    </w:p>
    <w:p w14:paraId="028069DC" w14:textId="4B6556D3" w:rsidR="00CE7E1F" w:rsidRPr="002A0AC1" w:rsidRDefault="00CE7E1F" w:rsidP="00CE7E1F">
      <w:pPr>
        <w:pStyle w:val="ListParagraph"/>
        <w:numPr>
          <w:ilvl w:val="1"/>
          <w:numId w:val="56"/>
        </w:numPr>
        <w:spacing w:after="170"/>
        <w:ind w:left="1434" w:hanging="357"/>
        <w:contextualSpacing w:val="0"/>
        <w:rPr>
          <w:rFonts w:asciiTheme="majorHAnsi" w:hAnsiTheme="majorHAnsi" w:cstheme="majorHAnsi"/>
          <w:b/>
          <w:u w:val="single"/>
        </w:rPr>
      </w:pPr>
      <w:r>
        <w:t>Discharge reason, where the following reasons are differentiated: palliative care, change in comorbidities (e.g</w:t>
      </w:r>
      <w:r w:rsidR="005B3BAF">
        <w:t>.,</w:t>
      </w:r>
      <w:r>
        <w:t xml:space="preserve"> acute medical event), escalation of BPSD. </w:t>
      </w:r>
    </w:p>
    <w:p w14:paraId="52300193" w14:textId="1ACFAF5D" w:rsidR="00110C8B" w:rsidRPr="006158DD" w:rsidRDefault="00110C8B" w:rsidP="0079620C">
      <w:pPr>
        <w:pStyle w:val="ListParagraph"/>
        <w:numPr>
          <w:ilvl w:val="0"/>
          <w:numId w:val="39"/>
        </w:numPr>
        <w:spacing w:after="120"/>
        <w:rPr>
          <w:rFonts w:asciiTheme="majorHAnsi" w:hAnsiTheme="majorHAnsi" w:cstheme="majorHAnsi"/>
          <w:b/>
          <w:u w:val="single"/>
        </w:rPr>
      </w:pPr>
      <w:r>
        <w:t>To further supplement data collected during a resident’s stay, the Department and SDCUs could consider the feasibility of assessing longer-term outcomes associated with residents discharged due to ‘successful reduction in very severe BPSD</w:t>
      </w:r>
      <w:r w:rsidR="002005C2">
        <w:t>’</w:t>
      </w:r>
      <w:r>
        <w:t>. In particular, a key outcome for collection could be a six-monthly check-in of discharged Program residents’ current care setting to understand the persistence of Program effects regarding symptom stabilisation. While it is acknowledged that this would increase administrative burden (and require the Department to negotiate with providers regarding how this process would practically be undertaken):</w:t>
      </w:r>
    </w:p>
    <w:p w14:paraId="16B94477" w14:textId="77777777" w:rsidR="00110C8B" w:rsidRPr="006158DD" w:rsidRDefault="00110C8B" w:rsidP="00110C8B">
      <w:pPr>
        <w:pStyle w:val="ListParagraph"/>
        <w:spacing w:after="120"/>
        <w:ind w:left="714"/>
        <w:rPr>
          <w:rFonts w:asciiTheme="majorHAnsi" w:hAnsiTheme="majorHAnsi" w:cstheme="majorHAnsi"/>
          <w:b/>
          <w:u w:val="single"/>
        </w:rPr>
      </w:pPr>
    </w:p>
    <w:p w14:paraId="5C843776" w14:textId="77777777" w:rsidR="00110C8B" w:rsidRDefault="00110C8B" w:rsidP="0079620C">
      <w:pPr>
        <w:pStyle w:val="ListParagraph"/>
        <w:numPr>
          <w:ilvl w:val="1"/>
          <w:numId w:val="60"/>
        </w:numPr>
        <w:spacing w:after="170"/>
        <w:contextualSpacing w:val="0"/>
      </w:pPr>
      <w:r>
        <w:t>a core driver of the Program’s economic value to the wider health and aged care system is the length of time post-Program for which benefits can be assigned</w:t>
      </w:r>
    </w:p>
    <w:p w14:paraId="5750867A" w14:textId="10CAB65F" w:rsidR="00110C8B" w:rsidRDefault="00110C8B" w:rsidP="0079620C">
      <w:pPr>
        <w:pStyle w:val="ListParagraph"/>
        <w:numPr>
          <w:ilvl w:val="1"/>
          <w:numId w:val="60"/>
        </w:numPr>
        <w:spacing w:after="170"/>
        <w:contextualSpacing w:val="0"/>
      </w:pPr>
      <w:r>
        <w:t xml:space="preserve">having data collection occur at the individual provider-level caps the administrative burden at the rate of Program discharges balanced with the expected rate of </w:t>
      </w:r>
      <w:r w:rsidR="00023789">
        <w:t>mortality</w:t>
      </w:r>
      <w:r>
        <w:t xml:space="preserve"> occurring within the target Program cohort (which is elderly and medically complex) </w:t>
      </w:r>
    </w:p>
    <w:p w14:paraId="4743E3A4" w14:textId="30D81318" w:rsidR="00110C8B" w:rsidRDefault="00110C8B" w:rsidP="0079620C">
      <w:pPr>
        <w:pStyle w:val="ListParagraph"/>
        <w:numPr>
          <w:ilvl w:val="1"/>
          <w:numId w:val="60"/>
        </w:numPr>
        <w:spacing w:after="170"/>
        <w:contextualSpacing w:val="0"/>
      </w:pPr>
      <w:r>
        <w:t xml:space="preserve">a trend observed across the Program was internal discharges to the provider’s co-located mainstream RACF, simplifying this data-collection process. </w:t>
      </w:r>
    </w:p>
    <w:p w14:paraId="1280E4F2" w14:textId="77777777" w:rsidR="00110C8B" w:rsidRDefault="00110C8B" w:rsidP="00110C8B">
      <w:pPr>
        <w:pStyle w:val="ListParagraph"/>
        <w:spacing w:after="170"/>
      </w:pPr>
      <w:r>
        <w:t xml:space="preserve">In addition, by tracking resident progress post-Program participation, it allows the Program to understand </w:t>
      </w:r>
      <w:r w:rsidRPr="00C8788C">
        <w:t>which residents are more likely to become unsettled in mainstream RACF settings.</w:t>
      </w:r>
      <w:r>
        <w:t xml:space="preserve"> This information could then be used to: </w:t>
      </w:r>
    </w:p>
    <w:p w14:paraId="75DBCDA2" w14:textId="77777777" w:rsidR="00110C8B" w:rsidRDefault="00110C8B" w:rsidP="00110C8B">
      <w:pPr>
        <w:pStyle w:val="ListParagraph"/>
        <w:spacing w:after="170"/>
      </w:pPr>
    </w:p>
    <w:p w14:paraId="0C6CC920" w14:textId="77777777" w:rsidR="00110C8B" w:rsidRDefault="00110C8B" w:rsidP="00110C8B">
      <w:pPr>
        <w:pStyle w:val="ListParagraph"/>
        <w:numPr>
          <w:ilvl w:val="0"/>
          <w:numId w:val="55"/>
        </w:numPr>
        <w:spacing w:before="120" w:after="170"/>
        <w:ind w:left="1434" w:hanging="357"/>
        <w:contextualSpacing w:val="0"/>
      </w:pPr>
      <w:r>
        <w:t>inform a risk stratified discharge approach when discharging high-risk residents to minimise bounce-backs or escalation to hospital (e.g., a step-down discharge approach)</w:t>
      </w:r>
    </w:p>
    <w:p w14:paraId="446C7B1C" w14:textId="77777777" w:rsidR="00110C8B" w:rsidRDefault="00110C8B" w:rsidP="00110C8B">
      <w:pPr>
        <w:pStyle w:val="ListParagraph"/>
        <w:numPr>
          <w:ilvl w:val="0"/>
          <w:numId w:val="55"/>
        </w:numPr>
        <w:spacing w:before="120" w:after="170"/>
        <w:ind w:left="1434" w:hanging="357"/>
        <w:contextualSpacing w:val="0"/>
      </w:pPr>
      <w:r>
        <w:t>understand whether the selection of 12 weeks as the bounce-back period is appropriate for the observed post-discharge trajectory of behaviour.</w:t>
      </w:r>
    </w:p>
    <w:p w14:paraId="11AD93BF" w14:textId="77777777" w:rsidR="000F1FBA" w:rsidRDefault="000F1FBA" w:rsidP="000F1FBA">
      <w:pPr>
        <w:spacing w:after="0"/>
        <w:rPr>
          <w:rFonts w:asciiTheme="majorHAnsi" w:hAnsiTheme="majorHAnsi" w:cstheme="majorHAnsi"/>
          <w:b/>
          <w:color w:val="041E42"/>
        </w:rPr>
      </w:pPr>
      <w:r w:rsidRPr="00BB5389">
        <w:rPr>
          <w:rFonts w:asciiTheme="majorHAnsi" w:hAnsiTheme="majorHAnsi" w:cstheme="majorHAnsi"/>
          <w:b/>
          <w:color w:val="041E42"/>
        </w:rPr>
        <w:t>Administration</w:t>
      </w:r>
    </w:p>
    <w:p w14:paraId="4B09D19D" w14:textId="77777777" w:rsidR="000F1FBA" w:rsidRDefault="000F1FBA" w:rsidP="00E6199B">
      <w:pPr>
        <w:pStyle w:val="ListParagraph"/>
        <w:numPr>
          <w:ilvl w:val="0"/>
          <w:numId w:val="39"/>
        </w:numPr>
        <w:spacing w:after="0"/>
      </w:pPr>
      <w:r>
        <w:t>Continue to commitment to knowledge sharing across Phase One and Phase Two SDCUs, by implementing a collaborative knowledge exchange platform to supplement the Community of Practice that allows providers to share tools and resources and informally share advice and reflect on learnings.</w:t>
      </w:r>
    </w:p>
    <w:p w14:paraId="52BB5BF6" w14:textId="77777777" w:rsidR="002163EB" w:rsidRPr="00BB5389" w:rsidRDefault="002163EB" w:rsidP="000F1FBA">
      <w:pPr>
        <w:spacing w:after="0"/>
        <w:rPr>
          <w:rFonts w:asciiTheme="majorHAnsi" w:hAnsiTheme="majorHAnsi" w:cstheme="majorHAnsi"/>
          <w:b/>
          <w:color w:val="041E42"/>
        </w:rPr>
      </w:pPr>
    </w:p>
    <w:p w14:paraId="78C3C3BB" w14:textId="77777777" w:rsidR="006B28B2" w:rsidRPr="002163EB" w:rsidRDefault="00BD791B" w:rsidP="005B3693">
      <w:pPr>
        <w:spacing w:after="170"/>
        <w:rPr>
          <w:rFonts w:asciiTheme="majorHAnsi" w:hAnsiTheme="majorHAnsi" w:cstheme="majorHAnsi"/>
          <w:b/>
          <w:u w:val="single"/>
        </w:rPr>
      </w:pPr>
      <w:r w:rsidRPr="002163EB">
        <w:rPr>
          <w:rFonts w:asciiTheme="majorHAnsi" w:hAnsiTheme="majorHAnsi" w:cstheme="majorHAnsi"/>
          <w:b/>
          <w:u w:val="single"/>
        </w:rPr>
        <w:t>Provider level</w:t>
      </w:r>
    </w:p>
    <w:p w14:paraId="0938D532" w14:textId="4EB3480C" w:rsidR="00E949D8" w:rsidRPr="00FB52D7" w:rsidRDefault="00E949D8" w:rsidP="00E6199B">
      <w:pPr>
        <w:pStyle w:val="ListParagraph"/>
        <w:numPr>
          <w:ilvl w:val="0"/>
          <w:numId w:val="39"/>
        </w:numPr>
        <w:spacing w:after="170"/>
        <w:contextualSpacing w:val="0"/>
      </w:pPr>
      <w:r w:rsidRPr="00E949D8">
        <w:t xml:space="preserve">As outlined in the SDCP </w:t>
      </w:r>
      <w:r w:rsidR="00581627">
        <w:t>F</w:t>
      </w:r>
      <w:r w:rsidRPr="00E949D8">
        <w:t xml:space="preserve">ramework, ensure all care staff are trained in behavioural management for people with </w:t>
      </w:r>
      <w:r w:rsidR="00DA37D9">
        <w:t xml:space="preserve">very severe </w:t>
      </w:r>
      <w:r w:rsidRPr="00E949D8">
        <w:t>BPSD prior to commencing their role. Work with other providers to identify appropriate training materials resources</w:t>
      </w:r>
      <w:r w:rsidR="001810A8">
        <w:t xml:space="preserve"> which </w:t>
      </w:r>
      <w:r w:rsidR="006F25F2">
        <w:t>could be leveraged to minimise duplication of effort</w:t>
      </w:r>
      <w:r w:rsidR="001D523D" w:rsidRPr="00FB52D7">
        <w:t>.</w:t>
      </w:r>
    </w:p>
    <w:p w14:paraId="6457A72B" w14:textId="77777777" w:rsidR="00232C83" w:rsidRPr="00FB52D7" w:rsidRDefault="00566E22" w:rsidP="00E6199B">
      <w:pPr>
        <w:pStyle w:val="ListParagraph"/>
        <w:numPr>
          <w:ilvl w:val="0"/>
          <w:numId w:val="39"/>
        </w:numPr>
        <w:spacing w:after="170"/>
        <w:contextualSpacing w:val="0"/>
      </w:pPr>
      <w:r w:rsidRPr="00FB52D7">
        <w:t>For Phase Two sites, establish a structured CAC process that incorporates the key enablers of timely and coordinated suitability assessment</w:t>
      </w:r>
      <w:r w:rsidR="00D80F85">
        <w:t>s</w:t>
      </w:r>
      <w:r w:rsidR="00FB52D7" w:rsidRPr="00FB52D7">
        <w:t xml:space="preserve">, including </w:t>
      </w:r>
      <w:r w:rsidRPr="00FB52D7">
        <w:t xml:space="preserve">clear role </w:t>
      </w:r>
      <w:r w:rsidR="00D80F85">
        <w:t>and</w:t>
      </w:r>
      <w:r w:rsidRPr="00FB52D7">
        <w:t xml:space="preserve"> responsibilities among CAC members</w:t>
      </w:r>
      <w:r w:rsidR="00D51CDC">
        <w:t>,</w:t>
      </w:r>
      <w:r w:rsidRPr="00FB52D7">
        <w:t xml:space="preserve"> and strong information-sharing and feedback </w:t>
      </w:r>
      <w:r w:rsidR="00FB52D7" w:rsidRPr="00FB52D7">
        <w:t>systems</w:t>
      </w:r>
      <w:r w:rsidR="00D80F85">
        <w:t xml:space="preserve"> with referrers</w:t>
      </w:r>
      <w:r w:rsidRPr="00FB52D7">
        <w:t xml:space="preserve">. </w:t>
      </w:r>
    </w:p>
    <w:p w14:paraId="11B50BD1" w14:textId="77777777" w:rsidR="0089307B" w:rsidRDefault="0089307B" w:rsidP="00E6199B">
      <w:pPr>
        <w:pStyle w:val="ListParagraph"/>
        <w:numPr>
          <w:ilvl w:val="0"/>
          <w:numId w:val="39"/>
        </w:numPr>
        <w:spacing w:after="170"/>
        <w:contextualSpacing w:val="0"/>
      </w:pPr>
      <w:r>
        <w:t>C</w:t>
      </w:r>
      <w:r w:rsidRPr="0089307B">
        <w:t>onsider</w:t>
      </w:r>
      <w:r>
        <w:t xml:space="preserve"> opportunities to</w:t>
      </w:r>
      <w:r w:rsidRPr="0089307B">
        <w:t xml:space="preserve"> increas</w:t>
      </w:r>
      <w:r>
        <w:t>e the availability of</w:t>
      </w:r>
      <w:r w:rsidRPr="0089307B">
        <w:t xml:space="preserve"> enrichment support </w:t>
      </w:r>
      <w:r>
        <w:t>for Program residents</w:t>
      </w:r>
      <w:r w:rsidRPr="0089307B">
        <w:t xml:space="preserve">, such as </w:t>
      </w:r>
      <w:r>
        <w:t xml:space="preserve">the provision of more </w:t>
      </w:r>
      <w:r w:rsidRPr="0089307B">
        <w:t>enrichment activities</w:t>
      </w:r>
      <w:r>
        <w:t xml:space="preserve"> </w:t>
      </w:r>
      <w:r w:rsidRPr="0089307B">
        <w:t>or the engagement of a dedicated recreation support coordinator</w:t>
      </w:r>
      <w:r>
        <w:t xml:space="preserve">. </w:t>
      </w:r>
    </w:p>
    <w:p w14:paraId="699319AE" w14:textId="77777777" w:rsidR="00E949D8" w:rsidRPr="00E949D8" w:rsidRDefault="00E949D8" w:rsidP="00E6199B">
      <w:pPr>
        <w:pStyle w:val="ListParagraph"/>
        <w:numPr>
          <w:ilvl w:val="0"/>
          <w:numId w:val="39"/>
        </w:numPr>
        <w:spacing w:after="170"/>
        <w:contextualSpacing w:val="0"/>
      </w:pPr>
      <w:r w:rsidRPr="00E949D8">
        <w:t xml:space="preserve">Ensure initial multidisciplinary team meetings consistently occur within one week of admission, and that discharge planning is discussed at this meeting, with a discharge plan developed shortly after. In the case of a likely external transition, identifying suitable locations should also commence as part of discharge planning. </w:t>
      </w:r>
    </w:p>
    <w:p w14:paraId="25BC2AF8" w14:textId="565EF13C" w:rsidR="00735DBF" w:rsidRDefault="00735DBF" w:rsidP="00E6199B">
      <w:pPr>
        <w:pStyle w:val="ListParagraph"/>
        <w:numPr>
          <w:ilvl w:val="0"/>
          <w:numId w:val="39"/>
        </w:numPr>
        <w:spacing w:after="170"/>
        <w:contextualSpacing w:val="0"/>
      </w:pPr>
      <w:r>
        <w:t xml:space="preserve">As the Program grows, </w:t>
      </w:r>
      <w:r w:rsidR="002A6F0B">
        <w:t>investigate</w:t>
      </w:r>
      <w:r w:rsidR="00273D69">
        <w:t xml:space="preserve"> </w:t>
      </w:r>
      <w:r>
        <w:t>the extent to which the perceived pay-risk trade-off is driving recruitment and retention issues among care staff. If this is the case, it may indicate that care staff are not employed at a level commensurate with the scope of the role, and this may need to be adjusted.</w:t>
      </w:r>
    </w:p>
    <w:p w14:paraId="4B4D105C" w14:textId="77777777" w:rsidR="00E949D8" w:rsidRPr="00E949D8" w:rsidRDefault="00E949D8" w:rsidP="00E6199B">
      <w:pPr>
        <w:pStyle w:val="ListParagraph"/>
        <w:numPr>
          <w:ilvl w:val="0"/>
          <w:numId w:val="39"/>
        </w:numPr>
        <w:spacing w:after="170"/>
        <w:contextualSpacing w:val="0"/>
      </w:pPr>
      <w:r w:rsidRPr="00E949D8">
        <w:t xml:space="preserve">Consider mechanisms for enhancing the role and input of </w:t>
      </w:r>
      <w:r w:rsidR="008D0B64">
        <w:t>care staff</w:t>
      </w:r>
      <w:r w:rsidRPr="00E949D8">
        <w:t xml:space="preserve"> as part of CRTs or other discussions on client progress. </w:t>
      </w:r>
      <w:r w:rsidR="00796E03">
        <w:t>Th</w:t>
      </w:r>
      <w:r w:rsidR="00E0456D">
        <w:t xml:space="preserve">e benefits of </w:t>
      </w:r>
      <w:r w:rsidR="00F639C2">
        <w:t xml:space="preserve">this are two-fold: it </w:t>
      </w:r>
      <w:r w:rsidR="00E0456D">
        <w:t>provides an</w:t>
      </w:r>
      <w:r w:rsidR="00905931">
        <w:t xml:space="preserve"> important</w:t>
      </w:r>
      <w:r w:rsidR="00552F4D">
        <w:t xml:space="preserve"> informal</w:t>
      </w:r>
      <w:r w:rsidR="00905931">
        <w:t xml:space="preserve"> cap</w:t>
      </w:r>
      <w:r w:rsidR="00552F4D">
        <w:t>ability</w:t>
      </w:r>
      <w:r w:rsidR="00905931">
        <w:t xml:space="preserve"> </w:t>
      </w:r>
      <w:r w:rsidR="00796E03">
        <w:t xml:space="preserve">building </w:t>
      </w:r>
      <w:r w:rsidR="00A660FB">
        <w:t>opportunity for care staff</w:t>
      </w:r>
      <w:r w:rsidR="00552F4D">
        <w:t>, particularly as it relates to behavioural management techniques</w:t>
      </w:r>
      <w:r w:rsidR="00F639C2">
        <w:t xml:space="preserve">; </w:t>
      </w:r>
      <w:r w:rsidR="00796E03">
        <w:t xml:space="preserve">it also provides more senior clinical staff with insight into </w:t>
      </w:r>
      <w:r w:rsidR="00F639C2">
        <w:t>daily</w:t>
      </w:r>
      <w:r w:rsidR="00796E03">
        <w:t xml:space="preserve"> </w:t>
      </w:r>
      <w:r w:rsidR="00E0456D">
        <w:t>behaviors</w:t>
      </w:r>
      <w:r w:rsidR="00796E03">
        <w:t xml:space="preserve"> and triggers observed on the ground.</w:t>
      </w:r>
    </w:p>
    <w:p w14:paraId="667985B1" w14:textId="77777777" w:rsidR="00E949D8" w:rsidRPr="00E949D8" w:rsidRDefault="00E949D8" w:rsidP="00E6199B">
      <w:pPr>
        <w:pStyle w:val="ListParagraph"/>
        <w:numPr>
          <w:ilvl w:val="0"/>
          <w:numId w:val="39"/>
        </w:numPr>
        <w:spacing w:after="170"/>
        <w:contextualSpacing w:val="0"/>
      </w:pPr>
      <w:r w:rsidRPr="00E949D8">
        <w:t xml:space="preserve">When discharging a client, ensure the routine use of structured templates and processes (including </w:t>
      </w:r>
      <w:r w:rsidR="00167B88">
        <w:t>ongoing outreach and follow up</w:t>
      </w:r>
      <w:r w:rsidRPr="00E949D8">
        <w:t xml:space="preserve">), for handover of information that includes a strong focus on the person’s unique needs and preferences, triggers and effective behavioural management strategies. </w:t>
      </w:r>
      <w:r w:rsidR="00167B88">
        <w:t xml:space="preserve">As part of discharge outreach with receiving facilities, ensure staff continue to monitor the progress of discharged residents to identify residents at risk of bounce back and to inform ongoing improvements in discharge planning processes. </w:t>
      </w:r>
    </w:p>
    <w:p w14:paraId="5F0AC332" w14:textId="77777777" w:rsidR="008B583D" w:rsidRPr="00E949D8" w:rsidRDefault="00E949D8" w:rsidP="00E6199B">
      <w:pPr>
        <w:pStyle w:val="ListParagraph"/>
        <w:numPr>
          <w:ilvl w:val="0"/>
          <w:numId w:val="39"/>
        </w:numPr>
        <w:spacing w:after="170"/>
        <w:contextualSpacing w:val="0"/>
      </w:pPr>
      <w:r w:rsidRPr="00E949D8">
        <w:t>Implement processes to routinely reflect on the nature of the partnership with in-reach clinicians, including a discussion of scope for improvement or any need to update the Memorandum of Understanding.</w:t>
      </w:r>
      <w:r w:rsidR="00452111">
        <w:t xml:space="preserve"> </w:t>
      </w:r>
    </w:p>
    <w:p w14:paraId="779ADF91" w14:textId="773E0382" w:rsidR="000F1FBA" w:rsidRPr="000F1FBA" w:rsidRDefault="000F1FBA" w:rsidP="00371076">
      <w:pPr>
        <w:spacing w:after="200" w:line="276" w:lineRule="auto"/>
      </w:pPr>
      <w:bookmarkStart w:id="110" w:name="_Toc127952495"/>
      <w:bookmarkEnd w:id="110"/>
    </w:p>
    <w:p w14:paraId="18C579D6" w14:textId="6B381968" w:rsidR="008B583D" w:rsidRPr="00E949D8" w:rsidRDefault="008B583D" w:rsidP="0079620C">
      <w:pPr>
        <w:spacing w:after="0"/>
      </w:pPr>
      <w:r w:rsidRPr="00E949D8">
        <w:br w:type="page"/>
      </w:r>
    </w:p>
    <w:p w14:paraId="205B55B7" w14:textId="5E84AC4E" w:rsidR="00666BB6" w:rsidRPr="00BC46A2" w:rsidRDefault="00666BB6" w:rsidP="009B2A7E">
      <w:pPr>
        <w:pStyle w:val="Heading1un-numbered"/>
      </w:pPr>
      <w:r w:rsidRPr="00BC46A2">
        <w:t>Appendix A</w:t>
      </w:r>
      <w:r w:rsidR="00EF6338">
        <w:t>: Evaluation domain mapping</w:t>
      </w:r>
    </w:p>
    <w:p w14:paraId="0CFC49DB" w14:textId="0A889294" w:rsidR="000217E8" w:rsidRPr="000217E8" w:rsidRDefault="000217E8" w:rsidP="000217E8">
      <w:pPr>
        <w:pStyle w:val="Caption"/>
      </w:pPr>
      <w:r>
        <w:t xml:space="preserve">A </w:t>
      </w:r>
      <w:r>
        <w:fldChar w:fldCharType="begin"/>
      </w:r>
      <w:r>
        <w:instrText xml:space="preserve"> SEQ A \* ARABIC </w:instrText>
      </w:r>
      <w:r>
        <w:fldChar w:fldCharType="separate"/>
      </w:r>
      <w:r w:rsidR="00D32536">
        <w:rPr>
          <w:noProof/>
        </w:rPr>
        <w:t>1</w:t>
      </w:r>
      <w:r>
        <w:fldChar w:fldCharType="end"/>
      </w:r>
      <w:r>
        <w:t>: Mapping table between report sections and evaluation framework domains / questions</w:t>
      </w:r>
    </w:p>
    <w:tbl>
      <w:tblPr>
        <w:tblStyle w:val="Deloittetable"/>
        <w:tblW w:w="5000" w:type="pct"/>
        <w:tblLayout w:type="fixed"/>
        <w:tblCellMar>
          <w:left w:w="57" w:type="dxa"/>
          <w:right w:w="57" w:type="dxa"/>
        </w:tblCellMar>
        <w:tblLook w:val="04A0" w:firstRow="1" w:lastRow="0" w:firstColumn="1" w:lastColumn="0" w:noHBand="0" w:noVBand="1"/>
      </w:tblPr>
      <w:tblGrid>
        <w:gridCol w:w="1417"/>
        <w:gridCol w:w="6521"/>
        <w:gridCol w:w="2014"/>
      </w:tblGrid>
      <w:tr w:rsidR="00666BB6" w:rsidRPr="00B978CC" w14:paraId="72800E33" w14:textId="388CAFFE" w:rsidTr="00FF2543">
        <w:trPr>
          <w:cnfStyle w:val="100000000000" w:firstRow="1" w:lastRow="0" w:firstColumn="0" w:lastColumn="0" w:oddVBand="0" w:evenVBand="0" w:oddHBand="0" w:evenHBand="0" w:firstRowFirstColumn="0" w:firstRowLastColumn="0" w:lastRowFirstColumn="0" w:lastRowLastColumn="0"/>
          <w:trHeight w:val="167"/>
        </w:trPr>
        <w:tc>
          <w:tcPr>
            <w:tcW w:w="712" w:type="pct"/>
          </w:tcPr>
          <w:p w14:paraId="5AC301E4" w14:textId="77777777" w:rsidR="00666BB6" w:rsidRPr="00B978CC" w:rsidRDefault="00666BB6" w:rsidP="00FC3CFD">
            <w:pPr>
              <w:pStyle w:val="TableHeadingLeft"/>
              <w:spacing w:after="60"/>
              <w:rPr>
                <w:sz w:val="18"/>
                <w:szCs w:val="18"/>
              </w:rPr>
            </w:pPr>
            <w:r w:rsidRPr="00B978CC">
              <w:rPr>
                <w:sz w:val="18"/>
                <w:szCs w:val="18"/>
              </w:rPr>
              <w:t>Domain</w:t>
            </w:r>
          </w:p>
        </w:tc>
        <w:tc>
          <w:tcPr>
            <w:tcW w:w="3276" w:type="pct"/>
          </w:tcPr>
          <w:p w14:paraId="062C748E" w14:textId="77777777" w:rsidR="00666BB6" w:rsidRPr="00B978CC" w:rsidRDefault="00666BB6" w:rsidP="00FC3CFD">
            <w:pPr>
              <w:pStyle w:val="TableHeadingLeft"/>
              <w:spacing w:after="60"/>
              <w:rPr>
                <w:sz w:val="18"/>
                <w:szCs w:val="18"/>
              </w:rPr>
            </w:pPr>
            <w:r w:rsidRPr="00B978CC">
              <w:rPr>
                <w:sz w:val="18"/>
                <w:szCs w:val="18"/>
              </w:rPr>
              <w:t>Evaluation question/s</w:t>
            </w:r>
          </w:p>
        </w:tc>
        <w:tc>
          <w:tcPr>
            <w:tcW w:w="1012" w:type="pct"/>
          </w:tcPr>
          <w:p w14:paraId="08486CDB" w14:textId="2BBB5718" w:rsidR="00666BB6" w:rsidRPr="00B978CC" w:rsidRDefault="00666BB6" w:rsidP="00FC3CFD">
            <w:pPr>
              <w:pStyle w:val="TableHeadingLeft"/>
              <w:spacing w:after="60"/>
              <w:rPr>
                <w:sz w:val="18"/>
                <w:szCs w:val="18"/>
              </w:rPr>
            </w:pPr>
            <w:r w:rsidRPr="00B978CC">
              <w:rPr>
                <w:sz w:val="18"/>
                <w:szCs w:val="18"/>
              </w:rPr>
              <w:t>Section of the Report</w:t>
            </w:r>
          </w:p>
        </w:tc>
      </w:tr>
      <w:tr w:rsidR="005B0D8F" w:rsidRPr="00B978CC" w14:paraId="499CB29C" w14:textId="77777777" w:rsidTr="00AD27FD">
        <w:trPr>
          <w:trHeight w:val="334"/>
        </w:trPr>
        <w:tc>
          <w:tcPr>
            <w:tcW w:w="0" w:type="pct"/>
            <w:shd w:val="clear" w:color="auto" w:fill="F2F2F2" w:themeFill="background1" w:themeFillShade="F2"/>
          </w:tcPr>
          <w:p w14:paraId="49C06A28" w14:textId="58B8C62C" w:rsidR="005B0D8F" w:rsidRPr="00BC1879" w:rsidRDefault="005B0D8F" w:rsidP="00FC3CFD">
            <w:pPr>
              <w:pStyle w:val="Tabletext"/>
              <w:spacing w:after="60"/>
              <w:rPr>
                <w:rFonts w:asciiTheme="majorHAnsi" w:hAnsiTheme="majorHAnsi" w:cstheme="majorHAnsi"/>
                <w:b/>
                <w:sz w:val="18"/>
                <w:szCs w:val="18"/>
              </w:rPr>
            </w:pPr>
            <w:r>
              <w:rPr>
                <w:rFonts w:asciiTheme="majorHAnsi" w:hAnsiTheme="majorHAnsi" w:cstheme="majorHAnsi"/>
                <w:b/>
                <w:sz w:val="18"/>
                <w:szCs w:val="18"/>
              </w:rPr>
              <w:t xml:space="preserve">Implementation </w:t>
            </w:r>
          </w:p>
        </w:tc>
        <w:tc>
          <w:tcPr>
            <w:tcW w:w="0" w:type="pct"/>
            <w:shd w:val="clear" w:color="auto" w:fill="F2F2F2" w:themeFill="background1" w:themeFillShade="F2"/>
          </w:tcPr>
          <w:p w14:paraId="75B550C7" w14:textId="77777777" w:rsidR="005B0D8F" w:rsidRPr="00B978CC" w:rsidRDefault="005B0D8F" w:rsidP="00FC3CFD">
            <w:pPr>
              <w:pStyle w:val="Tabletext"/>
              <w:spacing w:after="60"/>
              <w:rPr>
                <w:sz w:val="18"/>
                <w:szCs w:val="18"/>
              </w:rPr>
            </w:pPr>
          </w:p>
        </w:tc>
        <w:tc>
          <w:tcPr>
            <w:tcW w:w="0" w:type="pct"/>
            <w:shd w:val="clear" w:color="auto" w:fill="F2F2F2" w:themeFill="background1" w:themeFillShade="F2"/>
          </w:tcPr>
          <w:p w14:paraId="47E8D0BD" w14:textId="77777777" w:rsidR="005B0D8F" w:rsidRPr="00651EF4" w:rsidRDefault="005B0D8F" w:rsidP="00FC3CFD">
            <w:pPr>
              <w:pStyle w:val="Tabletext"/>
              <w:spacing w:after="60"/>
              <w:rPr>
                <w:sz w:val="18"/>
                <w:szCs w:val="18"/>
              </w:rPr>
            </w:pPr>
          </w:p>
        </w:tc>
      </w:tr>
      <w:tr w:rsidR="00666BB6" w:rsidRPr="00B978CC" w14:paraId="3047056D" w14:textId="79B4CF78" w:rsidTr="00FF2543">
        <w:trPr>
          <w:trHeight w:val="334"/>
        </w:trPr>
        <w:tc>
          <w:tcPr>
            <w:tcW w:w="712" w:type="pct"/>
          </w:tcPr>
          <w:p w14:paraId="2C563AA1" w14:textId="77777777" w:rsidR="00666BB6" w:rsidRPr="00BC1879" w:rsidRDefault="00666BB6" w:rsidP="00FC3CFD">
            <w:pPr>
              <w:pStyle w:val="Tabletext"/>
              <w:spacing w:after="60"/>
              <w:rPr>
                <w:rFonts w:asciiTheme="majorHAnsi" w:hAnsiTheme="majorHAnsi" w:cstheme="majorHAnsi"/>
                <w:b/>
                <w:sz w:val="18"/>
                <w:szCs w:val="18"/>
              </w:rPr>
            </w:pPr>
            <w:r w:rsidRPr="00BC1879">
              <w:rPr>
                <w:rFonts w:asciiTheme="majorHAnsi" w:hAnsiTheme="majorHAnsi" w:cstheme="majorHAnsi"/>
                <w:b/>
                <w:sz w:val="18"/>
                <w:szCs w:val="18"/>
              </w:rPr>
              <w:t>Awareness</w:t>
            </w:r>
          </w:p>
        </w:tc>
        <w:tc>
          <w:tcPr>
            <w:tcW w:w="3276" w:type="pct"/>
          </w:tcPr>
          <w:p w14:paraId="0313F913" w14:textId="5270DD4C" w:rsidR="00666BB6" w:rsidRPr="00B978CC" w:rsidRDefault="00666BB6" w:rsidP="00FC3CFD">
            <w:pPr>
              <w:pStyle w:val="Tabletext"/>
              <w:spacing w:after="60"/>
              <w:rPr>
                <w:sz w:val="18"/>
                <w:szCs w:val="18"/>
              </w:rPr>
            </w:pPr>
            <w:r w:rsidRPr="00B978CC">
              <w:rPr>
                <w:sz w:val="18"/>
                <w:szCs w:val="18"/>
              </w:rPr>
              <w:t xml:space="preserve">To what extent are key referral sources and Program partners aware of, and understand, the </w:t>
            </w:r>
            <w:r w:rsidR="004C6F8B">
              <w:rPr>
                <w:sz w:val="18"/>
                <w:szCs w:val="18"/>
              </w:rPr>
              <w:t>Program</w:t>
            </w:r>
            <w:r w:rsidRPr="00B978CC">
              <w:rPr>
                <w:sz w:val="18"/>
                <w:szCs w:val="18"/>
              </w:rPr>
              <w:t>, its purpose and the target resident cohort?</w:t>
            </w:r>
          </w:p>
        </w:tc>
        <w:tc>
          <w:tcPr>
            <w:tcW w:w="1012" w:type="pct"/>
          </w:tcPr>
          <w:p w14:paraId="28882189" w14:textId="2B7FD772" w:rsidR="00666BB6" w:rsidRPr="00B978CC" w:rsidRDefault="00651EF4" w:rsidP="00FC3CFD">
            <w:pPr>
              <w:pStyle w:val="Tabletext"/>
              <w:spacing w:after="60"/>
              <w:rPr>
                <w:sz w:val="18"/>
                <w:szCs w:val="18"/>
              </w:rPr>
            </w:pPr>
            <w:r w:rsidRPr="00651EF4">
              <w:rPr>
                <w:sz w:val="18"/>
                <w:szCs w:val="18"/>
              </w:rPr>
              <w:t xml:space="preserve">Section </w:t>
            </w:r>
            <w:r w:rsidR="006E6BBB">
              <w:rPr>
                <w:sz w:val="18"/>
                <w:szCs w:val="18"/>
                <w:highlight w:val="yellow"/>
              </w:rPr>
              <w:fldChar w:fldCharType="begin"/>
            </w:r>
            <w:r w:rsidR="006E6BBB">
              <w:rPr>
                <w:sz w:val="18"/>
                <w:szCs w:val="18"/>
              </w:rPr>
              <w:instrText xml:space="preserve"> REF _Ref123914210 \r \h </w:instrText>
            </w:r>
            <w:r w:rsidR="00BC1879">
              <w:rPr>
                <w:sz w:val="18"/>
                <w:szCs w:val="18"/>
                <w:highlight w:val="yellow"/>
              </w:rPr>
              <w:instrText xml:space="preserve"> \* MERGEFORMAT </w:instrText>
            </w:r>
            <w:r w:rsidR="006E6BBB">
              <w:rPr>
                <w:sz w:val="18"/>
                <w:szCs w:val="18"/>
                <w:highlight w:val="yellow"/>
              </w:rPr>
            </w:r>
            <w:r w:rsidR="006E6BBB">
              <w:rPr>
                <w:sz w:val="18"/>
                <w:szCs w:val="18"/>
                <w:highlight w:val="yellow"/>
              </w:rPr>
              <w:fldChar w:fldCharType="separate"/>
            </w:r>
            <w:r w:rsidR="00D32536">
              <w:rPr>
                <w:sz w:val="18"/>
                <w:szCs w:val="18"/>
              </w:rPr>
              <w:t>2.1</w:t>
            </w:r>
            <w:r w:rsidR="006E6BBB">
              <w:rPr>
                <w:sz w:val="18"/>
                <w:szCs w:val="18"/>
                <w:highlight w:val="yellow"/>
              </w:rPr>
              <w:fldChar w:fldCharType="end"/>
            </w:r>
          </w:p>
        </w:tc>
      </w:tr>
      <w:tr w:rsidR="00666BB6" w:rsidRPr="00B978CC" w14:paraId="25226DBE" w14:textId="3C52E57A" w:rsidTr="00143D0C">
        <w:trPr>
          <w:trHeight w:val="284"/>
        </w:trPr>
        <w:tc>
          <w:tcPr>
            <w:tcW w:w="712" w:type="pct"/>
            <w:tcBorders>
              <w:bottom w:val="single" w:sz="4" w:space="0" w:color="000000" w:themeColor="text1"/>
            </w:tcBorders>
          </w:tcPr>
          <w:p w14:paraId="2FA7F0EE" w14:textId="77777777" w:rsidR="00666BB6" w:rsidRPr="00BC1879" w:rsidRDefault="00666BB6" w:rsidP="00FC3CFD">
            <w:pPr>
              <w:pStyle w:val="Tabletext"/>
              <w:spacing w:after="60"/>
              <w:rPr>
                <w:rFonts w:asciiTheme="majorHAnsi" w:hAnsiTheme="majorHAnsi" w:cstheme="majorHAnsi"/>
                <w:b/>
                <w:sz w:val="18"/>
                <w:szCs w:val="18"/>
              </w:rPr>
            </w:pPr>
            <w:r w:rsidRPr="00BC1879">
              <w:rPr>
                <w:rFonts w:asciiTheme="majorHAnsi" w:hAnsiTheme="majorHAnsi" w:cstheme="majorHAnsi"/>
                <w:b/>
                <w:sz w:val="18"/>
                <w:szCs w:val="18"/>
              </w:rPr>
              <w:t>Adoption</w:t>
            </w:r>
          </w:p>
        </w:tc>
        <w:tc>
          <w:tcPr>
            <w:tcW w:w="3276" w:type="pct"/>
          </w:tcPr>
          <w:p w14:paraId="58D2AC22" w14:textId="4EE69043" w:rsidR="00666BB6" w:rsidRPr="00B978CC" w:rsidRDefault="00666BB6" w:rsidP="00FC3CFD">
            <w:pPr>
              <w:pStyle w:val="Tabletext"/>
              <w:spacing w:after="60"/>
              <w:rPr>
                <w:sz w:val="18"/>
                <w:szCs w:val="18"/>
              </w:rPr>
            </w:pPr>
            <w:r w:rsidRPr="00B978CC">
              <w:rPr>
                <w:sz w:val="18"/>
                <w:szCs w:val="18"/>
              </w:rPr>
              <w:t xml:space="preserve">What has been the reach and frequency of referrals to the </w:t>
            </w:r>
            <w:r w:rsidR="004C6F8B">
              <w:rPr>
                <w:sz w:val="18"/>
                <w:szCs w:val="18"/>
              </w:rPr>
              <w:t>Program</w:t>
            </w:r>
            <w:r w:rsidRPr="00B978CC">
              <w:rPr>
                <w:sz w:val="18"/>
                <w:szCs w:val="18"/>
              </w:rPr>
              <w:t>?</w:t>
            </w:r>
          </w:p>
        </w:tc>
        <w:tc>
          <w:tcPr>
            <w:tcW w:w="1012" w:type="pct"/>
          </w:tcPr>
          <w:p w14:paraId="533A4F56" w14:textId="57D059B1" w:rsidR="00666BB6" w:rsidRPr="00B978CC" w:rsidRDefault="00651EF4" w:rsidP="00FC3CFD">
            <w:pPr>
              <w:pStyle w:val="Tabletext"/>
              <w:spacing w:after="60"/>
              <w:rPr>
                <w:sz w:val="18"/>
                <w:szCs w:val="18"/>
              </w:rPr>
            </w:pPr>
            <w:r w:rsidRPr="00651EF4">
              <w:rPr>
                <w:sz w:val="18"/>
                <w:szCs w:val="18"/>
              </w:rPr>
              <w:t xml:space="preserve">Section </w:t>
            </w:r>
            <w:r w:rsidR="006E6BBB">
              <w:rPr>
                <w:sz w:val="18"/>
                <w:szCs w:val="18"/>
              </w:rPr>
              <w:fldChar w:fldCharType="begin"/>
            </w:r>
            <w:r w:rsidR="006E6BBB">
              <w:rPr>
                <w:sz w:val="18"/>
                <w:szCs w:val="18"/>
              </w:rPr>
              <w:instrText xml:space="preserve"> REF _Ref124148594 \r \h </w:instrText>
            </w:r>
            <w:r w:rsidR="00BC1879">
              <w:rPr>
                <w:sz w:val="18"/>
                <w:szCs w:val="18"/>
              </w:rPr>
              <w:instrText xml:space="preserve"> \* MERGEFORMAT </w:instrText>
            </w:r>
            <w:r w:rsidR="006E6BBB">
              <w:rPr>
                <w:sz w:val="18"/>
                <w:szCs w:val="18"/>
              </w:rPr>
            </w:r>
            <w:r w:rsidR="006E6BBB">
              <w:rPr>
                <w:sz w:val="18"/>
                <w:szCs w:val="18"/>
              </w:rPr>
              <w:fldChar w:fldCharType="separate"/>
            </w:r>
            <w:r w:rsidR="00D32536">
              <w:rPr>
                <w:sz w:val="18"/>
                <w:szCs w:val="18"/>
              </w:rPr>
              <w:t>2.2</w:t>
            </w:r>
            <w:r w:rsidR="006E6BBB">
              <w:rPr>
                <w:sz w:val="18"/>
                <w:szCs w:val="18"/>
              </w:rPr>
              <w:fldChar w:fldCharType="end"/>
            </w:r>
          </w:p>
        </w:tc>
      </w:tr>
      <w:tr w:rsidR="00B70246" w:rsidRPr="00B978CC" w14:paraId="0B3CF964" w14:textId="55DFE935" w:rsidTr="00143D0C">
        <w:trPr>
          <w:trHeight w:val="334"/>
        </w:trPr>
        <w:tc>
          <w:tcPr>
            <w:tcW w:w="712" w:type="pct"/>
            <w:tcBorders>
              <w:top w:val="single" w:sz="4" w:space="0" w:color="000000" w:themeColor="text1"/>
              <w:bottom w:val="nil"/>
            </w:tcBorders>
          </w:tcPr>
          <w:p w14:paraId="34D8E040" w14:textId="77777777" w:rsidR="00B70246" w:rsidRPr="00BC1879" w:rsidRDefault="00B70246" w:rsidP="00FC3CFD">
            <w:pPr>
              <w:pStyle w:val="Tabletext"/>
              <w:spacing w:after="60"/>
              <w:rPr>
                <w:rFonts w:asciiTheme="majorHAnsi" w:hAnsiTheme="majorHAnsi" w:cstheme="majorHAnsi"/>
                <w:b/>
                <w:sz w:val="18"/>
                <w:szCs w:val="18"/>
              </w:rPr>
            </w:pPr>
            <w:r w:rsidRPr="00BC1879">
              <w:rPr>
                <w:rFonts w:asciiTheme="majorHAnsi" w:hAnsiTheme="majorHAnsi" w:cstheme="majorHAnsi"/>
                <w:b/>
                <w:sz w:val="18"/>
                <w:szCs w:val="18"/>
              </w:rPr>
              <w:t>Appropriateness</w:t>
            </w:r>
          </w:p>
        </w:tc>
        <w:tc>
          <w:tcPr>
            <w:tcW w:w="3276" w:type="pct"/>
          </w:tcPr>
          <w:p w14:paraId="2B1622AC" w14:textId="0B575547" w:rsidR="00B70246" w:rsidRPr="00B978CC" w:rsidRDefault="00B70246" w:rsidP="00B70246">
            <w:pPr>
              <w:pStyle w:val="Tabletext"/>
              <w:spacing w:after="60"/>
              <w:rPr>
                <w:sz w:val="18"/>
                <w:szCs w:val="18"/>
              </w:rPr>
            </w:pPr>
            <w:r w:rsidRPr="00B978CC">
              <w:rPr>
                <w:sz w:val="18"/>
                <w:szCs w:val="18"/>
              </w:rPr>
              <w:t>Are staff members competent and confident in their ability to provide specialist care for residents with BPSD?</w:t>
            </w:r>
          </w:p>
        </w:tc>
        <w:tc>
          <w:tcPr>
            <w:tcW w:w="1012" w:type="pct"/>
          </w:tcPr>
          <w:p w14:paraId="0A028A19" w14:textId="7BBFD9B0" w:rsidR="00B70246" w:rsidRPr="00B978CC" w:rsidRDefault="00651EF4" w:rsidP="00FC3CFD">
            <w:pPr>
              <w:pStyle w:val="Tabletext"/>
              <w:spacing w:after="60"/>
              <w:rPr>
                <w:sz w:val="18"/>
                <w:szCs w:val="18"/>
              </w:rPr>
            </w:pPr>
            <w:r w:rsidRPr="00651EF4">
              <w:rPr>
                <w:sz w:val="18"/>
                <w:szCs w:val="18"/>
              </w:rPr>
              <w:t xml:space="preserve">Section </w:t>
            </w:r>
            <w:r w:rsidR="00B70246">
              <w:rPr>
                <w:sz w:val="18"/>
                <w:szCs w:val="18"/>
              </w:rPr>
              <w:fldChar w:fldCharType="begin"/>
            </w:r>
            <w:r w:rsidR="00B70246">
              <w:rPr>
                <w:sz w:val="18"/>
                <w:szCs w:val="18"/>
              </w:rPr>
              <w:instrText xml:space="preserve"> REF _Ref122254502 \r \h </w:instrText>
            </w:r>
            <w:r w:rsidR="00BC1879">
              <w:rPr>
                <w:sz w:val="18"/>
                <w:szCs w:val="18"/>
              </w:rPr>
              <w:instrText xml:space="preserve"> \* MERGEFORMAT </w:instrText>
            </w:r>
            <w:r w:rsidR="00B70246">
              <w:rPr>
                <w:sz w:val="18"/>
                <w:szCs w:val="18"/>
              </w:rPr>
            </w:r>
            <w:r w:rsidR="00B70246">
              <w:rPr>
                <w:sz w:val="18"/>
                <w:szCs w:val="18"/>
              </w:rPr>
              <w:fldChar w:fldCharType="separate"/>
            </w:r>
            <w:r w:rsidR="00D32536">
              <w:rPr>
                <w:sz w:val="18"/>
                <w:szCs w:val="18"/>
              </w:rPr>
              <w:t>3.2</w:t>
            </w:r>
            <w:r w:rsidR="00B70246">
              <w:rPr>
                <w:sz w:val="18"/>
                <w:szCs w:val="18"/>
              </w:rPr>
              <w:fldChar w:fldCharType="end"/>
            </w:r>
          </w:p>
        </w:tc>
      </w:tr>
      <w:tr w:rsidR="00B70246" w:rsidRPr="00B978CC" w14:paraId="0FCFCF2E" w14:textId="77777777" w:rsidTr="00143D0C">
        <w:trPr>
          <w:trHeight w:val="334"/>
        </w:trPr>
        <w:tc>
          <w:tcPr>
            <w:tcW w:w="712" w:type="pct"/>
            <w:tcBorders>
              <w:top w:val="nil"/>
              <w:bottom w:val="nil"/>
            </w:tcBorders>
          </w:tcPr>
          <w:p w14:paraId="7C86276F" w14:textId="77777777" w:rsidR="00B70246" w:rsidRPr="00BC1879" w:rsidRDefault="00B70246" w:rsidP="00FC3CFD">
            <w:pPr>
              <w:pStyle w:val="Tabletext"/>
              <w:spacing w:after="60"/>
              <w:rPr>
                <w:rFonts w:asciiTheme="majorHAnsi" w:hAnsiTheme="majorHAnsi" w:cstheme="majorHAnsi"/>
                <w:b/>
                <w:sz w:val="18"/>
                <w:szCs w:val="18"/>
              </w:rPr>
            </w:pPr>
          </w:p>
        </w:tc>
        <w:tc>
          <w:tcPr>
            <w:tcW w:w="3276" w:type="pct"/>
          </w:tcPr>
          <w:p w14:paraId="41A3CD3A" w14:textId="2ED584E9" w:rsidR="00B70246" w:rsidRPr="00B978CC" w:rsidRDefault="00B70246" w:rsidP="00FC3CFD">
            <w:pPr>
              <w:pStyle w:val="Tabletext"/>
              <w:spacing w:after="60"/>
              <w:rPr>
                <w:sz w:val="18"/>
                <w:szCs w:val="18"/>
              </w:rPr>
            </w:pPr>
            <w:r w:rsidRPr="00B978CC">
              <w:rPr>
                <w:sz w:val="18"/>
                <w:szCs w:val="18"/>
              </w:rPr>
              <w:t xml:space="preserve">Is each </w:t>
            </w:r>
            <w:r w:rsidR="0013150D">
              <w:rPr>
                <w:sz w:val="18"/>
                <w:szCs w:val="18"/>
              </w:rPr>
              <w:t>SDCU</w:t>
            </w:r>
            <w:r w:rsidRPr="00B978CC">
              <w:rPr>
                <w:sz w:val="18"/>
                <w:szCs w:val="18"/>
              </w:rPr>
              <w:t xml:space="preserve"> sufficient resourced to provide optimal care for people with BPSD?</w:t>
            </w:r>
          </w:p>
        </w:tc>
        <w:tc>
          <w:tcPr>
            <w:tcW w:w="1012" w:type="pct"/>
          </w:tcPr>
          <w:p w14:paraId="4405064F" w14:textId="022C1236" w:rsidR="00B70246" w:rsidRPr="00B978CC" w:rsidRDefault="00651EF4" w:rsidP="00FC3CFD">
            <w:pPr>
              <w:pStyle w:val="Tabletext"/>
              <w:spacing w:after="60"/>
              <w:rPr>
                <w:sz w:val="18"/>
                <w:szCs w:val="18"/>
              </w:rPr>
            </w:pPr>
            <w:r w:rsidRPr="00651EF4">
              <w:rPr>
                <w:sz w:val="18"/>
                <w:szCs w:val="18"/>
              </w:rPr>
              <w:t xml:space="preserve">Section </w:t>
            </w:r>
            <w:r w:rsidR="00B70246">
              <w:rPr>
                <w:sz w:val="18"/>
                <w:szCs w:val="18"/>
              </w:rPr>
              <w:fldChar w:fldCharType="begin"/>
            </w:r>
            <w:r w:rsidR="00B70246">
              <w:rPr>
                <w:sz w:val="18"/>
                <w:szCs w:val="18"/>
              </w:rPr>
              <w:instrText xml:space="preserve"> REF _Ref123897179 \r \h </w:instrText>
            </w:r>
            <w:r w:rsidR="00BC1879">
              <w:rPr>
                <w:sz w:val="18"/>
                <w:szCs w:val="18"/>
              </w:rPr>
              <w:instrText xml:space="preserve"> \* MERGEFORMAT </w:instrText>
            </w:r>
            <w:r w:rsidR="00B70246">
              <w:rPr>
                <w:sz w:val="18"/>
                <w:szCs w:val="18"/>
              </w:rPr>
            </w:r>
            <w:r w:rsidR="00B70246">
              <w:rPr>
                <w:sz w:val="18"/>
                <w:szCs w:val="18"/>
              </w:rPr>
              <w:fldChar w:fldCharType="separate"/>
            </w:r>
            <w:r w:rsidR="00D32536">
              <w:rPr>
                <w:sz w:val="18"/>
                <w:szCs w:val="18"/>
              </w:rPr>
              <w:t>3.1</w:t>
            </w:r>
            <w:r w:rsidR="00B70246">
              <w:rPr>
                <w:sz w:val="18"/>
                <w:szCs w:val="18"/>
              </w:rPr>
              <w:fldChar w:fldCharType="end"/>
            </w:r>
          </w:p>
        </w:tc>
      </w:tr>
      <w:tr w:rsidR="00B70246" w:rsidRPr="00B978CC" w14:paraId="4DBF0EA4" w14:textId="77777777" w:rsidTr="00143D0C">
        <w:trPr>
          <w:trHeight w:val="334"/>
        </w:trPr>
        <w:tc>
          <w:tcPr>
            <w:tcW w:w="712" w:type="pct"/>
            <w:tcBorders>
              <w:top w:val="nil"/>
              <w:bottom w:val="nil"/>
            </w:tcBorders>
          </w:tcPr>
          <w:p w14:paraId="72E158CC" w14:textId="77777777" w:rsidR="00B70246" w:rsidRPr="00BC1879" w:rsidRDefault="00B70246" w:rsidP="00FC3CFD">
            <w:pPr>
              <w:pStyle w:val="Tabletext"/>
              <w:spacing w:after="60"/>
              <w:rPr>
                <w:rFonts w:asciiTheme="majorHAnsi" w:hAnsiTheme="majorHAnsi" w:cstheme="majorHAnsi"/>
                <w:b/>
                <w:sz w:val="18"/>
                <w:szCs w:val="18"/>
              </w:rPr>
            </w:pPr>
          </w:p>
        </w:tc>
        <w:tc>
          <w:tcPr>
            <w:tcW w:w="3276" w:type="pct"/>
          </w:tcPr>
          <w:p w14:paraId="4A187661" w14:textId="01F74529" w:rsidR="00B70246" w:rsidRPr="00B978CC" w:rsidRDefault="00B70246" w:rsidP="00FC3CFD">
            <w:pPr>
              <w:pStyle w:val="Tabletext"/>
              <w:spacing w:after="60"/>
              <w:rPr>
                <w:sz w:val="18"/>
                <w:szCs w:val="18"/>
              </w:rPr>
            </w:pPr>
            <w:r w:rsidRPr="00B978CC">
              <w:rPr>
                <w:sz w:val="18"/>
                <w:szCs w:val="18"/>
              </w:rPr>
              <w:t>Have governance processes been implemented as intended and are they effective?</w:t>
            </w:r>
          </w:p>
        </w:tc>
        <w:tc>
          <w:tcPr>
            <w:tcW w:w="1012" w:type="pct"/>
          </w:tcPr>
          <w:p w14:paraId="27825336" w14:textId="341FE5D5" w:rsidR="00B70246" w:rsidRPr="00B978CC" w:rsidRDefault="00651EF4" w:rsidP="00FC3CFD">
            <w:pPr>
              <w:pStyle w:val="Tabletext"/>
              <w:spacing w:after="60"/>
              <w:rPr>
                <w:sz w:val="18"/>
                <w:szCs w:val="18"/>
              </w:rPr>
            </w:pPr>
            <w:r w:rsidRPr="00651EF4">
              <w:rPr>
                <w:sz w:val="18"/>
                <w:szCs w:val="18"/>
              </w:rPr>
              <w:t xml:space="preserve">Section </w:t>
            </w:r>
            <w:r w:rsidR="00B70246">
              <w:rPr>
                <w:sz w:val="18"/>
                <w:szCs w:val="18"/>
              </w:rPr>
              <w:fldChar w:fldCharType="begin"/>
            </w:r>
            <w:r w:rsidR="00B70246">
              <w:rPr>
                <w:sz w:val="18"/>
                <w:szCs w:val="18"/>
              </w:rPr>
              <w:instrText xml:space="preserve"> REF _Ref123917114 \r \h </w:instrText>
            </w:r>
            <w:r w:rsidR="00BC1879">
              <w:rPr>
                <w:sz w:val="18"/>
                <w:szCs w:val="18"/>
              </w:rPr>
              <w:instrText xml:space="preserve"> \* MERGEFORMAT </w:instrText>
            </w:r>
            <w:r w:rsidR="00B70246">
              <w:rPr>
                <w:sz w:val="18"/>
                <w:szCs w:val="18"/>
              </w:rPr>
            </w:r>
            <w:r w:rsidR="00B70246">
              <w:rPr>
                <w:sz w:val="18"/>
                <w:szCs w:val="18"/>
              </w:rPr>
              <w:fldChar w:fldCharType="separate"/>
            </w:r>
            <w:r w:rsidR="00D32536">
              <w:rPr>
                <w:sz w:val="18"/>
                <w:szCs w:val="18"/>
              </w:rPr>
              <w:t>3.3</w:t>
            </w:r>
            <w:r w:rsidR="00B70246">
              <w:rPr>
                <w:sz w:val="18"/>
                <w:szCs w:val="18"/>
              </w:rPr>
              <w:fldChar w:fldCharType="end"/>
            </w:r>
          </w:p>
        </w:tc>
      </w:tr>
      <w:tr w:rsidR="00B70246" w:rsidRPr="00B978CC" w14:paraId="3EED7A5F" w14:textId="77777777" w:rsidTr="00143D0C">
        <w:trPr>
          <w:trHeight w:val="334"/>
        </w:trPr>
        <w:tc>
          <w:tcPr>
            <w:tcW w:w="712" w:type="pct"/>
            <w:tcBorders>
              <w:top w:val="nil"/>
              <w:bottom w:val="single" w:sz="4" w:space="0" w:color="000000" w:themeColor="text1"/>
            </w:tcBorders>
          </w:tcPr>
          <w:p w14:paraId="200F39F0" w14:textId="77777777" w:rsidR="00B70246" w:rsidRPr="00BC1879" w:rsidRDefault="00B70246" w:rsidP="00FC3CFD">
            <w:pPr>
              <w:pStyle w:val="Tabletext"/>
              <w:spacing w:after="60"/>
              <w:rPr>
                <w:rFonts w:asciiTheme="majorHAnsi" w:hAnsiTheme="majorHAnsi" w:cstheme="majorHAnsi"/>
                <w:b/>
                <w:sz w:val="18"/>
                <w:szCs w:val="18"/>
              </w:rPr>
            </w:pPr>
          </w:p>
        </w:tc>
        <w:tc>
          <w:tcPr>
            <w:tcW w:w="3276" w:type="pct"/>
          </w:tcPr>
          <w:p w14:paraId="032E813C" w14:textId="5C696452" w:rsidR="00B70246" w:rsidRPr="00B978CC" w:rsidRDefault="00B70246" w:rsidP="00FC3CFD">
            <w:pPr>
              <w:pStyle w:val="Tabletext"/>
              <w:spacing w:after="60"/>
              <w:rPr>
                <w:sz w:val="18"/>
                <w:szCs w:val="18"/>
              </w:rPr>
            </w:pPr>
            <w:r w:rsidRPr="00B978CC">
              <w:rPr>
                <w:sz w:val="18"/>
                <w:szCs w:val="18"/>
              </w:rPr>
              <w:t>Have the right mix of multidisciplinary clinicians been involved to enable optimal care?</w:t>
            </w:r>
          </w:p>
        </w:tc>
        <w:tc>
          <w:tcPr>
            <w:tcW w:w="1012" w:type="pct"/>
          </w:tcPr>
          <w:p w14:paraId="2A20947E" w14:textId="73849615" w:rsidR="00B70246" w:rsidRPr="00B978CC" w:rsidRDefault="00651EF4" w:rsidP="00FC3CFD">
            <w:pPr>
              <w:pStyle w:val="Tabletext"/>
              <w:spacing w:after="60"/>
              <w:rPr>
                <w:sz w:val="18"/>
                <w:szCs w:val="18"/>
              </w:rPr>
            </w:pPr>
            <w:r w:rsidRPr="00651EF4">
              <w:rPr>
                <w:sz w:val="18"/>
                <w:szCs w:val="18"/>
              </w:rPr>
              <w:t xml:space="preserve">Section </w:t>
            </w:r>
            <w:r w:rsidR="00B70246">
              <w:rPr>
                <w:sz w:val="18"/>
                <w:szCs w:val="18"/>
              </w:rPr>
              <w:fldChar w:fldCharType="begin"/>
            </w:r>
            <w:r w:rsidR="00B70246">
              <w:rPr>
                <w:sz w:val="18"/>
                <w:szCs w:val="18"/>
              </w:rPr>
              <w:instrText xml:space="preserve"> REF _Ref123897179 \r \h </w:instrText>
            </w:r>
            <w:r w:rsidR="00BC1879">
              <w:rPr>
                <w:sz w:val="18"/>
                <w:szCs w:val="18"/>
              </w:rPr>
              <w:instrText xml:space="preserve"> \* MERGEFORMAT </w:instrText>
            </w:r>
            <w:r w:rsidR="00B70246">
              <w:rPr>
                <w:sz w:val="18"/>
                <w:szCs w:val="18"/>
              </w:rPr>
            </w:r>
            <w:r w:rsidR="00B70246">
              <w:rPr>
                <w:sz w:val="18"/>
                <w:szCs w:val="18"/>
              </w:rPr>
              <w:fldChar w:fldCharType="separate"/>
            </w:r>
            <w:r w:rsidR="00D32536">
              <w:rPr>
                <w:sz w:val="18"/>
                <w:szCs w:val="18"/>
              </w:rPr>
              <w:t>3.1</w:t>
            </w:r>
            <w:r w:rsidR="00B70246">
              <w:rPr>
                <w:sz w:val="18"/>
                <w:szCs w:val="18"/>
              </w:rPr>
              <w:fldChar w:fldCharType="end"/>
            </w:r>
          </w:p>
        </w:tc>
      </w:tr>
      <w:tr w:rsidR="00B70246" w:rsidRPr="00B978CC" w14:paraId="72339888" w14:textId="6C04E26D" w:rsidTr="00143D0C">
        <w:trPr>
          <w:trHeight w:val="334"/>
        </w:trPr>
        <w:tc>
          <w:tcPr>
            <w:tcW w:w="712" w:type="pct"/>
            <w:tcBorders>
              <w:top w:val="single" w:sz="4" w:space="0" w:color="000000" w:themeColor="text1"/>
              <w:bottom w:val="nil"/>
            </w:tcBorders>
          </w:tcPr>
          <w:p w14:paraId="3D382571" w14:textId="77777777" w:rsidR="00B70246" w:rsidRPr="00BC1879" w:rsidRDefault="00B70246" w:rsidP="00FC3CFD">
            <w:pPr>
              <w:pStyle w:val="Tabletext"/>
              <w:spacing w:after="60"/>
              <w:rPr>
                <w:rFonts w:asciiTheme="majorHAnsi" w:hAnsiTheme="majorHAnsi" w:cstheme="majorHAnsi"/>
                <w:b/>
                <w:sz w:val="18"/>
                <w:szCs w:val="18"/>
              </w:rPr>
            </w:pPr>
            <w:r w:rsidRPr="00BC1879">
              <w:rPr>
                <w:rFonts w:asciiTheme="majorHAnsi" w:hAnsiTheme="majorHAnsi" w:cstheme="majorHAnsi"/>
                <w:b/>
                <w:sz w:val="18"/>
                <w:szCs w:val="18"/>
              </w:rPr>
              <w:t>Fidelity</w:t>
            </w:r>
          </w:p>
        </w:tc>
        <w:tc>
          <w:tcPr>
            <w:tcW w:w="3276" w:type="pct"/>
          </w:tcPr>
          <w:p w14:paraId="3EDAFD48" w14:textId="2B9FADC7" w:rsidR="00B70246" w:rsidRPr="00B978CC" w:rsidRDefault="00B70246" w:rsidP="00B70246">
            <w:pPr>
              <w:pStyle w:val="Tabletext"/>
              <w:spacing w:after="60"/>
              <w:rPr>
                <w:sz w:val="18"/>
                <w:szCs w:val="18"/>
              </w:rPr>
            </w:pPr>
            <w:r w:rsidRPr="00B978CC">
              <w:rPr>
                <w:sz w:val="18"/>
                <w:szCs w:val="18"/>
              </w:rPr>
              <w:t xml:space="preserve">Are resident transitions in and out of the </w:t>
            </w:r>
            <w:r w:rsidR="004C6F8B">
              <w:rPr>
                <w:sz w:val="18"/>
                <w:szCs w:val="18"/>
              </w:rPr>
              <w:t>Program</w:t>
            </w:r>
            <w:r w:rsidR="004C6F8B" w:rsidRPr="00B978CC">
              <w:rPr>
                <w:sz w:val="18"/>
                <w:szCs w:val="18"/>
              </w:rPr>
              <w:t xml:space="preserve"> </w:t>
            </w:r>
            <w:r w:rsidRPr="00B978CC">
              <w:rPr>
                <w:sz w:val="18"/>
                <w:szCs w:val="18"/>
              </w:rPr>
              <w:t>operating as intended (</w:t>
            </w:r>
            <w:r w:rsidR="005B3BAF" w:rsidRPr="00B978CC">
              <w:rPr>
                <w:sz w:val="18"/>
                <w:szCs w:val="18"/>
              </w:rPr>
              <w:t>i.e.,</w:t>
            </w:r>
            <w:r w:rsidRPr="00B978CC">
              <w:rPr>
                <w:sz w:val="18"/>
                <w:szCs w:val="18"/>
              </w:rPr>
              <w:t xml:space="preserve"> timely, coordinated, etc.)?</w:t>
            </w:r>
          </w:p>
        </w:tc>
        <w:tc>
          <w:tcPr>
            <w:tcW w:w="1012" w:type="pct"/>
          </w:tcPr>
          <w:p w14:paraId="126F6756" w14:textId="0CC3423D" w:rsidR="00B70246" w:rsidRPr="00B978CC" w:rsidRDefault="00651EF4" w:rsidP="00651EF4">
            <w:pPr>
              <w:pStyle w:val="Tabletext"/>
              <w:spacing w:after="60"/>
              <w:rPr>
                <w:sz w:val="18"/>
                <w:szCs w:val="18"/>
              </w:rPr>
            </w:pPr>
            <w:r w:rsidRPr="00651EF4">
              <w:rPr>
                <w:sz w:val="18"/>
                <w:szCs w:val="18"/>
              </w:rPr>
              <w:t xml:space="preserve">Section </w:t>
            </w:r>
            <w:r w:rsidR="00B70246">
              <w:rPr>
                <w:sz w:val="18"/>
                <w:szCs w:val="18"/>
              </w:rPr>
              <w:fldChar w:fldCharType="begin"/>
            </w:r>
            <w:r w:rsidR="00B70246">
              <w:rPr>
                <w:sz w:val="18"/>
                <w:szCs w:val="18"/>
              </w:rPr>
              <w:instrText xml:space="preserve"> REF _Ref124176048 \r \h </w:instrText>
            </w:r>
            <w:r w:rsidR="00BC1879">
              <w:rPr>
                <w:sz w:val="18"/>
                <w:szCs w:val="18"/>
              </w:rPr>
              <w:instrText xml:space="preserve"> \* MERGEFORMAT </w:instrText>
            </w:r>
            <w:r w:rsidR="00B70246">
              <w:rPr>
                <w:sz w:val="18"/>
                <w:szCs w:val="18"/>
              </w:rPr>
            </w:r>
            <w:r w:rsidR="00B70246">
              <w:rPr>
                <w:sz w:val="18"/>
                <w:szCs w:val="18"/>
              </w:rPr>
              <w:fldChar w:fldCharType="separate"/>
            </w:r>
            <w:r w:rsidR="00D32536">
              <w:rPr>
                <w:sz w:val="18"/>
                <w:szCs w:val="18"/>
              </w:rPr>
              <w:t>2.3</w:t>
            </w:r>
            <w:r w:rsidR="00B70246">
              <w:rPr>
                <w:sz w:val="18"/>
                <w:szCs w:val="18"/>
              </w:rPr>
              <w:fldChar w:fldCharType="end"/>
            </w:r>
            <w:r w:rsidR="00B70246">
              <w:rPr>
                <w:sz w:val="18"/>
                <w:szCs w:val="18"/>
              </w:rPr>
              <w:t xml:space="preserve"> (Transitions in)</w:t>
            </w:r>
            <w:r>
              <w:rPr>
                <w:sz w:val="18"/>
                <w:szCs w:val="18"/>
              </w:rPr>
              <w:t xml:space="preserve"> and </w:t>
            </w:r>
            <w:r w:rsidRPr="00651EF4">
              <w:rPr>
                <w:sz w:val="18"/>
                <w:szCs w:val="18"/>
              </w:rPr>
              <w:t>Section</w:t>
            </w:r>
            <w:r>
              <w:rPr>
                <w:sz w:val="18"/>
                <w:szCs w:val="18"/>
              </w:rPr>
              <w:t xml:space="preserve"> </w:t>
            </w:r>
            <w:r w:rsidR="00B70246">
              <w:rPr>
                <w:sz w:val="18"/>
                <w:szCs w:val="18"/>
              </w:rPr>
              <w:fldChar w:fldCharType="begin"/>
            </w:r>
            <w:r w:rsidR="00B70246">
              <w:rPr>
                <w:sz w:val="18"/>
                <w:szCs w:val="18"/>
              </w:rPr>
              <w:instrText xml:space="preserve"> REF _Ref123907438 \r \h </w:instrText>
            </w:r>
            <w:r w:rsidR="00BC1879">
              <w:rPr>
                <w:sz w:val="18"/>
                <w:szCs w:val="18"/>
              </w:rPr>
              <w:instrText xml:space="preserve"> \* MERGEFORMAT </w:instrText>
            </w:r>
            <w:r w:rsidR="00B70246">
              <w:rPr>
                <w:sz w:val="18"/>
                <w:szCs w:val="18"/>
              </w:rPr>
            </w:r>
            <w:r w:rsidR="00B70246">
              <w:rPr>
                <w:sz w:val="18"/>
                <w:szCs w:val="18"/>
              </w:rPr>
              <w:fldChar w:fldCharType="separate"/>
            </w:r>
            <w:r w:rsidR="00D32536">
              <w:rPr>
                <w:sz w:val="18"/>
                <w:szCs w:val="18"/>
              </w:rPr>
              <w:t>4.1</w:t>
            </w:r>
            <w:r w:rsidR="00B70246">
              <w:rPr>
                <w:sz w:val="18"/>
                <w:szCs w:val="18"/>
              </w:rPr>
              <w:fldChar w:fldCharType="end"/>
            </w:r>
            <w:r w:rsidR="00B70246">
              <w:rPr>
                <w:sz w:val="18"/>
                <w:szCs w:val="18"/>
              </w:rPr>
              <w:t xml:space="preserve"> (Transitions out)</w:t>
            </w:r>
          </w:p>
        </w:tc>
      </w:tr>
      <w:tr w:rsidR="00B70246" w:rsidRPr="00B978CC" w14:paraId="60CF3DBF" w14:textId="77777777" w:rsidTr="00143D0C">
        <w:trPr>
          <w:trHeight w:val="334"/>
        </w:trPr>
        <w:tc>
          <w:tcPr>
            <w:tcW w:w="712" w:type="pct"/>
            <w:tcBorders>
              <w:top w:val="nil"/>
              <w:bottom w:val="nil"/>
            </w:tcBorders>
          </w:tcPr>
          <w:p w14:paraId="6A6C3EBD" w14:textId="77777777" w:rsidR="00B70246" w:rsidRPr="00BC1879" w:rsidRDefault="00B70246" w:rsidP="00FC3CFD">
            <w:pPr>
              <w:pStyle w:val="Tabletext"/>
              <w:spacing w:after="60"/>
              <w:rPr>
                <w:rFonts w:asciiTheme="majorHAnsi" w:hAnsiTheme="majorHAnsi" w:cstheme="majorHAnsi"/>
                <w:b/>
                <w:sz w:val="18"/>
                <w:szCs w:val="18"/>
              </w:rPr>
            </w:pPr>
          </w:p>
        </w:tc>
        <w:tc>
          <w:tcPr>
            <w:tcW w:w="3276" w:type="pct"/>
          </w:tcPr>
          <w:p w14:paraId="55AFD065" w14:textId="65D61989" w:rsidR="00B70246" w:rsidRPr="00B978CC" w:rsidRDefault="00B70246" w:rsidP="00FC3CFD">
            <w:pPr>
              <w:pStyle w:val="Tabletext"/>
              <w:spacing w:after="60"/>
              <w:rPr>
                <w:sz w:val="18"/>
                <w:szCs w:val="18"/>
              </w:rPr>
            </w:pPr>
            <w:r w:rsidRPr="00B978CC">
              <w:rPr>
                <w:sz w:val="18"/>
                <w:szCs w:val="18"/>
              </w:rPr>
              <w:t>Are the right policies and processes in place to enable staff to incorporate resident perspectives in decision-making?</w:t>
            </w:r>
          </w:p>
        </w:tc>
        <w:tc>
          <w:tcPr>
            <w:tcW w:w="1012" w:type="pct"/>
          </w:tcPr>
          <w:p w14:paraId="54DA9692" w14:textId="1D65B09A" w:rsidR="00B70246" w:rsidRPr="00B978CC" w:rsidRDefault="00651EF4" w:rsidP="00FC3CFD">
            <w:pPr>
              <w:pStyle w:val="Tabletext"/>
              <w:spacing w:after="60"/>
              <w:rPr>
                <w:sz w:val="18"/>
                <w:szCs w:val="18"/>
              </w:rPr>
            </w:pPr>
            <w:r w:rsidRPr="00651EF4">
              <w:rPr>
                <w:sz w:val="18"/>
                <w:szCs w:val="18"/>
              </w:rPr>
              <w:t xml:space="preserve">Section </w:t>
            </w:r>
            <w:r w:rsidR="00B70246">
              <w:rPr>
                <w:sz w:val="18"/>
                <w:szCs w:val="18"/>
              </w:rPr>
              <w:fldChar w:fldCharType="begin"/>
            </w:r>
            <w:r w:rsidR="00B70246">
              <w:rPr>
                <w:sz w:val="18"/>
                <w:szCs w:val="18"/>
              </w:rPr>
              <w:instrText xml:space="preserve"> REF _Ref122254502 \r \h </w:instrText>
            </w:r>
            <w:r w:rsidR="00BC1879">
              <w:rPr>
                <w:sz w:val="18"/>
                <w:szCs w:val="18"/>
              </w:rPr>
              <w:instrText xml:space="preserve"> \* MERGEFORMAT </w:instrText>
            </w:r>
            <w:r w:rsidR="00B70246">
              <w:rPr>
                <w:sz w:val="18"/>
                <w:szCs w:val="18"/>
              </w:rPr>
            </w:r>
            <w:r w:rsidR="00B70246">
              <w:rPr>
                <w:sz w:val="18"/>
                <w:szCs w:val="18"/>
              </w:rPr>
              <w:fldChar w:fldCharType="separate"/>
            </w:r>
            <w:r w:rsidR="00D32536">
              <w:rPr>
                <w:sz w:val="18"/>
                <w:szCs w:val="18"/>
              </w:rPr>
              <w:t>3.2</w:t>
            </w:r>
            <w:r w:rsidR="00B70246">
              <w:rPr>
                <w:sz w:val="18"/>
                <w:szCs w:val="18"/>
              </w:rPr>
              <w:fldChar w:fldCharType="end"/>
            </w:r>
          </w:p>
        </w:tc>
      </w:tr>
      <w:tr w:rsidR="00B70246" w:rsidRPr="00B978CC" w14:paraId="646A72AE" w14:textId="77777777" w:rsidTr="00143D0C">
        <w:trPr>
          <w:trHeight w:val="334"/>
        </w:trPr>
        <w:tc>
          <w:tcPr>
            <w:tcW w:w="712" w:type="pct"/>
            <w:tcBorders>
              <w:top w:val="nil"/>
            </w:tcBorders>
          </w:tcPr>
          <w:p w14:paraId="026062AC" w14:textId="77777777" w:rsidR="00B70246" w:rsidRPr="00BC1879" w:rsidRDefault="00B70246" w:rsidP="00FC3CFD">
            <w:pPr>
              <w:pStyle w:val="Tabletext"/>
              <w:spacing w:after="60"/>
              <w:rPr>
                <w:rFonts w:asciiTheme="majorHAnsi" w:hAnsiTheme="majorHAnsi" w:cstheme="majorHAnsi"/>
                <w:b/>
                <w:sz w:val="18"/>
                <w:szCs w:val="18"/>
              </w:rPr>
            </w:pPr>
          </w:p>
        </w:tc>
        <w:tc>
          <w:tcPr>
            <w:tcW w:w="3276" w:type="pct"/>
          </w:tcPr>
          <w:p w14:paraId="46B61383" w14:textId="27DA6A76" w:rsidR="00B70246" w:rsidRPr="00B978CC" w:rsidRDefault="00B70246" w:rsidP="00FC3CFD">
            <w:pPr>
              <w:pStyle w:val="Tabletext"/>
              <w:spacing w:after="60"/>
              <w:rPr>
                <w:sz w:val="18"/>
                <w:szCs w:val="18"/>
              </w:rPr>
            </w:pPr>
            <w:r w:rsidRPr="00B978CC">
              <w:rPr>
                <w:sz w:val="18"/>
                <w:szCs w:val="18"/>
              </w:rPr>
              <w:t>To what extent have person-</w:t>
            </w:r>
            <w:r w:rsidR="009755E9" w:rsidRPr="00B978CC">
              <w:rPr>
                <w:sz w:val="18"/>
                <w:szCs w:val="18"/>
              </w:rPr>
              <w:t>centered</w:t>
            </w:r>
            <w:r w:rsidRPr="00B978CC">
              <w:rPr>
                <w:sz w:val="18"/>
                <w:szCs w:val="18"/>
              </w:rPr>
              <w:t xml:space="preserve"> care practices (</w:t>
            </w:r>
            <w:r w:rsidR="005B3BAF" w:rsidRPr="00B978CC">
              <w:rPr>
                <w:sz w:val="18"/>
                <w:szCs w:val="18"/>
              </w:rPr>
              <w:t>i.e.,</w:t>
            </w:r>
            <w:r w:rsidRPr="00B978CC">
              <w:rPr>
                <w:sz w:val="18"/>
                <w:szCs w:val="18"/>
              </w:rPr>
              <w:t xml:space="preserve"> respectful care, individuali</w:t>
            </w:r>
            <w:r>
              <w:rPr>
                <w:sz w:val="18"/>
                <w:szCs w:val="18"/>
              </w:rPr>
              <w:t>s</w:t>
            </w:r>
            <w:r w:rsidRPr="00B978CC">
              <w:rPr>
                <w:sz w:val="18"/>
                <w:szCs w:val="18"/>
              </w:rPr>
              <w:t>ed care, strengths-based care, etc.) been delivered?</w:t>
            </w:r>
          </w:p>
        </w:tc>
        <w:tc>
          <w:tcPr>
            <w:tcW w:w="1012" w:type="pct"/>
          </w:tcPr>
          <w:p w14:paraId="521756D1" w14:textId="4047C691" w:rsidR="00B70246" w:rsidRPr="00B978CC" w:rsidRDefault="00651EF4" w:rsidP="00FC3CFD">
            <w:pPr>
              <w:pStyle w:val="Tabletext"/>
              <w:spacing w:after="60"/>
              <w:rPr>
                <w:sz w:val="18"/>
                <w:szCs w:val="18"/>
              </w:rPr>
            </w:pPr>
            <w:r w:rsidRPr="00651EF4">
              <w:rPr>
                <w:sz w:val="18"/>
                <w:szCs w:val="18"/>
              </w:rPr>
              <w:t xml:space="preserve">Section </w:t>
            </w:r>
            <w:r w:rsidR="00B70246">
              <w:rPr>
                <w:sz w:val="18"/>
                <w:szCs w:val="18"/>
              </w:rPr>
              <w:fldChar w:fldCharType="begin"/>
            </w:r>
            <w:r w:rsidR="00B70246">
              <w:rPr>
                <w:sz w:val="18"/>
                <w:szCs w:val="18"/>
              </w:rPr>
              <w:instrText xml:space="preserve"> REF _Ref122254502 \r \h </w:instrText>
            </w:r>
            <w:r w:rsidR="00BC1879">
              <w:rPr>
                <w:sz w:val="18"/>
                <w:szCs w:val="18"/>
              </w:rPr>
              <w:instrText xml:space="preserve"> \* MERGEFORMAT </w:instrText>
            </w:r>
            <w:r w:rsidR="00B70246">
              <w:rPr>
                <w:sz w:val="18"/>
                <w:szCs w:val="18"/>
              </w:rPr>
            </w:r>
            <w:r w:rsidR="00B70246">
              <w:rPr>
                <w:sz w:val="18"/>
                <w:szCs w:val="18"/>
              </w:rPr>
              <w:fldChar w:fldCharType="separate"/>
            </w:r>
            <w:r w:rsidR="00D32536">
              <w:rPr>
                <w:sz w:val="18"/>
                <w:szCs w:val="18"/>
              </w:rPr>
              <w:t>3.2</w:t>
            </w:r>
            <w:r w:rsidR="00B70246">
              <w:rPr>
                <w:sz w:val="18"/>
                <w:szCs w:val="18"/>
              </w:rPr>
              <w:fldChar w:fldCharType="end"/>
            </w:r>
          </w:p>
        </w:tc>
      </w:tr>
      <w:tr w:rsidR="00666BB6" w:rsidRPr="00B978CC" w14:paraId="7D6B73CE" w14:textId="6B86FF78" w:rsidTr="00FF2543">
        <w:trPr>
          <w:trHeight w:val="334"/>
        </w:trPr>
        <w:tc>
          <w:tcPr>
            <w:tcW w:w="712" w:type="pct"/>
          </w:tcPr>
          <w:p w14:paraId="406F9065" w14:textId="77777777" w:rsidR="00666BB6" w:rsidRPr="00BC1879" w:rsidRDefault="00666BB6" w:rsidP="00FC3CFD">
            <w:pPr>
              <w:pStyle w:val="Tabletext"/>
              <w:spacing w:after="60"/>
              <w:rPr>
                <w:rFonts w:asciiTheme="majorHAnsi" w:hAnsiTheme="majorHAnsi" w:cstheme="majorHAnsi"/>
                <w:b/>
                <w:sz w:val="18"/>
                <w:szCs w:val="18"/>
              </w:rPr>
            </w:pPr>
            <w:r w:rsidRPr="00BC1879">
              <w:rPr>
                <w:rFonts w:asciiTheme="majorHAnsi" w:hAnsiTheme="majorHAnsi" w:cstheme="majorHAnsi"/>
                <w:b/>
                <w:sz w:val="18"/>
                <w:szCs w:val="18"/>
              </w:rPr>
              <w:t>Costs</w:t>
            </w:r>
          </w:p>
        </w:tc>
        <w:tc>
          <w:tcPr>
            <w:tcW w:w="3276" w:type="pct"/>
          </w:tcPr>
          <w:p w14:paraId="13033741" w14:textId="7ECE8CFF" w:rsidR="00666BB6" w:rsidRPr="00B978CC" w:rsidRDefault="00666BB6" w:rsidP="00FC3CFD">
            <w:pPr>
              <w:pStyle w:val="Tabletext"/>
              <w:spacing w:after="60"/>
              <w:rPr>
                <w:sz w:val="18"/>
                <w:szCs w:val="18"/>
              </w:rPr>
            </w:pPr>
            <w:r w:rsidRPr="00B978CC">
              <w:rPr>
                <w:sz w:val="18"/>
                <w:szCs w:val="18"/>
              </w:rPr>
              <w:t xml:space="preserve">To what extent does the </w:t>
            </w:r>
            <w:r w:rsidR="004C6F8B">
              <w:rPr>
                <w:sz w:val="18"/>
                <w:szCs w:val="18"/>
              </w:rPr>
              <w:t>Program</w:t>
            </w:r>
            <w:r w:rsidR="004C6F8B" w:rsidRPr="00B978CC">
              <w:rPr>
                <w:sz w:val="18"/>
                <w:szCs w:val="18"/>
              </w:rPr>
              <w:t xml:space="preserve"> </w:t>
            </w:r>
            <w:r w:rsidRPr="00B978CC">
              <w:rPr>
                <w:sz w:val="18"/>
                <w:szCs w:val="18"/>
              </w:rPr>
              <w:t>make the best use of available resources and how to this differ across sites?</w:t>
            </w:r>
          </w:p>
        </w:tc>
        <w:tc>
          <w:tcPr>
            <w:tcW w:w="1012" w:type="pct"/>
          </w:tcPr>
          <w:p w14:paraId="35039FC5" w14:textId="49B4E22A" w:rsidR="00666BB6" w:rsidRPr="00B978CC" w:rsidRDefault="00651EF4" w:rsidP="00FC3CFD">
            <w:pPr>
              <w:pStyle w:val="Tabletext"/>
              <w:spacing w:after="60"/>
              <w:rPr>
                <w:sz w:val="18"/>
                <w:szCs w:val="18"/>
              </w:rPr>
            </w:pPr>
            <w:r w:rsidRPr="00651EF4">
              <w:rPr>
                <w:sz w:val="18"/>
                <w:szCs w:val="18"/>
              </w:rPr>
              <w:t xml:space="preserve">Section </w:t>
            </w:r>
            <w:r w:rsidR="004216CB">
              <w:rPr>
                <w:sz w:val="18"/>
                <w:szCs w:val="18"/>
              </w:rPr>
              <w:fldChar w:fldCharType="begin"/>
            </w:r>
            <w:r w:rsidR="004216CB">
              <w:rPr>
                <w:sz w:val="18"/>
                <w:szCs w:val="18"/>
              </w:rPr>
              <w:instrText xml:space="preserve"> REF _Ref124176156 \r \h </w:instrText>
            </w:r>
            <w:r w:rsidR="00BC1879">
              <w:rPr>
                <w:sz w:val="18"/>
                <w:szCs w:val="18"/>
              </w:rPr>
              <w:instrText xml:space="preserve"> \* MERGEFORMAT </w:instrText>
            </w:r>
            <w:r w:rsidR="004216CB">
              <w:rPr>
                <w:sz w:val="18"/>
                <w:szCs w:val="18"/>
              </w:rPr>
            </w:r>
            <w:r w:rsidR="004216CB">
              <w:rPr>
                <w:sz w:val="18"/>
                <w:szCs w:val="18"/>
              </w:rPr>
              <w:fldChar w:fldCharType="separate"/>
            </w:r>
            <w:r w:rsidR="00D32536">
              <w:rPr>
                <w:sz w:val="18"/>
                <w:szCs w:val="18"/>
              </w:rPr>
              <w:t>7</w:t>
            </w:r>
            <w:r w:rsidR="004216CB">
              <w:rPr>
                <w:sz w:val="18"/>
                <w:szCs w:val="18"/>
              </w:rPr>
              <w:fldChar w:fldCharType="end"/>
            </w:r>
          </w:p>
        </w:tc>
      </w:tr>
      <w:tr w:rsidR="00666BB6" w:rsidRPr="00B978CC" w14:paraId="346474CE" w14:textId="5052C838" w:rsidTr="00FF2543">
        <w:trPr>
          <w:trHeight w:val="334"/>
        </w:trPr>
        <w:tc>
          <w:tcPr>
            <w:tcW w:w="712" w:type="pct"/>
          </w:tcPr>
          <w:p w14:paraId="1E4692B6" w14:textId="77777777" w:rsidR="00666BB6" w:rsidRPr="00BC1879" w:rsidRDefault="00666BB6" w:rsidP="00FC3CFD">
            <w:pPr>
              <w:pStyle w:val="Tabletext"/>
              <w:spacing w:after="60"/>
              <w:rPr>
                <w:rFonts w:asciiTheme="majorHAnsi" w:hAnsiTheme="majorHAnsi" w:cstheme="majorHAnsi"/>
                <w:b/>
                <w:sz w:val="18"/>
                <w:szCs w:val="18"/>
              </w:rPr>
            </w:pPr>
            <w:r w:rsidRPr="00BC1879">
              <w:rPr>
                <w:rFonts w:asciiTheme="majorHAnsi" w:hAnsiTheme="majorHAnsi" w:cstheme="majorHAnsi"/>
                <w:b/>
                <w:sz w:val="18"/>
                <w:szCs w:val="18"/>
              </w:rPr>
              <w:t>Sustainability</w:t>
            </w:r>
          </w:p>
        </w:tc>
        <w:tc>
          <w:tcPr>
            <w:tcW w:w="3276" w:type="pct"/>
          </w:tcPr>
          <w:p w14:paraId="147700C0" w14:textId="77777777" w:rsidR="00666BB6" w:rsidRPr="00B978CC" w:rsidRDefault="00666BB6" w:rsidP="00FC3CFD">
            <w:pPr>
              <w:pStyle w:val="Tabletext"/>
              <w:spacing w:after="60"/>
              <w:rPr>
                <w:sz w:val="18"/>
                <w:szCs w:val="18"/>
              </w:rPr>
            </w:pPr>
            <w:r w:rsidRPr="00B978CC">
              <w:rPr>
                <w:sz w:val="18"/>
                <w:szCs w:val="18"/>
              </w:rPr>
              <w:t>What were the key lessons learned and considerations for ongoing roll-out and scalability of the Program?</w:t>
            </w:r>
          </w:p>
        </w:tc>
        <w:tc>
          <w:tcPr>
            <w:tcW w:w="1012" w:type="pct"/>
          </w:tcPr>
          <w:p w14:paraId="12D7F70B" w14:textId="532E338D" w:rsidR="00666BB6" w:rsidRPr="00B978CC" w:rsidRDefault="00651EF4" w:rsidP="00FC3CFD">
            <w:pPr>
              <w:pStyle w:val="Tabletext"/>
              <w:spacing w:after="60"/>
              <w:rPr>
                <w:sz w:val="18"/>
                <w:szCs w:val="18"/>
              </w:rPr>
            </w:pPr>
            <w:r w:rsidRPr="00651EF4">
              <w:rPr>
                <w:sz w:val="18"/>
                <w:szCs w:val="18"/>
              </w:rPr>
              <w:t xml:space="preserve">Section </w:t>
            </w:r>
            <w:r>
              <w:rPr>
                <w:sz w:val="18"/>
                <w:szCs w:val="18"/>
              </w:rPr>
              <w:fldChar w:fldCharType="begin"/>
            </w:r>
            <w:r>
              <w:rPr>
                <w:sz w:val="18"/>
                <w:szCs w:val="18"/>
              </w:rPr>
              <w:instrText xml:space="preserve"> REF _Ref124176166 \r \h </w:instrText>
            </w:r>
            <w:r w:rsidR="00BC1879">
              <w:rPr>
                <w:sz w:val="18"/>
                <w:szCs w:val="18"/>
              </w:rPr>
              <w:instrText xml:space="preserve"> \* MERGEFORMAT </w:instrText>
            </w:r>
            <w:r>
              <w:rPr>
                <w:sz w:val="18"/>
                <w:szCs w:val="18"/>
              </w:rPr>
            </w:r>
            <w:r>
              <w:rPr>
                <w:sz w:val="18"/>
                <w:szCs w:val="18"/>
              </w:rPr>
              <w:fldChar w:fldCharType="separate"/>
            </w:r>
            <w:r w:rsidR="00D32536">
              <w:rPr>
                <w:sz w:val="18"/>
                <w:szCs w:val="18"/>
              </w:rPr>
              <w:t>9.2</w:t>
            </w:r>
            <w:r>
              <w:rPr>
                <w:sz w:val="18"/>
                <w:szCs w:val="18"/>
              </w:rPr>
              <w:fldChar w:fldCharType="end"/>
            </w:r>
          </w:p>
        </w:tc>
      </w:tr>
      <w:tr w:rsidR="005B0D8F" w:rsidRPr="00B978CC" w14:paraId="1E74E6A8" w14:textId="77777777" w:rsidTr="00AD27FD">
        <w:trPr>
          <w:trHeight w:val="344"/>
        </w:trPr>
        <w:tc>
          <w:tcPr>
            <w:tcW w:w="0" w:type="pct"/>
            <w:tcBorders>
              <w:top w:val="single" w:sz="4" w:space="0" w:color="000000" w:themeColor="text1"/>
              <w:bottom w:val="nil"/>
            </w:tcBorders>
            <w:shd w:val="clear" w:color="auto" w:fill="F2F2F2" w:themeFill="background1" w:themeFillShade="F2"/>
          </w:tcPr>
          <w:p w14:paraId="7A20B16A" w14:textId="183983A6" w:rsidR="005B0D8F" w:rsidRPr="000750D6" w:rsidRDefault="005B0D8F" w:rsidP="00FC3CFD">
            <w:pPr>
              <w:pStyle w:val="Tabletext"/>
              <w:spacing w:after="60"/>
              <w:rPr>
                <w:rFonts w:asciiTheme="majorHAnsi" w:hAnsiTheme="majorHAnsi" w:cstheme="majorHAnsi"/>
                <w:b/>
                <w:sz w:val="18"/>
                <w:szCs w:val="18"/>
              </w:rPr>
            </w:pPr>
            <w:r>
              <w:rPr>
                <w:rFonts w:asciiTheme="majorHAnsi" w:hAnsiTheme="majorHAnsi" w:cstheme="majorHAnsi"/>
                <w:b/>
                <w:sz w:val="18"/>
                <w:szCs w:val="18"/>
              </w:rPr>
              <w:t xml:space="preserve">Outcome </w:t>
            </w:r>
          </w:p>
        </w:tc>
        <w:tc>
          <w:tcPr>
            <w:tcW w:w="0" w:type="pct"/>
            <w:shd w:val="clear" w:color="auto" w:fill="F2F2F2" w:themeFill="background1" w:themeFillShade="F2"/>
          </w:tcPr>
          <w:p w14:paraId="53431C9A" w14:textId="77777777" w:rsidR="005B0D8F" w:rsidRPr="00B978CC" w:rsidRDefault="005B0D8F" w:rsidP="00651EF4">
            <w:pPr>
              <w:pStyle w:val="Tabletext"/>
              <w:spacing w:after="60"/>
              <w:rPr>
                <w:sz w:val="18"/>
                <w:szCs w:val="18"/>
              </w:rPr>
            </w:pPr>
          </w:p>
        </w:tc>
        <w:tc>
          <w:tcPr>
            <w:tcW w:w="0" w:type="pct"/>
            <w:shd w:val="clear" w:color="auto" w:fill="F2F2F2" w:themeFill="background1" w:themeFillShade="F2"/>
          </w:tcPr>
          <w:p w14:paraId="50AD2BC4" w14:textId="77777777" w:rsidR="005B0D8F" w:rsidRDefault="005B0D8F" w:rsidP="00FC3CFD">
            <w:pPr>
              <w:pStyle w:val="Tabletext"/>
              <w:spacing w:after="60"/>
              <w:rPr>
                <w:sz w:val="18"/>
                <w:szCs w:val="18"/>
              </w:rPr>
            </w:pPr>
          </w:p>
        </w:tc>
      </w:tr>
      <w:tr w:rsidR="00BC46A2" w:rsidRPr="00B978CC" w14:paraId="376C2B0D" w14:textId="117F79F4" w:rsidTr="009A3C39">
        <w:trPr>
          <w:trHeight w:val="344"/>
        </w:trPr>
        <w:tc>
          <w:tcPr>
            <w:tcW w:w="712" w:type="pct"/>
            <w:tcBorders>
              <w:top w:val="single" w:sz="4" w:space="0" w:color="000000" w:themeColor="text1"/>
              <w:bottom w:val="nil"/>
            </w:tcBorders>
          </w:tcPr>
          <w:p w14:paraId="004FFA48" w14:textId="77777777" w:rsidR="00BC46A2" w:rsidRPr="000750D6" w:rsidRDefault="00BC46A2" w:rsidP="00FC3CFD">
            <w:pPr>
              <w:pStyle w:val="Tabletext"/>
              <w:spacing w:after="60"/>
              <w:rPr>
                <w:rFonts w:asciiTheme="majorHAnsi" w:hAnsiTheme="majorHAnsi" w:cstheme="majorHAnsi"/>
                <w:b/>
                <w:sz w:val="18"/>
                <w:szCs w:val="18"/>
              </w:rPr>
            </w:pPr>
            <w:r w:rsidRPr="000750D6">
              <w:rPr>
                <w:rFonts w:asciiTheme="majorHAnsi" w:hAnsiTheme="majorHAnsi" w:cstheme="majorHAnsi"/>
                <w:b/>
                <w:sz w:val="18"/>
                <w:szCs w:val="18"/>
              </w:rPr>
              <w:t>Effectiveness</w:t>
            </w:r>
          </w:p>
        </w:tc>
        <w:tc>
          <w:tcPr>
            <w:tcW w:w="3276" w:type="pct"/>
          </w:tcPr>
          <w:p w14:paraId="41FA3911" w14:textId="128B5B17" w:rsidR="00BC46A2" w:rsidRPr="00B978CC" w:rsidRDefault="00BC46A2" w:rsidP="00651EF4">
            <w:pPr>
              <w:pStyle w:val="Tabletext"/>
              <w:spacing w:after="60"/>
              <w:rPr>
                <w:sz w:val="18"/>
                <w:szCs w:val="18"/>
              </w:rPr>
            </w:pPr>
            <w:r w:rsidRPr="00B978CC">
              <w:rPr>
                <w:sz w:val="18"/>
                <w:szCs w:val="18"/>
              </w:rPr>
              <w:t>Person-</w:t>
            </w:r>
            <w:r w:rsidR="000750D6" w:rsidRPr="00B978CC">
              <w:rPr>
                <w:sz w:val="18"/>
                <w:szCs w:val="18"/>
              </w:rPr>
              <w:t>centered</w:t>
            </w:r>
            <w:r w:rsidRPr="00B978CC">
              <w:rPr>
                <w:sz w:val="18"/>
                <w:szCs w:val="18"/>
              </w:rPr>
              <w:t xml:space="preserve"> care – to what extent have person-</w:t>
            </w:r>
            <w:r w:rsidR="000750D6" w:rsidRPr="00B978CC">
              <w:rPr>
                <w:sz w:val="18"/>
                <w:szCs w:val="18"/>
              </w:rPr>
              <w:t>centered</w:t>
            </w:r>
            <w:r w:rsidRPr="00B978CC">
              <w:rPr>
                <w:sz w:val="18"/>
                <w:szCs w:val="18"/>
              </w:rPr>
              <w:t xml:space="preserve"> care practices been delivered?</w:t>
            </w:r>
          </w:p>
        </w:tc>
        <w:tc>
          <w:tcPr>
            <w:tcW w:w="1012" w:type="pct"/>
          </w:tcPr>
          <w:p w14:paraId="6276428E" w14:textId="7AF80193" w:rsidR="00BC46A2" w:rsidRPr="00B978CC" w:rsidRDefault="00BC46A2" w:rsidP="00FC3CFD">
            <w:pPr>
              <w:pStyle w:val="Tabletext"/>
              <w:spacing w:after="60"/>
              <w:rPr>
                <w:sz w:val="18"/>
                <w:szCs w:val="18"/>
              </w:rPr>
            </w:pPr>
            <w:r>
              <w:rPr>
                <w:sz w:val="18"/>
                <w:szCs w:val="18"/>
              </w:rPr>
              <w:t xml:space="preserve">Section </w:t>
            </w:r>
            <w:r>
              <w:rPr>
                <w:sz w:val="18"/>
                <w:szCs w:val="18"/>
              </w:rPr>
              <w:fldChar w:fldCharType="begin"/>
            </w:r>
            <w:r>
              <w:rPr>
                <w:sz w:val="18"/>
                <w:szCs w:val="18"/>
              </w:rPr>
              <w:instrText xml:space="preserve"> REF _Ref122254502 \r \h </w:instrText>
            </w:r>
            <w:r w:rsidR="000750D6">
              <w:rPr>
                <w:sz w:val="18"/>
                <w:szCs w:val="18"/>
              </w:rPr>
              <w:instrText xml:space="preserve"> \* MERGEFORMAT </w:instrText>
            </w:r>
            <w:r>
              <w:rPr>
                <w:sz w:val="18"/>
                <w:szCs w:val="18"/>
              </w:rPr>
            </w:r>
            <w:r>
              <w:rPr>
                <w:sz w:val="18"/>
                <w:szCs w:val="18"/>
              </w:rPr>
              <w:fldChar w:fldCharType="separate"/>
            </w:r>
            <w:r w:rsidR="00D32536">
              <w:rPr>
                <w:sz w:val="18"/>
                <w:szCs w:val="18"/>
              </w:rPr>
              <w:t>3.2</w:t>
            </w:r>
            <w:r>
              <w:rPr>
                <w:sz w:val="18"/>
                <w:szCs w:val="18"/>
              </w:rPr>
              <w:fldChar w:fldCharType="end"/>
            </w:r>
          </w:p>
        </w:tc>
      </w:tr>
      <w:tr w:rsidR="00BC46A2" w:rsidRPr="00B978CC" w14:paraId="141B72EB" w14:textId="77777777" w:rsidTr="009A3C39">
        <w:trPr>
          <w:trHeight w:val="344"/>
        </w:trPr>
        <w:tc>
          <w:tcPr>
            <w:tcW w:w="712" w:type="pct"/>
            <w:tcBorders>
              <w:top w:val="nil"/>
              <w:bottom w:val="nil"/>
            </w:tcBorders>
          </w:tcPr>
          <w:p w14:paraId="4B12BE2D" w14:textId="77777777" w:rsidR="00BC46A2" w:rsidRPr="000750D6" w:rsidRDefault="00BC46A2" w:rsidP="00FC3CFD">
            <w:pPr>
              <w:pStyle w:val="Tabletext"/>
              <w:spacing w:after="60"/>
              <w:rPr>
                <w:rFonts w:asciiTheme="majorHAnsi" w:hAnsiTheme="majorHAnsi" w:cstheme="majorHAnsi"/>
                <w:b/>
                <w:sz w:val="18"/>
                <w:szCs w:val="18"/>
              </w:rPr>
            </w:pPr>
          </w:p>
        </w:tc>
        <w:tc>
          <w:tcPr>
            <w:tcW w:w="3276" w:type="pct"/>
          </w:tcPr>
          <w:p w14:paraId="291695B9" w14:textId="153757C1" w:rsidR="00BC46A2" w:rsidRPr="00B978CC" w:rsidRDefault="00BC46A2" w:rsidP="00FC3CFD">
            <w:pPr>
              <w:pStyle w:val="Tabletext"/>
              <w:spacing w:after="60"/>
              <w:rPr>
                <w:sz w:val="18"/>
                <w:szCs w:val="18"/>
              </w:rPr>
            </w:pPr>
            <w:r w:rsidRPr="00B978CC">
              <w:rPr>
                <w:sz w:val="18"/>
                <w:szCs w:val="18"/>
              </w:rPr>
              <w:t xml:space="preserve">Quality of life – To what extent has the </w:t>
            </w:r>
            <w:r w:rsidR="004C6F8B">
              <w:rPr>
                <w:sz w:val="18"/>
                <w:szCs w:val="18"/>
              </w:rPr>
              <w:t>Program</w:t>
            </w:r>
            <w:r w:rsidR="004C6F8B" w:rsidRPr="00B978CC">
              <w:rPr>
                <w:sz w:val="18"/>
                <w:szCs w:val="18"/>
              </w:rPr>
              <w:t xml:space="preserve"> </w:t>
            </w:r>
            <w:r w:rsidRPr="00B978CC">
              <w:rPr>
                <w:sz w:val="18"/>
                <w:szCs w:val="18"/>
              </w:rPr>
              <w:t>improved clients’ function, behaviour, quality of life and wellbeing?</w:t>
            </w:r>
          </w:p>
        </w:tc>
        <w:tc>
          <w:tcPr>
            <w:tcW w:w="1012" w:type="pct"/>
          </w:tcPr>
          <w:p w14:paraId="627A97B9" w14:textId="0D12CEDB" w:rsidR="00BC46A2" w:rsidRPr="00B978CC" w:rsidRDefault="00BC46A2" w:rsidP="00FC3CFD">
            <w:pPr>
              <w:pStyle w:val="Tabletext"/>
              <w:spacing w:after="60"/>
              <w:rPr>
                <w:sz w:val="18"/>
                <w:szCs w:val="18"/>
              </w:rPr>
            </w:pPr>
            <w:r>
              <w:rPr>
                <w:sz w:val="18"/>
                <w:szCs w:val="18"/>
              </w:rPr>
              <w:t xml:space="preserve">Section </w:t>
            </w:r>
            <w:r>
              <w:rPr>
                <w:sz w:val="18"/>
                <w:szCs w:val="18"/>
              </w:rPr>
              <w:fldChar w:fldCharType="begin"/>
            </w:r>
            <w:r>
              <w:rPr>
                <w:sz w:val="18"/>
                <w:szCs w:val="18"/>
              </w:rPr>
              <w:instrText xml:space="preserve"> REF _Ref123904728 \r \h </w:instrText>
            </w:r>
            <w:r w:rsidR="000750D6">
              <w:rPr>
                <w:sz w:val="18"/>
                <w:szCs w:val="18"/>
              </w:rPr>
              <w:instrText xml:space="preserve"> \* MERGEFORMAT </w:instrText>
            </w:r>
            <w:r>
              <w:rPr>
                <w:sz w:val="18"/>
                <w:szCs w:val="18"/>
              </w:rPr>
            </w:r>
            <w:r>
              <w:rPr>
                <w:sz w:val="18"/>
                <w:szCs w:val="18"/>
              </w:rPr>
              <w:fldChar w:fldCharType="separate"/>
            </w:r>
            <w:r w:rsidR="00D32536">
              <w:rPr>
                <w:sz w:val="18"/>
                <w:szCs w:val="18"/>
              </w:rPr>
              <w:t>5.2</w:t>
            </w:r>
            <w:r>
              <w:rPr>
                <w:sz w:val="18"/>
                <w:szCs w:val="18"/>
              </w:rPr>
              <w:fldChar w:fldCharType="end"/>
            </w:r>
          </w:p>
        </w:tc>
      </w:tr>
      <w:tr w:rsidR="00BC46A2" w:rsidRPr="00B978CC" w14:paraId="2F76D17C" w14:textId="77777777" w:rsidTr="009A3C39">
        <w:trPr>
          <w:trHeight w:val="344"/>
        </w:trPr>
        <w:tc>
          <w:tcPr>
            <w:tcW w:w="712" w:type="pct"/>
            <w:tcBorders>
              <w:top w:val="nil"/>
            </w:tcBorders>
          </w:tcPr>
          <w:p w14:paraId="2E9B2268" w14:textId="77777777" w:rsidR="00BC46A2" w:rsidRPr="000750D6" w:rsidRDefault="00BC46A2" w:rsidP="00FC3CFD">
            <w:pPr>
              <w:pStyle w:val="Tabletext"/>
              <w:spacing w:after="60"/>
              <w:rPr>
                <w:rFonts w:asciiTheme="majorHAnsi" w:hAnsiTheme="majorHAnsi" w:cstheme="majorHAnsi"/>
                <w:b/>
                <w:sz w:val="18"/>
                <w:szCs w:val="18"/>
              </w:rPr>
            </w:pPr>
          </w:p>
        </w:tc>
        <w:tc>
          <w:tcPr>
            <w:tcW w:w="3276" w:type="pct"/>
          </w:tcPr>
          <w:p w14:paraId="1083CDE5" w14:textId="7D07C1C4" w:rsidR="00BC46A2" w:rsidRPr="00B978CC" w:rsidRDefault="00BC46A2" w:rsidP="00FC3CFD">
            <w:pPr>
              <w:pStyle w:val="Tabletext"/>
              <w:spacing w:after="60"/>
              <w:rPr>
                <w:sz w:val="18"/>
                <w:szCs w:val="18"/>
              </w:rPr>
            </w:pPr>
            <w:r w:rsidRPr="00B978CC">
              <w:rPr>
                <w:sz w:val="18"/>
                <w:szCs w:val="18"/>
              </w:rPr>
              <w:t>Care process and transitions – Are clients and their families/carers satisfied with their involvement in, and the continuity of, care transition processes across the system?</w:t>
            </w:r>
          </w:p>
        </w:tc>
        <w:tc>
          <w:tcPr>
            <w:tcW w:w="1012" w:type="pct"/>
          </w:tcPr>
          <w:p w14:paraId="2B7E8310" w14:textId="3B6E94F7" w:rsidR="00BC46A2" w:rsidRPr="00B978CC" w:rsidRDefault="00BC46A2" w:rsidP="00FC3CFD">
            <w:pPr>
              <w:pStyle w:val="Tabletext"/>
              <w:spacing w:after="60"/>
              <w:rPr>
                <w:sz w:val="18"/>
                <w:szCs w:val="18"/>
              </w:rPr>
            </w:pPr>
            <w:r>
              <w:rPr>
                <w:sz w:val="18"/>
                <w:szCs w:val="18"/>
              </w:rPr>
              <w:t xml:space="preserve">Section </w:t>
            </w:r>
            <w:r>
              <w:rPr>
                <w:sz w:val="18"/>
                <w:szCs w:val="18"/>
              </w:rPr>
              <w:fldChar w:fldCharType="begin"/>
            </w:r>
            <w:r>
              <w:rPr>
                <w:sz w:val="18"/>
                <w:szCs w:val="18"/>
              </w:rPr>
              <w:instrText xml:space="preserve"> REF _Ref124176403 \r \h </w:instrText>
            </w:r>
            <w:r w:rsidR="000750D6">
              <w:rPr>
                <w:sz w:val="18"/>
                <w:szCs w:val="18"/>
              </w:rPr>
              <w:instrText xml:space="preserve"> \* MERGEFORMAT </w:instrText>
            </w:r>
            <w:r>
              <w:rPr>
                <w:sz w:val="18"/>
                <w:szCs w:val="18"/>
              </w:rPr>
            </w:r>
            <w:r>
              <w:rPr>
                <w:sz w:val="18"/>
                <w:szCs w:val="18"/>
              </w:rPr>
              <w:fldChar w:fldCharType="separate"/>
            </w:r>
            <w:r w:rsidR="00D32536">
              <w:rPr>
                <w:sz w:val="18"/>
                <w:szCs w:val="18"/>
              </w:rPr>
              <w:t>2.3</w:t>
            </w:r>
            <w:r>
              <w:rPr>
                <w:sz w:val="18"/>
                <w:szCs w:val="18"/>
              </w:rPr>
              <w:fldChar w:fldCharType="end"/>
            </w:r>
            <w:r>
              <w:rPr>
                <w:sz w:val="18"/>
                <w:szCs w:val="18"/>
              </w:rPr>
              <w:t xml:space="preserve">, Section </w:t>
            </w:r>
            <w:r>
              <w:rPr>
                <w:sz w:val="18"/>
                <w:szCs w:val="18"/>
              </w:rPr>
              <w:fldChar w:fldCharType="begin"/>
            </w:r>
            <w:r>
              <w:rPr>
                <w:sz w:val="18"/>
                <w:szCs w:val="18"/>
              </w:rPr>
              <w:instrText xml:space="preserve"> REF _Ref122254502 \r \h </w:instrText>
            </w:r>
            <w:r w:rsidR="000750D6">
              <w:rPr>
                <w:sz w:val="18"/>
                <w:szCs w:val="18"/>
              </w:rPr>
              <w:instrText xml:space="preserve"> \* MERGEFORMAT </w:instrText>
            </w:r>
            <w:r>
              <w:rPr>
                <w:sz w:val="18"/>
                <w:szCs w:val="18"/>
              </w:rPr>
            </w:r>
            <w:r>
              <w:rPr>
                <w:sz w:val="18"/>
                <w:szCs w:val="18"/>
              </w:rPr>
              <w:fldChar w:fldCharType="separate"/>
            </w:r>
            <w:r w:rsidR="00D32536">
              <w:rPr>
                <w:sz w:val="18"/>
                <w:szCs w:val="18"/>
              </w:rPr>
              <w:t>3.2</w:t>
            </w:r>
            <w:r>
              <w:rPr>
                <w:sz w:val="18"/>
                <w:szCs w:val="18"/>
              </w:rPr>
              <w:fldChar w:fldCharType="end"/>
            </w:r>
            <w:r>
              <w:rPr>
                <w:sz w:val="18"/>
                <w:szCs w:val="18"/>
              </w:rPr>
              <w:t xml:space="preserve"> and Section </w:t>
            </w:r>
            <w:r>
              <w:rPr>
                <w:sz w:val="18"/>
                <w:szCs w:val="18"/>
              </w:rPr>
              <w:fldChar w:fldCharType="begin"/>
            </w:r>
            <w:r>
              <w:rPr>
                <w:sz w:val="18"/>
                <w:szCs w:val="18"/>
              </w:rPr>
              <w:instrText xml:space="preserve"> REF _Ref124176378 \r \h </w:instrText>
            </w:r>
            <w:r w:rsidR="000750D6">
              <w:rPr>
                <w:sz w:val="18"/>
                <w:szCs w:val="18"/>
              </w:rPr>
              <w:instrText xml:space="preserve"> \* MERGEFORMAT </w:instrText>
            </w:r>
            <w:r>
              <w:rPr>
                <w:sz w:val="18"/>
                <w:szCs w:val="18"/>
              </w:rPr>
            </w:r>
            <w:r>
              <w:rPr>
                <w:sz w:val="18"/>
                <w:szCs w:val="18"/>
              </w:rPr>
              <w:fldChar w:fldCharType="separate"/>
            </w:r>
            <w:r w:rsidR="00D32536">
              <w:rPr>
                <w:sz w:val="18"/>
                <w:szCs w:val="18"/>
              </w:rPr>
              <w:t>5.3</w:t>
            </w:r>
            <w:r>
              <w:rPr>
                <w:sz w:val="18"/>
                <w:szCs w:val="18"/>
              </w:rPr>
              <w:fldChar w:fldCharType="end"/>
            </w:r>
          </w:p>
        </w:tc>
      </w:tr>
      <w:tr w:rsidR="00666BB6" w:rsidRPr="00B978CC" w14:paraId="167BEE13" w14:textId="3A6542CF" w:rsidTr="00FF2543">
        <w:trPr>
          <w:trHeight w:val="334"/>
        </w:trPr>
        <w:tc>
          <w:tcPr>
            <w:tcW w:w="712" w:type="pct"/>
          </w:tcPr>
          <w:p w14:paraId="4BBC5E73" w14:textId="77777777" w:rsidR="00666BB6" w:rsidRPr="000750D6" w:rsidRDefault="00666BB6" w:rsidP="00FC3CFD">
            <w:pPr>
              <w:pStyle w:val="Tabletext"/>
              <w:spacing w:after="60"/>
              <w:rPr>
                <w:rFonts w:asciiTheme="majorHAnsi" w:hAnsiTheme="majorHAnsi" w:cstheme="majorHAnsi"/>
                <w:b/>
                <w:sz w:val="18"/>
                <w:szCs w:val="18"/>
              </w:rPr>
            </w:pPr>
            <w:r w:rsidRPr="000750D6">
              <w:rPr>
                <w:rFonts w:asciiTheme="majorHAnsi" w:hAnsiTheme="majorHAnsi" w:cstheme="majorHAnsi"/>
                <w:b/>
                <w:sz w:val="18"/>
                <w:szCs w:val="18"/>
              </w:rPr>
              <w:t>Efficiency</w:t>
            </w:r>
          </w:p>
        </w:tc>
        <w:tc>
          <w:tcPr>
            <w:tcW w:w="3276" w:type="pct"/>
          </w:tcPr>
          <w:p w14:paraId="14803B9F" w14:textId="14289D6B" w:rsidR="00666BB6" w:rsidRPr="00B978CC" w:rsidRDefault="00666BB6" w:rsidP="00FC3CFD">
            <w:pPr>
              <w:pStyle w:val="Tabletext"/>
              <w:spacing w:after="60"/>
              <w:rPr>
                <w:sz w:val="18"/>
                <w:szCs w:val="18"/>
              </w:rPr>
            </w:pPr>
            <w:r w:rsidRPr="00B978CC">
              <w:rPr>
                <w:sz w:val="18"/>
                <w:szCs w:val="18"/>
              </w:rPr>
              <w:t xml:space="preserve">Value for money – Is the </w:t>
            </w:r>
            <w:r w:rsidR="004C6F8B">
              <w:rPr>
                <w:sz w:val="18"/>
                <w:szCs w:val="18"/>
              </w:rPr>
              <w:t>Program</w:t>
            </w:r>
            <w:r w:rsidR="004C6F8B" w:rsidRPr="00B978CC">
              <w:rPr>
                <w:sz w:val="18"/>
                <w:szCs w:val="18"/>
              </w:rPr>
              <w:t xml:space="preserve"> </w:t>
            </w:r>
            <w:r w:rsidRPr="00B978CC">
              <w:rPr>
                <w:sz w:val="18"/>
                <w:szCs w:val="18"/>
              </w:rPr>
              <w:t>considered cost-beneficial/cost-effective?</w:t>
            </w:r>
          </w:p>
        </w:tc>
        <w:tc>
          <w:tcPr>
            <w:tcW w:w="1012" w:type="pct"/>
          </w:tcPr>
          <w:p w14:paraId="59C0E28E" w14:textId="1A94A1B1" w:rsidR="00666BB6" w:rsidRPr="00B978CC" w:rsidRDefault="00651EF4" w:rsidP="00FC3CFD">
            <w:pPr>
              <w:pStyle w:val="Tabletext"/>
              <w:spacing w:after="60"/>
              <w:rPr>
                <w:sz w:val="18"/>
                <w:szCs w:val="18"/>
              </w:rPr>
            </w:pPr>
            <w:r>
              <w:rPr>
                <w:sz w:val="18"/>
                <w:szCs w:val="18"/>
              </w:rPr>
              <w:t xml:space="preserve">Section </w:t>
            </w:r>
            <w:r>
              <w:rPr>
                <w:sz w:val="18"/>
                <w:szCs w:val="18"/>
              </w:rPr>
              <w:fldChar w:fldCharType="begin"/>
            </w:r>
            <w:r>
              <w:rPr>
                <w:sz w:val="18"/>
                <w:szCs w:val="18"/>
              </w:rPr>
              <w:instrText xml:space="preserve"> REF _Ref123938696 \r \h </w:instrText>
            </w:r>
            <w:r w:rsidR="000750D6">
              <w:rPr>
                <w:sz w:val="18"/>
                <w:szCs w:val="18"/>
              </w:rPr>
              <w:instrText xml:space="preserve"> \* MERGEFORMAT </w:instrText>
            </w:r>
            <w:r>
              <w:rPr>
                <w:sz w:val="18"/>
                <w:szCs w:val="18"/>
              </w:rPr>
            </w:r>
            <w:r>
              <w:rPr>
                <w:sz w:val="18"/>
                <w:szCs w:val="18"/>
              </w:rPr>
              <w:fldChar w:fldCharType="separate"/>
            </w:r>
            <w:r w:rsidR="00D32536">
              <w:rPr>
                <w:sz w:val="18"/>
                <w:szCs w:val="18"/>
              </w:rPr>
              <w:t>6</w:t>
            </w:r>
            <w:r>
              <w:rPr>
                <w:sz w:val="18"/>
                <w:szCs w:val="18"/>
              </w:rPr>
              <w:fldChar w:fldCharType="end"/>
            </w:r>
          </w:p>
        </w:tc>
      </w:tr>
      <w:tr w:rsidR="001D78AA" w:rsidRPr="00B978CC" w14:paraId="2C3D33B9" w14:textId="77777777" w:rsidTr="00FF2543">
        <w:trPr>
          <w:trHeight w:val="334"/>
        </w:trPr>
        <w:tc>
          <w:tcPr>
            <w:tcW w:w="712" w:type="pct"/>
          </w:tcPr>
          <w:p w14:paraId="5B4144DD" w14:textId="203FEF8A" w:rsidR="001D78AA" w:rsidRPr="000750D6" w:rsidRDefault="001D78AA" w:rsidP="00FC3CFD">
            <w:pPr>
              <w:pStyle w:val="Tabletext"/>
              <w:spacing w:after="60"/>
              <w:rPr>
                <w:rFonts w:asciiTheme="majorHAnsi" w:hAnsiTheme="majorHAnsi" w:cstheme="majorHAnsi"/>
                <w:b/>
                <w:sz w:val="18"/>
                <w:szCs w:val="18"/>
              </w:rPr>
            </w:pPr>
            <w:r>
              <w:rPr>
                <w:rFonts w:asciiTheme="majorHAnsi" w:hAnsiTheme="majorHAnsi" w:cstheme="majorHAnsi"/>
                <w:b/>
                <w:sz w:val="18"/>
                <w:szCs w:val="18"/>
              </w:rPr>
              <w:t>Equity</w:t>
            </w:r>
          </w:p>
        </w:tc>
        <w:tc>
          <w:tcPr>
            <w:tcW w:w="3276" w:type="pct"/>
          </w:tcPr>
          <w:p w14:paraId="71FBB32A" w14:textId="62D44D68" w:rsidR="001D78AA" w:rsidRPr="00B978CC" w:rsidRDefault="00B70607" w:rsidP="00FC3CFD">
            <w:pPr>
              <w:pStyle w:val="Tabletext"/>
              <w:spacing w:after="60"/>
              <w:rPr>
                <w:sz w:val="18"/>
                <w:szCs w:val="18"/>
              </w:rPr>
            </w:pPr>
            <w:r>
              <w:rPr>
                <w:sz w:val="18"/>
                <w:szCs w:val="18"/>
              </w:rPr>
              <w:t>Equity of access – To what extent does the SDCP meet the needs of different client cohorts with BPSD?</w:t>
            </w:r>
          </w:p>
        </w:tc>
        <w:tc>
          <w:tcPr>
            <w:tcW w:w="1012" w:type="pct"/>
          </w:tcPr>
          <w:p w14:paraId="60154D23" w14:textId="14EADF58" w:rsidR="001D78AA" w:rsidRDefault="00B70607" w:rsidP="00FC3CFD">
            <w:pPr>
              <w:pStyle w:val="Tabletext"/>
              <w:spacing w:after="60"/>
              <w:rPr>
                <w:sz w:val="18"/>
                <w:szCs w:val="18"/>
              </w:rPr>
            </w:pPr>
            <w:r>
              <w:rPr>
                <w:sz w:val="18"/>
                <w:szCs w:val="18"/>
              </w:rPr>
              <w:t>Section 2.2</w:t>
            </w:r>
          </w:p>
        </w:tc>
      </w:tr>
    </w:tbl>
    <w:p w14:paraId="5AE8D458" w14:textId="77777777" w:rsidR="00583DC8" w:rsidRDefault="00583DC8" w:rsidP="00583DC8">
      <w:pPr>
        <w:spacing w:before="120"/>
      </w:pPr>
      <w:r>
        <w:t xml:space="preserve">Following the development of the Evaluation Plan, the Department also requested an additional line of investigation be added to the Final Evaluation, being questions stemming from Recommendation 16 of the Royal Commission into Aged Care Quality and Safety. Accordingly, two addition evaluation questions were added to the scope of the Final Evaluation to investigate two potential expansions of the Program scope: </w:t>
      </w:r>
    </w:p>
    <w:p w14:paraId="0A6F7235" w14:textId="77777777" w:rsidR="00583DC8" w:rsidRDefault="00583DC8" w:rsidP="00583DC8">
      <w:pPr>
        <w:pStyle w:val="ListParagraph"/>
        <w:numPr>
          <w:ilvl w:val="1"/>
          <w:numId w:val="10"/>
        </w:numPr>
        <w:ind w:left="426" w:hanging="426"/>
      </w:pPr>
      <w:r>
        <w:t>whether SDCUs have capacity to address the needs of people exhibiting extreme changed behaviour (Tier 7 BPSD) and whether further resources are required; and</w:t>
      </w:r>
    </w:p>
    <w:p w14:paraId="3AC69598" w14:textId="637A6B49" w:rsidR="00583DC8" w:rsidRDefault="00583DC8" w:rsidP="00583DC8">
      <w:pPr>
        <w:pStyle w:val="ListParagraph"/>
        <w:numPr>
          <w:ilvl w:val="1"/>
          <w:numId w:val="10"/>
        </w:numPr>
        <w:ind w:left="426" w:hanging="426"/>
      </w:pPr>
      <w:r>
        <w:t>the suitability of SDCUs to support shorter-stay respite for people living with moderate to extreme changed behaviour (Tier 6 BPSD).</w:t>
      </w:r>
    </w:p>
    <w:p w14:paraId="3B1ED300" w14:textId="02F9E745" w:rsidR="00583DC8" w:rsidRDefault="00583DC8" w:rsidP="00583DC8">
      <w:r>
        <w:t>The findings for each line of investigation are outlined in Chapter</w:t>
      </w:r>
      <w:r w:rsidR="00863087">
        <w:t xml:space="preserve"> </w:t>
      </w:r>
      <w:r w:rsidR="00733B3E">
        <w:fldChar w:fldCharType="begin"/>
      </w:r>
      <w:r w:rsidR="00733B3E">
        <w:instrText xml:space="preserve"> REF _Ref129247876 \r \h </w:instrText>
      </w:r>
      <w:r w:rsidR="00733B3E">
        <w:fldChar w:fldCharType="separate"/>
      </w:r>
      <w:r w:rsidR="00D32536">
        <w:t>8</w:t>
      </w:r>
      <w:r w:rsidR="00733B3E">
        <w:fldChar w:fldCharType="end"/>
      </w:r>
      <w:r>
        <w:t>.</w:t>
      </w:r>
    </w:p>
    <w:p w14:paraId="3864FA28" w14:textId="77777777" w:rsidR="009B2A7E" w:rsidRDefault="009B2A7E" w:rsidP="009B2A7E">
      <w:pPr>
        <w:spacing w:after="200" w:line="276" w:lineRule="auto"/>
      </w:pPr>
    </w:p>
    <w:p w14:paraId="11215AE5" w14:textId="77777777" w:rsidR="00A449BE" w:rsidRDefault="00A449BE">
      <w:pPr>
        <w:spacing w:after="200" w:line="276" w:lineRule="auto"/>
      </w:pPr>
      <w:r>
        <w:br w:type="page"/>
      </w:r>
    </w:p>
    <w:p w14:paraId="29565EE5" w14:textId="6B4F5C56" w:rsidR="005C6D73" w:rsidRDefault="009B2A7E" w:rsidP="00583DC8">
      <w:pPr>
        <w:pStyle w:val="Heading1un-numbered"/>
      </w:pPr>
      <w:r w:rsidRPr="00801306">
        <w:t>Appendix B</w:t>
      </w:r>
      <w:r w:rsidR="00EF6338">
        <w:t xml:space="preserve">: </w:t>
      </w:r>
      <w:r w:rsidR="00BE0584">
        <w:t>Monetisation approach</w:t>
      </w:r>
    </w:p>
    <w:p w14:paraId="6313BD47" w14:textId="57AD792F" w:rsidR="005310FC" w:rsidRDefault="005310FC" w:rsidP="00ED40C0">
      <w:pPr>
        <w:pStyle w:val="Charttitle"/>
        <w:numPr>
          <w:ilvl w:val="0"/>
          <w:numId w:val="0"/>
        </w:numPr>
        <w:spacing w:after="0"/>
        <w:ind w:left="578" w:hanging="578"/>
        <w:rPr>
          <w:rFonts w:cstheme="majorHAnsi"/>
        </w:rPr>
      </w:pPr>
      <w:r>
        <w:t>Monetised</w:t>
      </w:r>
      <w:r>
        <w:rPr>
          <w:rFonts w:cstheme="majorHAnsi"/>
        </w:rPr>
        <w:t xml:space="preserve"> </w:t>
      </w:r>
      <w:r w:rsidR="00023692">
        <w:rPr>
          <w:rFonts w:cstheme="majorHAnsi"/>
        </w:rPr>
        <w:t>benefits</w:t>
      </w:r>
    </w:p>
    <w:p w14:paraId="192E87B5" w14:textId="28731C5C" w:rsidR="005C6D73" w:rsidRPr="008D083E" w:rsidRDefault="005C6D73" w:rsidP="005C6D73">
      <w:pPr>
        <w:pStyle w:val="Heading4thematicstatement"/>
        <w:rPr>
          <w:rFonts w:asciiTheme="majorHAnsi" w:hAnsiTheme="majorHAnsi"/>
          <w:color w:val="53565A" w:themeColor="background2"/>
          <w:sz w:val="24"/>
          <w:lang w:val="en-US"/>
        </w:rPr>
      </w:pPr>
      <w:r w:rsidRPr="008D083E">
        <w:rPr>
          <w:rFonts w:asciiTheme="majorHAnsi" w:hAnsiTheme="majorHAnsi"/>
          <w:color w:val="53565A" w:themeColor="background2"/>
          <w:sz w:val="24"/>
          <w:lang w:val="en-US"/>
        </w:rPr>
        <w:t>National Activity-Based Funding model</w:t>
      </w:r>
    </w:p>
    <w:p w14:paraId="2918FA68" w14:textId="0132E911" w:rsidR="005C6D73" w:rsidRDefault="005C6D73" w:rsidP="005C6D73">
      <w:pPr>
        <w:rPr>
          <w:lang w:val="en-AU"/>
        </w:rPr>
      </w:pPr>
      <w:r>
        <w:rPr>
          <w:lang w:val="en-AU"/>
        </w:rPr>
        <w:t>Benefits related to avoided hospital utilisation are valued at the funding provided for the episode of care. Australia has a national activity-based funding (ABF) model which funds public hospitals to provide a range of services, including emergency department, acute admitted and sub-acute. Different types of services delivered are assigned a common unit of resource utilisation (the National Weighted Activity Unit, or NWAU) which is funded at the National Efficient Price (NEP). This process allows for a consistent determination of funding based on NWAUs across a wide range of services delivered.</w:t>
      </w:r>
      <w:r>
        <w:rPr>
          <w:rStyle w:val="FootnoteReference"/>
          <w:lang w:val="en-AU"/>
        </w:rPr>
        <w:footnoteReference w:id="30"/>
      </w:r>
      <w:r>
        <w:rPr>
          <w:lang w:val="en-AU"/>
        </w:rPr>
        <w:t xml:space="preserve"> The Independent Hospital and Aged Care Pricing Authority (IHACPA) determines the National Efficient Price each </w:t>
      </w:r>
      <w:r w:rsidR="00987B4B">
        <w:rPr>
          <w:lang w:val="en-AU"/>
        </w:rPr>
        <w:t>year and</w:t>
      </w:r>
      <w:r>
        <w:rPr>
          <w:lang w:val="en-AU"/>
        </w:rPr>
        <w:t xml:space="preserve"> provides classification material to determine the NWAU assigned for specified services. For the modelling process, </w:t>
      </w:r>
      <w:r>
        <w:t xml:space="preserve">each financial year used the relevant NEP and classification material. Nominal dollars were converted to FY2019-20 real dollars using the AIHW’s Government Final Consumption Expenditure hospital and nursing home price index. </w:t>
      </w:r>
      <w:r>
        <w:rPr>
          <w:lang w:val="en-AU"/>
        </w:rPr>
        <w:t>It is noted that multiple states have state-based localisations of the national ABF model, including State Efficient Prices. However, given the national scope of the Program the national ABF model was used as a representative approach.</w:t>
      </w:r>
    </w:p>
    <w:p w14:paraId="3E4B1E7B" w14:textId="77777777" w:rsidR="005C6D73" w:rsidRDefault="005C6D73" w:rsidP="00ED40C0">
      <w:pPr>
        <w:pStyle w:val="Heading3"/>
        <w:numPr>
          <w:ilvl w:val="0"/>
          <w:numId w:val="0"/>
        </w:numPr>
        <w:spacing w:after="0"/>
        <w:ind w:left="720" w:hanging="720"/>
      </w:pPr>
      <w:bookmarkStart w:id="111" w:name="_Ref124237062"/>
      <w:r>
        <w:t>Released capacity – long-stay psychogeriatric care (Subgroup A)</w:t>
      </w:r>
      <w:bookmarkEnd w:id="111"/>
    </w:p>
    <w:p w14:paraId="57FE76FE" w14:textId="77777777" w:rsidR="005C6D73" w:rsidRDefault="005C6D73" w:rsidP="005C6D73">
      <w:r>
        <w:t xml:space="preserve">From the primary and secondary data collected, the monetisation process initially recognised that prospective residents may be cared for under several different services within a hospital setting, depending on the hospital in question. There was insufficient granularity of data to apportion bed-days in a way which addressed this complexity, and this is noted as a limitation of the analysis. Instead, a representative service classification was sought to consistently monetise released capacity. </w:t>
      </w:r>
    </w:p>
    <w:p w14:paraId="5827CC9B" w14:textId="77777777" w:rsidR="005C6D73" w:rsidRDefault="005C6D73" w:rsidP="005C6D73">
      <w:r>
        <w:t>Given the length of time that the prospective resident would be hospitalised for under the base case, the admitted sub-acute episode type ‘</w:t>
      </w:r>
      <w:r w:rsidRPr="00ED51AB">
        <w:rPr>
          <w:i/>
          <w:iCs/>
        </w:rPr>
        <w:t>Admitted Psychogeriatric – Long term care</w:t>
      </w:r>
      <w:r>
        <w:t xml:space="preserve">’ was used. One year exceeded the upper bound length of stay for this episode type (200 days), and as a result the first 200 days are funded at the inlier price weight (NWAUs), with each remaining day funded at the long-stay outlier </w:t>
      </w:r>
      <w:r w:rsidRPr="00A70A4F">
        <w:rPr>
          <w:i/>
          <w:iCs/>
        </w:rPr>
        <w:t>per diem</w:t>
      </w:r>
      <w:r>
        <w:t xml:space="preserve"> rate. A total year funding value was calculated, and then divided by 365 to determine a weighted-average funding rate per bed-day. </w:t>
      </w:r>
    </w:p>
    <w:p w14:paraId="09E14A73" w14:textId="24C4357F" w:rsidR="005C6D73" w:rsidRDefault="000217E8" w:rsidP="005C6D73">
      <w:pPr>
        <w:spacing w:line="240" w:lineRule="auto"/>
      </w:pPr>
      <w:r>
        <w:fldChar w:fldCharType="begin"/>
      </w:r>
      <w:r>
        <w:instrText xml:space="preserve"> REF _Ref125368245 \h </w:instrText>
      </w:r>
      <w:r>
        <w:fldChar w:fldCharType="separate"/>
      </w:r>
      <w:r w:rsidR="00D32536">
        <w:t xml:space="preserve">Table B </w:t>
      </w:r>
      <w:r w:rsidR="00D32536">
        <w:rPr>
          <w:noProof/>
        </w:rPr>
        <w:t>1</w:t>
      </w:r>
      <w:r>
        <w:fldChar w:fldCharType="end"/>
      </w:r>
      <w:r w:rsidR="005C6D73">
        <w:t xml:space="preserve"> details the results of this assessment.</w:t>
      </w:r>
      <w:r w:rsidR="005C6D73">
        <w:rPr>
          <w:rStyle w:val="FootnoteReference"/>
        </w:rPr>
        <w:footnoteReference w:id="31"/>
      </w:r>
      <w:r w:rsidR="005C6D73">
        <w:t xml:space="preserve"> </w:t>
      </w:r>
      <w:r w:rsidR="005C6D73" w:rsidRPr="000B4892">
        <w:rPr>
          <w:rFonts w:asciiTheme="majorHAnsi" w:hAnsiTheme="majorHAnsi" w:cstheme="majorHAnsi"/>
          <w:b/>
        </w:rPr>
        <w:t>The long-stay psychogeriatric care capacity released over the duration of the Program was estimated to be valued at a PV of $35,297,967 in FY2019-20 dollars.</w:t>
      </w:r>
      <w:r w:rsidR="005C6D73">
        <w:t xml:space="preserve"> This is the largest benefit observed across both </w:t>
      </w:r>
      <w:r w:rsidR="00987B4B">
        <w:t>subgroups and</w:t>
      </w:r>
      <w:r w:rsidR="005C6D73">
        <w:t xml:space="preserve"> is greater than the sum of all other monetised benefits. </w:t>
      </w:r>
    </w:p>
    <w:p w14:paraId="22F1E616" w14:textId="06C2105F" w:rsidR="005C6D73" w:rsidRDefault="001D2192" w:rsidP="005C6D73">
      <w:pPr>
        <w:pStyle w:val="Caption"/>
      </w:pPr>
      <w:bookmarkStart w:id="112" w:name="_Ref125368245"/>
      <w:r>
        <w:t>Table</w:t>
      </w:r>
      <w:r w:rsidR="005C6D73">
        <w:t xml:space="preserve"> </w:t>
      </w:r>
      <w:r w:rsidR="00583DC8">
        <w:t>B</w:t>
      </w:r>
      <w:r w:rsidR="000217E8">
        <w:t xml:space="preserve"> </w:t>
      </w:r>
      <w:r w:rsidR="000217E8">
        <w:fldChar w:fldCharType="begin"/>
      </w:r>
      <w:r w:rsidR="000217E8">
        <w:instrText xml:space="preserve"> SEQ Table_C \* ARABIC </w:instrText>
      </w:r>
      <w:r w:rsidR="000217E8">
        <w:fldChar w:fldCharType="separate"/>
      </w:r>
      <w:r w:rsidR="00D32536">
        <w:rPr>
          <w:noProof/>
        </w:rPr>
        <w:t>1</w:t>
      </w:r>
      <w:r w:rsidR="000217E8">
        <w:fldChar w:fldCharType="end"/>
      </w:r>
      <w:bookmarkEnd w:id="112"/>
      <w:r w:rsidR="005C6D73">
        <w:t xml:space="preserve"> Released capacity – long stay psychogeriatric care (FY2019-20 dollars, real)</w:t>
      </w:r>
    </w:p>
    <w:tbl>
      <w:tblPr>
        <w:tblStyle w:val="Deloittetable"/>
        <w:tblW w:w="0" w:type="auto"/>
        <w:tblLook w:val="04A0" w:firstRow="1" w:lastRow="0" w:firstColumn="1" w:lastColumn="0" w:noHBand="0" w:noVBand="1"/>
      </w:tblPr>
      <w:tblGrid>
        <w:gridCol w:w="2835"/>
        <w:gridCol w:w="3261"/>
        <w:gridCol w:w="1275"/>
        <w:gridCol w:w="1276"/>
        <w:gridCol w:w="1305"/>
      </w:tblGrid>
      <w:tr w:rsidR="005C6D73" w14:paraId="174FC651" w14:textId="77777777" w:rsidTr="00DD51CD">
        <w:trPr>
          <w:cnfStyle w:val="100000000000" w:firstRow="1" w:lastRow="0" w:firstColumn="0" w:lastColumn="0" w:oddVBand="0" w:evenVBand="0" w:oddHBand="0" w:evenHBand="0" w:firstRowFirstColumn="0" w:firstRowLastColumn="0" w:lastRowFirstColumn="0" w:lastRowLastColumn="0"/>
        </w:trPr>
        <w:tc>
          <w:tcPr>
            <w:tcW w:w="2835" w:type="dxa"/>
          </w:tcPr>
          <w:p w14:paraId="35149855" w14:textId="77777777" w:rsidR="005C6D73" w:rsidRDefault="005C6D73" w:rsidP="00DD51CD">
            <w:pPr>
              <w:pStyle w:val="TableHeadingLeft"/>
              <w:spacing w:after="120"/>
            </w:pPr>
            <w:r>
              <w:t>Element</w:t>
            </w:r>
          </w:p>
        </w:tc>
        <w:tc>
          <w:tcPr>
            <w:tcW w:w="3261" w:type="dxa"/>
          </w:tcPr>
          <w:p w14:paraId="7224D383" w14:textId="77777777" w:rsidR="005C6D73" w:rsidRDefault="005C6D73" w:rsidP="00DD51CD">
            <w:pPr>
              <w:pStyle w:val="TableHeadingLeft"/>
              <w:spacing w:after="120"/>
              <w:jc w:val="right"/>
            </w:pPr>
            <w:r>
              <w:t>FY2018-19</w:t>
            </w:r>
          </w:p>
        </w:tc>
        <w:tc>
          <w:tcPr>
            <w:tcW w:w="1275" w:type="dxa"/>
          </w:tcPr>
          <w:p w14:paraId="09D3323E" w14:textId="77777777" w:rsidR="005C6D73" w:rsidRDefault="005C6D73" w:rsidP="00DD51CD">
            <w:pPr>
              <w:pStyle w:val="TableHeadingLeft"/>
              <w:spacing w:after="120"/>
              <w:jc w:val="right"/>
            </w:pPr>
            <w:r>
              <w:t>FY2019-20</w:t>
            </w:r>
          </w:p>
        </w:tc>
        <w:tc>
          <w:tcPr>
            <w:tcW w:w="1276" w:type="dxa"/>
          </w:tcPr>
          <w:p w14:paraId="063B2C80" w14:textId="77777777" w:rsidR="005C6D73" w:rsidRDefault="005C6D73" w:rsidP="00DD51CD">
            <w:pPr>
              <w:pStyle w:val="TableHeadingLeft"/>
              <w:spacing w:after="120"/>
              <w:jc w:val="right"/>
            </w:pPr>
            <w:r>
              <w:t xml:space="preserve">FY2020-21 </w:t>
            </w:r>
          </w:p>
        </w:tc>
        <w:tc>
          <w:tcPr>
            <w:tcW w:w="1305" w:type="dxa"/>
          </w:tcPr>
          <w:p w14:paraId="2726D1EA" w14:textId="77777777" w:rsidR="005C6D73" w:rsidRDefault="005C6D73" w:rsidP="00DD51CD">
            <w:pPr>
              <w:pStyle w:val="TableHeadingLeft"/>
              <w:spacing w:after="120"/>
              <w:jc w:val="right"/>
            </w:pPr>
            <w:r>
              <w:t xml:space="preserve">FY2021-22 </w:t>
            </w:r>
          </w:p>
        </w:tc>
      </w:tr>
      <w:tr w:rsidR="005C6D73" w14:paraId="60C4C84B" w14:textId="77777777" w:rsidTr="00DD51CD">
        <w:tc>
          <w:tcPr>
            <w:tcW w:w="2835" w:type="dxa"/>
          </w:tcPr>
          <w:p w14:paraId="6A77CFC4" w14:textId="77777777" w:rsidR="005C6D73" w:rsidRPr="004A7C34" w:rsidRDefault="005C6D73" w:rsidP="00DD51CD">
            <w:pPr>
              <w:rPr>
                <w:vertAlign w:val="superscript"/>
              </w:rPr>
            </w:pPr>
            <w:r>
              <w:t xml:space="preserve">Funding rate per occupied bed-day </w:t>
            </w:r>
          </w:p>
        </w:tc>
        <w:tc>
          <w:tcPr>
            <w:tcW w:w="3261" w:type="dxa"/>
          </w:tcPr>
          <w:p w14:paraId="116A70D7" w14:textId="77777777" w:rsidR="005C6D73" w:rsidRDefault="005C6D73" w:rsidP="00DD51CD">
            <w:pPr>
              <w:jc w:val="right"/>
            </w:pPr>
            <w:r>
              <w:t>-</w:t>
            </w:r>
          </w:p>
        </w:tc>
        <w:tc>
          <w:tcPr>
            <w:tcW w:w="1275" w:type="dxa"/>
          </w:tcPr>
          <w:p w14:paraId="3B77AB64" w14:textId="77777777" w:rsidR="005C6D73" w:rsidRPr="00CD59DA" w:rsidRDefault="005C6D73" w:rsidP="00DD51CD">
            <w:pPr>
              <w:jc w:val="right"/>
            </w:pPr>
            <w:r w:rsidRPr="00CD59DA">
              <w:t>$935</w:t>
            </w:r>
          </w:p>
        </w:tc>
        <w:tc>
          <w:tcPr>
            <w:tcW w:w="1276" w:type="dxa"/>
          </w:tcPr>
          <w:p w14:paraId="78F6F983" w14:textId="77777777" w:rsidR="005C6D73" w:rsidRPr="00CD59DA" w:rsidRDefault="005C6D73" w:rsidP="00DD51CD">
            <w:pPr>
              <w:jc w:val="right"/>
            </w:pPr>
            <w:r w:rsidRPr="00CD59DA">
              <w:t>$1,194</w:t>
            </w:r>
          </w:p>
        </w:tc>
        <w:tc>
          <w:tcPr>
            <w:tcW w:w="1305" w:type="dxa"/>
          </w:tcPr>
          <w:p w14:paraId="35CEFCCB" w14:textId="77777777" w:rsidR="005C6D73" w:rsidRPr="00CD59DA" w:rsidRDefault="005C6D73" w:rsidP="00DD51CD">
            <w:pPr>
              <w:jc w:val="right"/>
            </w:pPr>
            <w:r w:rsidRPr="00CD59DA">
              <w:t>$1,254</w:t>
            </w:r>
          </w:p>
        </w:tc>
      </w:tr>
      <w:tr w:rsidR="005C6D73" w14:paraId="5CF5153D" w14:textId="77777777" w:rsidTr="00DD51CD">
        <w:tc>
          <w:tcPr>
            <w:tcW w:w="2835" w:type="dxa"/>
          </w:tcPr>
          <w:p w14:paraId="7844C933" w14:textId="77777777" w:rsidR="005C6D73" w:rsidRPr="000B4892" w:rsidRDefault="005C6D73" w:rsidP="00DD51CD">
            <w:pPr>
              <w:rPr>
                <w:rFonts w:asciiTheme="majorHAnsi" w:hAnsiTheme="majorHAnsi" w:cstheme="majorHAnsi"/>
                <w:b/>
              </w:rPr>
            </w:pPr>
            <w:r w:rsidRPr="000B4892">
              <w:rPr>
                <w:rFonts w:asciiTheme="majorHAnsi" w:hAnsiTheme="majorHAnsi" w:cstheme="majorHAnsi"/>
                <w:b/>
              </w:rPr>
              <w:t>Value of released capacity</w:t>
            </w:r>
          </w:p>
        </w:tc>
        <w:tc>
          <w:tcPr>
            <w:tcW w:w="3261" w:type="dxa"/>
            <w:vAlign w:val="bottom"/>
          </w:tcPr>
          <w:p w14:paraId="01E78F36"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rPr>
              <w:t>-</w:t>
            </w:r>
          </w:p>
        </w:tc>
        <w:tc>
          <w:tcPr>
            <w:tcW w:w="1275" w:type="dxa"/>
            <w:vAlign w:val="bottom"/>
          </w:tcPr>
          <w:p w14:paraId="2B6DAA77"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rPr>
              <w:t>$3,444,004</w:t>
            </w:r>
          </w:p>
        </w:tc>
        <w:tc>
          <w:tcPr>
            <w:tcW w:w="1276" w:type="dxa"/>
            <w:vAlign w:val="bottom"/>
          </w:tcPr>
          <w:p w14:paraId="29315247"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rPr>
              <w:t>$16,657,698</w:t>
            </w:r>
          </w:p>
        </w:tc>
        <w:tc>
          <w:tcPr>
            <w:tcW w:w="1305" w:type="dxa"/>
            <w:vAlign w:val="bottom"/>
          </w:tcPr>
          <w:p w14:paraId="642E3D5D"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rPr>
              <w:t>$17,628,411</w:t>
            </w:r>
          </w:p>
        </w:tc>
      </w:tr>
    </w:tbl>
    <w:p w14:paraId="413CBA0C" w14:textId="77777777" w:rsidR="005C6D73" w:rsidRDefault="005C6D73" w:rsidP="005C6D73">
      <w:pPr>
        <w:pStyle w:val="SourcetextTableorChart"/>
        <w:spacing w:after="120"/>
      </w:pPr>
      <w:r>
        <w:t xml:space="preserve">Source: Deloitte Access Economics calculations. </w:t>
      </w:r>
    </w:p>
    <w:p w14:paraId="51BA45FC" w14:textId="77777777" w:rsidR="005C6D73" w:rsidRDefault="005C6D73" w:rsidP="00ED40C0">
      <w:pPr>
        <w:pStyle w:val="Heading3"/>
        <w:numPr>
          <w:ilvl w:val="0"/>
          <w:numId w:val="0"/>
        </w:numPr>
        <w:spacing w:after="0"/>
        <w:ind w:left="720" w:hanging="720"/>
      </w:pPr>
      <w:r>
        <w:t>Reduction in BPSD-related ED presentations (Subgroup B)</w:t>
      </w:r>
    </w:p>
    <w:p w14:paraId="2C316FCD" w14:textId="3F14E5CC" w:rsidR="005C6D73" w:rsidRDefault="005C6D73" w:rsidP="005C6D73">
      <w:r>
        <w:t>Monetised benefits associated with a reduction in BPSD-related ED presentations is dependent on being able to estimate the incremental change in the number of presentations between the base case (a mainstream RACF) and the Program. Given the innovative nature of the model of care, to generate these estimates a series of detailed questions were asked in the Program staff survey. Questions were asked regarding respondent’s views on the number of annual ED presentations avoided, the likelihood that the avoided ED presentation would have resulted in an unplanned admission, and typical lengths of stay for BPSD-related unplanned admissions. Survey analysis found that on an annual basis, approximately 3.67 ED presentations were estimated to be avoided, with 78</w:t>
      </w:r>
      <w:r w:rsidR="002C3559">
        <w:t>%</w:t>
      </w:r>
      <w:r>
        <w:t xml:space="preserve"> of BPSD-related ED presentations estimated to lead to unplanned admissions.</w:t>
      </w:r>
      <w:r>
        <w:rPr>
          <w:rStyle w:val="FootnoteReference"/>
        </w:rPr>
        <w:footnoteReference w:id="32"/>
      </w:r>
      <w:r>
        <w:t xml:space="preserve"> Thus, 3.67 avoided ED presentations were assigned for every 365 bed-days.</w:t>
      </w:r>
    </w:p>
    <w:p w14:paraId="7F9AD1FA" w14:textId="77777777" w:rsidR="005C6D73" w:rsidRDefault="005C6D73" w:rsidP="005C6D73">
      <w:r>
        <w:t>Monetisation of this benefit involved two different classification systems over the modelled period, Urgency Related Groups between FY2019-20 to FY2020-21, and the Australian Emergency Care Classification in FY2021-22. Urgency Related Group coding classifies episodes by triage category, episode end status (including admitted/not admitted) and major diagnostic block. For these years, a weighted average funding rate was calculated based on the proportion admitted versus non-admitted, with a triage category 2 psychiatric illness. For FY2021-22, the episode type ‘</w:t>
      </w:r>
      <w:r w:rsidRPr="0063472A">
        <w:rPr>
          <w:i/>
          <w:iCs/>
        </w:rPr>
        <w:t>Dementia and other chronic brain syndromes Complexity A</w:t>
      </w:r>
      <w:r>
        <w:t>’ was selected.</w:t>
      </w:r>
    </w:p>
    <w:p w14:paraId="71766119" w14:textId="02C85BFB" w:rsidR="005C6D73" w:rsidRPr="000B4892" w:rsidRDefault="000217E8" w:rsidP="005C6D73">
      <w:pPr>
        <w:spacing w:after="0" w:line="240" w:lineRule="auto"/>
        <w:rPr>
          <w:rFonts w:asciiTheme="majorHAnsi" w:eastAsia="Times New Roman" w:hAnsiTheme="majorHAnsi" w:cstheme="majorHAnsi"/>
          <w:color w:val="000000"/>
          <w:sz w:val="22"/>
          <w:lang w:val="en-AU" w:eastAsia="en-AU"/>
        </w:rPr>
      </w:pPr>
      <w:r>
        <w:fldChar w:fldCharType="begin"/>
      </w:r>
      <w:r>
        <w:instrText xml:space="preserve"> REF _Ref125368257 \h </w:instrText>
      </w:r>
      <w:r>
        <w:fldChar w:fldCharType="separate"/>
      </w:r>
      <w:r w:rsidR="00D32536">
        <w:t xml:space="preserve">Table B </w:t>
      </w:r>
      <w:r w:rsidR="00D32536">
        <w:rPr>
          <w:noProof/>
        </w:rPr>
        <w:t>2</w:t>
      </w:r>
      <w:r>
        <w:fldChar w:fldCharType="end"/>
      </w:r>
      <w:r w:rsidR="005C6D73">
        <w:t xml:space="preserve"> details the results of this assessment.</w:t>
      </w:r>
      <w:r w:rsidR="005C6D73">
        <w:rPr>
          <w:rStyle w:val="FootnoteReference"/>
        </w:rPr>
        <w:footnoteReference w:id="33"/>
      </w:r>
      <w:r w:rsidR="005C6D73" w:rsidRPr="004854EF">
        <w:rPr>
          <w:b/>
          <w:bCs/>
        </w:rPr>
        <w:t xml:space="preserve"> </w:t>
      </w:r>
      <w:r w:rsidR="005C6D73" w:rsidRPr="000B4892">
        <w:rPr>
          <w:rFonts w:asciiTheme="majorHAnsi" w:hAnsiTheme="majorHAnsi" w:cstheme="majorHAnsi"/>
          <w:b/>
        </w:rPr>
        <w:t>Avoided ED presentations over the duration of the Program were estimated to be valued at a PV</w:t>
      </w:r>
      <w:r w:rsidR="005C6D73" w:rsidRPr="000B4892">
        <w:rPr>
          <w:rFonts w:asciiTheme="majorHAnsi" w:hAnsiTheme="majorHAnsi" w:cstheme="majorHAnsi"/>
        </w:rPr>
        <w:t xml:space="preserve"> </w:t>
      </w:r>
      <w:r w:rsidR="005C6D73" w:rsidRPr="000B4892">
        <w:rPr>
          <w:rFonts w:asciiTheme="majorHAnsi" w:hAnsiTheme="majorHAnsi" w:cstheme="majorHAnsi"/>
          <w:b/>
        </w:rPr>
        <w:t xml:space="preserve">of $ $306,368 in FY2019-20 dollars. </w:t>
      </w:r>
    </w:p>
    <w:p w14:paraId="6577F0E5" w14:textId="77777777" w:rsidR="005C6D73" w:rsidRPr="005552E5" w:rsidRDefault="005C6D73" w:rsidP="005C6D73">
      <w:pPr>
        <w:spacing w:after="0" w:line="240" w:lineRule="auto"/>
        <w:rPr>
          <w:rFonts w:ascii="Calibri" w:eastAsia="Times New Roman" w:hAnsi="Calibri" w:cs="Calibri"/>
          <w:color w:val="000000"/>
          <w:sz w:val="22"/>
          <w:lang w:val="en-AU" w:eastAsia="en-AU"/>
        </w:rPr>
      </w:pPr>
    </w:p>
    <w:p w14:paraId="456161EC" w14:textId="739C6FFC" w:rsidR="005C6D73" w:rsidRDefault="001D2192" w:rsidP="005C6D73">
      <w:pPr>
        <w:pStyle w:val="Caption"/>
      </w:pPr>
      <w:bookmarkStart w:id="113" w:name="_Ref125368257"/>
      <w:r>
        <w:t>Table</w:t>
      </w:r>
      <w:r w:rsidR="005C6D73">
        <w:t xml:space="preserve"> </w:t>
      </w:r>
      <w:r w:rsidR="00583DC8">
        <w:t>B</w:t>
      </w:r>
      <w:r w:rsidR="000217E8">
        <w:t xml:space="preserve"> </w:t>
      </w:r>
      <w:r w:rsidR="000217E8">
        <w:fldChar w:fldCharType="begin"/>
      </w:r>
      <w:r w:rsidR="000217E8">
        <w:instrText xml:space="preserve"> SEQ Table_C \* ARABIC </w:instrText>
      </w:r>
      <w:r w:rsidR="000217E8">
        <w:fldChar w:fldCharType="separate"/>
      </w:r>
      <w:r w:rsidR="00D32536">
        <w:rPr>
          <w:noProof/>
        </w:rPr>
        <w:t>2</w:t>
      </w:r>
      <w:r w:rsidR="000217E8">
        <w:fldChar w:fldCharType="end"/>
      </w:r>
      <w:bookmarkEnd w:id="113"/>
      <w:r w:rsidR="005C6D73">
        <w:t xml:space="preserve"> Avoided ED presentations (FY2019-20 dollars, real)</w:t>
      </w:r>
    </w:p>
    <w:tbl>
      <w:tblPr>
        <w:tblStyle w:val="Deloittetable"/>
        <w:tblW w:w="0" w:type="auto"/>
        <w:tblLook w:val="04A0" w:firstRow="1" w:lastRow="0" w:firstColumn="1" w:lastColumn="0" w:noHBand="0" w:noVBand="1"/>
      </w:tblPr>
      <w:tblGrid>
        <w:gridCol w:w="4678"/>
        <w:gridCol w:w="1701"/>
        <w:gridCol w:w="1276"/>
        <w:gridCol w:w="1134"/>
        <w:gridCol w:w="1163"/>
      </w:tblGrid>
      <w:tr w:rsidR="005C6D73" w14:paraId="72E87A62" w14:textId="77777777" w:rsidTr="00DD51CD">
        <w:trPr>
          <w:cnfStyle w:val="100000000000" w:firstRow="1" w:lastRow="0" w:firstColumn="0" w:lastColumn="0" w:oddVBand="0" w:evenVBand="0" w:oddHBand="0" w:evenHBand="0" w:firstRowFirstColumn="0" w:firstRowLastColumn="0" w:lastRowFirstColumn="0" w:lastRowLastColumn="0"/>
        </w:trPr>
        <w:tc>
          <w:tcPr>
            <w:tcW w:w="4678" w:type="dxa"/>
          </w:tcPr>
          <w:p w14:paraId="43F687AE" w14:textId="77777777" w:rsidR="005C6D73" w:rsidRDefault="005C6D73" w:rsidP="00DD51CD">
            <w:pPr>
              <w:pStyle w:val="TableHeadingLeft"/>
              <w:spacing w:after="120"/>
            </w:pPr>
            <w:r>
              <w:t>Element</w:t>
            </w:r>
          </w:p>
        </w:tc>
        <w:tc>
          <w:tcPr>
            <w:tcW w:w="1701" w:type="dxa"/>
          </w:tcPr>
          <w:p w14:paraId="63BFFC18" w14:textId="77777777" w:rsidR="005C6D73" w:rsidRDefault="005C6D73" w:rsidP="00DD51CD">
            <w:pPr>
              <w:pStyle w:val="TableHeadingLeft"/>
              <w:spacing w:after="120"/>
              <w:jc w:val="right"/>
            </w:pPr>
            <w:r>
              <w:t>FY2018-19</w:t>
            </w:r>
          </w:p>
        </w:tc>
        <w:tc>
          <w:tcPr>
            <w:tcW w:w="1276" w:type="dxa"/>
          </w:tcPr>
          <w:p w14:paraId="57371569" w14:textId="77777777" w:rsidR="005C6D73" w:rsidRDefault="005C6D73" w:rsidP="00DD51CD">
            <w:pPr>
              <w:pStyle w:val="TableHeadingLeft"/>
              <w:spacing w:after="120"/>
              <w:jc w:val="right"/>
            </w:pPr>
            <w:r>
              <w:t>FY2019-20</w:t>
            </w:r>
          </w:p>
        </w:tc>
        <w:tc>
          <w:tcPr>
            <w:tcW w:w="1134" w:type="dxa"/>
          </w:tcPr>
          <w:p w14:paraId="773D3E2C" w14:textId="77777777" w:rsidR="005C6D73" w:rsidRDefault="005C6D73" w:rsidP="00DD51CD">
            <w:pPr>
              <w:pStyle w:val="TableHeadingLeft"/>
              <w:spacing w:after="120"/>
              <w:jc w:val="right"/>
            </w:pPr>
            <w:r>
              <w:t xml:space="preserve">FY2020-21 </w:t>
            </w:r>
          </w:p>
        </w:tc>
        <w:tc>
          <w:tcPr>
            <w:tcW w:w="1163" w:type="dxa"/>
          </w:tcPr>
          <w:p w14:paraId="038726CF" w14:textId="77777777" w:rsidR="005C6D73" w:rsidRDefault="005C6D73" w:rsidP="00DD51CD">
            <w:pPr>
              <w:pStyle w:val="TableHeadingLeft"/>
              <w:spacing w:after="120"/>
              <w:jc w:val="right"/>
            </w:pPr>
            <w:r>
              <w:t xml:space="preserve">FY2021-22 </w:t>
            </w:r>
          </w:p>
        </w:tc>
      </w:tr>
      <w:tr w:rsidR="005C6D73" w14:paraId="3659287B" w14:textId="77777777" w:rsidTr="00DD51CD">
        <w:tc>
          <w:tcPr>
            <w:tcW w:w="4678" w:type="dxa"/>
          </w:tcPr>
          <w:p w14:paraId="5BAC01BA" w14:textId="77777777" w:rsidR="005C6D73" w:rsidRDefault="005C6D73" w:rsidP="00DD51CD">
            <w:r>
              <w:t xml:space="preserve">Number of ED presentations avoided, overall </w:t>
            </w:r>
          </w:p>
        </w:tc>
        <w:tc>
          <w:tcPr>
            <w:tcW w:w="1701" w:type="dxa"/>
          </w:tcPr>
          <w:p w14:paraId="70CB2DC9" w14:textId="77777777" w:rsidR="005C6D73" w:rsidRDefault="005C6D73" w:rsidP="00DD51CD">
            <w:pPr>
              <w:jc w:val="right"/>
            </w:pPr>
            <w:r>
              <w:t>-</w:t>
            </w:r>
          </w:p>
        </w:tc>
        <w:tc>
          <w:tcPr>
            <w:tcW w:w="1276" w:type="dxa"/>
          </w:tcPr>
          <w:p w14:paraId="3DA86378" w14:textId="77777777" w:rsidR="005C6D73" w:rsidRPr="00B31383" w:rsidRDefault="005C6D73" w:rsidP="00DD51CD">
            <w:pPr>
              <w:jc w:val="right"/>
            </w:pPr>
            <w:r w:rsidRPr="00B31383">
              <w:t>30</w:t>
            </w:r>
          </w:p>
        </w:tc>
        <w:tc>
          <w:tcPr>
            <w:tcW w:w="1134" w:type="dxa"/>
          </w:tcPr>
          <w:p w14:paraId="7FFCB859" w14:textId="77777777" w:rsidR="005C6D73" w:rsidRPr="00B31383" w:rsidRDefault="005C6D73" w:rsidP="00DD51CD">
            <w:pPr>
              <w:jc w:val="right"/>
            </w:pPr>
            <w:r w:rsidRPr="00B31383">
              <w:t>115</w:t>
            </w:r>
          </w:p>
        </w:tc>
        <w:tc>
          <w:tcPr>
            <w:tcW w:w="1163" w:type="dxa"/>
          </w:tcPr>
          <w:p w14:paraId="1D3932A8" w14:textId="77777777" w:rsidR="005C6D73" w:rsidRPr="00B31383" w:rsidRDefault="005C6D73" w:rsidP="00DD51CD">
            <w:pPr>
              <w:jc w:val="right"/>
            </w:pPr>
            <w:r w:rsidRPr="00B31383">
              <w:t>116</w:t>
            </w:r>
          </w:p>
        </w:tc>
      </w:tr>
      <w:tr w:rsidR="005C6D73" w14:paraId="3104ECE0" w14:textId="77777777" w:rsidTr="00DD51CD">
        <w:tc>
          <w:tcPr>
            <w:tcW w:w="4678" w:type="dxa"/>
          </w:tcPr>
          <w:p w14:paraId="1572BB2C" w14:textId="77777777" w:rsidR="005C6D73" w:rsidRPr="004A7C34" w:rsidRDefault="005C6D73" w:rsidP="00DD51CD">
            <w:pPr>
              <w:rPr>
                <w:vertAlign w:val="superscript"/>
              </w:rPr>
            </w:pPr>
            <w:r>
              <w:t>Weighted average funding per ED presentation</w:t>
            </w:r>
            <w:r>
              <w:rPr>
                <w:rStyle w:val="FootnoteReference"/>
              </w:rPr>
              <w:footnoteReference w:id="34"/>
            </w:r>
          </w:p>
        </w:tc>
        <w:tc>
          <w:tcPr>
            <w:tcW w:w="1701" w:type="dxa"/>
          </w:tcPr>
          <w:p w14:paraId="6D833B35" w14:textId="77777777" w:rsidR="005C6D73" w:rsidRDefault="005C6D73" w:rsidP="00DD51CD">
            <w:pPr>
              <w:jc w:val="right"/>
            </w:pPr>
            <w:r>
              <w:t>-</w:t>
            </w:r>
          </w:p>
        </w:tc>
        <w:tc>
          <w:tcPr>
            <w:tcW w:w="1276" w:type="dxa"/>
          </w:tcPr>
          <w:p w14:paraId="5E83513F" w14:textId="77777777" w:rsidR="005C6D73" w:rsidRPr="00B31383" w:rsidRDefault="005C6D73" w:rsidP="00DD51CD">
            <w:pPr>
              <w:jc w:val="right"/>
            </w:pPr>
            <w:r w:rsidRPr="00B31383">
              <w:t>$1,232</w:t>
            </w:r>
          </w:p>
        </w:tc>
        <w:tc>
          <w:tcPr>
            <w:tcW w:w="1134" w:type="dxa"/>
          </w:tcPr>
          <w:p w14:paraId="6ED0B46D" w14:textId="77777777" w:rsidR="005C6D73" w:rsidRPr="00B31383" w:rsidRDefault="005C6D73" w:rsidP="00DD51CD">
            <w:pPr>
              <w:jc w:val="right"/>
            </w:pPr>
            <w:r w:rsidRPr="00B31383">
              <w:t>$1,283</w:t>
            </w:r>
          </w:p>
        </w:tc>
        <w:tc>
          <w:tcPr>
            <w:tcW w:w="1163" w:type="dxa"/>
          </w:tcPr>
          <w:p w14:paraId="57A6B1EE" w14:textId="77777777" w:rsidR="005C6D73" w:rsidRPr="00B31383" w:rsidRDefault="005C6D73" w:rsidP="00DD51CD">
            <w:pPr>
              <w:jc w:val="right"/>
            </w:pPr>
            <w:r w:rsidRPr="00B31383">
              <w:t>$1,229</w:t>
            </w:r>
          </w:p>
        </w:tc>
      </w:tr>
      <w:tr w:rsidR="005C6D73" w14:paraId="66322179" w14:textId="77777777" w:rsidTr="00DD51CD">
        <w:tc>
          <w:tcPr>
            <w:tcW w:w="4678" w:type="dxa"/>
          </w:tcPr>
          <w:p w14:paraId="2500190E" w14:textId="77777777" w:rsidR="005C6D73" w:rsidRPr="000B4892" w:rsidRDefault="005C6D73" w:rsidP="00DD51CD">
            <w:pPr>
              <w:rPr>
                <w:rFonts w:asciiTheme="majorHAnsi" w:hAnsiTheme="majorHAnsi" w:cstheme="majorHAnsi"/>
                <w:b/>
              </w:rPr>
            </w:pPr>
            <w:r w:rsidRPr="000B4892">
              <w:rPr>
                <w:rFonts w:asciiTheme="majorHAnsi" w:hAnsiTheme="majorHAnsi" w:cstheme="majorHAnsi"/>
                <w:b/>
              </w:rPr>
              <w:t>Value of avoided ED presentations</w:t>
            </w:r>
          </w:p>
        </w:tc>
        <w:tc>
          <w:tcPr>
            <w:tcW w:w="1701" w:type="dxa"/>
          </w:tcPr>
          <w:p w14:paraId="0FCDF319"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rPr>
              <w:t>-</w:t>
            </w:r>
          </w:p>
        </w:tc>
        <w:tc>
          <w:tcPr>
            <w:tcW w:w="1276" w:type="dxa"/>
          </w:tcPr>
          <w:p w14:paraId="6AF3C4B8"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rPr>
              <w:t>$37,345</w:t>
            </w:r>
          </w:p>
        </w:tc>
        <w:tc>
          <w:tcPr>
            <w:tcW w:w="1134" w:type="dxa"/>
          </w:tcPr>
          <w:p w14:paraId="24CEC15A"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rPr>
              <w:t>$147,169</w:t>
            </w:r>
          </w:p>
        </w:tc>
        <w:tc>
          <w:tcPr>
            <w:tcW w:w="1163" w:type="dxa"/>
          </w:tcPr>
          <w:p w14:paraId="2ADC72F0"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rPr>
              <w:t>$142,071</w:t>
            </w:r>
          </w:p>
        </w:tc>
      </w:tr>
    </w:tbl>
    <w:p w14:paraId="2C3B1951" w14:textId="77777777" w:rsidR="005C6D73" w:rsidRDefault="005C6D73" w:rsidP="005C6D73">
      <w:pPr>
        <w:pStyle w:val="SourcetextTableorChart"/>
        <w:spacing w:after="120"/>
      </w:pPr>
      <w:r>
        <w:t xml:space="preserve">Source: Deloitte Access Economics calculations. </w:t>
      </w:r>
    </w:p>
    <w:p w14:paraId="724703A7" w14:textId="77777777" w:rsidR="005C6D73" w:rsidRDefault="005C6D73" w:rsidP="008D083E">
      <w:pPr>
        <w:pStyle w:val="Heading3"/>
        <w:numPr>
          <w:ilvl w:val="0"/>
          <w:numId w:val="0"/>
        </w:numPr>
        <w:spacing w:after="0"/>
        <w:ind w:left="720" w:hanging="720"/>
      </w:pPr>
      <w:r>
        <w:t>Reduction in BPSD-related unplanned admissions (Subgroup B)</w:t>
      </w:r>
    </w:p>
    <w:p w14:paraId="7D376FA8" w14:textId="42E03998" w:rsidR="005C6D73" w:rsidRDefault="005C6D73" w:rsidP="005C6D73">
      <w:r>
        <w:t xml:space="preserve">As described </w:t>
      </w:r>
      <w:r w:rsidR="00E22E97">
        <w:t>above</w:t>
      </w:r>
      <w:r>
        <w:t>, quantification of this benefit was based on the number of avoided ED presentations per 365 occupied bed-days, and the proportion of ED presentations that were estimated to end in an unplanned admission. Survey respondents estimated the average length of stay for an unplanned admission of this type to be 19 days. This is observed to be longer than AIHW analysis which estimated an average length of stay of 13 days in FY2020-21 for dementia as a principal diagnosis.</w:t>
      </w:r>
      <w:r>
        <w:rPr>
          <w:rStyle w:val="FootnoteReference"/>
        </w:rPr>
        <w:footnoteReference w:id="35"/>
      </w:r>
      <w:r>
        <w:t xml:space="preserve"> However, the severity of this cohort in comparison to the broader dementia cohort was theorised to contribute to this result. The benefit was monetised using the Diagnostic Related Group (DRG) classification ‘</w:t>
      </w:r>
      <w:r w:rsidRPr="0097662D">
        <w:rPr>
          <w:i/>
          <w:iCs/>
        </w:rPr>
        <w:t>Dementia and Other Chronic Disturbances of Cerebral Function, Major Complexity</w:t>
      </w:r>
      <w:r>
        <w:t xml:space="preserve">’. A </w:t>
      </w:r>
      <w:r w:rsidR="00987B4B">
        <w:t>19-</w:t>
      </w:r>
      <w:r>
        <w:t>day length-of-stay was within the inlier range for this classification, and therefore the episode was priced at the inlier price weight (NWAUs).</w:t>
      </w:r>
    </w:p>
    <w:p w14:paraId="52C37F42" w14:textId="431B7F43" w:rsidR="005C6D73" w:rsidRPr="00BA581C" w:rsidRDefault="000217E8" w:rsidP="005C6D73">
      <w:pPr>
        <w:spacing w:after="0" w:line="240" w:lineRule="auto"/>
        <w:rPr>
          <w:rFonts w:ascii="Calibri" w:eastAsia="Times New Roman" w:hAnsi="Calibri" w:cs="Calibri"/>
          <w:color w:val="000000"/>
          <w:sz w:val="22"/>
          <w:lang w:val="en-AU" w:eastAsia="en-AU"/>
        </w:rPr>
      </w:pPr>
      <w:r>
        <w:fldChar w:fldCharType="begin"/>
      </w:r>
      <w:r>
        <w:instrText xml:space="preserve"> REF _Ref125368269 \h </w:instrText>
      </w:r>
      <w:r>
        <w:fldChar w:fldCharType="separate"/>
      </w:r>
      <w:r w:rsidR="00D32536">
        <w:t xml:space="preserve">Table B </w:t>
      </w:r>
      <w:r w:rsidR="00D32536">
        <w:rPr>
          <w:noProof/>
        </w:rPr>
        <w:t>3</w:t>
      </w:r>
      <w:r>
        <w:fldChar w:fldCharType="end"/>
      </w:r>
      <w:r w:rsidR="005C6D73">
        <w:t xml:space="preserve"> details the results of this assessment.</w:t>
      </w:r>
      <w:r w:rsidR="005C6D73">
        <w:rPr>
          <w:rStyle w:val="FootnoteReference"/>
        </w:rPr>
        <w:footnoteReference w:id="36"/>
      </w:r>
      <w:r w:rsidR="005C6D73" w:rsidRPr="004854EF">
        <w:rPr>
          <w:b/>
          <w:bCs/>
        </w:rPr>
        <w:t xml:space="preserve"> </w:t>
      </w:r>
      <w:r w:rsidR="005C6D73" w:rsidRPr="000B4892">
        <w:rPr>
          <w:rFonts w:asciiTheme="majorHAnsi" w:hAnsiTheme="majorHAnsi" w:cstheme="majorHAnsi"/>
          <w:b/>
        </w:rPr>
        <w:t>Avoided unplanned admissions over the Program duration were valued at a PV of $3,490,867 in FY2019-20 dollars.</w:t>
      </w:r>
      <w:r w:rsidR="005C6D73">
        <w:rPr>
          <w:b/>
          <w:bCs/>
        </w:rPr>
        <w:t xml:space="preserve"> </w:t>
      </w:r>
    </w:p>
    <w:p w14:paraId="30F5F14D" w14:textId="77777777" w:rsidR="005C6D73" w:rsidRPr="00E7409B" w:rsidRDefault="005C6D73" w:rsidP="005C6D73">
      <w:pPr>
        <w:spacing w:after="0" w:line="240" w:lineRule="auto"/>
        <w:rPr>
          <w:b/>
        </w:rPr>
      </w:pPr>
    </w:p>
    <w:p w14:paraId="6636E725" w14:textId="4D09B306" w:rsidR="005C6D73" w:rsidRDefault="001D2192" w:rsidP="005C6D73">
      <w:pPr>
        <w:pStyle w:val="Caption"/>
      </w:pPr>
      <w:bookmarkStart w:id="114" w:name="_Ref125368269"/>
      <w:r>
        <w:t>Table</w:t>
      </w:r>
      <w:r w:rsidR="005C6D73">
        <w:t xml:space="preserve"> </w:t>
      </w:r>
      <w:r w:rsidR="00583DC8">
        <w:t>B</w:t>
      </w:r>
      <w:r w:rsidR="000217E8">
        <w:t xml:space="preserve"> </w:t>
      </w:r>
      <w:r w:rsidR="000217E8">
        <w:fldChar w:fldCharType="begin"/>
      </w:r>
      <w:r w:rsidR="000217E8">
        <w:instrText xml:space="preserve"> SEQ Table_C \* ARABIC </w:instrText>
      </w:r>
      <w:r w:rsidR="000217E8">
        <w:fldChar w:fldCharType="separate"/>
      </w:r>
      <w:r w:rsidR="00D32536">
        <w:rPr>
          <w:noProof/>
        </w:rPr>
        <w:t>3</w:t>
      </w:r>
      <w:r w:rsidR="000217E8">
        <w:fldChar w:fldCharType="end"/>
      </w:r>
      <w:bookmarkEnd w:id="114"/>
      <w:r w:rsidR="005C6D73">
        <w:t xml:space="preserve"> Avoided unplanned admissions (FY2019-20 dollars, real)</w:t>
      </w:r>
    </w:p>
    <w:tbl>
      <w:tblPr>
        <w:tblStyle w:val="Deloittetable"/>
        <w:tblW w:w="0" w:type="auto"/>
        <w:tblLook w:val="04A0" w:firstRow="1" w:lastRow="0" w:firstColumn="1" w:lastColumn="0" w:noHBand="0" w:noVBand="1"/>
      </w:tblPr>
      <w:tblGrid>
        <w:gridCol w:w="4678"/>
        <w:gridCol w:w="1418"/>
        <w:gridCol w:w="1417"/>
        <w:gridCol w:w="1134"/>
        <w:gridCol w:w="1305"/>
      </w:tblGrid>
      <w:tr w:rsidR="005C6D73" w14:paraId="2174B8A3" w14:textId="77777777" w:rsidTr="00DD51CD">
        <w:trPr>
          <w:cnfStyle w:val="100000000000" w:firstRow="1" w:lastRow="0" w:firstColumn="0" w:lastColumn="0" w:oddVBand="0" w:evenVBand="0" w:oddHBand="0" w:evenHBand="0" w:firstRowFirstColumn="0" w:firstRowLastColumn="0" w:lastRowFirstColumn="0" w:lastRowLastColumn="0"/>
        </w:trPr>
        <w:tc>
          <w:tcPr>
            <w:tcW w:w="4678" w:type="dxa"/>
          </w:tcPr>
          <w:p w14:paraId="634E5DEA" w14:textId="77777777" w:rsidR="005C6D73" w:rsidRDefault="005C6D73" w:rsidP="00DD51CD">
            <w:pPr>
              <w:pStyle w:val="TableHeadingLeft"/>
              <w:keepNext/>
              <w:spacing w:after="120"/>
            </w:pPr>
            <w:r>
              <w:t>Element</w:t>
            </w:r>
          </w:p>
        </w:tc>
        <w:tc>
          <w:tcPr>
            <w:tcW w:w="1418" w:type="dxa"/>
          </w:tcPr>
          <w:p w14:paraId="5075D44A" w14:textId="77777777" w:rsidR="005C6D73" w:rsidRDefault="005C6D73" w:rsidP="00DD51CD">
            <w:pPr>
              <w:pStyle w:val="TableHeadingLeft"/>
              <w:keepNext/>
              <w:spacing w:after="120"/>
              <w:jc w:val="right"/>
            </w:pPr>
            <w:r>
              <w:t>FY2018-19</w:t>
            </w:r>
          </w:p>
        </w:tc>
        <w:tc>
          <w:tcPr>
            <w:tcW w:w="1417" w:type="dxa"/>
          </w:tcPr>
          <w:p w14:paraId="535E0581" w14:textId="77777777" w:rsidR="005C6D73" w:rsidRDefault="005C6D73" w:rsidP="00DD51CD">
            <w:pPr>
              <w:pStyle w:val="TableHeadingLeft"/>
              <w:keepNext/>
              <w:spacing w:after="120"/>
              <w:jc w:val="right"/>
            </w:pPr>
            <w:r>
              <w:t>FY2019-20</w:t>
            </w:r>
          </w:p>
        </w:tc>
        <w:tc>
          <w:tcPr>
            <w:tcW w:w="1134" w:type="dxa"/>
          </w:tcPr>
          <w:p w14:paraId="590611E9" w14:textId="77777777" w:rsidR="005C6D73" w:rsidRDefault="005C6D73" w:rsidP="00DD51CD">
            <w:pPr>
              <w:pStyle w:val="TableHeadingLeft"/>
              <w:keepNext/>
              <w:spacing w:after="120"/>
              <w:jc w:val="right"/>
            </w:pPr>
            <w:r>
              <w:t xml:space="preserve">FY2020-21 </w:t>
            </w:r>
          </w:p>
        </w:tc>
        <w:tc>
          <w:tcPr>
            <w:tcW w:w="1305" w:type="dxa"/>
          </w:tcPr>
          <w:p w14:paraId="58E9EEA3" w14:textId="77777777" w:rsidR="005C6D73" w:rsidRDefault="005C6D73" w:rsidP="00DD51CD">
            <w:pPr>
              <w:pStyle w:val="TableHeadingLeft"/>
              <w:keepNext/>
              <w:spacing w:after="120"/>
              <w:jc w:val="right"/>
            </w:pPr>
            <w:r>
              <w:t xml:space="preserve">FY2021-22 </w:t>
            </w:r>
          </w:p>
        </w:tc>
      </w:tr>
      <w:tr w:rsidR="005C6D73" w14:paraId="4C529580" w14:textId="77777777" w:rsidTr="00DD51CD">
        <w:tc>
          <w:tcPr>
            <w:tcW w:w="4678" w:type="dxa"/>
          </w:tcPr>
          <w:p w14:paraId="15DBFB64" w14:textId="77777777" w:rsidR="005C6D73" w:rsidRDefault="005C6D73" w:rsidP="00DD51CD">
            <w:pPr>
              <w:keepNext/>
            </w:pPr>
            <w:r>
              <w:t>Number of unplanned admissions avoided, overall</w:t>
            </w:r>
          </w:p>
        </w:tc>
        <w:tc>
          <w:tcPr>
            <w:tcW w:w="1418" w:type="dxa"/>
            <w:vAlign w:val="bottom"/>
          </w:tcPr>
          <w:p w14:paraId="3347EB51" w14:textId="77777777" w:rsidR="005C6D73" w:rsidRDefault="005C6D73" w:rsidP="000B4892">
            <w:pPr>
              <w:keepNext/>
            </w:pPr>
            <w:r w:rsidRPr="000B4892">
              <w:t>-</w:t>
            </w:r>
          </w:p>
        </w:tc>
        <w:tc>
          <w:tcPr>
            <w:tcW w:w="1417" w:type="dxa"/>
            <w:vAlign w:val="bottom"/>
          </w:tcPr>
          <w:p w14:paraId="691B60E8" w14:textId="77777777" w:rsidR="005C6D73" w:rsidRPr="000B4892" w:rsidRDefault="005C6D73" w:rsidP="003634F6">
            <w:pPr>
              <w:keepNext/>
              <w:jc w:val="right"/>
            </w:pPr>
            <w:r w:rsidRPr="000B4892">
              <w:t>24</w:t>
            </w:r>
          </w:p>
        </w:tc>
        <w:tc>
          <w:tcPr>
            <w:tcW w:w="1134" w:type="dxa"/>
            <w:vAlign w:val="bottom"/>
          </w:tcPr>
          <w:p w14:paraId="5A61A65B" w14:textId="77777777" w:rsidR="005C6D73" w:rsidRPr="000B4892" w:rsidRDefault="005C6D73" w:rsidP="003634F6">
            <w:pPr>
              <w:keepNext/>
              <w:jc w:val="right"/>
            </w:pPr>
            <w:r w:rsidRPr="000B4892">
              <w:t>89</w:t>
            </w:r>
          </w:p>
        </w:tc>
        <w:tc>
          <w:tcPr>
            <w:tcW w:w="1305" w:type="dxa"/>
            <w:vAlign w:val="bottom"/>
          </w:tcPr>
          <w:p w14:paraId="6F37D77C" w14:textId="77777777" w:rsidR="005C6D73" w:rsidRPr="000B4892" w:rsidRDefault="005C6D73" w:rsidP="003634F6">
            <w:pPr>
              <w:keepNext/>
              <w:jc w:val="right"/>
            </w:pPr>
            <w:r w:rsidRPr="000B4892">
              <w:t>90</w:t>
            </w:r>
          </w:p>
        </w:tc>
      </w:tr>
      <w:tr w:rsidR="005C6D73" w14:paraId="4D36CD2B" w14:textId="77777777" w:rsidTr="00DD51CD">
        <w:tc>
          <w:tcPr>
            <w:tcW w:w="4678" w:type="dxa"/>
          </w:tcPr>
          <w:p w14:paraId="173E273E" w14:textId="77777777" w:rsidR="005C6D73" w:rsidRPr="004A7C34" w:rsidRDefault="005C6D73" w:rsidP="00DD51CD">
            <w:pPr>
              <w:keepNext/>
              <w:rPr>
                <w:vertAlign w:val="superscript"/>
              </w:rPr>
            </w:pPr>
            <w:r>
              <w:t xml:space="preserve">Weighted average funding per unplanned admission </w:t>
            </w:r>
          </w:p>
        </w:tc>
        <w:tc>
          <w:tcPr>
            <w:tcW w:w="1418" w:type="dxa"/>
            <w:vAlign w:val="bottom"/>
          </w:tcPr>
          <w:p w14:paraId="467443E6" w14:textId="77777777" w:rsidR="005C6D73" w:rsidRDefault="005C6D73" w:rsidP="000B4892">
            <w:pPr>
              <w:keepNext/>
            </w:pPr>
            <w:r w:rsidRPr="000B4892">
              <w:t>-</w:t>
            </w:r>
          </w:p>
        </w:tc>
        <w:tc>
          <w:tcPr>
            <w:tcW w:w="1417" w:type="dxa"/>
            <w:vAlign w:val="bottom"/>
          </w:tcPr>
          <w:p w14:paraId="755DA83E" w14:textId="77777777" w:rsidR="005C6D73" w:rsidRPr="000B4892" w:rsidRDefault="005C6D73" w:rsidP="003634F6">
            <w:pPr>
              <w:keepNext/>
              <w:jc w:val="right"/>
            </w:pPr>
            <w:r w:rsidRPr="000B4892">
              <w:t>$20,362</w:t>
            </w:r>
          </w:p>
        </w:tc>
        <w:tc>
          <w:tcPr>
            <w:tcW w:w="1134" w:type="dxa"/>
            <w:vAlign w:val="bottom"/>
          </w:tcPr>
          <w:p w14:paraId="250C3CA0" w14:textId="77777777" w:rsidR="005C6D73" w:rsidRPr="000B4892" w:rsidRDefault="005C6D73" w:rsidP="003634F6">
            <w:pPr>
              <w:keepNext/>
              <w:jc w:val="right"/>
            </w:pPr>
            <w:r w:rsidRPr="000B4892">
              <w:t>$17,609</w:t>
            </w:r>
          </w:p>
        </w:tc>
        <w:tc>
          <w:tcPr>
            <w:tcW w:w="1305" w:type="dxa"/>
            <w:vAlign w:val="bottom"/>
          </w:tcPr>
          <w:p w14:paraId="617E8164" w14:textId="77777777" w:rsidR="005C6D73" w:rsidRPr="000B4892" w:rsidRDefault="005C6D73" w:rsidP="003634F6">
            <w:pPr>
              <w:keepNext/>
              <w:jc w:val="right"/>
            </w:pPr>
            <w:r w:rsidRPr="000B4892">
              <w:t>$18,448</w:t>
            </w:r>
          </w:p>
        </w:tc>
      </w:tr>
      <w:tr w:rsidR="005C6D73" w14:paraId="5634ED0A" w14:textId="77777777" w:rsidTr="00DD51CD">
        <w:tc>
          <w:tcPr>
            <w:tcW w:w="4678" w:type="dxa"/>
          </w:tcPr>
          <w:p w14:paraId="4A69BD6B" w14:textId="77777777" w:rsidR="005C6D73" w:rsidRPr="000B4892" w:rsidRDefault="005C6D73" w:rsidP="00DD51CD">
            <w:pPr>
              <w:keepNext/>
              <w:rPr>
                <w:rFonts w:asciiTheme="majorHAnsi" w:hAnsiTheme="majorHAnsi" w:cstheme="majorHAnsi"/>
                <w:b/>
              </w:rPr>
            </w:pPr>
            <w:r w:rsidRPr="000B4892">
              <w:rPr>
                <w:rFonts w:asciiTheme="majorHAnsi" w:hAnsiTheme="majorHAnsi" w:cstheme="majorHAnsi"/>
                <w:b/>
              </w:rPr>
              <w:t>Value of avoided unplanned admissions</w:t>
            </w:r>
          </w:p>
        </w:tc>
        <w:tc>
          <w:tcPr>
            <w:tcW w:w="1418" w:type="dxa"/>
            <w:vAlign w:val="bottom"/>
          </w:tcPr>
          <w:p w14:paraId="559480B2" w14:textId="77777777" w:rsidR="005C6D73" w:rsidRPr="000B4892" w:rsidRDefault="005C6D73" w:rsidP="000B4892">
            <w:pPr>
              <w:keepNext/>
              <w:rPr>
                <w:rFonts w:asciiTheme="majorHAnsi" w:hAnsiTheme="majorHAnsi" w:cstheme="majorHAnsi"/>
                <w:b/>
              </w:rPr>
            </w:pPr>
            <w:r w:rsidRPr="000B4892">
              <w:rPr>
                <w:rFonts w:asciiTheme="majorHAnsi" w:hAnsiTheme="majorHAnsi" w:cstheme="majorHAnsi"/>
                <w:b/>
              </w:rPr>
              <w:t>-</w:t>
            </w:r>
          </w:p>
        </w:tc>
        <w:tc>
          <w:tcPr>
            <w:tcW w:w="1417" w:type="dxa"/>
            <w:vAlign w:val="bottom"/>
          </w:tcPr>
          <w:p w14:paraId="3D1A09CD" w14:textId="77777777" w:rsidR="005C6D73" w:rsidRPr="000B4892" w:rsidRDefault="005C6D73" w:rsidP="003634F6">
            <w:pPr>
              <w:keepNext/>
              <w:jc w:val="right"/>
              <w:rPr>
                <w:rFonts w:asciiTheme="majorHAnsi" w:hAnsiTheme="majorHAnsi" w:cstheme="majorHAnsi"/>
                <w:b/>
              </w:rPr>
            </w:pPr>
            <w:r w:rsidRPr="000B4892">
              <w:rPr>
                <w:rFonts w:asciiTheme="majorHAnsi" w:hAnsiTheme="majorHAnsi" w:cstheme="majorHAnsi"/>
                <w:b/>
              </w:rPr>
              <w:t>$481,273</w:t>
            </w:r>
          </w:p>
        </w:tc>
        <w:tc>
          <w:tcPr>
            <w:tcW w:w="1134" w:type="dxa"/>
            <w:vAlign w:val="bottom"/>
          </w:tcPr>
          <w:p w14:paraId="2AF6CED9" w14:textId="77777777" w:rsidR="005C6D73" w:rsidRPr="000B4892" w:rsidRDefault="005C6D73" w:rsidP="003634F6">
            <w:pPr>
              <w:keepNext/>
              <w:jc w:val="right"/>
              <w:rPr>
                <w:rFonts w:asciiTheme="majorHAnsi" w:hAnsiTheme="majorHAnsi" w:cstheme="majorHAnsi"/>
                <w:b/>
              </w:rPr>
            </w:pPr>
            <w:r w:rsidRPr="000B4892">
              <w:rPr>
                <w:rFonts w:asciiTheme="majorHAnsi" w:hAnsiTheme="majorHAnsi" w:cstheme="majorHAnsi"/>
                <w:b/>
              </w:rPr>
              <w:t>$1,575,796</w:t>
            </w:r>
          </w:p>
        </w:tc>
        <w:tc>
          <w:tcPr>
            <w:tcW w:w="1305" w:type="dxa"/>
            <w:vAlign w:val="bottom"/>
          </w:tcPr>
          <w:p w14:paraId="596A1859" w14:textId="77777777" w:rsidR="005C6D73" w:rsidRPr="000B4892" w:rsidRDefault="005C6D73" w:rsidP="003634F6">
            <w:pPr>
              <w:keepNext/>
              <w:jc w:val="right"/>
              <w:rPr>
                <w:rFonts w:asciiTheme="majorHAnsi" w:hAnsiTheme="majorHAnsi" w:cstheme="majorHAnsi"/>
                <w:b/>
              </w:rPr>
            </w:pPr>
            <w:r w:rsidRPr="000B4892">
              <w:rPr>
                <w:rFonts w:asciiTheme="majorHAnsi" w:hAnsiTheme="majorHAnsi" w:cstheme="majorHAnsi"/>
                <w:b/>
              </w:rPr>
              <w:t>$1,663,493</w:t>
            </w:r>
          </w:p>
        </w:tc>
      </w:tr>
    </w:tbl>
    <w:p w14:paraId="47768940" w14:textId="77777777" w:rsidR="005C6D73" w:rsidRPr="00662CF5" w:rsidRDefault="005C6D73" w:rsidP="005C6D73">
      <w:pPr>
        <w:pStyle w:val="SourcetextTableorChart"/>
        <w:spacing w:after="120"/>
      </w:pPr>
      <w:r>
        <w:t xml:space="preserve">Source: Deloitte Access Economics calculations. </w:t>
      </w:r>
    </w:p>
    <w:p w14:paraId="297C3651" w14:textId="5E0D94F5" w:rsidR="005C6D73" w:rsidRDefault="005C6D73" w:rsidP="008D083E">
      <w:pPr>
        <w:pStyle w:val="Heading3"/>
        <w:numPr>
          <w:ilvl w:val="0"/>
          <w:numId w:val="0"/>
        </w:numPr>
        <w:spacing w:after="0"/>
        <w:ind w:left="720" w:hanging="720"/>
      </w:pPr>
      <w:r>
        <w:t>Reduction in BPSD-related ambulance incidents (Subgroup B)</w:t>
      </w:r>
    </w:p>
    <w:p w14:paraId="35463D9B" w14:textId="77777777" w:rsidR="005C6D73" w:rsidRDefault="005C6D73" w:rsidP="005C6D73">
      <w:r>
        <w:t>For each ED presentation avoided, it was assumed an ambulance was utilised to transport the patient to hospital.</w:t>
      </w:r>
      <w:r>
        <w:rPr>
          <w:rStyle w:val="FootnoteReference"/>
        </w:rPr>
        <w:footnoteReference w:id="37"/>
      </w:r>
      <w:r>
        <w:t xml:space="preserve"> States and territories have a wide range of funding mechanisms for ambulance services, including automatic state-based coverage and membership-based coverage. Certain jurisdictions also split their fees into a call-out fee, plus a variable rate per kilometre travelled. From publicly available information related to fees and charges in QLD, NSW, ACT, VIC, SA and WA, a broad estimate of $1000 per incident was assumed, constant across the financial years of the model. When considering the potential fee charges to Program residents and their families, it was noted that multiple jurisdictions fully subsidise ambulance fees for concession card holders. As such, the full value of this monetised benefit was assigned to government. </w:t>
      </w:r>
    </w:p>
    <w:p w14:paraId="62B632A8" w14:textId="45E243A9" w:rsidR="005C6D73" w:rsidRPr="00835349" w:rsidRDefault="000217E8" w:rsidP="005C6D73">
      <w:pPr>
        <w:spacing w:after="0" w:line="240" w:lineRule="auto"/>
        <w:rPr>
          <w:rFonts w:ascii="Calibri" w:eastAsia="Times New Roman" w:hAnsi="Calibri" w:cs="Calibri"/>
          <w:color w:val="000000"/>
          <w:sz w:val="22"/>
          <w:lang w:val="en-AU" w:eastAsia="en-AU"/>
        </w:rPr>
      </w:pPr>
      <w:r>
        <w:fldChar w:fldCharType="begin"/>
      </w:r>
      <w:r>
        <w:instrText xml:space="preserve"> REF _Ref125368286 \h </w:instrText>
      </w:r>
      <w:r>
        <w:fldChar w:fldCharType="separate"/>
      </w:r>
      <w:r w:rsidR="00D32536">
        <w:t xml:space="preserve">Table B </w:t>
      </w:r>
      <w:r w:rsidR="00D32536">
        <w:rPr>
          <w:noProof/>
        </w:rPr>
        <w:t>4</w:t>
      </w:r>
      <w:r>
        <w:fldChar w:fldCharType="end"/>
      </w:r>
      <w:r w:rsidR="005C6D73">
        <w:t xml:space="preserve"> details the results of this assessment.</w:t>
      </w:r>
      <w:r w:rsidR="005C6D73">
        <w:rPr>
          <w:rStyle w:val="FootnoteReference"/>
        </w:rPr>
        <w:footnoteReference w:id="38"/>
      </w:r>
      <w:r w:rsidR="005C6D73" w:rsidRPr="004854EF">
        <w:rPr>
          <w:b/>
          <w:bCs/>
        </w:rPr>
        <w:t xml:space="preserve"> </w:t>
      </w:r>
      <w:r w:rsidR="005C6D73" w:rsidRPr="000B4892">
        <w:rPr>
          <w:rFonts w:asciiTheme="majorHAnsi" w:hAnsiTheme="majorHAnsi" w:cstheme="majorHAnsi"/>
          <w:b/>
        </w:rPr>
        <w:t>Avoided ambulance incidents over the duration of the Program was valued at a PV of $ $244,423 in FY2019-20 dollars.</w:t>
      </w:r>
      <w:r w:rsidR="005C6D73" w:rsidRPr="009F51E1">
        <w:rPr>
          <w:b/>
          <w:bCs/>
        </w:rPr>
        <w:t xml:space="preserve"> </w:t>
      </w:r>
    </w:p>
    <w:p w14:paraId="02C23E96" w14:textId="77777777" w:rsidR="005C6D73" w:rsidRPr="005552E5" w:rsidRDefault="005C6D73" w:rsidP="005C6D73">
      <w:pPr>
        <w:spacing w:after="0" w:line="240" w:lineRule="auto"/>
        <w:rPr>
          <w:rFonts w:ascii="Calibri" w:eastAsia="Times New Roman" w:hAnsi="Calibri" w:cs="Calibri"/>
          <w:color w:val="000000"/>
          <w:sz w:val="22"/>
          <w:lang w:val="en-AU" w:eastAsia="en-AU"/>
        </w:rPr>
      </w:pPr>
    </w:p>
    <w:p w14:paraId="70E7B504" w14:textId="09A4655C" w:rsidR="005C6D73" w:rsidRDefault="001D2192" w:rsidP="005C6D73">
      <w:pPr>
        <w:pStyle w:val="Caption"/>
      </w:pPr>
      <w:bookmarkStart w:id="115" w:name="_Ref125368286"/>
      <w:r>
        <w:t>Table</w:t>
      </w:r>
      <w:r w:rsidR="005C6D73">
        <w:t xml:space="preserve"> </w:t>
      </w:r>
      <w:r w:rsidR="00583DC8">
        <w:t>B</w:t>
      </w:r>
      <w:r w:rsidR="000217E8">
        <w:t xml:space="preserve"> </w:t>
      </w:r>
      <w:r w:rsidR="000217E8">
        <w:fldChar w:fldCharType="begin"/>
      </w:r>
      <w:r w:rsidR="000217E8">
        <w:instrText xml:space="preserve"> SEQ Table_C \* ARABIC </w:instrText>
      </w:r>
      <w:r w:rsidR="000217E8">
        <w:fldChar w:fldCharType="separate"/>
      </w:r>
      <w:r w:rsidR="00D32536">
        <w:rPr>
          <w:noProof/>
        </w:rPr>
        <w:t>4</w:t>
      </w:r>
      <w:r w:rsidR="000217E8">
        <w:fldChar w:fldCharType="end"/>
      </w:r>
      <w:bookmarkEnd w:id="115"/>
      <w:r w:rsidR="005C6D73">
        <w:t xml:space="preserve"> Avoided ambulance incidents (FY2019-20 dollars, real)</w:t>
      </w:r>
    </w:p>
    <w:tbl>
      <w:tblPr>
        <w:tblStyle w:val="Deloittetable"/>
        <w:tblW w:w="0" w:type="auto"/>
        <w:tblLook w:val="04A0" w:firstRow="1" w:lastRow="0" w:firstColumn="1" w:lastColumn="0" w:noHBand="0" w:noVBand="1"/>
      </w:tblPr>
      <w:tblGrid>
        <w:gridCol w:w="5103"/>
        <w:gridCol w:w="1418"/>
        <w:gridCol w:w="1134"/>
        <w:gridCol w:w="1134"/>
        <w:gridCol w:w="1163"/>
      </w:tblGrid>
      <w:tr w:rsidR="005C6D73" w14:paraId="492ABB47" w14:textId="77777777" w:rsidTr="00DD51CD">
        <w:trPr>
          <w:cnfStyle w:val="100000000000" w:firstRow="1" w:lastRow="0" w:firstColumn="0" w:lastColumn="0" w:oddVBand="0" w:evenVBand="0" w:oddHBand="0" w:evenHBand="0" w:firstRowFirstColumn="0" w:firstRowLastColumn="0" w:lastRowFirstColumn="0" w:lastRowLastColumn="0"/>
        </w:trPr>
        <w:tc>
          <w:tcPr>
            <w:tcW w:w="5103" w:type="dxa"/>
          </w:tcPr>
          <w:p w14:paraId="041840F6" w14:textId="77777777" w:rsidR="005C6D73" w:rsidRDefault="005C6D73" w:rsidP="00DD51CD">
            <w:pPr>
              <w:pStyle w:val="TableHeadingLeft"/>
              <w:keepNext/>
              <w:spacing w:after="120"/>
            </w:pPr>
            <w:r>
              <w:t>Element</w:t>
            </w:r>
          </w:p>
        </w:tc>
        <w:tc>
          <w:tcPr>
            <w:tcW w:w="1418" w:type="dxa"/>
          </w:tcPr>
          <w:p w14:paraId="3180D424" w14:textId="77777777" w:rsidR="005C6D73" w:rsidRDefault="005C6D73" w:rsidP="00DD51CD">
            <w:pPr>
              <w:pStyle w:val="TableHeadingLeft"/>
              <w:keepNext/>
              <w:spacing w:after="120"/>
              <w:jc w:val="right"/>
            </w:pPr>
            <w:r>
              <w:t>FY2018-19</w:t>
            </w:r>
          </w:p>
        </w:tc>
        <w:tc>
          <w:tcPr>
            <w:tcW w:w="1134" w:type="dxa"/>
          </w:tcPr>
          <w:p w14:paraId="36573A73" w14:textId="77777777" w:rsidR="005C6D73" w:rsidRDefault="005C6D73" w:rsidP="00DD51CD">
            <w:pPr>
              <w:pStyle w:val="TableHeadingLeft"/>
              <w:keepNext/>
              <w:spacing w:after="120"/>
              <w:jc w:val="right"/>
            </w:pPr>
            <w:r>
              <w:t>FY2019-20</w:t>
            </w:r>
          </w:p>
        </w:tc>
        <w:tc>
          <w:tcPr>
            <w:tcW w:w="1134" w:type="dxa"/>
          </w:tcPr>
          <w:p w14:paraId="4B6A31A8" w14:textId="77777777" w:rsidR="005C6D73" w:rsidRDefault="005C6D73" w:rsidP="00DD51CD">
            <w:pPr>
              <w:pStyle w:val="TableHeadingLeft"/>
              <w:keepNext/>
              <w:spacing w:after="120"/>
              <w:jc w:val="right"/>
            </w:pPr>
            <w:r>
              <w:t xml:space="preserve">FY2020-21 </w:t>
            </w:r>
          </w:p>
        </w:tc>
        <w:tc>
          <w:tcPr>
            <w:tcW w:w="1163" w:type="dxa"/>
          </w:tcPr>
          <w:p w14:paraId="43FFD8BE" w14:textId="77777777" w:rsidR="005C6D73" w:rsidRDefault="005C6D73" w:rsidP="00DD51CD">
            <w:pPr>
              <w:pStyle w:val="TableHeadingLeft"/>
              <w:keepNext/>
              <w:spacing w:after="120"/>
              <w:jc w:val="right"/>
            </w:pPr>
            <w:r>
              <w:t xml:space="preserve">FY2021-22 </w:t>
            </w:r>
          </w:p>
        </w:tc>
      </w:tr>
      <w:tr w:rsidR="005C6D73" w14:paraId="15C947B4" w14:textId="77777777" w:rsidTr="00DD51CD">
        <w:tc>
          <w:tcPr>
            <w:tcW w:w="5103" w:type="dxa"/>
          </w:tcPr>
          <w:p w14:paraId="075F6CDC" w14:textId="77777777" w:rsidR="005C6D73" w:rsidRDefault="005C6D73" w:rsidP="00DD51CD">
            <w:pPr>
              <w:keepNext/>
            </w:pPr>
            <w:r>
              <w:t>Number of avoided ambulance incidents, overall</w:t>
            </w:r>
          </w:p>
        </w:tc>
        <w:tc>
          <w:tcPr>
            <w:tcW w:w="1418" w:type="dxa"/>
            <w:vAlign w:val="bottom"/>
          </w:tcPr>
          <w:p w14:paraId="72DFF422" w14:textId="77777777" w:rsidR="005C6D73" w:rsidRDefault="005C6D73" w:rsidP="00DD51CD">
            <w:pPr>
              <w:jc w:val="right"/>
            </w:pPr>
            <w:r>
              <w:rPr>
                <w:rFonts w:ascii="Calibri" w:hAnsi="Calibri" w:cs="Calibri"/>
                <w:color w:val="000000"/>
                <w:sz w:val="22"/>
              </w:rPr>
              <w:t>-</w:t>
            </w:r>
          </w:p>
        </w:tc>
        <w:tc>
          <w:tcPr>
            <w:tcW w:w="1134" w:type="dxa"/>
            <w:vAlign w:val="bottom"/>
          </w:tcPr>
          <w:p w14:paraId="14A5AFBE" w14:textId="77777777" w:rsidR="005C6D73" w:rsidRPr="007F7FAD" w:rsidRDefault="005C6D73" w:rsidP="00DD51CD">
            <w:pPr>
              <w:jc w:val="right"/>
              <w:rPr>
                <w:color w:val="FF0000"/>
              </w:rPr>
            </w:pPr>
            <w:r>
              <w:rPr>
                <w:rFonts w:ascii="Calibri" w:hAnsi="Calibri" w:cs="Calibri"/>
                <w:color w:val="000000"/>
                <w:sz w:val="22"/>
              </w:rPr>
              <w:t>30</w:t>
            </w:r>
          </w:p>
        </w:tc>
        <w:tc>
          <w:tcPr>
            <w:tcW w:w="1134" w:type="dxa"/>
            <w:vAlign w:val="bottom"/>
          </w:tcPr>
          <w:p w14:paraId="3353DB60" w14:textId="77777777" w:rsidR="005C6D73" w:rsidRPr="007F7FAD" w:rsidRDefault="005C6D73" w:rsidP="00DD51CD">
            <w:pPr>
              <w:jc w:val="right"/>
              <w:rPr>
                <w:color w:val="FF0000"/>
              </w:rPr>
            </w:pPr>
            <w:r>
              <w:rPr>
                <w:rFonts w:ascii="Calibri" w:hAnsi="Calibri" w:cs="Calibri"/>
                <w:color w:val="000000"/>
                <w:sz w:val="22"/>
              </w:rPr>
              <w:t>115</w:t>
            </w:r>
          </w:p>
        </w:tc>
        <w:tc>
          <w:tcPr>
            <w:tcW w:w="1163" w:type="dxa"/>
            <w:vAlign w:val="bottom"/>
          </w:tcPr>
          <w:p w14:paraId="3313B310" w14:textId="77777777" w:rsidR="005C6D73" w:rsidRPr="007F7FAD" w:rsidRDefault="005C6D73" w:rsidP="00DD51CD">
            <w:pPr>
              <w:jc w:val="right"/>
              <w:rPr>
                <w:color w:val="FF0000"/>
              </w:rPr>
            </w:pPr>
            <w:r>
              <w:rPr>
                <w:rFonts w:ascii="Calibri" w:hAnsi="Calibri" w:cs="Calibri"/>
                <w:color w:val="000000"/>
                <w:sz w:val="22"/>
              </w:rPr>
              <w:t>116</w:t>
            </w:r>
          </w:p>
        </w:tc>
      </w:tr>
      <w:tr w:rsidR="005C6D73" w14:paraId="59C820B7" w14:textId="77777777" w:rsidTr="00DD51CD">
        <w:tc>
          <w:tcPr>
            <w:tcW w:w="5103" w:type="dxa"/>
          </w:tcPr>
          <w:p w14:paraId="65D08487" w14:textId="77777777" w:rsidR="005C6D73" w:rsidRPr="004A7C34" w:rsidRDefault="005C6D73" w:rsidP="00DD51CD">
            <w:pPr>
              <w:keepNext/>
              <w:rPr>
                <w:vertAlign w:val="superscript"/>
              </w:rPr>
            </w:pPr>
            <w:r>
              <w:t>Funding per ambulance incident (estimate)</w:t>
            </w:r>
          </w:p>
        </w:tc>
        <w:tc>
          <w:tcPr>
            <w:tcW w:w="1418" w:type="dxa"/>
            <w:vAlign w:val="bottom"/>
          </w:tcPr>
          <w:p w14:paraId="0B791B78" w14:textId="77777777" w:rsidR="005C6D73" w:rsidRDefault="005C6D73" w:rsidP="00DD51CD">
            <w:pPr>
              <w:jc w:val="right"/>
            </w:pPr>
            <w:r>
              <w:rPr>
                <w:rFonts w:ascii="Calibri" w:hAnsi="Calibri" w:cs="Calibri"/>
                <w:color w:val="000000"/>
                <w:sz w:val="22"/>
              </w:rPr>
              <w:t>-</w:t>
            </w:r>
          </w:p>
        </w:tc>
        <w:tc>
          <w:tcPr>
            <w:tcW w:w="1134" w:type="dxa"/>
            <w:vAlign w:val="bottom"/>
          </w:tcPr>
          <w:p w14:paraId="401F77B3" w14:textId="77777777" w:rsidR="005C6D73" w:rsidRPr="007F7FAD" w:rsidRDefault="005C6D73" w:rsidP="00DD51CD">
            <w:pPr>
              <w:jc w:val="right"/>
              <w:rPr>
                <w:color w:val="FF0000"/>
              </w:rPr>
            </w:pPr>
            <w:r>
              <w:rPr>
                <w:rFonts w:ascii="Calibri" w:hAnsi="Calibri" w:cs="Calibri"/>
                <w:color w:val="000000"/>
                <w:sz w:val="22"/>
              </w:rPr>
              <w:t>$1,000</w:t>
            </w:r>
          </w:p>
        </w:tc>
        <w:tc>
          <w:tcPr>
            <w:tcW w:w="1134" w:type="dxa"/>
            <w:vAlign w:val="bottom"/>
          </w:tcPr>
          <w:p w14:paraId="123FF535" w14:textId="77777777" w:rsidR="005C6D73" w:rsidRPr="007F7FAD" w:rsidRDefault="005C6D73" w:rsidP="00DD51CD">
            <w:pPr>
              <w:jc w:val="right"/>
              <w:rPr>
                <w:color w:val="FF0000"/>
              </w:rPr>
            </w:pPr>
            <w:r>
              <w:rPr>
                <w:rFonts w:ascii="Calibri" w:hAnsi="Calibri" w:cs="Calibri"/>
                <w:color w:val="000000"/>
                <w:sz w:val="22"/>
              </w:rPr>
              <w:t>$1,000</w:t>
            </w:r>
          </w:p>
        </w:tc>
        <w:tc>
          <w:tcPr>
            <w:tcW w:w="1163" w:type="dxa"/>
            <w:vAlign w:val="bottom"/>
          </w:tcPr>
          <w:p w14:paraId="3AAEAA4D" w14:textId="77777777" w:rsidR="005C6D73" w:rsidRPr="007F7FAD" w:rsidRDefault="005C6D73" w:rsidP="00DD51CD">
            <w:pPr>
              <w:jc w:val="right"/>
              <w:rPr>
                <w:color w:val="FF0000"/>
              </w:rPr>
            </w:pPr>
            <w:r>
              <w:rPr>
                <w:rFonts w:ascii="Calibri" w:hAnsi="Calibri" w:cs="Calibri"/>
                <w:color w:val="000000"/>
                <w:sz w:val="22"/>
              </w:rPr>
              <w:t>$1,000</w:t>
            </w:r>
          </w:p>
        </w:tc>
      </w:tr>
      <w:tr w:rsidR="005C6D73" w14:paraId="45F0FF42" w14:textId="77777777" w:rsidTr="00DD51CD">
        <w:tc>
          <w:tcPr>
            <w:tcW w:w="5103" w:type="dxa"/>
          </w:tcPr>
          <w:p w14:paraId="6D9BF707" w14:textId="77777777" w:rsidR="005C6D73" w:rsidRPr="000B4892" w:rsidRDefault="005C6D73" w:rsidP="00DD51CD">
            <w:pPr>
              <w:keepNext/>
              <w:rPr>
                <w:rFonts w:asciiTheme="majorHAnsi" w:hAnsiTheme="majorHAnsi" w:cstheme="majorHAnsi"/>
                <w:b/>
              </w:rPr>
            </w:pPr>
            <w:r w:rsidRPr="000B4892">
              <w:rPr>
                <w:rFonts w:asciiTheme="majorHAnsi" w:hAnsiTheme="majorHAnsi" w:cstheme="majorHAnsi"/>
                <w:b/>
              </w:rPr>
              <w:t>Value of avoided ambulance incidents</w:t>
            </w:r>
          </w:p>
        </w:tc>
        <w:tc>
          <w:tcPr>
            <w:tcW w:w="1418" w:type="dxa"/>
            <w:vAlign w:val="bottom"/>
          </w:tcPr>
          <w:p w14:paraId="1360ACA0"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color w:val="000000"/>
                <w:sz w:val="22"/>
              </w:rPr>
              <w:t>-</w:t>
            </w:r>
          </w:p>
        </w:tc>
        <w:tc>
          <w:tcPr>
            <w:tcW w:w="1134" w:type="dxa"/>
            <w:vAlign w:val="bottom"/>
          </w:tcPr>
          <w:p w14:paraId="7ECB2AF2" w14:textId="77777777" w:rsidR="005C6D73" w:rsidRPr="000B4892" w:rsidRDefault="005C6D73" w:rsidP="00DD51CD">
            <w:pPr>
              <w:jc w:val="right"/>
              <w:rPr>
                <w:rFonts w:asciiTheme="majorHAnsi" w:hAnsiTheme="majorHAnsi" w:cstheme="majorHAnsi"/>
                <w:b/>
                <w:color w:val="FF0000"/>
              </w:rPr>
            </w:pPr>
            <w:r w:rsidRPr="000B4892">
              <w:rPr>
                <w:rFonts w:asciiTheme="majorHAnsi" w:hAnsiTheme="majorHAnsi" w:cstheme="majorHAnsi"/>
                <w:b/>
                <w:color w:val="000000"/>
                <w:sz w:val="22"/>
              </w:rPr>
              <w:t>$30,302</w:t>
            </w:r>
          </w:p>
        </w:tc>
        <w:tc>
          <w:tcPr>
            <w:tcW w:w="1134" w:type="dxa"/>
            <w:vAlign w:val="bottom"/>
          </w:tcPr>
          <w:p w14:paraId="533B884A" w14:textId="77777777" w:rsidR="005C6D73" w:rsidRPr="000B4892" w:rsidRDefault="005C6D73" w:rsidP="00DD51CD">
            <w:pPr>
              <w:jc w:val="right"/>
              <w:rPr>
                <w:rFonts w:asciiTheme="majorHAnsi" w:hAnsiTheme="majorHAnsi" w:cstheme="majorHAnsi"/>
                <w:b/>
                <w:color w:val="FF0000"/>
              </w:rPr>
            </w:pPr>
            <w:r w:rsidRPr="000B4892">
              <w:rPr>
                <w:rFonts w:asciiTheme="majorHAnsi" w:hAnsiTheme="majorHAnsi" w:cstheme="majorHAnsi"/>
                <w:b/>
                <w:color w:val="000000"/>
                <w:sz w:val="22"/>
              </w:rPr>
              <w:t>$114,727</w:t>
            </w:r>
          </w:p>
        </w:tc>
        <w:tc>
          <w:tcPr>
            <w:tcW w:w="1163" w:type="dxa"/>
            <w:vAlign w:val="bottom"/>
          </w:tcPr>
          <w:p w14:paraId="2DE85AD2" w14:textId="77777777" w:rsidR="005C6D73" w:rsidRPr="000B4892" w:rsidRDefault="005C6D73" w:rsidP="00DD51CD">
            <w:pPr>
              <w:jc w:val="right"/>
              <w:rPr>
                <w:rFonts w:asciiTheme="majorHAnsi" w:hAnsiTheme="majorHAnsi" w:cstheme="majorHAnsi"/>
                <w:b/>
                <w:color w:val="FF0000"/>
              </w:rPr>
            </w:pPr>
            <w:r w:rsidRPr="000B4892">
              <w:rPr>
                <w:rFonts w:asciiTheme="majorHAnsi" w:hAnsiTheme="majorHAnsi" w:cstheme="majorHAnsi"/>
                <w:b/>
                <w:color w:val="000000"/>
                <w:sz w:val="22"/>
              </w:rPr>
              <w:t>$115,605</w:t>
            </w:r>
          </w:p>
        </w:tc>
      </w:tr>
    </w:tbl>
    <w:p w14:paraId="497D6011" w14:textId="77777777" w:rsidR="005C6D73" w:rsidRDefault="005C6D73" w:rsidP="005C6D73">
      <w:pPr>
        <w:pStyle w:val="SourcetextTableorChart"/>
        <w:spacing w:after="120"/>
      </w:pPr>
      <w:r>
        <w:t xml:space="preserve">Source: Deloitte Access Economics calculations. </w:t>
      </w:r>
    </w:p>
    <w:p w14:paraId="69DB44E3" w14:textId="77777777" w:rsidR="005C6D73" w:rsidRDefault="005C6D73" w:rsidP="00ED40C0">
      <w:pPr>
        <w:pStyle w:val="Heading3"/>
        <w:numPr>
          <w:ilvl w:val="0"/>
          <w:numId w:val="0"/>
        </w:numPr>
        <w:ind w:left="720" w:hanging="720"/>
      </w:pPr>
      <w:r>
        <w:t>Released capacity – aged care (Commonwealth contribution) (Subgroup B)</w:t>
      </w:r>
    </w:p>
    <w:p w14:paraId="308B45A8" w14:textId="2F0E5EF0" w:rsidR="005C6D73" w:rsidRDefault="005C6D73" w:rsidP="005C6D73">
      <w:r>
        <w:t xml:space="preserve">Released capacity relates to system-level efficiency benefits, and as such they include the Commonwealth contributions to an aged care </w:t>
      </w:r>
      <w:r w:rsidR="00987B4B">
        <w:t>place but</w:t>
      </w:r>
      <w:r>
        <w:t xml:space="preserve"> exclude resident contributions. Commonwealth contributions to an aged care place considered relevant for this evaluation include:</w:t>
      </w:r>
      <w:r>
        <w:rPr>
          <w:rStyle w:val="FootnoteReference"/>
        </w:rPr>
        <w:footnoteReference w:id="39"/>
      </w:r>
      <w:r>
        <w:t xml:space="preserve"> </w:t>
      </w:r>
    </w:p>
    <w:p w14:paraId="69FC06A2" w14:textId="1536256C" w:rsidR="005C6D73" w:rsidRDefault="005C6D73" w:rsidP="005C6D73">
      <w:pPr>
        <w:pStyle w:val="ListBullet"/>
      </w:pPr>
      <w:r>
        <w:t>Aged Care Funding Instrument (ACFI) fees – basic care subsidies which are based on need assessments across Activities of Daily Living, Behaviour, and Complex Health Care</w:t>
      </w:r>
      <w:r w:rsidR="009B628A">
        <w:rPr>
          <w:rStyle w:val="FootnoteReference"/>
        </w:rPr>
        <w:footnoteReference w:id="40"/>
      </w:r>
    </w:p>
    <w:p w14:paraId="0497756F" w14:textId="77777777" w:rsidR="005C6D73" w:rsidRDefault="005C6D73" w:rsidP="005C6D73">
      <w:pPr>
        <w:pStyle w:val="ListBullet"/>
      </w:pPr>
      <w:r>
        <w:t>accommodation supplements for supported residents</w:t>
      </w:r>
    </w:p>
    <w:p w14:paraId="4180CB1D" w14:textId="555CEFC2" w:rsidR="005C6D73" w:rsidRDefault="005C6D73" w:rsidP="005C6D73">
      <w:pPr>
        <w:pStyle w:val="ListBullet"/>
        <w:spacing w:after="120"/>
      </w:pPr>
      <w:r>
        <w:t>other supplements (</w:t>
      </w:r>
      <w:r w:rsidR="00987B4B">
        <w:t>e.g.,</w:t>
      </w:r>
      <w:r>
        <w:t xml:space="preserve"> homeless supplements).</w:t>
      </w:r>
    </w:p>
    <w:p w14:paraId="04FCDC53" w14:textId="77777777" w:rsidR="005C6D73" w:rsidRDefault="005C6D73" w:rsidP="005C6D73">
      <w:r>
        <w:t>It is assumed that the replacement resident that occupies the aged care place now freed by the Program attracts the sectoral average Commonwealth contributions across all areas. Average ACFI subsidies per day were sourced from</w:t>
      </w:r>
      <w:r w:rsidRPr="00F85BBD">
        <w:rPr>
          <w:i/>
          <w:iCs/>
        </w:rPr>
        <w:t xml:space="preserve"> Aged Care Funding Instrument Monitoring Reports</w:t>
      </w:r>
      <w:r>
        <w:t xml:space="preserve"> prepared monthly by the Department of Health and Aged Care. Average accommodation and other supplement subsidies per day were sourced from the Aged Care Financing Authority’s </w:t>
      </w:r>
      <w:r w:rsidRPr="008E72EF">
        <w:rPr>
          <w:i/>
          <w:iCs/>
        </w:rPr>
        <w:t>Ninth Report on the Funding and Financing of the Aged Care Industry</w:t>
      </w:r>
      <w:r>
        <w:rPr>
          <w:i/>
          <w:iCs/>
        </w:rPr>
        <w:t xml:space="preserve"> (2021)</w:t>
      </w:r>
      <w:r>
        <w:t xml:space="preserve">.  </w:t>
      </w:r>
    </w:p>
    <w:p w14:paraId="739D05E2" w14:textId="7EF99270" w:rsidR="005C6D73" w:rsidRPr="00C07FF1" w:rsidRDefault="000217E8" w:rsidP="005C6D73">
      <w:pPr>
        <w:spacing w:line="240" w:lineRule="auto"/>
        <w:rPr>
          <w:rFonts w:ascii="Calibri" w:eastAsia="Times New Roman" w:hAnsi="Calibri" w:cs="Calibri"/>
          <w:color w:val="000000"/>
          <w:sz w:val="22"/>
          <w:lang w:val="en-AU" w:eastAsia="en-AU"/>
        </w:rPr>
      </w:pPr>
      <w:r>
        <w:fldChar w:fldCharType="begin"/>
      </w:r>
      <w:r>
        <w:instrText xml:space="preserve"> REF _Ref125368305 \h </w:instrText>
      </w:r>
      <w:r>
        <w:fldChar w:fldCharType="separate"/>
      </w:r>
      <w:r w:rsidR="00D32536">
        <w:t xml:space="preserve">Table B </w:t>
      </w:r>
      <w:r w:rsidR="00D32536">
        <w:rPr>
          <w:noProof/>
        </w:rPr>
        <w:t>5</w:t>
      </w:r>
      <w:r>
        <w:fldChar w:fldCharType="end"/>
      </w:r>
      <w:r w:rsidR="005C6D73">
        <w:t xml:space="preserve"> details the results of this assessment.</w:t>
      </w:r>
      <w:r w:rsidR="005C6D73">
        <w:rPr>
          <w:rStyle w:val="FootnoteReference"/>
        </w:rPr>
        <w:footnoteReference w:id="41"/>
      </w:r>
      <w:r w:rsidR="005C6D73">
        <w:t xml:space="preserve"> </w:t>
      </w:r>
      <w:r w:rsidR="005C6D73" w:rsidRPr="000B4892">
        <w:rPr>
          <w:rFonts w:asciiTheme="majorHAnsi" w:hAnsiTheme="majorHAnsi" w:cstheme="majorHAnsi"/>
          <w:b/>
        </w:rPr>
        <w:t>Released capacity to the aged care system over the duration of the Program was estimated to be valued at a PV of $5,157,280 in FY2019-20 dollars.</w:t>
      </w:r>
      <w:r w:rsidR="005C6D73">
        <w:t xml:space="preserve"> This was the largest benefit observed for Subgroup B. </w:t>
      </w:r>
    </w:p>
    <w:p w14:paraId="69F7B5F8" w14:textId="2A7CDD27" w:rsidR="005C6D73" w:rsidRDefault="001D2192" w:rsidP="005C6D73">
      <w:pPr>
        <w:pStyle w:val="Caption"/>
      </w:pPr>
      <w:bookmarkStart w:id="116" w:name="_Ref125368305"/>
      <w:r>
        <w:t>Table</w:t>
      </w:r>
      <w:r w:rsidR="005C6D73">
        <w:t xml:space="preserve"> </w:t>
      </w:r>
      <w:r w:rsidR="00583DC8">
        <w:t>B</w:t>
      </w:r>
      <w:r w:rsidR="000217E8">
        <w:t xml:space="preserve"> </w:t>
      </w:r>
      <w:r w:rsidR="000217E8">
        <w:fldChar w:fldCharType="begin"/>
      </w:r>
      <w:r w:rsidR="000217E8">
        <w:instrText xml:space="preserve"> SEQ Table_C \* ARABIC </w:instrText>
      </w:r>
      <w:r w:rsidR="000217E8">
        <w:fldChar w:fldCharType="separate"/>
      </w:r>
      <w:r w:rsidR="00D32536">
        <w:rPr>
          <w:noProof/>
        </w:rPr>
        <w:t>5</w:t>
      </w:r>
      <w:r w:rsidR="000217E8">
        <w:fldChar w:fldCharType="end"/>
      </w:r>
      <w:bookmarkEnd w:id="116"/>
      <w:r w:rsidR="005C6D73">
        <w:t xml:space="preserve"> Released capacity – Commonwealth contribution (FY2019-20 dollars, real)</w:t>
      </w:r>
    </w:p>
    <w:tbl>
      <w:tblPr>
        <w:tblStyle w:val="Deloittetable"/>
        <w:tblW w:w="0" w:type="auto"/>
        <w:tblLook w:val="04A0" w:firstRow="1" w:lastRow="0" w:firstColumn="1" w:lastColumn="0" w:noHBand="0" w:noVBand="1"/>
      </w:tblPr>
      <w:tblGrid>
        <w:gridCol w:w="5103"/>
        <w:gridCol w:w="993"/>
        <w:gridCol w:w="1275"/>
        <w:gridCol w:w="1276"/>
        <w:gridCol w:w="1305"/>
      </w:tblGrid>
      <w:tr w:rsidR="005C6D73" w14:paraId="492F54AF" w14:textId="77777777" w:rsidTr="00DD51CD">
        <w:trPr>
          <w:cnfStyle w:val="100000000000" w:firstRow="1" w:lastRow="0" w:firstColumn="0" w:lastColumn="0" w:oddVBand="0" w:evenVBand="0" w:oddHBand="0" w:evenHBand="0" w:firstRowFirstColumn="0" w:firstRowLastColumn="0" w:lastRowFirstColumn="0" w:lastRowLastColumn="0"/>
        </w:trPr>
        <w:tc>
          <w:tcPr>
            <w:tcW w:w="5103" w:type="dxa"/>
          </w:tcPr>
          <w:p w14:paraId="5F0CE97F" w14:textId="77777777" w:rsidR="005C6D73" w:rsidRDefault="005C6D73" w:rsidP="00DD51CD">
            <w:pPr>
              <w:pStyle w:val="TableHeadingLeft"/>
              <w:spacing w:after="120"/>
            </w:pPr>
            <w:r>
              <w:t>Element</w:t>
            </w:r>
          </w:p>
        </w:tc>
        <w:tc>
          <w:tcPr>
            <w:tcW w:w="993" w:type="dxa"/>
          </w:tcPr>
          <w:p w14:paraId="0D669763" w14:textId="77777777" w:rsidR="005C6D73" w:rsidRDefault="005C6D73" w:rsidP="00DD51CD">
            <w:pPr>
              <w:pStyle w:val="TableHeadingLeft"/>
              <w:spacing w:after="120"/>
              <w:jc w:val="right"/>
            </w:pPr>
            <w:r>
              <w:t>FY2018-19</w:t>
            </w:r>
          </w:p>
        </w:tc>
        <w:tc>
          <w:tcPr>
            <w:tcW w:w="1275" w:type="dxa"/>
          </w:tcPr>
          <w:p w14:paraId="33CA7A2C" w14:textId="77777777" w:rsidR="005C6D73" w:rsidRDefault="005C6D73" w:rsidP="00DD51CD">
            <w:pPr>
              <w:pStyle w:val="TableHeadingLeft"/>
              <w:spacing w:after="120"/>
              <w:jc w:val="right"/>
            </w:pPr>
            <w:r>
              <w:t>FY2019-20</w:t>
            </w:r>
          </w:p>
        </w:tc>
        <w:tc>
          <w:tcPr>
            <w:tcW w:w="1276" w:type="dxa"/>
          </w:tcPr>
          <w:p w14:paraId="79BDAF37" w14:textId="77777777" w:rsidR="005C6D73" w:rsidRDefault="005C6D73" w:rsidP="00DD51CD">
            <w:pPr>
              <w:pStyle w:val="TableHeadingLeft"/>
              <w:spacing w:after="120"/>
              <w:jc w:val="right"/>
            </w:pPr>
            <w:r>
              <w:t xml:space="preserve">FY2020-21 </w:t>
            </w:r>
          </w:p>
        </w:tc>
        <w:tc>
          <w:tcPr>
            <w:tcW w:w="1305" w:type="dxa"/>
          </w:tcPr>
          <w:p w14:paraId="7CF7CAE3" w14:textId="77777777" w:rsidR="005C6D73" w:rsidRDefault="005C6D73" w:rsidP="00DD51CD">
            <w:pPr>
              <w:pStyle w:val="TableHeadingLeft"/>
              <w:spacing w:after="120"/>
              <w:jc w:val="right"/>
            </w:pPr>
            <w:r>
              <w:t xml:space="preserve">FY2021-22 </w:t>
            </w:r>
          </w:p>
        </w:tc>
      </w:tr>
      <w:tr w:rsidR="005C6D73" w:rsidRPr="00150D42" w14:paraId="54A81CDB" w14:textId="77777777" w:rsidTr="00DD51CD">
        <w:tc>
          <w:tcPr>
            <w:tcW w:w="5103" w:type="dxa"/>
          </w:tcPr>
          <w:p w14:paraId="37D09EE8" w14:textId="77777777" w:rsidR="005C6D73" w:rsidRDefault="005C6D73" w:rsidP="00DD51CD">
            <w:r>
              <w:t>Average ACFI subsidy, per occupied bed-day</w:t>
            </w:r>
          </w:p>
        </w:tc>
        <w:tc>
          <w:tcPr>
            <w:tcW w:w="993" w:type="dxa"/>
          </w:tcPr>
          <w:p w14:paraId="596D023F" w14:textId="77777777" w:rsidR="005C6D73" w:rsidRPr="00150D42" w:rsidRDefault="005C6D73" w:rsidP="00DD51CD">
            <w:pPr>
              <w:pStyle w:val="TableHeadingLeft"/>
              <w:spacing w:after="120"/>
              <w:jc w:val="right"/>
              <w:rPr>
                <w:rFonts w:asciiTheme="minorHAnsi" w:hAnsiTheme="minorHAnsi" w:cstheme="minorBidi"/>
                <w:b w:val="0"/>
                <w:color w:val="auto"/>
                <w:szCs w:val="22"/>
                <w:lang w:val="en-US"/>
              </w:rPr>
            </w:pPr>
            <w:r w:rsidRPr="00150D42">
              <w:rPr>
                <w:rFonts w:asciiTheme="minorHAnsi" w:hAnsiTheme="minorHAnsi" w:cstheme="minorBidi"/>
                <w:b w:val="0"/>
                <w:color w:val="auto"/>
                <w:szCs w:val="22"/>
                <w:lang w:val="en-US"/>
              </w:rPr>
              <w:t>-</w:t>
            </w:r>
          </w:p>
        </w:tc>
        <w:tc>
          <w:tcPr>
            <w:tcW w:w="1275" w:type="dxa"/>
          </w:tcPr>
          <w:p w14:paraId="45FC0E2B" w14:textId="77777777" w:rsidR="005C6D73" w:rsidRPr="00150D42" w:rsidRDefault="005C6D73" w:rsidP="00DD51CD">
            <w:pPr>
              <w:pStyle w:val="TableHeadingLeft"/>
              <w:spacing w:after="120"/>
              <w:jc w:val="right"/>
              <w:rPr>
                <w:rFonts w:asciiTheme="minorHAnsi" w:hAnsiTheme="minorHAnsi" w:cstheme="minorBidi"/>
                <w:b w:val="0"/>
                <w:color w:val="auto"/>
                <w:szCs w:val="22"/>
                <w:lang w:val="en-US"/>
              </w:rPr>
            </w:pPr>
            <w:r>
              <w:rPr>
                <w:rFonts w:asciiTheme="minorHAnsi" w:hAnsiTheme="minorHAnsi" w:cstheme="minorBidi"/>
                <w:b w:val="0"/>
                <w:color w:val="auto"/>
                <w:szCs w:val="22"/>
                <w:lang w:val="en-US"/>
              </w:rPr>
              <w:t>$179</w:t>
            </w:r>
          </w:p>
        </w:tc>
        <w:tc>
          <w:tcPr>
            <w:tcW w:w="1276" w:type="dxa"/>
          </w:tcPr>
          <w:p w14:paraId="71B854F2" w14:textId="77777777" w:rsidR="005C6D73" w:rsidRPr="00150D42" w:rsidRDefault="005C6D73" w:rsidP="00DD51CD">
            <w:pPr>
              <w:pStyle w:val="TableHeadingLeft"/>
              <w:spacing w:after="120"/>
              <w:jc w:val="right"/>
              <w:rPr>
                <w:rFonts w:asciiTheme="minorHAnsi" w:hAnsiTheme="minorHAnsi" w:cstheme="minorBidi"/>
                <w:b w:val="0"/>
                <w:color w:val="auto"/>
                <w:szCs w:val="22"/>
                <w:lang w:val="en-US"/>
              </w:rPr>
            </w:pPr>
            <w:r>
              <w:rPr>
                <w:rFonts w:asciiTheme="minorHAnsi" w:hAnsiTheme="minorHAnsi" w:cstheme="minorBidi"/>
                <w:b w:val="0"/>
                <w:color w:val="auto"/>
                <w:szCs w:val="22"/>
                <w:lang w:val="en-US"/>
              </w:rPr>
              <w:t>$189</w:t>
            </w:r>
          </w:p>
        </w:tc>
        <w:tc>
          <w:tcPr>
            <w:tcW w:w="1305" w:type="dxa"/>
          </w:tcPr>
          <w:p w14:paraId="479FB323" w14:textId="77777777" w:rsidR="005C6D73" w:rsidRPr="00150D42" w:rsidRDefault="005C6D73" w:rsidP="00DD51CD">
            <w:pPr>
              <w:pStyle w:val="TableHeadingLeft"/>
              <w:spacing w:after="120"/>
              <w:jc w:val="right"/>
              <w:rPr>
                <w:rFonts w:asciiTheme="minorHAnsi" w:hAnsiTheme="minorHAnsi" w:cstheme="minorBidi"/>
                <w:b w:val="0"/>
                <w:color w:val="auto"/>
                <w:szCs w:val="22"/>
                <w:lang w:val="en-US"/>
              </w:rPr>
            </w:pPr>
            <w:r>
              <w:rPr>
                <w:rFonts w:asciiTheme="minorHAnsi" w:hAnsiTheme="minorHAnsi" w:cstheme="minorBidi"/>
                <w:b w:val="0"/>
                <w:color w:val="auto"/>
                <w:szCs w:val="22"/>
                <w:lang w:val="en-US"/>
              </w:rPr>
              <w:t>$198</w:t>
            </w:r>
          </w:p>
        </w:tc>
      </w:tr>
      <w:tr w:rsidR="005C6D73" w14:paraId="47BC77B4" w14:textId="77777777" w:rsidTr="00DD51CD">
        <w:tc>
          <w:tcPr>
            <w:tcW w:w="5103" w:type="dxa"/>
          </w:tcPr>
          <w:p w14:paraId="5067E0EA" w14:textId="5BA995E2" w:rsidR="005C6D73" w:rsidRPr="004A7C34" w:rsidRDefault="005C6D73" w:rsidP="00DD51CD">
            <w:pPr>
              <w:rPr>
                <w:vertAlign w:val="superscript"/>
              </w:rPr>
            </w:pPr>
            <w:r>
              <w:t>Accommodation supplement and other supplements, per occupied bed-day</w:t>
            </w:r>
            <w:r w:rsidR="00F60F5D">
              <w:t xml:space="preserve"> </w:t>
            </w:r>
            <w:r>
              <w:rPr>
                <w:vertAlign w:val="superscript"/>
              </w:rPr>
              <w:t>i</w:t>
            </w:r>
          </w:p>
        </w:tc>
        <w:tc>
          <w:tcPr>
            <w:tcW w:w="993" w:type="dxa"/>
          </w:tcPr>
          <w:p w14:paraId="3C2C454D" w14:textId="77777777" w:rsidR="005C6D73" w:rsidRDefault="005C6D73" w:rsidP="00DD51CD">
            <w:pPr>
              <w:jc w:val="right"/>
            </w:pPr>
            <w:r>
              <w:t>-</w:t>
            </w:r>
          </w:p>
        </w:tc>
        <w:tc>
          <w:tcPr>
            <w:tcW w:w="1275" w:type="dxa"/>
          </w:tcPr>
          <w:p w14:paraId="096B8214" w14:textId="77777777" w:rsidR="005C6D73" w:rsidRDefault="005C6D73" w:rsidP="00DD51CD">
            <w:pPr>
              <w:jc w:val="right"/>
            </w:pPr>
            <w:r>
              <w:t>$20</w:t>
            </w:r>
          </w:p>
        </w:tc>
        <w:tc>
          <w:tcPr>
            <w:tcW w:w="1276" w:type="dxa"/>
          </w:tcPr>
          <w:p w14:paraId="7C69EA57" w14:textId="77777777" w:rsidR="005C6D73" w:rsidRDefault="005C6D73" w:rsidP="00DD51CD">
            <w:pPr>
              <w:jc w:val="right"/>
            </w:pPr>
            <w:r w:rsidRPr="00413F5A">
              <w:t>$20</w:t>
            </w:r>
          </w:p>
        </w:tc>
        <w:tc>
          <w:tcPr>
            <w:tcW w:w="1305" w:type="dxa"/>
          </w:tcPr>
          <w:p w14:paraId="06500AD6" w14:textId="77777777" w:rsidR="005C6D73" w:rsidRDefault="005C6D73" w:rsidP="00DD51CD">
            <w:pPr>
              <w:jc w:val="right"/>
            </w:pPr>
            <w:r w:rsidRPr="00413F5A">
              <w:t>$20</w:t>
            </w:r>
          </w:p>
        </w:tc>
      </w:tr>
      <w:tr w:rsidR="005C6D73" w14:paraId="47069EA4" w14:textId="77777777" w:rsidTr="00DD51CD">
        <w:tc>
          <w:tcPr>
            <w:tcW w:w="5103" w:type="dxa"/>
          </w:tcPr>
          <w:p w14:paraId="24490491" w14:textId="77777777" w:rsidR="005C6D73" w:rsidRPr="000B4892" w:rsidRDefault="005C6D73" w:rsidP="00DD51CD">
            <w:pPr>
              <w:rPr>
                <w:rFonts w:asciiTheme="majorHAnsi" w:hAnsiTheme="majorHAnsi" w:cstheme="majorHAnsi"/>
                <w:b/>
              </w:rPr>
            </w:pPr>
            <w:r w:rsidRPr="000B4892">
              <w:rPr>
                <w:rFonts w:asciiTheme="majorHAnsi" w:hAnsiTheme="majorHAnsi" w:cstheme="majorHAnsi"/>
                <w:b/>
              </w:rPr>
              <w:t>Value of released capacity (Commonwealth contribution)</w:t>
            </w:r>
          </w:p>
        </w:tc>
        <w:tc>
          <w:tcPr>
            <w:tcW w:w="993" w:type="dxa"/>
            <w:vAlign w:val="bottom"/>
          </w:tcPr>
          <w:p w14:paraId="2040EFCA"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color w:val="000000"/>
                <w:sz w:val="22"/>
              </w:rPr>
              <w:t>-</w:t>
            </w:r>
          </w:p>
        </w:tc>
        <w:tc>
          <w:tcPr>
            <w:tcW w:w="1275" w:type="dxa"/>
            <w:vAlign w:val="bottom"/>
          </w:tcPr>
          <w:p w14:paraId="763BEC4D"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color w:val="000000"/>
                <w:sz w:val="22"/>
              </w:rPr>
              <w:t>$600,831</w:t>
            </w:r>
          </w:p>
        </w:tc>
        <w:tc>
          <w:tcPr>
            <w:tcW w:w="1276" w:type="dxa"/>
            <w:vAlign w:val="bottom"/>
          </w:tcPr>
          <w:p w14:paraId="73E53098"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color w:val="000000"/>
                <w:sz w:val="22"/>
              </w:rPr>
              <w:t>$2,388,074</w:t>
            </w:r>
          </w:p>
        </w:tc>
        <w:tc>
          <w:tcPr>
            <w:tcW w:w="1305" w:type="dxa"/>
            <w:vAlign w:val="bottom"/>
          </w:tcPr>
          <w:p w14:paraId="3A862357" w14:textId="77777777" w:rsidR="005C6D73" w:rsidRPr="000B4892" w:rsidRDefault="005C6D73" w:rsidP="00DD51CD">
            <w:pPr>
              <w:jc w:val="right"/>
              <w:rPr>
                <w:rFonts w:asciiTheme="majorHAnsi" w:hAnsiTheme="majorHAnsi" w:cstheme="majorHAnsi"/>
                <w:b/>
              </w:rPr>
            </w:pPr>
            <w:r w:rsidRPr="000B4892">
              <w:rPr>
                <w:rFonts w:asciiTheme="majorHAnsi" w:hAnsiTheme="majorHAnsi" w:cstheme="majorHAnsi"/>
                <w:b/>
                <w:color w:val="000000"/>
                <w:sz w:val="22"/>
              </w:rPr>
              <w:t>$2,516,007</w:t>
            </w:r>
          </w:p>
        </w:tc>
      </w:tr>
    </w:tbl>
    <w:p w14:paraId="6400D1D7" w14:textId="77777777" w:rsidR="005C6D73" w:rsidRDefault="005C6D73" w:rsidP="005C6D73">
      <w:pPr>
        <w:pStyle w:val="SourcetextTableorChart"/>
        <w:spacing w:after="120"/>
      </w:pPr>
      <w:r>
        <w:t xml:space="preserve">Source: Deloitte Access Economics calculations. </w:t>
      </w:r>
    </w:p>
    <w:p w14:paraId="75F1E6EE" w14:textId="02DCDF04" w:rsidR="00BE0584" w:rsidRDefault="005C6D73" w:rsidP="00E826A0">
      <w:pPr>
        <w:pStyle w:val="SourcetextTableorChart"/>
        <w:spacing w:after="120"/>
      </w:pPr>
      <w:r>
        <w:t xml:space="preserve">Note i: In the absence of additional information, accommodation and other supplement values were assumed constant across all modelled financial years. </w:t>
      </w:r>
    </w:p>
    <w:p w14:paraId="6E9EEDDF" w14:textId="77777777" w:rsidR="00023692" w:rsidRDefault="00023692" w:rsidP="00E826A0">
      <w:pPr>
        <w:pStyle w:val="Heading3"/>
        <w:numPr>
          <w:ilvl w:val="0"/>
          <w:numId w:val="0"/>
        </w:numPr>
        <w:spacing w:after="0"/>
        <w:ind w:left="720" w:hanging="720"/>
      </w:pPr>
    </w:p>
    <w:p w14:paraId="1BFAB52A" w14:textId="61223DBE" w:rsidR="00023692" w:rsidRPr="00023692" w:rsidRDefault="00023692" w:rsidP="00023692">
      <w:pPr>
        <w:pStyle w:val="Charttitle"/>
        <w:numPr>
          <w:ilvl w:val="0"/>
          <w:numId w:val="0"/>
        </w:numPr>
        <w:spacing w:after="0"/>
        <w:ind w:left="578" w:hanging="578"/>
        <w:rPr>
          <w:rFonts w:cstheme="majorHAnsi"/>
        </w:rPr>
      </w:pPr>
      <w:r>
        <w:t>Monetised</w:t>
      </w:r>
      <w:r>
        <w:rPr>
          <w:rFonts w:cstheme="majorHAnsi"/>
        </w:rPr>
        <w:t xml:space="preserve"> costs</w:t>
      </w:r>
    </w:p>
    <w:p w14:paraId="5C3527A7" w14:textId="50DF277D" w:rsidR="00BE0584" w:rsidRPr="004A5051" w:rsidRDefault="00BE0584" w:rsidP="00E826A0">
      <w:pPr>
        <w:pStyle w:val="Heading3"/>
        <w:numPr>
          <w:ilvl w:val="0"/>
          <w:numId w:val="0"/>
        </w:numPr>
        <w:spacing w:after="0"/>
        <w:ind w:left="720" w:hanging="720"/>
      </w:pPr>
      <w:r>
        <w:t>Program costs (Subgroup A and Subgroup B)</w:t>
      </w:r>
    </w:p>
    <w:p w14:paraId="56D9A72B" w14:textId="77777777" w:rsidR="00BE0584" w:rsidRDefault="00BE0584" w:rsidP="00BE0584">
      <w:r>
        <w:t xml:space="preserve">Program costs associated with the model of care include: </w:t>
      </w:r>
    </w:p>
    <w:p w14:paraId="76EF090A" w14:textId="77777777" w:rsidR="00BE0584" w:rsidRDefault="00BE0584" w:rsidP="00BE0584">
      <w:pPr>
        <w:pStyle w:val="ListBullet"/>
      </w:pPr>
      <w:r>
        <w:t>establishment costs</w:t>
      </w:r>
    </w:p>
    <w:p w14:paraId="4B3ABE77" w14:textId="77777777" w:rsidR="00BE0584" w:rsidRDefault="00BE0584" w:rsidP="00BE0584">
      <w:pPr>
        <w:pStyle w:val="ListBullet"/>
      </w:pPr>
      <w:r>
        <w:t xml:space="preserve">top-up grant payments </w:t>
      </w:r>
    </w:p>
    <w:p w14:paraId="27A9C28F" w14:textId="77777777" w:rsidR="00BE0584" w:rsidRDefault="00BE0584" w:rsidP="00BE0584">
      <w:pPr>
        <w:pStyle w:val="ListBullet"/>
      </w:pPr>
      <w:r>
        <w:t>transition payments (paid in advance)</w:t>
      </w:r>
    </w:p>
    <w:p w14:paraId="3699ADEF" w14:textId="77777777" w:rsidR="00BE0584" w:rsidRDefault="00BE0584" w:rsidP="00BE0584">
      <w:pPr>
        <w:pStyle w:val="ListBullet"/>
      </w:pPr>
      <w:r>
        <w:t>state/territory SDCP partnership payments (for in-reach clinician services)</w:t>
      </w:r>
    </w:p>
    <w:p w14:paraId="40B27654" w14:textId="77777777" w:rsidR="00BE0584" w:rsidRDefault="00BE0584" w:rsidP="00BE0584">
      <w:pPr>
        <w:pStyle w:val="ListBullet"/>
        <w:spacing w:after="120"/>
      </w:pPr>
      <w:r>
        <w:t>NBA service payments.</w:t>
      </w:r>
    </w:p>
    <w:p w14:paraId="19723974" w14:textId="4CA5AC16" w:rsidR="00BE0584" w:rsidRDefault="00BE0584" w:rsidP="00BE0584">
      <w:r>
        <w:t xml:space="preserve">All Program costs were provided by the Department, summarised in </w:t>
      </w:r>
      <w:r w:rsidR="000217E8">
        <w:fldChar w:fldCharType="begin"/>
      </w:r>
      <w:r w:rsidR="000217E8">
        <w:instrText xml:space="preserve"> REF _Ref125368326 \h </w:instrText>
      </w:r>
      <w:r w:rsidR="000217E8">
        <w:fldChar w:fldCharType="separate"/>
      </w:r>
      <w:r w:rsidR="00D32536">
        <w:t xml:space="preserve">Table B </w:t>
      </w:r>
      <w:r w:rsidR="00D32536">
        <w:rPr>
          <w:noProof/>
        </w:rPr>
        <w:t>6</w:t>
      </w:r>
      <w:r w:rsidR="000217E8">
        <w:fldChar w:fldCharType="end"/>
      </w:r>
      <w:r>
        <w:t>.</w:t>
      </w:r>
    </w:p>
    <w:p w14:paraId="4E12CED0" w14:textId="7D9C83B3" w:rsidR="00BE0584" w:rsidRDefault="001D2192" w:rsidP="00BE0584">
      <w:pPr>
        <w:pStyle w:val="Caption"/>
      </w:pPr>
      <w:bookmarkStart w:id="117" w:name="_Ref125368326"/>
      <w:r>
        <w:t>Table</w:t>
      </w:r>
      <w:r w:rsidR="00BE0584">
        <w:t xml:space="preserve"> </w:t>
      </w:r>
      <w:r w:rsidR="00583DC8">
        <w:t>B</w:t>
      </w:r>
      <w:r w:rsidR="000217E8">
        <w:t xml:space="preserve"> </w:t>
      </w:r>
      <w:r w:rsidR="000217E8">
        <w:fldChar w:fldCharType="begin"/>
      </w:r>
      <w:r w:rsidR="000217E8">
        <w:instrText xml:space="preserve"> SEQ Table_C \* ARABIC </w:instrText>
      </w:r>
      <w:r w:rsidR="000217E8">
        <w:fldChar w:fldCharType="separate"/>
      </w:r>
      <w:r w:rsidR="00D32536">
        <w:rPr>
          <w:noProof/>
        </w:rPr>
        <w:t>6</w:t>
      </w:r>
      <w:r w:rsidR="000217E8">
        <w:fldChar w:fldCharType="end"/>
      </w:r>
      <w:bookmarkEnd w:id="117"/>
      <w:r w:rsidR="00BE0584">
        <w:t xml:space="preserve"> Full Program costs (FY2019-20 dollars, real)</w:t>
      </w:r>
    </w:p>
    <w:tbl>
      <w:tblPr>
        <w:tblStyle w:val="Deloittetable"/>
        <w:tblW w:w="0" w:type="auto"/>
        <w:tblLook w:val="04A0" w:firstRow="1" w:lastRow="0" w:firstColumn="1" w:lastColumn="0" w:noHBand="0" w:noVBand="1"/>
      </w:tblPr>
      <w:tblGrid>
        <w:gridCol w:w="5103"/>
        <w:gridCol w:w="993"/>
        <w:gridCol w:w="1275"/>
        <w:gridCol w:w="1276"/>
        <w:gridCol w:w="1305"/>
      </w:tblGrid>
      <w:tr w:rsidR="00BE0584" w14:paraId="28E93A54" w14:textId="77777777" w:rsidTr="005B2C0F">
        <w:trPr>
          <w:cnfStyle w:val="100000000000" w:firstRow="1" w:lastRow="0" w:firstColumn="0" w:lastColumn="0" w:oddVBand="0" w:evenVBand="0" w:oddHBand="0" w:evenHBand="0" w:firstRowFirstColumn="0" w:firstRowLastColumn="0" w:lastRowFirstColumn="0" w:lastRowLastColumn="0"/>
        </w:trPr>
        <w:tc>
          <w:tcPr>
            <w:tcW w:w="5103" w:type="dxa"/>
          </w:tcPr>
          <w:p w14:paraId="4294D9D4" w14:textId="77777777" w:rsidR="00BE0584" w:rsidRDefault="00BE0584" w:rsidP="005B2C0F">
            <w:pPr>
              <w:pStyle w:val="TableHeadingLeft"/>
              <w:keepNext/>
              <w:spacing w:after="120"/>
            </w:pPr>
            <w:r>
              <w:t>Element</w:t>
            </w:r>
          </w:p>
        </w:tc>
        <w:tc>
          <w:tcPr>
            <w:tcW w:w="993" w:type="dxa"/>
          </w:tcPr>
          <w:p w14:paraId="637572CE" w14:textId="77777777" w:rsidR="00BE0584" w:rsidRDefault="00BE0584" w:rsidP="005B2C0F">
            <w:pPr>
              <w:pStyle w:val="TableHeadingLeft"/>
              <w:keepNext/>
              <w:spacing w:after="120"/>
              <w:jc w:val="right"/>
            </w:pPr>
            <w:r>
              <w:t>FY2018-19</w:t>
            </w:r>
          </w:p>
        </w:tc>
        <w:tc>
          <w:tcPr>
            <w:tcW w:w="1275" w:type="dxa"/>
          </w:tcPr>
          <w:p w14:paraId="2BC22C0B" w14:textId="77777777" w:rsidR="00BE0584" w:rsidRDefault="00BE0584" w:rsidP="005B2C0F">
            <w:pPr>
              <w:pStyle w:val="TableHeadingLeft"/>
              <w:keepNext/>
              <w:spacing w:after="120"/>
              <w:jc w:val="right"/>
            </w:pPr>
            <w:r>
              <w:t>FY2019-20</w:t>
            </w:r>
          </w:p>
        </w:tc>
        <w:tc>
          <w:tcPr>
            <w:tcW w:w="1276" w:type="dxa"/>
          </w:tcPr>
          <w:p w14:paraId="5320685A" w14:textId="77777777" w:rsidR="00BE0584" w:rsidRDefault="00BE0584" w:rsidP="005B2C0F">
            <w:pPr>
              <w:pStyle w:val="TableHeadingLeft"/>
              <w:keepNext/>
              <w:spacing w:after="120"/>
              <w:jc w:val="right"/>
            </w:pPr>
            <w:r>
              <w:t xml:space="preserve">FY2020-21 </w:t>
            </w:r>
          </w:p>
        </w:tc>
        <w:tc>
          <w:tcPr>
            <w:tcW w:w="1305" w:type="dxa"/>
          </w:tcPr>
          <w:p w14:paraId="1D50340B" w14:textId="77777777" w:rsidR="00BE0584" w:rsidRDefault="00BE0584" w:rsidP="005B2C0F">
            <w:pPr>
              <w:pStyle w:val="TableHeadingLeft"/>
              <w:keepNext/>
              <w:spacing w:after="120"/>
              <w:jc w:val="right"/>
            </w:pPr>
            <w:r>
              <w:t xml:space="preserve">FY2021-22 </w:t>
            </w:r>
          </w:p>
        </w:tc>
      </w:tr>
      <w:tr w:rsidR="00BE0584" w:rsidRPr="00150D42" w14:paraId="5701D293" w14:textId="77777777" w:rsidTr="005B2C0F">
        <w:tc>
          <w:tcPr>
            <w:tcW w:w="5103" w:type="dxa"/>
          </w:tcPr>
          <w:p w14:paraId="166F6210" w14:textId="77777777" w:rsidR="00BE0584" w:rsidRDefault="00BE0584" w:rsidP="005B2C0F">
            <w:pPr>
              <w:keepNext/>
            </w:pPr>
            <w:r>
              <w:t>Establishment cost</w:t>
            </w:r>
          </w:p>
        </w:tc>
        <w:tc>
          <w:tcPr>
            <w:tcW w:w="993" w:type="dxa"/>
          </w:tcPr>
          <w:p w14:paraId="4A11C678"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$513,021</w:t>
            </w:r>
          </w:p>
        </w:tc>
        <w:tc>
          <w:tcPr>
            <w:tcW w:w="1275" w:type="dxa"/>
          </w:tcPr>
          <w:p w14:paraId="26F7CE73"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$3,700,000</w:t>
            </w:r>
          </w:p>
        </w:tc>
        <w:tc>
          <w:tcPr>
            <w:tcW w:w="1276" w:type="dxa"/>
          </w:tcPr>
          <w:p w14:paraId="0BB7D7FD"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$0</w:t>
            </w:r>
          </w:p>
        </w:tc>
        <w:tc>
          <w:tcPr>
            <w:tcW w:w="1305" w:type="dxa"/>
          </w:tcPr>
          <w:p w14:paraId="26E5BFF5"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$0</w:t>
            </w:r>
          </w:p>
        </w:tc>
      </w:tr>
      <w:tr w:rsidR="00BE0584" w:rsidRPr="00150D42" w14:paraId="09F3ADBA" w14:textId="77777777" w:rsidTr="005B2C0F">
        <w:tc>
          <w:tcPr>
            <w:tcW w:w="5103" w:type="dxa"/>
          </w:tcPr>
          <w:p w14:paraId="7BF8308F" w14:textId="77777777" w:rsidR="00BE0584" w:rsidRDefault="00BE0584" w:rsidP="005B2C0F">
            <w:pPr>
              <w:keepNext/>
            </w:pPr>
            <w:r>
              <w:t>Top-up grant payments</w:t>
            </w:r>
          </w:p>
        </w:tc>
        <w:tc>
          <w:tcPr>
            <w:tcW w:w="993" w:type="dxa"/>
          </w:tcPr>
          <w:p w14:paraId="7B6BD203"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$0</w:t>
            </w:r>
          </w:p>
        </w:tc>
        <w:tc>
          <w:tcPr>
            <w:tcW w:w="1275" w:type="dxa"/>
          </w:tcPr>
          <w:p w14:paraId="7264A4DD"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$2,231,700</w:t>
            </w:r>
          </w:p>
        </w:tc>
        <w:tc>
          <w:tcPr>
            <w:tcW w:w="1276" w:type="dxa"/>
          </w:tcPr>
          <w:p w14:paraId="1A15A228"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5F564B">
              <w:rPr>
                <w:rFonts w:asciiTheme="minorHAnsi" w:hAnsiTheme="minorHAnsi" w:cstheme="minorBidi"/>
                <w:b w:val="0"/>
                <w:color w:val="auto"/>
                <w:szCs w:val="22"/>
                <w:lang w:val="en-US"/>
              </w:rPr>
              <w:t>$9,394,241</w:t>
            </w:r>
          </w:p>
        </w:tc>
        <w:tc>
          <w:tcPr>
            <w:tcW w:w="1305" w:type="dxa"/>
          </w:tcPr>
          <w:p w14:paraId="4AFA935A"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5F564B">
              <w:rPr>
                <w:rFonts w:asciiTheme="minorHAnsi" w:hAnsiTheme="minorHAnsi" w:cstheme="minorBidi"/>
                <w:b w:val="0"/>
                <w:color w:val="auto"/>
                <w:szCs w:val="22"/>
                <w:lang w:val="en-US"/>
              </w:rPr>
              <w:t>$9,322,915</w:t>
            </w:r>
          </w:p>
        </w:tc>
      </w:tr>
      <w:tr w:rsidR="00BE0584" w:rsidRPr="00150D42" w14:paraId="60B27A08" w14:textId="77777777" w:rsidTr="005B2C0F">
        <w:tc>
          <w:tcPr>
            <w:tcW w:w="5103" w:type="dxa"/>
          </w:tcPr>
          <w:p w14:paraId="645C7DBA" w14:textId="77777777" w:rsidR="00BE0584" w:rsidRDefault="00BE0584" w:rsidP="005B2C0F">
            <w:pPr>
              <w:keepNext/>
            </w:pPr>
            <w:r>
              <w:t>Transition payments</w:t>
            </w:r>
          </w:p>
        </w:tc>
        <w:tc>
          <w:tcPr>
            <w:tcW w:w="993" w:type="dxa"/>
          </w:tcPr>
          <w:p w14:paraId="4B503B83"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$0</w:t>
            </w:r>
          </w:p>
        </w:tc>
        <w:tc>
          <w:tcPr>
            <w:tcW w:w="1275" w:type="dxa"/>
          </w:tcPr>
          <w:p w14:paraId="6007DC7E"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$295,200</w:t>
            </w:r>
          </w:p>
        </w:tc>
        <w:tc>
          <w:tcPr>
            <w:tcW w:w="1276" w:type="dxa"/>
          </w:tcPr>
          <w:p w14:paraId="28A2A7B0"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5F564B">
              <w:rPr>
                <w:rFonts w:asciiTheme="minorHAnsi" w:hAnsiTheme="minorHAnsi" w:cstheme="minorBidi"/>
                <w:b w:val="0"/>
                <w:color w:val="auto"/>
                <w:szCs w:val="22"/>
                <w:lang w:val="en-US"/>
              </w:rPr>
              <w:t>$560,268</w:t>
            </w:r>
          </w:p>
        </w:tc>
        <w:tc>
          <w:tcPr>
            <w:tcW w:w="1305" w:type="dxa"/>
          </w:tcPr>
          <w:p w14:paraId="0307E395"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5F564B">
              <w:rPr>
                <w:rFonts w:asciiTheme="minorHAnsi" w:hAnsiTheme="minorHAnsi" w:cstheme="minorBidi"/>
                <w:b w:val="0"/>
                <w:color w:val="auto"/>
                <w:szCs w:val="22"/>
                <w:lang w:val="en-US"/>
              </w:rPr>
              <w:t>$547,210</w:t>
            </w:r>
          </w:p>
        </w:tc>
      </w:tr>
      <w:tr w:rsidR="00BE0584" w:rsidRPr="00150D42" w14:paraId="0D96D23F" w14:textId="77777777" w:rsidTr="005B2C0F">
        <w:tc>
          <w:tcPr>
            <w:tcW w:w="5103" w:type="dxa"/>
          </w:tcPr>
          <w:p w14:paraId="3A0079DF" w14:textId="77777777" w:rsidR="00BE0584" w:rsidRDefault="00BE0584" w:rsidP="005B2C0F">
            <w:pPr>
              <w:keepNext/>
            </w:pPr>
            <w:r>
              <w:t>State/territory SDCP partnership payments</w:t>
            </w:r>
          </w:p>
        </w:tc>
        <w:tc>
          <w:tcPr>
            <w:tcW w:w="993" w:type="dxa"/>
          </w:tcPr>
          <w:p w14:paraId="3F503F3F"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$209,313</w:t>
            </w:r>
          </w:p>
        </w:tc>
        <w:tc>
          <w:tcPr>
            <w:tcW w:w="1275" w:type="dxa"/>
          </w:tcPr>
          <w:p w14:paraId="0497288F"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$1,535,000</w:t>
            </w:r>
          </w:p>
        </w:tc>
        <w:tc>
          <w:tcPr>
            <w:tcW w:w="1276" w:type="dxa"/>
          </w:tcPr>
          <w:p w14:paraId="35FBB32B"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$2,305,885</w:t>
            </w:r>
          </w:p>
        </w:tc>
        <w:tc>
          <w:tcPr>
            <w:tcW w:w="1305" w:type="dxa"/>
          </w:tcPr>
          <w:p w14:paraId="14153B76"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$2,539,793</w:t>
            </w:r>
          </w:p>
        </w:tc>
      </w:tr>
      <w:tr w:rsidR="00BE0584" w:rsidRPr="00150D42" w14:paraId="22E8B5CA" w14:textId="77777777" w:rsidTr="005B2C0F">
        <w:tc>
          <w:tcPr>
            <w:tcW w:w="5103" w:type="dxa"/>
          </w:tcPr>
          <w:p w14:paraId="6E0C6D16" w14:textId="77777777" w:rsidR="00BE0584" w:rsidRDefault="00BE0584" w:rsidP="005B2C0F">
            <w:pPr>
              <w:keepNext/>
            </w:pPr>
            <w:r>
              <w:t>NBA service payments</w:t>
            </w:r>
          </w:p>
        </w:tc>
        <w:tc>
          <w:tcPr>
            <w:tcW w:w="993" w:type="dxa"/>
          </w:tcPr>
          <w:p w14:paraId="6DC1D9A7"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$0</w:t>
            </w:r>
          </w:p>
        </w:tc>
        <w:tc>
          <w:tcPr>
            <w:tcW w:w="1275" w:type="dxa"/>
          </w:tcPr>
          <w:p w14:paraId="40C7D4D4"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$934,000</w:t>
            </w:r>
          </w:p>
        </w:tc>
        <w:tc>
          <w:tcPr>
            <w:tcW w:w="1276" w:type="dxa"/>
          </w:tcPr>
          <w:p w14:paraId="4D3C97EA"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$689,500</w:t>
            </w:r>
          </w:p>
        </w:tc>
        <w:tc>
          <w:tcPr>
            <w:tcW w:w="1305" w:type="dxa"/>
          </w:tcPr>
          <w:p w14:paraId="289CD01D"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3769C7">
              <w:rPr>
                <w:rFonts w:asciiTheme="minorHAnsi" w:hAnsiTheme="minorHAnsi" w:cstheme="minorBidi"/>
                <w:b w:val="0"/>
                <w:color w:val="auto"/>
                <w:szCs w:val="22"/>
                <w:lang w:val="en-US"/>
              </w:rPr>
              <w:t>$673,430</w:t>
            </w:r>
          </w:p>
        </w:tc>
      </w:tr>
      <w:tr w:rsidR="00BE0584" w:rsidRPr="009A24E0" w14:paraId="68BDE9AB" w14:textId="77777777" w:rsidTr="005B2C0F">
        <w:tc>
          <w:tcPr>
            <w:tcW w:w="5103" w:type="dxa"/>
          </w:tcPr>
          <w:p w14:paraId="5492C446" w14:textId="77777777" w:rsidR="00BE0584" w:rsidRPr="000B4892" w:rsidRDefault="00BE0584" w:rsidP="005B2C0F">
            <w:pPr>
              <w:keepNext/>
              <w:rPr>
                <w:rFonts w:asciiTheme="majorHAnsi" w:hAnsiTheme="majorHAnsi" w:cstheme="majorHAnsi"/>
                <w:b/>
              </w:rPr>
            </w:pPr>
            <w:r w:rsidRPr="000B4892">
              <w:rPr>
                <w:rFonts w:asciiTheme="majorHAnsi" w:hAnsiTheme="majorHAnsi" w:cstheme="majorHAnsi"/>
                <w:b/>
              </w:rPr>
              <w:t>Total Program costs</w:t>
            </w:r>
          </w:p>
        </w:tc>
        <w:tc>
          <w:tcPr>
            <w:tcW w:w="993" w:type="dxa"/>
          </w:tcPr>
          <w:p w14:paraId="1D808C9F" w14:textId="77777777" w:rsidR="00BE0584" w:rsidRPr="000B4892" w:rsidRDefault="00BE0584" w:rsidP="005B2C0F">
            <w:pPr>
              <w:pStyle w:val="TableHeadingLeft"/>
              <w:keepNext/>
              <w:spacing w:after="120"/>
              <w:jc w:val="right"/>
              <w:rPr>
                <w:color w:val="auto"/>
                <w:szCs w:val="22"/>
                <w:lang w:val="en-US"/>
              </w:rPr>
            </w:pPr>
            <w:r w:rsidRPr="000B4892">
              <w:rPr>
                <w:color w:val="auto"/>
                <w:szCs w:val="22"/>
                <w:lang w:val="en-US"/>
              </w:rPr>
              <w:t>$722,333</w:t>
            </w:r>
          </w:p>
        </w:tc>
        <w:tc>
          <w:tcPr>
            <w:tcW w:w="1275" w:type="dxa"/>
          </w:tcPr>
          <w:p w14:paraId="679F6569" w14:textId="77777777" w:rsidR="00BE0584" w:rsidRPr="000B4892" w:rsidRDefault="00BE0584" w:rsidP="005B2C0F">
            <w:pPr>
              <w:pStyle w:val="TableHeadingLeft"/>
              <w:keepNext/>
              <w:spacing w:after="120"/>
              <w:jc w:val="right"/>
              <w:rPr>
                <w:color w:val="auto"/>
                <w:szCs w:val="22"/>
                <w:lang w:val="en-US"/>
              </w:rPr>
            </w:pPr>
            <w:r w:rsidRPr="000B4892">
              <w:rPr>
                <w:color w:val="auto"/>
                <w:szCs w:val="22"/>
                <w:lang w:val="en-US"/>
              </w:rPr>
              <w:t>$8,695,900</w:t>
            </w:r>
          </w:p>
        </w:tc>
        <w:tc>
          <w:tcPr>
            <w:tcW w:w="1276" w:type="dxa"/>
          </w:tcPr>
          <w:p w14:paraId="69024914" w14:textId="77777777" w:rsidR="00BE0584" w:rsidRPr="000B4892" w:rsidRDefault="00BE0584" w:rsidP="005B2C0F">
            <w:pPr>
              <w:pStyle w:val="TableHeadingLeft"/>
              <w:keepNext/>
              <w:spacing w:after="120"/>
              <w:jc w:val="right"/>
              <w:rPr>
                <w:color w:val="auto"/>
                <w:szCs w:val="22"/>
                <w:lang w:val="en-US"/>
              </w:rPr>
            </w:pPr>
            <w:r w:rsidRPr="000B4892">
              <w:rPr>
                <w:color w:val="auto"/>
                <w:szCs w:val="22"/>
                <w:lang w:val="en-US"/>
              </w:rPr>
              <w:t>$12,949,894</w:t>
            </w:r>
          </w:p>
        </w:tc>
        <w:tc>
          <w:tcPr>
            <w:tcW w:w="1305" w:type="dxa"/>
          </w:tcPr>
          <w:p w14:paraId="17BA7F9A" w14:textId="77777777" w:rsidR="00BE0584" w:rsidRPr="000B4892" w:rsidRDefault="00BE0584" w:rsidP="005B2C0F">
            <w:pPr>
              <w:pStyle w:val="TableHeadingLeft"/>
              <w:keepNext/>
              <w:spacing w:after="120"/>
              <w:jc w:val="right"/>
              <w:rPr>
                <w:color w:val="auto"/>
                <w:szCs w:val="22"/>
                <w:lang w:val="en-US"/>
              </w:rPr>
            </w:pPr>
            <w:r w:rsidRPr="000B4892">
              <w:rPr>
                <w:color w:val="auto"/>
                <w:szCs w:val="22"/>
                <w:lang w:val="en-US"/>
              </w:rPr>
              <w:t>$13,083,347</w:t>
            </w:r>
          </w:p>
        </w:tc>
      </w:tr>
    </w:tbl>
    <w:p w14:paraId="58BA4433" w14:textId="77777777" w:rsidR="00BE0584" w:rsidRDefault="00BE0584" w:rsidP="00BE0584">
      <w:pPr>
        <w:pStyle w:val="SourcetextTableorChart"/>
        <w:spacing w:after="120"/>
      </w:pPr>
      <w:r>
        <w:t xml:space="preserve">Source: Department of Health and Aged Care. </w:t>
      </w:r>
    </w:p>
    <w:p w14:paraId="7CD734C3" w14:textId="77777777" w:rsidR="00BE0584" w:rsidRPr="00E537F7" w:rsidRDefault="00BE0584" w:rsidP="00BE0584">
      <w:pPr>
        <w:pStyle w:val="SourcetextTableorChart"/>
        <w:spacing w:after="120"/>
      </w:pPr>
    </w:p>
    <w:p w14:paraId="67100DAE" w14:textId="77777777" w:rsidR="00BE0584" w:rsidRDefault="00BE0584" w:rsidP="00E826A0">
      <w:pPr>
        <w:pStyle w:val="Heading3"/>
        <w:numPr>
          <w:ilvl w:val="0"/>
          <w:numId w:val="0"/>
        </w:numPr>
        <w:spacing w:after="0"/>
        <w:ind w:left="720" w:hanging="720"/>
        <w:rPr>
          <w:lang w:val="en-AU"/>
        </w:rPr>
      </w:pPr>
      <w:r>
        <w:rPr>
          <w:lang w:val="en-AU"/>
        </w:rPr>
        <w:t>Residential aged care costs – Commonwealth contribution (Subgroup A)</w:t>
      </w:r>
    </w:p>
    <w:p w14:paraId="3AC46DAB" w14:textId="063F4CE7" w:rsidR="00BE0584" w:rsidRDefault="00BE0584" w:rsidP="00BE0584">
      <w:pPr>
        <w:rPr>
          <w:lang w:val="en-AU"/>
        </w:rPr>
      </w:pPr>
      <w:r>
        <w:rPr>
          <w:lang w:val="en-AU"/>
        </w:rPr>
        <w:t xml:space="preserve">For Subgroup A, entry into the residential aged care system at an SDCU attracts residential aged care costs. These costs may be split into Commonwealth contributions and resident contributions. The approach to monetisation of Commonwealth contributions followed the same process as discussed in </w:t>
      </w:r>
      <w:r w:rsidR="00E25D7C">
        <w:rPr>
          <w:lang w:val="en-AU"/>
        </w:rPr>
        <w:t>released capacity (Commonwealth contribution) above</w:t>
      </w:r>
      <w:r>
        <w:rPr>
          <w:lang w:val="en-AU"/>
        </w:rPr>
        <w:t xml:space="preserve">, with an exception for the calculation of ACFI fees. A Program resident is likely to have higher needs than the sectoral average aged care place, and as a result fees were calculated based on the assumption of high need across Activities of Daily Living, high need across Behaviour, and medium need across Complex Health Care. Fees for each financial year were sourced from the Schedule of Subsidies and Supplements for Aged Care, published on the Department website. </w:t>
      </w:r>
    </w:p>
    <w:p w14:paraId="1CAFFF2E" w14:textId="45ED6224" w:rsidR="00BE0584" w:rsidRPr="000B4892" w:rsidRDefault="000217E8" w:rsidP="00BE0584">
      <w:pPr>
        <w:spacing w:after="0" w:line="240" w:lineRule="auto"/>
        <w:rPr>
          <w:rFonts w:asciiTheme="majorHAnsi" w:eastAsia="Times New Roman" w:hAnsiTheme="majorHAnsi" w:cstheme="majorHAnsi"/>
          <w:color w:val="000000"/>
          <w:sz w:val="22"/>
          <w:lang w:val="en-AU" w:eastAsia="en-AU"/>
        </w:rPr>
      </w:pPr>
      <w:r>
        <w:fldChar w:fldCharType="begin"/>
      </w:r>
      <w:r>
        <w:instrText xml:space="preserve"> REF _Ref125368351 \h </w:instrText>
      </w:r>
      <w:r>
        <w:fldChar w:fldCharType="separate"/>
      </w:r>
      <w:r w:rsidR="00D32536">
        <w:t xml:space="preserve">Table B </w:t>
      </w:r>
      <w:r w:rsidR="00D32536">
        <w:rPr>
          <w:noProof/>
        </w:rPr>
        <w:t>7</w:t>
      </w:r>
      <w:r>
        <w:fldChar w:fldCharType="end"/>
      </w:r>
      <w:r w:rsidR="00BE0584">
        <w:t xml:space="preserve"> details the results of this assessment.</w:t>
      </w:r>
      <w:r w:rsidR="00BE0584">
        <w:rPr>
          <w:rStyle w:val="FootnoteReference"/>
        </w:rPr>
        <w:footnoteReference w:id="42"/>
      </w:r>
      <w:r w:rsidR="00BE0584">
        <w:t xml:space="preserve"> </w:t>
      </w:r>
      <w:r w:rsidR="00BE0584" w:rsidRPr="000B4892">
        <w:rPr>
          <w:rFonts w:asciiTheme="majorHAnsi" w:hAnsiTheme="majorHAnsi" w:cstheme="majorHAnsi"/>
          <w:b/>
        </w:rPr>
        <w:t>Incremental costs from Commonwealth contributions to Program providers for Subgroup A over the duration of the Program was estimated to be valued at a PV of $6,476,597 in FY2019-20 dollars.</w:t>
      </w:r>
      <w:r w:rsidR="00BE0584" w:rsidRPr="000B4892">
        <w:rPr>
          <w:rFonts w:asciiTheme="majorHAnsi" w:hAnsiTheme="majorHAnsi" w:cstheme="majorHAnsi"/>
        </w:rPr>
        <w:t xml:space="preserve"> </w:t>
      </w:r>
    </w:p>
    <w:p w14:paraId="26DD5B2F" w14:textId="77777777" w:rsidR="00BE0584" w:rsidRPr="00A02B97" w:rsidRDefault="00BE0584" w:rsidP="00BE0584">
      <w:pPr>
        <w:spacing w:after="0" w:line="240" w:lineRule="auto"/>
        <w:rPr>
          <w:rFonts w:ascii="Calibri" w:eastAsia="Times New Roman" w:hAnsi="Calibri" w:cs="Calibri"/>
          <w:color w:val="000000"/>
          <w:sz w:val="22"/>
          <w:lang w:val="en-AU" w:eastAsia="en-AU"/>
        </w:rPr>
      </w:pPr>
    </w:p>
    <w:p w14:paraId="14FFDAE4" w14:textId="7C2F429E" w:rsidR="00BE0584" w:rsidRDefault="001D2192" w:rsidP="00BE0584">
      <w:pPr>
        <w:pStyle w:val="Caption"/>
      </w:pPr>
      <w:bookmarkStart w:id="118" w:name="_Ref125368351"/>
      <w:r>
        <w:t>Table</w:t>
      </w:r>
      <w:r w:rsidR="00BE0584">
        <w:t xml:space="preserve"> </w:t>
      </w:r>
      <w:r w:rsidR="00583DC8">
        <w:t>B</w:t>
      </w:r>
      <w:r w:rsidR="000217E8">
        <w:t xml:space="preserve"> </w:t>
      </w:r>
      <w:r w:rsidR="000217E8">
        <w:fldChar w:fldCharType="begin"/>
      </w:r>
      <w:r w:rsidR="000217E8">
        <w:instrText xml:space="preserve"> SEQ Table_C \* ARABIC </w:instrText>
      </w:r>
      <w:r w:rsidR="000217E8">
        <w:fldChar w:fldCharType="separate"/>
      </w:r>
      <w:r w:rsidR="00D32536">
        <w:rPr>
          <w:noProof/>
        </w:rPr>
        <w:t>7</w:t>
      </w:r>
      <w:r w:rsidR="000217E8">
        <w:fldChar w:fldCharType="end"/>
      </w:r>
      <w:bookmarkEnd w:id="118"/>
      <w:r w:rsidR="00BE0584">
        <w:t xml:space="preserve"> Residential aged care – Commonwealth contributions (Subgroup A) (FY2019-20 dollars, real)</w:t>
      </w:r>
    </w:p>
    <w:tbl>
      <w:tblPr>
        <w:tblStyle w:val="Deloittetable"/>
        <w:tblW w:w="0" w:type="auto"/>
        <w:tblLook w:val="04A0" w:firstRow="1" w:lastRow="0" w:firstColumn="1" w:lastColumn="0" w:noHBand="0" w:noVBand="1"/>
      </w:tblPr>
      <w:tblGrid>
        <w:gridCol w:w="5103"/>
        <w:gridCol w:w="993"/>
        <w:gridCol w:w="1275"/>
        <w:gridCol w:w="1276"/>
        <w:gridCol w:w="1305"/>
      </w:tblGrid>
      <w:tr w:rsidR="00BE0584" w14:paraId="270C1A71" w14:textId="77777777" w:rsidTr="005B2C0F">
        <w:trPr>
          <w:cnfStyle w:val="100000000000" w:firstRow="1" w:lastRow="0" w:firstColumn="0" w:lastColumn="0" w:oddVBand="0" w:evenVBand="0" w:oddHBand="0" w:evenHBand="0" w:firstRowFirstColumn="0" w:firstRowLastColumn="0" w:lastRowFirstColumn="0" w:lastRowLastColumn="0"/>
        </w:trPr>
        <w:tc>
          <w:tcPr>
            <w:tcW w:w="5103" w:type="dxa"/>
          </w:tcPr>
          <w:p w14:paraId="367D14E0" w14:textId="77777777" w:rsidR="00BE0584" w:rsidRDefault="00BE0584" w:rsidP="005B2C0F">
            <w:pPr>
              <w:pStyle w:val="TableHeadingLeft"/>
              <w:keepNext/>
              <w:spacing w:after="120"/>
            </w:pPr>
            <w:r>
              <w:t>Element</w:t>
            </w:r>
          </w:p>
        </w:tc>
        <w:tc>
          <w:tcPr>
            <w:tcW w:w="993" w:type="dxa"/>
          </w:tcPr>
          <w:p w14:paraId="7796AA1E" w14:textId="77777777" w:rsidR="00BE0584" w:rsidRDefault="00BE0584" w:rsidP="005B2C0F">
            <w:pPr>
              <w:pStyle w:val="TableHeadingLeft"/>
              <w:keepNext/>
              <w:spacing w:after="120"/>
              <w:jc w:val="right"/>
            </w:pPr>
            <w:r>
              <w:t>FY2018-19</w:t>
            </w:r>
          </w:p>
        </w:tc>
        <w:tc>
          <w:tcPr>
            <w:tcW w:w="1275" w:type="dxa"/>
          </w:tcPr>
          <w:p w14:paraId="6A092B72" w14:textId="77777777" w:rsidR="00BE0584" w:rsidRDefault="00BE0584" w:rsidP="005B2C0F">
            <w:pPr>
              <w:pStyle w:val="TableHeadingLeft"/>
              <w:keepNext/>
              <w:spacing w:after="120"/>
              <w:jc w:val="right"/>
            </w:pPr>
            <w:r>
              <w:t>FY2019-20</w:t>
            </w:r>
          </w:p>
        </w:tc>
        <w:tc>
          <w:tcPr>
            <w:tcW w:w="1276" w:type="dxa"/>
          </w:tcPr>
          <w:p w14:paraId="7CD499A4" w14:textId="77777777" w:rsidR="00BE0584" w:rsidRDefault="00BE0584" w:rsidP="005B2C0F">
            <w:pPr>
              <w:pStyle w:val="TableHeadingLeft"/>
              <w:keepNext/>
              <w:spacing w:after="120"/>
              <w:jc w:val="right"/>
            </w:pPr>
            <w:r>
              <w:t xml:space="preserve">FY2020-21 </w:t>
            </w:r>
          </w:p>
        </w:tc>
        <w:tc>
          <w:tcPr>
            <w:tcW w:w="1305" w:type="dxa"/>
          </w:tcPr>
          <w:p w14:paraId="031711A2" w14:textId="77777777" w:rsidR="00BE0584" w:rsidRDefault="00BE0584" w:rsidP="005B2C0F">
            <w:pPr>
              <w:pStyle w:val="TableHeadingLeft"/>
              <w:keepNext/>
              <w:spacing w:after="120"/>
              <w:jc w:val="right"/>
            </w:pPr>
            <w:r>
              <w:t xml:space="preserve">FY2021-22 </w:t>
            </w:r>
          </w:p>
        </w:tc>
      </w:tr>
      <w:tr w:rsidR="00BE0584" w:rsidRPr="00150D42" w14:paraId="4625462F" w14:textId="77777777" w:rsidTr="005B2C0F">
        <w:tc>
          <w:tcPr>
            <w:tcW w:w="5103" w:type="dxa"/>
          </w:tcPr>
          <w:p w14:paraId="165F2970" w14:textId="77777777" w:rsidR="00BE0584" w:rsidRDefault="00BE0584" w:rsidP="005B2C0F">
            <w:pPr>
              <w:keepNext/>
            </w:pPr>
            <w:r>
              <w:t>Average ACFI subsidy, per occupied bed-day</w:t>
            </w:r>
          </w:p>
        </w:tc>
        <w:tc>
          <w:tcPr>
            <w:tcW w:w="993" w:type="dxa"/>
          </w:tcPr>
          <w:p w14:paraId="5BC563A2"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Pr>
                <w:rFonts w:asciiTheme="minorHAnsi" w:hAnsiTheme="minorHAnsi" w:cstheme="minorBidi"/>
                <w:b w:val="0"/>
                <w:color w:val="auto"/>
                <w:szCs w:val="22"/>
                <w:lang w:val="en-US"/>
              </w:rPr>
              <w:t>-</w:t>
            </w:r>
          </w:p>
        </w:tc>
        <w:tc>
          <w:tcPr>
            <w:tcW w:w="1275" w:type="dxa"/>
          </w:tcPr>
          <w:p w14:paraId="3E8C35AA" w14:textId="77777777" w:rsidR="00BE0584" w:rsidRPr="009312A8" w:rsidRDefault="00BE0584" w:rsidP="005B2C0F">
            <w:pPr>
              <w:keepNext/>
              <w:spacing w:after="0" w:line="240" w:lineRule="auto"/>
              <w:jc w:val="right"/>
            </w:pPr>
            <w:r w:rsidRPr="009312A8">
              <w:t>$198</w:t>
            </w:r>
          </w:p>
          <w:p w14:paraId="23F37F3F"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p>
        </w:tc>
        <w:tc>
          <w:tcPr>
            <w:tcW w:w="1276" w:type="dxa"/>
          </w:tcPr>
          <w:p w14:paraId="4F65481C" w14:textId="77777777" w:rsidR="00BE0584" w:rsidRPr="009312A8" w:rsidRDefault="00BE0584" w:rsidP="005B2C0F">
            <w:pPr>
              <w:keepNext/>
              <w:spacing w:after="0" w:line="240" w:lineRule="auto"/>
              <w:jc w:val="right"/>
            </w:pPr>
            <w:r w:rsidRPr="009312A8">
              <w:t>$199</w:t>
            </w:r>
          </w:p>
          <w:p w14:paraId="7B8C4B29"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p>
        </w:tc>
        <w:tc>
          <w:tcPr>
            <w:tcW w:w="1305" w:type="dxa"/>
          </w:tcPr>
          <w:p w14:paraId="502C60CD" w14:textId="77777777" w:rsidR="00BE0584" w:rsidRPr="009312A8" w:rsidRDefault="00BE0584" w:rsidP="005B2C0F">
            <w:pPr>
              <w:keepNext/>
              <w:spacing w:after="0" w:line="240" w:lineRule="auto"/>
              <w:jc w:val="right"/>
            </w:pPr>
            <w:r w:rsidRPr="009312A8">
              <w:t>$196</w:t>
            </w:r>
          </w:p>
          <w:p w14:paraId="518A6A85"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p>
        </w:tc>
      </w:tr>
      <w:tr w:rsidR="00BE0584" w:rsidRPr="00150D42" w14:paraId="3D33FDF7" w14:textId="77777777" w:rsidTr="005B2C0F">
        <w:tc>
          <w:tcPr>
            <w:tcW w:w="5103" w:type="dxa"/>
          </w:tcPr>
          <w:p w14:paraId="1F02590F" w14:textId="77777777" w:rsidR="00BE0584" w:rsidRDefault="00BE0584" w:rsidP="005B2C0F">
            <w:pPr>
              <w:keepNext/>
            </w:pPr>
            <w:r>
              <w:t>Accommodation supplement and other supplements, per occupied bed-day</w:t>
            </w:r>
            <w:r>
              <w:rPr>
                <w:vertAlign w:val="superscript"/>
              </w:rPr>
              <w:t>i</w:t>
            </w:r>
          </w:p>
        </w:tc>
        <w:tc>
          <w:tcPr>
            <w:tcW w:w="993" w:type="dxa"/>
          </w:tcPr>
          <w:p w14:paraId="381F6213"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Pr>
                <w:rFonts w:asciiTheme="minorHAnsi" w:hAnsiTheme="minorHAnsi" w:cstheme="minorBidi"/>
                <w:b w:val="0"/>
                <w:color w:val="auto"/>
                <w:szCs w:val="22"/>
                <w:lang w:val="en-US"/>
              </w:rPr>
              <w:t>-</w:t>
            </w:r>
          </w:p>
        </w:tc>
        <w:tc>
          <w:tcPr>
            <w:tcW w:w="1275" w:type="dxa"/>
          </w:tcPr>
          <w:p w14:paraId="270253A3"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9312A8">
              <w:rPr>
                <w:rFonts w:asciiTheme="minorHAnsi" w:hAnsiTheme="minorHAnsi" w:cstheme="minorBidi"/>
                <w:b w:val="0"/>
                <w:color w:val="auto"/>
                <w:szCs w:val="22"/>
                <w:lang w:val="en-US"/>
              </w:rPr>
              <w:t>$20</w:t>
            </w:r>
          </w:p>
        </w:tc>
        <w:tc>
          <w:tcPr>
            <w:tcW w:w="1276" w:type="dxa"/>
          </w:tcPr>
          <w:p w14:paraId="1F4F5ACD"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9312A8">
              <w:rPr>
                <w:rFonts w:asciiTheme="minorHAnsi" w:hAnsiTheme="minorHAnsi" w:cstheme="minorBidi"/>
                <w:b w:val="0"/>
                <w:color w:val="auto"/>
                <w:szCs w:val="22"/>
                <w:lang w:val="en-US"/>
              </w:rPr>
              <w:t>$20</w:t>
            </w:r>
          </w:p>
        </w:tc>
        <w:tc>
          <w:tcPr>
            <w:tcW w:w="1305" w:type="dxa"/>
          </w:tcPr>
          <w:p w14:paraId="425B21FF"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9312A8">
              <w:rPr>
                <w:rFonts w:asciiTheme="minorHAnsi" w:hAnsiTheme="minorHAnsi" w:cstheme="minorBidi"/>
                <w:b w:val="0"/>
                <w:color w:val="auto"/>
                <w:szCs w:val="22"/>
                <w:lang w:val="en-US"/>
              </w:rPr>
              <w:t>$20</w:t>
            </w:r>
          </w:p>
        </w:tc>
      </w:tr>
      <w:tr w:rsidR="00BE0584" w:rsidRPr="00243EFE" w14:paraId="23761930" w14:textId="77777777" w:rsidTr="005B2C0F">
        <w:tc>
          <w:tcPr>
            <w:tcW w:w="5103" w:type="dxa"/>
          </w:tcPr>
          <w:p w14:paraId="0EA2CDC4" w14:textId="77777777" w:rsidR="00BE0584" w:rsidRDefault="00BE0584" w:rsidP="005B2C0F">
            <w:pPr>
              <w:keepNext/>
            </w:pPr>
            <w:r>
              <w:rPr>
                <w:b/>
                <w:bCs/>
              </w:rPr>
              <w:t>Value</w:t>
            </w:r>
            <w:r w:rsidRPr="004873F1">
              <w:rPr>
                <w:b/>
                <w:bCs/>
              </w:rPr>
              <w:t xml:space="preserve"> </w:t>
            </w:r>
            <w:r>
              <w:rPr>
                <w:b/>
                <w:bCs/>
              </w:rPr>
              <w:t>of residential aged care costs (Commonwealth contributions)</w:t>
            </w:r>
          </w:p>
        </w:tc>
        <w:tc>
          <w:tcPr>
            <w:tcW w:w="993" w:type="dxa"/>
          </w:tcPr>
          <w:p w14:paraId="16BC944C" w14:textId="77777777" w:rsidR="00BE0584" w:rsidRPr="00243EFE" w:rsidRDefault="00BE0584" w:rsidP="005B2C0F">
            <w:pPr>
              <w:pStyle w:val="TableHeadingLeft"/>
              <w:keepNext/>
              <w:spacing w:after="120"/>
              <w:jc w:val="right"/>
              <w:rPr>
                <w:rFonts w:asciiTheme="minorHAnsi" w:hAnsiTheme="minorHAnsi" w:cstheme="minorBidi"/>
                <w:bCs/>
                <w:color w:val="auto"/>
                <w:szCs w:val="22"/>
                <w:lang w:val="en-US"/>
              </w:rPr>
            </w:pPr>
            <w:r>
              <w:rPr>
                <w:rFonts w:ascii="Calibri" w:hAnsi="Calibri" w:cs="Calibri"/>
                <w:color w:val="000000"/>
                <w:sz w:val="22"/>
                <w:szCs w:val="22"/>
              </w:rPr>
              <w:t>-</w:t>
            </w:r>
          </w:p>
        </w:tc>
        <w:tc>
          <w:tcPr>
            <w:tcW w:w="1275" w:type="dxa"/>
          </w:tcPr>
          <w:p w14:paraId="5B91F502" w14:textId="77777777" w:rsidR="00BE0584" w:rsidRPr="00243EFE" w:rsidRDefault="00BE0584" w:rsidP="005B2C0F">
            <w:pPr>
              <w:pStyle w:val="TableHeadingLeft"/>
              <w:keepNext/>
              <w:spacing w:after="120"/>
              <w:jc w:val="right"/>
              <w:rPr>
                <w:rFonts w:asciiTheme="minorHAnsi" w:hAnsiTheme="minorHAnsi" w:cstheme="minorBidi"/>
                <w:bCs/>
                <w:color w:val="auto"/>
                <w:szCs w:val="22"/>
                <w:lang w:val="en-US"/>
              </w:rPr>
            </w:pPr>
            <w:r>
              <w:rPr>
                <w:rFonts w:ascii="Calibri" w:hAnsi="Calibri" w:cs="Calibri"/>
                <w:color w:val="000000"/>
                <w:sz w:val="22"/>
                <w:szCs w:val="22"/>
              </w:rPr>
              <w:t>$806,359</w:t>
            </w:r>
          </w:p>
        </w:tc>
        <w:tc>
          <w:tcPr>
            <w:tcW w:w="1276" w:type="dxa"/>
          </w:tcPr>
          <w:p w14:paraId="09713FEC" w14:textId="77777777" w:rsidR="00BE0584" w:rsidRPr="00243EFE" w:rsidRDefault="00BE0584" w:rsidP="005B2C0F">
            <w:pPr>
              <w:pStyle w:val="TableHeadingLeft"/>
              <w:keepNext/>
              <w:spacing w:after="120"/>
              <w:jc w:val="right"/>
              <w:rPr>
                <w:rFonts w:asciiTheme="minorHAnsi" w:hAnsiTheme="minorHAnsi" w:cstheme="minorBidi"/>
                <w:bCs/>
                <w:color w:val="auto"/>
                <w:szCs w:val="22"/>
                <w:lang w:val="en-US"/>
              </w:rPr>
            </w:pPr>
            <w:r>
              <w:rPr>
                <w:rFonts w:ascii="Calibri" w:hAnsi="Calibri" w:cs="Calibri"/>
                <w:color w:val="000000"/>
                <w:sz w:val="22"/>
                <w:szCs w:val="22"/>
              </w:rPr>
              <w:t>$3,055,175</w:t>
            </w:r>
          </w:p>
        </w:tc>
        <w:tc>
          <w:tcPr>
            <w:tcW w:w="1305" w:type="dxa"/>
          </w:tcPr>
          <w:p w14:paraId="58ADED51" w14:textId="77777777" w:rsidR="00BE0584" w:rsidRPr="00243EFE" w:rsidRDefault="00BE0584" w:rsidP="005B2C0F">
            <w:pPr>
              <w:pStyle w:val="TableHeadingLeft"/>
              <w:keepNext/>
              <w:spacing w:after="120"/>
              <w:jc w:val="right"/>
              <w:rPr>
                <w:rFonts w:asciiTheme="minorHAnsi" w:hAnsiTheme="minorHAnsi" w:cstheme="minorBidi"/>
                <w:bCs/>
                <w:color w:val="auto"/>
                <w:szCs w:val="22"/>
                <w:lang w:val="en-US"/>
              </w:rPr>
            </w:pPr>
            <w:r>
              <w:rPr>
                <w:rFonts w:ascii="Calibri" w:hAnsi="Calibri" w:cs="Calibri"/>
                <w:color w:val="000000"/>
                <w:sz w:val="22"/>
                <w:szCs w:val="22"/>
              </w:rPr>
              <w:t>$3,043,503</w:t>
            </w:r>
          </w:p>
        </w:tc>
      </w:tr>
    </w:tbl>
    <w:p w14:paraId="04B11B56" w14:textId="77777777" w:rsidR="00BE0584" w:rsidRDefault="00BE0584" w:rsidP="00BE0584">
      <w:pPr>
        <w:pStyle w:val="SourcetextTableorChart"/>
        <w:spacing w:after="120"/>
      </w:pPr>
      <w:r>
        <w:t xml:space="preserve">Source: Department of Health and Aged Care. </w:t>
      </w:r>
    </w:p>
    <w:p w14:paraId="19725E01" w14:textId="77777777" w:rsidR="00BE0584" w:rsidRPr="00E537F7" w:rsidRDefault="00BE0584" w:rsidP="00BE0584">
      <w:pPr>
        <w:pStyle w:val="SourcetextTableorChart"/>
        <w:spacing w:after="120"/>
      </w:pPr>
      <w:r>
        <w:t xml:space="preserve">Note i: In the absence of additional information, accommodation and other supplement values were assumed constant across all modelled financial years. </w:t>
      </w:r>
    </w:p>
    <w:p w14:paraId="538D02D6" w14:textId="77777777" w:rsidR="00BE0584" w:rsidRDefault="00BE0584" w:rsidP="003B35B0">
      <w:pPr>
        <w:pStyle w:val="Heading3"/>
        <w:numPr>
          <w:ilvl w:val="0"/>
          <w:numId w:val="0"/>
        </w:numPr>
        <w:spacing w:after="0"/>
        <w:ind w:left="720" w:hanging="720"/>
        <w:rPr>
          <w:lang w:val="en-AU"/>
        </w:rPr>
      </w:pPr>
      <w:r>
        <w:rPr>
          <w:lang w:val="en-AU"/>
        </w:rPr>
        <w:t>Residential aged care costs – resident contribution (Subgroup A)</w:t>
      </w:r>
    </w:p>
    <w:p w14:paraId="57D4B34F" w14:textId="6966C5C2" w:rsidR="00BE0584" w:rsidRDefault="00BE0584" w:rsidP="00BE0584">
      <w:r>
        <w:rPr>
          <w:lang w:val="en-AU"/>
        </w:rPr>
        <w:t>Subgroup A’s entry into the residential aged care system also attracts residential contributions. Resident</w:t>
      </w:r>
      <w:r>
        <w:t xml:space="preserve"> contributions to an aged care place considered relevant for this evaluation include: </w:t>
      </w:r>
    </w:p>
    <w:p w14:paraId="15EFBAEA" w14:textId="77777777" w:rsidR="00BE0584" w:rsidRDefault="00BE0584" w:rsidP="00BE0584">
      <w:pPr>
        <w:pStyle w:val="ListBullet"/>
        <w:spacing w:after="120"/>
      </w:pPr>
      <w:r>
        <w:t>basic daily fees</w:t>
      </w:r>
    </w:p>
    <w:p w14:paraId="28E254FD" w14:textId="77777777" w:rsidR="00BE0584" w:rsidRDefault="00BE0584" w:rsidP="00BE0584">
      <w:pPr>
        <w:pStyle w:val="ListBullet"/>
        <w:spacing w:after="120"/>
      </w:pPr>
      <w:r>
        <w:t>mean tested fees</w:t>
      </w:r>
    </w:p>
    <w:p w14:paraId="0DE3274F" w14:textId="77777777" w:rsidR="00BE0584" w:rsidRDefault="00BE0584" w:rsidP="00BE0584">
      <w:pPr>
        <w:pStyle w:val="ListBullet"/>
        <w:spacing w:after="120"/>
      </w:pPr>
      <w:r>
        <w:t>other care fees</w:t>
      </w:r>
    </w:p>
    <w:p w14:paraId="5E67BA6B" w14:textId="77777777" w:rsidR="00BE0584" w:rsidRDefault="00BE0584" w:rsidP="00BE0584">
      <w:pPr>
        <w:pStyle w:val="ListBullet"/>
        <w:spacing w:after="120"/>
      </w:pPr>
      <w:r>
        <w:t>accommodation payments</w:t>
      </w:r>
    </w:p>
    <w:p w14:paraId="4C6787F7" w14:textId="77777777" w:rsidR="00BE0584" w:rsidRDefault="00BE0584" w:rsidP="00BE0584">
      <w:pPr>
        <w:pStyle w:val="ListBullet"/>
        <w:spacing w:after="120"/>
      </w:pPr>
      <w:r>
        <w:t>extra service fees</w:t>
      </w:r>
    </w:p>
    <w:p w14:paraId="3AD7FA8E" w14:textId="77777777" w:rsidR="00BE0584" w:rsidRDefault="00BE0584" w:rsidP="00BE0584">
      <w:pPr>
        <w:pStyle w:val="ListBullet"/>
        <w:spacing w:after="120"/>
      </w:pPr>
      <w:r>
        <w:t>additional service fees.</w:t>
      </w:r>
    </w:p>
    <w:p w14:paraId="0AB3DBAD" w14:textId="77777777" w:rsidR="00BE0584" w:rsidRDefault="00BE0584" w:rsidP="00BE0584">
      <w:r>
        <w:t xml:space="preserve">It is assumed that the prospective Program resident pays the sectoral average resident contributions. Average residential fees per day across all fee types listed was sourced from the Aged Care Financing Authority’s </w:t>
      </w:r>
      <w:r w:rsidRPr="008E72EF">
        <w:rPr>
          <w:i/>
          <w:iCs/>
        </w:rPr>
        <w:t>Ninth Report on the Funding and Financing of the Aged Care Industry</w:t>
      </w:r>
      <w:r>
        <w:rPr>
          <w:i/>
          <w:iCs/>
        </w:rPr>
        <w:t xml:space="preserve"> (2021)</w:t>
      </w:r>
      <w:r>
        <w:t xml:space="preserve">.  </w:t>
      </w:r>
    </w:p>
    <w:p w14:paraId="30FF3744" w14:textId="74A94AAF" w:rsidR="00BE0584" w:rsidRPr="000B4892" w:rsidRDefault="000217E8" w:rsidP="00BE0584">
      <w:pPr>
        <w:spacing w:after="0" w:line="240" w:lineRule="auto"/>
        <w:rPr>
          <w:rFonts w:asciiTheme="majorHAnsi" w:eastAsia="Times New Roman" w:hAnsiTheme="majorHAnsi" w:cstheme="majorHAnsi"/>
          <w:color w:val="000000"/>
          <w:sz w:val="22"/>
          <w:lang w:val="en-AU" w:eastAsia="en-AU"/>
        </w:rPr>
      </w:pPr>
      <w:r>
        <w:fldChar w:fldCharType="begin"/>
      </w:r>
      <w:r>
        <w:instrText xml:space="preserve"> REF _Ref125368369 \h </w:instrText>
      </w:r>
      <w:r>
        <w:fldChar w:fldCharType="separate"/>
      </w:r>
      <w:r w:rsidR="00D32536">
        <w:t xml:space="preserve">Table B </w:t>
      </w:r>
      <w:r w:rsidR="00D32536">
        <w:rPr>
          <w:noProof/>
        </w:rPr>
        <w:t>8</w:t>
      </w:r>
      <w:r>
        <w:fldChar w:fldCharType="end"/>
      </w:r>
      <w:r w:rsidR="00BE0584">
        <w:t xml:space="preserve"> details the results of this assessment.</w:t>
      </w:r>
      <w:r w:rsidR="00BE0584">
        <w:rPr>
          <w:rStyle w:val="FootnoteReference"/>
        </w:rPr>
        <w:footnoteReference w:id="43"/>
      </w:r>
      <w:r w:rsidR="00BE0584">
        <w:t xml:space="preserve"> </w:t>
      </w:r>
      <w:r w:rsidR="00BE0584" w:rsidRPr="000B4892">
        <w:rPr>
          <w:rFonts w:asciiTheme="majorHAnsi" w:hAnsiTheme="majorHAnsi" w:cstheme="majorHAnsi"/>
          <w:b/>
        </w:rPr>
        <w:t>Incremental costs from resident contributions to Program providers for Subgroup A over the duration of the Program was estimated to be valued at a PV $2,318,951 in FY2019-20 dollars.</w:t>
      </w:r>
      <w:r w:rsidR="00BE0584" w:rsidRPr="000B4892">
        <w:rPr>
          <w:rFonts w:asciiTheme="majorHAnsi" w:hAnsiTheme="majorHAnsi" w:cstheme="majorHAnsi"/>
        </w:rPr>
        <w:t xml:space="preserve"> </w:t>
      </w:r>
    </w:p>
    <w:p w14:paraId="49F8071E" w14:textId="77777777" w:rsidR="00BE0584" w:rsidRPr="000B4892" w:rsidRDefault="00BE0584" w:rsidP="00BE0584">
      <w:pPr>
        <w:spacing w:after="0" w:line="240" w:lineRule="auto"/>
        <w:rPr>
          <w:rFonts w:asciiTheme="majorHAnsi" w:eastAsia="Times New Roman" w:hAnsiTheme="majorHAnsi" w:cstheme="majorHAnsi"/>
          <w:color w:val="000000"/>
          <w:sz w:val="22"/>
          <w:lang w:val="en-AU" w:eastAsia="en-AU"/>
        </w:rPr>
      </w:pPr>
    </w:p>
    <w:p w14:paraId="4B35D474" w14:textId="60621452" w:rsidR="00BE0584" w:rsidRDefault="001D2192" w:rsidP="00BE0584">
      <w:pPr>
        <w:pStyle w:val="Caption"/>
      </w:pPr>
      <w:bookmarkStart w:id="119" w:name="_Ref125368369"/>
      <w:r>
        <w:t>Table</w:t>
      </w:r>
      <w:r w:rsidR="00BE0584">
        <w:t xml:space="preserve"> </w:t>
      </w:r>
      <w:r w:rsidR="00583DC8">
        <w:t>B</w:t>
      </w:r>
      <w:r w:rsidR="000217E8">
        <w:t xml:space="preserve"> </w:t>
      </w:r>
      <w:r w:rsidR="000217E8">
        <w:fldChar w:fldCharType="begin"/>
      </w:r>
      <w:r w:rsidR="000217E8">
        <w:instrText xml:space="preserve"> SEQ Table_C \* ARABIC </w:instrText>
      </w:r>
      <w:r w:rsidR="000217E8">
        <w:fldChar w:fldCharType="separate"/>
      </w:r>
      <w:r w:rsidR="00D32536">
        <w:rPr>
          <w:noProof/>
        </w:rPr>
        <w:t>8</w:t>
      </w:r>
      <w:r w:rsidR="000217E8">
        <w:fldChar w:fldCharType="end"/>
      </w:r>
      <w:bookmarkEnd w:id="119"/>
      <w:r w:rsidR="00BE0584">
        <w:t xml:space="preserve"> Residential aged care – resident contributions (Subgroup A) (FY2019-20 dollars, real)</w:t>
      </w:r>
    </w:p>
    <w:tbl>
      <w:tblPr>
        <w:tblStyle w:val="Deloittetable"/>
        <w:tblW w:w="0" w:type="auto"/>
        <w:tblLook w:val="04A0" w:firstRow="1" w:lastRow="0" w:firstColumn="1" w:lastColumn="0" w:noHBand="0" w:noVBand="1"/>
      </w:tblPr>
      <w:tblGrid>
        <w:gridCol w:w="5103"/>
        <w:gridCol w:w="993"/>
        <w:gridCol w:w="1275"/>
        <w:gridCol w:w="1276"/>
        <w:gridCol w:w="1305"/>
      </w:tblGrid>
      <w:tr w:rsidR="00BE0584" w14:paraId="29140679" w14:textId="77777777" w:rsidTr="005B2C0F">
        <w:trPr>
          <w:cnfStyle w:val="100000000000" w:firstRow="1" w:lastRow="0" w:firstColumn="0" w:lastColumn="0" w:oddVBand="0" w:evenVBand="0" w:oddHBand="0" w:evenHBand="0" w:firstRowFirstColumn="0" w:firstRowLastColumn="0" w:lastRowFirstColumn="0" w:lastRowLastColumn="0"/>
        </w:trPr>
        <w:tc>
          <w:tcPr>
            <w:tcW w:w="5103" w:type="dxa"/>
          </w:tcPr>
          <w:p w14:paraId="6B2435B6" w14:textId="77777777" w:rsidR="00BE0584" w:rsidRDefault="00BE0584" w:rsidP="005B2C0F">
            <w:pPr>
              <w:pStyle w:val="TableHeadingLeft"/>
              <w:keepNext/>
              <w:spacing w:after="120"/>
            </w:pPr>
            <w:r>
              <w:t>Element</w:t>
            </w:r>
          </w:p>
        </w:tc>
        <w:tc>
          <w:tcPr>
            <w:tcW w:w="993" w:type="dxa"/>
          </w:tcPr>
          <w:p w14:paraId="672D8392" w14:textId="77777777" w:rsidR="00BE0584" w:rsidRDefault="00BE0584" w:rsidP="005B2C0F">
            <w:pPr>
              <w:pStyle w:val="TableHeadingLeft"/>
              <w:keepNext/>
              <w:spacing w:after="120"/>
              <w:jc w:val="right"/>
            </w:pPr>
            <w:r>
              <w:t>FY2018-19</w:t>
            </w:r>
          </w:p>
        </w:tc>
        <w:tc>
          <w:tcPr>
            <w:tcW w:w="1275" w:type="dxa"/>
          </w:tcPr>
          <w:p w14:paraId="581D6D00" w14:textId="77777777" w:rsidR="00BE0584" w:rsidRDefault="00BE0584" w:rsidP="005B2C0F">
            <w:pPr>
              <w:pStyle w:val="TableHeadingLeft"/>
              <w:keepNext/>
              <w:spacing w:after="120"/>
              <w:jc w:val="right"/>
            </w:pPr>
            <w:r>
              <w:t>FY2019-20</w:t>
            </w:r>
          </w:p>
        </w:tc>
        <w:tc>
          <w:tcPr>
            <w:tcW w:w="1276" w:type="dxa"/>
          </w:tcPr>
          <w:p w14:paraId="7BEB8797" w14:textId="77777777" w:rsidR="00BE0584" w:rsidRDefault="00BE0584" w:rsidP="005B2C0F">
            <w:pPr>
              <w:pStyle w:val="TableHeadingLeft"/>
              <w:keepNext/>
              <w:spacing w:after="120"/>
              <w:jc w:val="right"/>
            </w:pPr>
            <w:r>
              <w:t xml:space="preserve">FY2020-21 </w:t>
            </w:r>
          </w:p>
        </w:tc>
        <w:tc>
          <w:tcPr>
            <w:tcW w:w="1305" w:type="dxa"/>
          </w:tcPr>
          <w:p w14:paraId="15BDAFF5" w14:textId="77777777" w:rsidR="00BE0584" w:rsidRDefault="00BE0584" w:rsidP="005B2C0F">
            <w:pPr>
              <w:pStyle w:val="TableHeadingLeft"/>
              <w:keepNext/>
              <w:spacing w:after="120"/>
              <w:jc w:val="right"/>
            </w:pPr>
            <w:r>
              <w:t xml:space="preserve">FY2021-22 </w:t>
            </w:r>
          </w:p>
        </w:tc>
      </w:tr>
      <w:tr w:rsidR="00BE0584" w:rsidRPr="00150D42" w14:paraId="6C9A544B" w14:textId="77777777" w:rsidTr="005B2C0F">
        <w:tc>
          <w:tcPr>
            <w:tcW w:w="5103" w:type="dxa"/>
          </w:tcPr>
          <w:p w14:paraId="004919D7" w14:textId="77777777" w:rsidR="00BE0584" w:rsidRPr="0040138C" w:rsidRDefault="00BE0584" w:rsidP="005B2C0F">
            <w:pPr>
              <w:keepNext/>
              <w:rPr>
                <w:vertAlign w:val="superscript"/>
              </w:rPr>
            </w:pPr>
            <w:r>
              <w:t>Total resident contribution, per bed-day</w:t>
            </w:r>
            <w:r>
              <w:rPr>
                <w:vertAlign w:val="superscript"/>
              </w:rPr>
              <w:t>i</w:t>
            </w:r>
          </w:p>
        </w:tc>
        <w:tc>
          <w:tcPr>
            <w:tcW w:w="993" w:type="dxa"/>
          </w:tcPr>
          <w:p w14:paraId="0F710455"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Pr>
                <w:rFonts w:asciiTheme="minorHAnsi" w:hAnsiTheme="minorHAnsi" w:cstheme="minorBidi"/>
                <w:b w:val="0"/>
                <w:color w:val="auto"/>
                <w:szCs w:val="22"/>
                <w:lang w:val="en-US"/>
              </w:rPr>
              <w:t>-</w:t>
            </w:r>
          </w:p>
        </w:tc>
        <w:tc>
          <w:tcPr>
            <w:tcW w:w="1275" w:type="dxa"/>
          </w:tcPr>
          <w:p w14:paraId="7DBFDF55"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5B4FFD">
              <w:rPr>
                <w:rFonts w:asciiTheme="minorHAnsi" w:hAnsiTheme="minorHAnsi" w:cstheme="minorBidi"/>
                <w:b w:val="0"/>
                <w:color w:val="auto"/>
                <w:szCs w:val="22"/>
                <w:lang w:val="en-US"/>
              </w:rPr>
              <w:t>$78</w:t>
            </w:r>
          </w:p>
        </w:tc>
        <w:tc>
          <w:tcPr>
            <w:tcW w:w="1276" w:type="dxa"/>
          </w:tcPr>
          <w:p w14:paraId="44E7BFC3"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5B4FFD">
              <w:rPr>
                <w:rFonts w:asciiTheme="minorHAnsi" w:hAnsiTheme="minorHAnsi" w:cstheme="minorBidi"/>
                <w:b w:val="0"/>
                <w:color w:val="auto"/>
                <w:szCs w:val="22"/>
                <w:lang w:val="en-US"/>
              </w:rPr>
              <w:t>$78</w:t>
            </w:r>
          </w:p>
        </w:tc>
        <w:tc>
          <w:tcPr>
            <w:tcW w:w="1305" w:type="dxa"/>
          </w:tcPr>
          <w:p w14:paraId="09B47FDF" w14:textId="77777777" w:rsidR="00BE0584" w:rsidRPr="00150D42" w:rsidRDefault="00BE0584" w:rsidP="005B2C0F">
            <w:pPr>
              <w:pStyle w:val="TableHeadingLeft"/>
              <w:keepNext/>
              <w:spacing w:after="120"/>
              <w:jc w:val="right"/>
              <w:rPr>
                <w:rFonts w:asciiTheme="minorHAnsi" w:hAnsiTheme="minorHAnsi" w:cstheme="minorBidi"/>
                <w:b w:val="0"/>
                <w:color w:val="auto"/>
                <w:szCs w:val="22"/>
                <w:lang w:val="en-US"/>
              </w:rPr>
            </w:pPr>
            <w:r w:rsidRPr="005B4FFD">
              <w:rPr>
                <w:rFonts w:asciiTheme="minorHAnsi" w:hAnsiTheme="minorHAnsi" w:cstheme="minorBidi"/>
                <w:b w:val="0"/>
                <w:color w:val="auto"/>
                <w:szCs w:val="22"/>
                <w:lang w:val="en-US"/>
              </w:rPr>
              <w:t>$78</w:t>
            </w:r>
          </w:p>
        </w:tc>
      </w:tr>
      <w:tr w:rsidR="00BE0584" w:rsidRPr="00243EFE" w14:paraId="754F8BDD" w14:textId="77777777" w:rsidTr="005B2C0F">
        <w:tc>
          <w:tcPr>
            <w:tcW w:w="5103" w:type="dxa"/>
          </w:tcPr>
          <w:p w14:paraId="77A0A99E" w14:textId="77777777" w:rsidR="00BE0584" w:rsidRPr="000B4892" w:rsidRDefault="00BE0584" w:rsidP="005B2C0F">
            <w:pPr>
              <w:keepNext/>
              <w:rPr>
                <w:rFonts w:asciiTheme="majorHAnsi" w:hAnsiTheme="majorHAnsi" w:cstheme="majorHAnsi"/>
              </w:rPr>
            </w:pPr>
            <w:r w:rsidRPr="000B4892">
              <w:rPr>
                <w:rFonts w:asciiTheme="majorHAnsi" w:hAnsiTheme="majorHAnsi" w:cstheme="majorHAnsi"/>
                <w:b/>
              </w:rPr>
              <w:t>Value of residential aged care costs (resident contributions)</w:t>
            </w:r>
          </w:p>
        </w:tc>
        <w:tc>
          <w:tcPr>
            <w:tcW w:w="993" w:type="dxa"/>
          </w:tcPr>
          <w:p w14:paraId="699813A6" w14:textId="77777777" w:rsidR="00BE0584" w:rsidRPr="000B4892" w:rsidRDefault="00BE0584" w:rsidP="005B2C0F">
            <w:pPr>
              <w:pStyle w:val="TableHeadingLeft"/>
              <w:keepNext/>
              <w:spacing w:after="120"/>
              <w:jc w:val="right"/>
              <w:rPr>
                <w:rFonts w:asciiTheme="minorHAnsi" w:hAnsiTheme="minorHAnsi" w:cstheme="minorBidi"/>
                <w:b w:val="0"/>
                <w:color w:val="auto"/>
                <w:szCs w:val="22"/>
                <w:lang w:val="en-US"/>
              </w:rPr>
            </w:pPr>
            <w:r w:rsidRPr="000B4892">
              <w:rPr>
                <w:rFonts w:asciiTheme="minorHAnsi" w:hAnsiTheme="minorHAnsi" w:cstheme="minorBidi"/>
                <w:b w:val="0"/>
                <w:color w:val="auto"/>
                <w:szCs w:val="22"/>
                <w:lang w:val="en-US"/>
              </w:rPr>
              <w:t>-</w:t>
            </w:r>
          </w:p>
        </w:tc>
        <w:tc>
          <w:tcPr>
            <w:tcW w:w="1275" w:type="dxa"/>
          </w:tcPr>
          <w:p w14:paraId="0A36ADE3" w14:textId="77777777" w:rsidR="00BE0584" w:rsidRPr="000B4892" w:rsidRDefault="00BE0584" w:rsidP="005B2C0F">
            <w:pPr>
              <w:pStyle w:val="TableHeadingLeft"/>
              <w:keepNext/>
              <w:spacing w:after="120"/>
              <w:jc w:val="right"/>
              <w:rPr>
                <w:rFonts w:asciiTheme="minorHAnsi" w:hAnsiTheme="minorHAnsi" w:cstheme="minorBidi"/>
                <w:b w:val="0"/>
                <w:color w:val="auto"/>
                <w:szCs w:val="22"/>
                <w:lang w:val="en-US"/>
              </w:rPr>
            </w:pPr>
            <w:r w:rsidRPr="000B4892">
              <w:rPr>
                <w:rFonts w:asciiTheme="minorHAnsi" w:hAnsiTheme="minorHAnsi" w:cstheme="minorBidi"/>
                <w:b w:val="0"/>
                <w:color w:val="auto"/>
                <w:szCs w:val="22"/>
                <w:lang w:val="en-US"/>
              </w:rPr>
              <w:t>$287,485</w:t>
            </w:r>
          </w:p>
        </w:tc>
        <w:tc>
          <w:tcPr>
            <w:tcW w:w="1276" w:type="dxa"/>
          </w:tcPr>
          <w:p w14:paraId="6EB98420" w14:textId="77777777" w:rsidR="00BE0584" w:rsidRPr="000B4892" w:rsidRDefault="00BE0584" w:rsidP="005B2C0F">
            <w:pPr>
              <w:pStyle w:val="TableHeadingLeft"/>
              <w:keepNext/>
              <w:spacing w:after="120"/>
              <w:jc w:val="right"/>
              <w:rPr>
                <w:rFonts w:asciiTheme="minorHAnsi" w:hAnsiTheme="minorHAnsi" w:cstheme="minorBidi"/>
                <w:b w:val="0"/>
                <w:color w:val="auto"/>
                <w:szCs w:val="22"/>
                <w:lang w:val="en-US"/>
              </w:rPr>
            </w:pPr>
            <w:r w:rsidRPr="000B4892">
              <w:rPr>
                <w:rFonts w:asciiTheme="minorHAnsi" w:hAnsiTheme="minorHAnsi" w:cstheme="minorBidi"/>
                <w:b w:val="0"/>
                <w:color w:val="auto"/>
                <w:szCs w:val="22"/>
                <w:lang w:val="en-US"/>
              </w:rPr>
              <w:t>$1,088,470</w:t>
            </w:r>
          </w:p>
        </w:tc>
        <w:tc>
          <w:tcPr>
            <w:tcW w:w="1305" w:type="dxa"/>
          </w:tcPr>
          <w:p w14:paraId="5E0EB556" w14:textId="77777777" w:rsidR="00BE0584" w:rsidRPr="000B4892" w:rsidRDefault="00BE0584" w:rsidP="005B2C0F">
            <w:pPr>
              <w:pStyle w:val="TableHeadingLeft"/>
              <w:keepNext/>
              <w:spacing w:after="120"/>
              <w:jc w:val="right"/>
              <w:rPr>
                <w:rFonts w:asciiTheme="minorHAnsi" w:hAnsiTheme="minorHAnsi" w:cstheme="minorBidi"/>
                <w:b w:val="0"/>
                <w:color w:val="auto"/>
                <w:szCs w:val="22"/>
                <w:lang w:val="en-US"/>
              </w:rPr>
            </w:pPr>
            <w:r w:rsidRPr="000B4892">
              <w:rPr>
                <w:rFonts w:asciiTheme="minorHAnsi" w:hAnsiTheme="minorHAnsi" w:cstheme="minorBidi"/>
                <w:b w:val="0"/>
                <w:color w:val="auto"/>
                <w:szCs w:val="22"/>
                <w:lang w:val="en-US"/>
              </w:rPr>
              <w:t>$1,096,798</w:t>
            </w:r>
          </w:p>
        </w:tc>
      </w:tr>
    </w:tbl>
    <w:p w14:paraId="07B5A582" w14:textId="77777777" w:rsidR="00BE0584" w:rsidRDefault="00BE0584" w:rsidP="00BE0584">
      <w:pPr>
        <w:pStyle w:val="SourcetextTableorChart"/>
        <w:spacing w:after="120"/>
      </w:pPr>
      <w:r>
        <w:t xml:space="preserve">Source: Department of Health and Aged Care. </w:t>
      </w:r>
    </w:p>
    <w:p w14:paraId="5E9B2864" w14:textId="77777777" w:rsidR="00BE0584" w:rsidRPr="00E537F7" w:rsidRDefault="00BE0584" w:rsidP="00BE0584">
      <w:pPr>
        <w:pStyle w:val="SourcetextTableorChart"/>
        <w:spacing w:after="120"/>
      </w:pPr>
      <w:r>
        <w:t xml:space="preserve">Note i: In the absence of additional information, resident contributions were assumed constant across all modelled financial years. </w:t>
      </w:r>
    </w:p>
    <w:p w14:paraId="68004132" w14:textId="77777777" w:rsidR="00D92585" w:rsidRDefault="00D92585" w:rsidP="009B2A7E"/>
    <w:p w14:paraId="78576F66" w14:textId="4096C38E" w:rsidR="00D92585" w:rsidRDefault="00D92585">
      <w:pPr>
        <w:spacing w:after="200" w:line="276" w:lineRule="auto"/>
      </w:pPr>
      <w:r>
        <w:br w:type="page"/>
      </w:r>
    </w:p>
    <w:p w14:paraId="73EB7F6D" w14:textId="77777777" w:rsidR="00D92585" w:rsidRDefault="00D92585" w:rsidP="00D92585">
      <w:pPr>
        <w:pStyle w:val="Heading1un-numbered"/>
        <w:rPr>
          <w:lang w:eastAsia="en-AU"/>
        </w:rPr>
      </w:pPr>
      <w:bookmarkStart w:id="120" w:name="_Toc463002439"/>
      <w:bookmarkStart w:id="121" w:name="_Toc472586353"/>
      <w:bookmarkStart w:id="122" w:name="_Toc482168131"/>
      <w:bookmarkStart w:id="123" w:name="_Toc482174916"/>
      <w:bookmarkStart w:id="124" w:name="_Toc50649048"/>
      <w:r w:rsidRPr="00BF4216">
        <w:rPr>
          <w:lang w:eastAsia="en-AU"/>
        </w:rPr>
        <w:t>Limitation of our work</w:t>
      </w:r>
      <w:bookmarkEnd w:id="120"/>
      <w:bookmarkEnd w:id="121"/>
      <w:bookmarkEnd w:id="122"/>
      <w:bookmarkEnd w:id="123"/>
      <w:bookmarkEnd w:id="124"/>
    </w:p>
    <w:p w14:paraId="2C847A13" w14:textId="77777777" w:rsidR="00D92585" w:rsidRPr="00D9676C" w:rsidRDefault="00D92585" w:rsidP="00D92585">
      <w:pPr>
        <w:pStyle w:val="Heading2un-numbered"/>
        <w:rPr>
          <w:rFonts w:asciiTheme="majorHAnsi" w:hAnsiTheme="majorHAnsi" w:cstheme="majorHAnsi"/>
        </w:rPr>
      </w:pPr>
      <w:bookmarkStart w:id="125" w:name="_Toc463002440"/>
      <w:bookmarkStart w:id="126" w:name="_Toc472586354"/>
      <w:bookmarkStart w:id="127" w:name="_Toc482168132"/>
      <w:bookmarkStart w:id="128" w:name="_Toc482174917"/>
      <w:bookmarkStart w:id="129" w:name="_Toc50649049"/>
      <w:r w:rsidRPr="00D9676C">
        <w:rPr>
          <w:rFonts w:asciiTheme="majorHAnsi" w:hAnsiTheme="majorHAnsi" w:cstheme="majorHAnsi"/>
        </w:rPr>
        <w:t>General use restriction</w:t>
      </w:r>
      <w:bookmarkEnd w:id="125"/>
      <w:bookmarkEnd w:id="126"/>
      <w:bookmarkEnd w:id="127"/>
      <w:bookmarkEnd w:id="128"/>
      <w:bookmarkEnd w:id="129"/>
    </w:p>
    <w:p w14:paraId="714BFFF1" w14:textId="6ECE3ABF" w:rsidR="00D92585" w:rsidRDefault="00D92585" w:rsidP="00D92585">
      <w:r>
        <w:t xml:space="preserve">This report is prepared solely for the internal use of the Commonwealth Department of Health. This report is not intended to and should not be used or relied upon by anyone else and we accept no duty of care to any other person or entity. The report has been prepared for the purpose </w:t>
      </w:r>
      <w:r w:rsidRPr="00F54E0F">
        <w:t>of conducting an independent evaluation of the SDCP.</w:t>
      </w:r>
      <w:r>
        <w:t xml:space="preserve"> You should not refer to or use our name or the advice for any other purpose.</w:t>
      </w:r>
    </w:p>
    <w:p w14:paraId="72D90349" w14:textId="77777777" w:rsidR="00D92585" w:rsidRDefault="00D92585" w:rsidP="009B2A7E"/>
    <w:p w14:paraId="7870D57F" w14:textId="38A1004E" w:rsidR="00157658" w:rsidRDefault="00157658" w:rsidP="009B2A7E"/>
    <w:p w14:paraId="7F89DF92" w14:textId="1CE4F9FB" w:rsidR="00BF6F8B" w:rsidRDefault="003F2224" w:rsidP="009B2A7E">
      <w:pPr>
        <w:spacing w:after="200" w:line="276" w:lineRule="auto"/>
      </w:pPr>
      <w:r>
        <w:br w:type="page"/>
      </w:r>
    </w:p>
    <w:p w14:paraId="6752DDDF" w14:textId="77777777" w:rsidR="00D01239" w:rsidRDefault="00BF6F8B" w:rsidP="009B139F">
      <w:r w:rsidRPr="00BF6F8B">
        <w:rPr>
          <w:noProof/>
        </w:rPr>
        <mc:AlternateContent>
          <mc:Choice Requires="wps">
            <w:drawing>
              <wp:anchor distT="0" distB="0" distL="114300" distR="114300" simplePos="0" relativeHeight="251658241" behindDoc="1" locked="1" layoutInCell="1" allowOverlap="1" wp14:anchorId="07A99D73" wp14:editId="23A0BC62">
                <wp:simplePos x="0" y="0"/>
                <wp:positionH relativeFrom="page">
                  <wp:posOffset>0</wp:posOffset>
                </wp:positionH>
                <wp:positionV relativeFrom="page">
                  <wp:posOffset>0</wp:posOffset>
                </wp:positionV>
                <wp:extent cx="7596000" cy="10728000"/>
                <wp:effectExtent l="0" t="0" r="508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89DAC" w14:textId="0853D268" w:rsidR="003F2224" w:rsidRDefault="003F2224" w:rsidP="00BF6F8B">
                            <w:pPr>
                              <w:pStyle w:val="Legaltext"/>
                              <w:rPr>
                                <w:color w:val="000000" w:themeColor="text1"/>
                              </w:rPr>
                            </w:pPr>
                          </w:p>
                          <w:p w14:paraId="5125B47D" w14:textId="77777777" w:rsidR="003F2224" w:rsidRPr="002B57E5" w:rsidRDefault="003F2224" w:rsidP="00BF6F8B">
                            <w:pPr>
                              <w:pStyle w:val="Legaltext"/>
                              <w:rPr>
                                <w:color w:val="000000" w:themeColor="text1"/>
                              </w:rPr>
                            </w:pPr>
                          </w:p>
                          <w:p w14:paraId="2E89F38E" w14:textId="77777777" w:rsidR="003F2224" w:rsidRPr="002B57E5" w:rsidRDefault="003F2224" w:rsidP="00BF6F8B">
                            <w:pPr>
                              <w:pStyle w:val="Legaltext"/>
                              <w:rPr>
                                <w:color w:val="000000" w:themeColor="text1"/>
                              </w:rPr>
                            </w:pPr>
                          </w:p>
                          <w:p w14:paraId="7D5167BF" w14:textId="77777777" w:rsidR="003F2224" w:rsidRPr="002B57E5" w:rsidRDefault="003F2224" w:rsidP="00BF6F8B">
                            <w:pPr>
                              <w:pStyle w:val="Legaltext"/>
                              <w:rPr>
                                <w:color w:val="000000" w:themeColor="text1"/>
                              </w:rPr>
                            </w:pPr>
                          </w:p>
                          <w:p w14:paraId="007B85F6" w14:textId="52D24361" w:rsidR="002B57E5" w:rsidRPr="002B57E5" w:rsidRDefault="002B57E5" w:rsidP="00C10F3C">
                            <w:pPr>
                              <w:pStyle w:val="Legaltext"/>
                              <w:spacing w:before="120" w:after="120"/>
                              <w:ind w:right="1488"/>
                              <w:suppressOverlap/>
                              <w:rPr>
                                <w:color w:val="000000" w:themeColor="text1"/>
                              </w:rPr>
                            </w:pPr>
                            <w:r w:rsidRPr="002B57E5">
                              <w:rPr>
                                <w:color w:val="000000" w:themeColor="text1"/>
                              </w:rPr>
                              <w:t>Deloitte Access Economic Pty Ltd</w:t>
                            </w:r>
                          </w:p>
                          <w:p w14:paraId="1DCEEB70" w14:textId="77777777" w:rsidR="002B57E5" w:rsidRPr="002B57E5" w:rsidRDefault="002B57E5" w:rsidP="00C10F3C">
                            <w:pPr>
                              <w:pStyle w:val="Legaltext"/>
                              <w:spacing w:before="120" w:after="120"/>
                              <w:ind w:right="1488"/>
                              <w:suppressOverlap/>
                              <w:rPr>
                                <w:color w:val="000000" w:themeColor="text1"/>
                              </w:rPr>
                            </w:pPr>
                            <w:bookmarkStart w:id="130" w:name="OFF_Phone_1"/>
                            <w:bookmarkEnd w:id="130"/>
                            <w:r w:rsidRPr="002B57E5">
                              <w:rPr>
                                <w:color w:val="000000" w:themeColor="text1"/>
                              </w:rPr>
                              <w:t>+61 7 3308 7223</w:t>
                            </w:r>
                          </w:p>
                          <w:p w14:paraId="262ADC97" w14:textId="77777777" w:rsidR="002B57E5" w:rsidRPr="002B57E5" w:rsidRDefault="002B57E5" w:rsidP="00C10F3C">
                            <w:pPr>
                              <w:pStyle w:val="Legaltext"/>
                              <w:spacing w:before="120" w:after="120"/>
                              <w:ind w:right="1488"/>
                              <w:suppressOverlap/>
                              <w:rPr>
                                <w:color w:val="000000" w:themeColor="text1"/>
                              </w:rPr>
                            </w:pPr>
                            <w:r w:rsidRPr="002B57E5">
                              <w:rPr>
                                <w:color w:val="000000" w:themeColor="text1"/>
                              </w:rPr>
                              <w:t>www.deloitte.com.au</w:t>
                            </w:r>
                          </w:p>
                          <w:p w14:paraId="555D54F9" w14:textId="77777777" w:rsidR="002B57E5" w:rsidRPr="002B57E5" w:rsidRDefault="002B57E5" w:rsidP="00C10F3C">
                            <w:pPr>
                              <w:pStyle w:val="Legaltext"/>
                              <w:ind w:right="1488"/>
                              <w:suppressOverlap/>
                              <w:rPr>
                                <w:color w:val="000000" w:themeColor="text1"/>
                              </w:rPr>
                            </w:pPr>
                          </w:p>
                          <w:p w14:paraId="7891BAEB" w14:textId="77777777" w:rsidR="002B57E5" w:rsidRPr="002B57E5" w:rsidRDefault="002B57E5" w:rsidP="00C10F3C">
                            <w:pPr>
                              <w:pStyle w:val="Legaltext"/>
                              <w:ind w:right="1488"/>
                              <w:suppressOverlap/>
                              <w:rPr>
                                <w:color w:val="000000" w:themeColor="text1"/>
                              </w:rPr>
                            </w:pPr>
                          </w:p>
                          <w:p w14:paraId="09BCC575" w14:textId="2C6B55B0" w:rsidR="002B57E5" w:rsidRPr="002B57E5" w:rsidRDefault="002B57E5" w:rsidP="00C10F3C">
                            <w:pPr>
                              <w:pStyle w:val="Legaltext"/>
                              <w:ind w:right="1488"/>
                              <w:suppressOverlap/>
                              <w:rPr>
                                <w:color w:val="000000" w:themeColor="text1"/>
                              </w:rPr>
                            </w:pPr>
                            <w:r w:rsidRPr="002B57E5">
                              <w:rPr>
                                <w:color w:val="000000" w:themeColor="text1"/>
                              </w:rPr>
                              <w:t xml:space="preserve">Deloitte Access Economics is Australia’s pre-eminent economics advisory practice and a member of Deloitte's global economics group. For more information, please visit our website: </w:t>
                            </w:r>
                            <w:r w:rsidRPr="00775B4C">
                              <w:rPr>
                                <w:color w:val="000000" w:themeColor="text1"/>
                              </w:rPr>
                              <w:t xml:space="preserve">www.deloitte.com/au/deloitte-access-economics </w:t>
                            </w:r>
                          </w:p>
                          <w:p w14:paraId="29EFC530" w14:textId="77777777" w:rsidR="002B57E5" w:rsidRPr="003F71F1" w:rsidRDefault="002B57E5" w:rsidP="00C10F3C">
                            <w:pPr>
                              <w:pStyle w:val="Legaltext"/>
                              <w:ind w:right="1488"/>
                              <w:suppressOverlap/>
                              <w:rPr>
                                <w:color w:val="000000" w:themeColor="text1"/>
                              </w:rPr>
                            </w:pPr>
                          </w:p>
                          <w:p w14:paraId="413A4FE1" w14:textId="4B15B170" w:rsidR="002B57E5" w:rsidRPr="003F71F1" w:rsidRDefault="00BB32F6" w:rsidP="00C10F3C">
                            <w:pPr>
                              <w:pStyle w:val="Legaltext"/>
                              <w:ind w:right="1488"/>
                              <w:suppressOverlap/>
                              <w:rPr>
                                <w:color w:val="000000" w:themeColor="text1"/>
                              </w:rPr>
                            </w:pPr>
                            <w:r w:rsidRPr="003F71F1">
                              <w:rPr>
                                <w:color w:val="000000" w:themeColor="text1"/>
                              </w:rPr>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Pr="003F71F1">
                              <w:rPr>
                                <w:color w:val="000000" w:themeColor="text1"/>
                              </w:rPr>
                              <w:br/>
                            </w:r>
                            <w:r w:rsidRPr="003F71F1">
                              <w:rPr>
                                <w:color w:val="000000" w:themeColor="text1"/>
                              </w:rPr>
                              <w:br/>
                              <w:t>Deloitte is a leading global provider of audit and assurance, consulting, financial advisory, risk advisory, tax and related services. Our global network of member firms and related entities in more than 150 countries and territories (collectively, the “Deloitte organisation” serves four out of five Fortune Global 500® companies. Learn how Deloitte’s approximately 415,000 people make an impact that matters at www.deloitte.com.</w:t>
                            </w:r>
                            <w:r w:rsidRPr="003F71F1">
                              <w:rPr>
                                <w:color w:val="000000" w:themeColor="text1"/>
                              </w:rPr>
                              <w:br/>
                            </w:r>
                            <w:r w:rsidRPr="003F71F1">
                              <w:rPr>
                                <w:color w:val="000000" w:themeColor="text1"/>
                              </w:rPr>
                              <w:br/>
                              <w:t xml:space="preserve">Deloitte Asia Pacific </w:t>
                            </w:r>
                            <w:r w:rsidRPr="003F71F1">
                              <w:rPr>
                                <w:color w:val="000000" w:themeColor="text1"/>
                              </w:rPr>
                              <w:br/>
                              <w:t>Deloitte Asia Pacific Limited is a company limited by guarantee and a member firm of DTTL. Members of Deloitte Asia Pacific Limited and their related entities, each of which are separate and independent legal entities, provide services from more than 100 cities across the region, including Auckland, Bangkok, Beijing, Hanoi, Hong Kong, Jakarta, Kuala Lumpur, Manila, Melbourne, Mumbai, New Delhi, Osaka, Seoul, Shanghai, Singapore, Sydney, Taipei and Tokyo.</w:t>
                            </w:r>
                            <w:r w:rsidRPr="003F71F1">
                              <w:rPr>
                                <w:color w:val="000000" w:themeColor="text1"/>
                              </w:rPr>
                              <w:br/>
                            </w:r>
                            <w:r w:rsidRPr="003F71F1">
                              <w:rPr>
                                <w:color w:val="000000" w:themeColor="text1"/>
                              </w:rPr>
                              <w:br/>
                              <w:t>Deloitte Australia</w:t>
                            </w:r>
                            <w:r w:rsidRPr="003F71F1">
                              <w:rPr>
                                <w:color w:val="000000" w:themeColor="text1"/>
                              </w:rPr>
                              <w:br/>
                              <w:t>The Australian partnership of Deloitte Touche Tohmatsu is a member of Deloitte Asia Pacific Limited and the Deloitte organisation. As one of Australia’s leading professional services firms, Deloitte Touche Tohmatsu and its affiliates provide audit, tax, consulting, risk advisory,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r w:rsidRPr="003F71F1">
                              <w:rPr>
                                <w:color w:val="000000" w:themeColor="text1"/>
                              </w:rPr>
                              <w:br/>
                            </w:r>
                            <w:r w:rsidRPr="003F71F1">
                              <w:rPr>
                                <w:color w:val="000000" w:themeColor="text1"/>
                              </w:rPr>
                              <w:br/>
                              <w:t>Liability limited by a scheme approved under Professional Standards Legislation.</w:t>
                            </w:r>
                            <w:r w:rsidRPr="003F71F1">
                              <w:rPr>
                                <w:color w:val="000000" w:themeColor="text1"/>
                              </w:rPr>
                              <w:br/>
                              <w:t xml:space="preserve">Member of Deloitte Asia Pacific Limited and the Deloitte organisation. </w:t>
                            </w:r>
                            <w:r w:rsidRPr="003F71F1">
                              <w:rPr>
                                <w:color w:val="000000" w:themeColor="text1"/>
                              </w:rPr>
                              <w:br/>
                            </w:r>
                            <w:r w:rsidRPr="003F71F1">
                              <w:rPr>
                                <w:color w:val="000000" w:themeColor="text1"/>
                              </w:rPr>
                              <w:br/>
                              <w:t>This communication contains general information only, and none of Deloitte Touche Tohmatsu Limited (“DTTL”), its global network of member firms or their related entities (collectively, the “Deloitte organisation”) is, by means of this communication, rendering professional advice or services. Before making any decision or taking any action that may affect your finances or your business, you should consult a qualified professional adviser. No representations, warranties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w:t>
                            </w:r>
                          </w:p>
                          <w:p w14:paraId="0A0C0309" w14:textId="4601F307" w:rsidR="003F2224" w:rsidRPr="002B57E5" w:rsidRDefault="002B57E5" w:rsidP="00C10F3C">
                            <w:pPr>
                              <w:pStyle w:val="Legaltext"/>
                              <w:ind w:right="1488"/>
                              <w:rPr>
                                <w:color w:val="000000" w:themeColor="text1"/>
                              </w:rPr>
                            </w:pPr>
                            <w:r w:rsidRPr="002B57E5">
                              <w:rPr>
                                <w:color w:val="000000" w:themeColor="text1"/>
                              </w:rPr>
                              <w:t>©202</w:t>
                            </w:r>
                            <w:r>
                              <w:rPr>
                                <w:color w:val="000000" w:themeColor="text1"/>
                              </w:rPr>
                              <w:t>3</w:t>
                            </w:r>
                            <w:r w:rsidRPr="002B57E5">
                              <w:rPr>
                                <w:color w:val="000000" w:themeColor="text1"/>
                              </w:rPr>
                              <w:t xml:space="preserve"> Deloitte Access Economics. Deloitte Touche Tohmatsu</w:t>
                            </w:r>
                          </w:p>
                        </w:txbxContent>
                      </wps:txbx>
                      <wps:bodyPr rot="0" spcFirstLastPara="0" vertOverflow="overflow" horzOverflow="overflow" vert="horz" wrap="square" lIns="432000" tIns="432000" rIns="432000" bIns="43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99D73" id="Rectangle 2" o:spid="_x0000_s1026" alt="&quot;&quot;" style="position:absolute;margin-left:0;margin-top:0;width:598.1pt;height:844.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" fillcolor="white [3212]" stroked="f" strokeweight="2pt">
                <v:textbox inset="12mm,12mm,12mm,12mm">
                  <w:txbxContent>
                    <w:p w14:paraId="40D89DAC" w14:textId="0853D268" w:rsidR="003F2224" w:rsidRDefault="003F2224" w:rsidP="00BF6F8B">
                      <w:pPr>
                        <w:pStyle w:val="Legaltext"/>
                        <w:rPr>
                          <w:color w:val="000000" w:themeColor="text1"/>
                        </w:rPr>
                      </w:pPr>
                    </w:p>
                    <w:p w14:paraId="5125B47D" w14:textId="77777777" w:rsidR="003F2224" w:rsidRPr="002B57E5" w:rsidRDefault="003F2224" w:rsidP="00BF6F8B">
                      <w:pPr>
                        <w:pStyle w:val="Legaltext"/>
                        <w:rPr>
                          <w:color w:val="000000" w:themeColor="text1"/>
                        </w:rPr>
                      </w:pPr>
                    </w:p>
                    <w:p w14:paraId="2E89F38E" w14:textId="77777777" w:rsidR="003F2224" w:rsidRPr="002B57E5" w:rsidRDefault="003F2224" w:rsidP="00BF6F8B">
                      <w:pPr>
                        <w:pStyle w:val="Legaltext"/>
                        <w:rPr>
                          <w:color w:val="000000" w:themeColor="text1"/>
                        </w:rPr>
                      </w:pPr>
                    </w:p>
                    <w:p w14:paraId="7D5167BF" w14:textId="77777777" w:rsidR="003F2224" w:rsidRPr="002B57E5" w:rsidRDefault="003F2224" w:rsidP="00BF6F8B">
                      <w:pPr>
                        <w:pStyle w:val="Legaltext"/>
                        <w:rPr>
                          <w:color w:val="000000" w:themeColor="text1"/>
                        </w:rPr>
                      </w:pPr>
                    </w:p>
                    <w:p w14:paraId="007B85F6" w14:textId="52D24361" w:rsidR="002B57E5" w:rsidRPr="002B57E5" w:rsidRDefault="002B57E5" w:rsidP="00C10F3C">
                      <w:pPr>
                        <w:pStyle w:val="Legaltext"/>
                        <w:spacing w:before="120" w:after="120"/>
                        <w:ind w:right="1488"/>
                        <w:suppressOverlap/>
                        <w:rPr>
                          <w:color w:val="000000" w:themeColor="text1"/>
                        </w:rPr>
                      </w:pPr>
                      <w:r w:rsidRPr="002B57E5">
                        <w:rPr>
                          <w:color w:val="000000" w:themeColor="text1"/>
                        </w:rPr>
                        <w:t>Deloitte Access Economic Pty Ltd</w:t>
                      </w:r>
                    </w:p>
                    <w:p w14:paraId="1DCEEB70" w14:textId="77777777" w:rsidR="002B57E5" w:rsidRPr="002B57E5" w:rsidRDefault="002B57E5" w:rsidP="00C10F3C">
                      <w:pPr>
                        <w:pStyle w:val="Legaltext"/>
                        <w:spacing w:before="120" w:after="120"/>
                        <w:ind w:right="1488"/>
                        <w:suppressOverlap/>
                        <w:rPr>
                          <w:color w:val="000000" w:themeColor="text1"/>
                        </w:rPr>
                      </w:pPr>
                      <w:bookmarkStart w:id="131" w:name="OFF_Phone_1"/>
                      <w:bookmarkEnd w:id="131"/>
                      <w:r w:rsidRPr="002B57E5">
                        <w:rPr>
                          <w:color w:val="000000" w:themeColor="text1"/>
                        </w:rPr>
                        <w:t>+61 7 3308 7223</w:t>
                      </w:r>
                    </w:p>
                    <w:p w14:paraId="262ADC97" w14:textId="77777777" w:rsidR="002B57E5" w:rsidRPr="002B57E5" w:rsidRDefault="002B57E5" w:rsidP="00C10F3C">
                      <w:pPr>
                        <w:pStyle w:val="Legaltext"/>
                        <w:spacing w:before="120" w:after="120"/>
                        <w:ind w:right="1488"/>
                        <w:suppressOverlap/>
                        <w:rPr>
                          <w:color w:val="000000" w:themeColor="text1"/>
                        </w:rPr>
                      </w:pPr>
                      <w:r w:rsidRPr="002B57E5">
                        <w:rPr>
                          <w:color w:val="000000" w:themeColor="text1"/>
                        </w:rPr>
                        <w:t>www.deloitte.com.au</w:t>
                      </w:r>
                    </w:p>
                    <w:p w14:paraId="555D54F9" w14:textId="77777777" w:rsidR="002B57E5" w:rsidRPr="002B57E5" w:rsidRDefault="002B57E5" w:rsidP="00C10F3C">
                      <w:pPr>
                        <w:pStyle w:val="Legaltext"/>
                        <w:ind w:right="1488"/>
                        <w:suppressOverlap/>
                        <w:rPr>
                          <w:color w:val="000000" w:themeColor="text1"/>
                        </w:rPr>
                      </w:pPr>
                    </w:p>
                    <w:p w14:paraId="7891BAEB" w14:textId="77777777" w:rsidR="002B57E5" w:rsidRPr="002B57E5" w:rsidRDefault="002B57E5" w:rsidP="00C10F3C">
                      <w:pPr>
                        <w:pStyle w:val="Legaltext"/>
                        <w:ind w:right="1488"/>
                        <w:suppressOverlap/>
                        <w:rPr>
                          <w:color w:val="000000" w:themeColor="text1"/>
                        </w:rPr>
                      </w:pPr>
                    </w:p>
                    <w:p w14:paraId="09BCC575" w14:textId="2C6B55B0" w:rsidR="002B57E5" w:rsidRPr="002B57E5" w:rsidRDefault="002B57E5" w:rsidP="00C10F3C">
                      <w:pPr>
                        <w:pStyle w:val="Legaltext"/>
                        <w:ind w:right="1488"/>
                        <w:suppressOverlap/>
                        <w:rPr>
                          <w:color w:val="000000" w:themeColor="text1"/>
                        </w:rPr>
                      </w:pPr>
                      <w:r w:rsidRPr="002B57E5">
                        <w:rPr>
                          <w:color w:val="000000" w:themeColor="text1"/>
                        </w:rPr>
                        <w:t xml:space="preserve">Deloitte Access Economics is Australia’s pre-eminent economics advisory practice and a member of Deloitte's global economics group. For more information, please visit our website: </w:t>
                      </w:r>
                      <w:r w:rsidRPr="00775B4C">
                        <w:rPr>
                          <w:color w:val="000000" w:themeColor="text1"/>
                        </w:rPr>
                        <w:t xml:space="preserve">www.deloitte.com/au/deloitte-access-economics </w:t>
                      </w:r>
                    </w:p>
                    <w:p w14:paraId="29EFC530" w14:textId="77777777" w:rsidR="002B57E5" w:rsidRPr="003F71F1" w:rsidRDefault="002B57E5" w:rsidP="00C10F3C">
                      <w:pPr>
                        <w:pStyle w:val="Legaltext"/>
                        <w:ind w:right="1488"/>
                        <w:suppressOverlap/>
                        <w:rPr>
                          <w:color w:val="000000" w:themeColor="text1"/>
                        </w:rPr>
                      </w:pPr>
                    </w:p>
                    <w:p w14:paraId="413A4FE1" w14:textId="4B15B170" w:rsidR="002B57E5" w:rsidRPr="003F71F1" w:rsidRDefault="00BB32F6" w:rsidP="00C10F3C">
                      <w:pPr>
                        <w:pStyle w:val="Legaltext"/>
                        <w:ind w:right="1488"/>
                        <w:suppressOverlap/>
                        <w:rPr>
                          <w:color w:val="000000" w:themeColor="text1"/>
                        </w:rPr>
                      </w:pPr>
                      <w:r w:rsidRPr="003F71F1">
                        <w:rPr>
                          <w:color w:val="000000" w:themeColor="text1"/>
                        </w:rPr>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Pr="003F71F1">
                        <w:rPr>
                          <w:color w:val="000000" w:themeColor="text1"/>
                        </w:rPr>
                        <w:br/>
                      </w:r>
                      <w:r w:rsidRPr="003F71F1">
                        <w:rPr>
                          <w:color w:val="000000" w:themeColor="text1"/>
                        </w:rPr>
                        <w:br/>
                        <w:t>Deloitte is a leading global provider of audit and assurance, consulting, financial advisory, risk advisory, tax and related services. Our global network of member firms and related entities in more than 150 countries and territories (collectively, the “Deloitte organisation” serves four out of five Fortune Global 500® companies. Learn how Deloitte’s approximately 415,000 people make an impact that matters at www.deloitte.com.</w:t>
                      </w:r>
                      <w:r w:rsidRPr="003F71F1">
                        <w:rPr>
                          <w:color w:val="000000" w:themeColor="text1"/>
                        </w:rPr>
                        <w:br/>
                      </w:r>
                      <w:r w:rsidRPr="003F71F1">
                        <w:rPr>
                          <w:color w:val="000000" w:themeColor="text1"/>
                        </w:rPr>
                        <w:br/>
                        <w:t xml:space="preserve">Deloitte Asia Pacific </w:t>
                      </w:r>
                      <w:r w:rsidRPr="003F71F1">
                        <w:rPr>
                          <w:color w:val="000000" w:themeColor="text1"/>
                        </w:rPr>
                        <w:br/>
                        <w:t>Deloitte Asia Pacific Limited is a company limited by guarantee and a member firm of DTTL. Members of Deloitte Asia Pacific Limited and their related entities, each of which are separate and independent legal entities, provide services from more than 100 cities across the region, including Auckland, Bangkok, Beijing, Hanoi, Hong Kong, Jakarta, Kuala Lumpur, Manila, Melbourne, Mumbai, New Delhi, Osaka, Seoul, Shanghai, Singapore, Sydney, Taipei and Tokyo.</w:t>
                      </w:r>
                      <w:r w:rsidRPr="003F71F1">
                        <w:rPr>
                          <w:color w:val="000000" w:themeColor="text1"/>
                        </w:rPr>
                        <w:br/>
                      </w:r>
                      <w:r w:rsidRPr="003F71F1">
                        <w:rPr>
                          <w:color w:val="000000" w:themeColor="text1"/>
                        </w:rPr>
                        <w:br/>
                        <w:t>Deloitte Australia</w:t>
                      </w:r>
                      <w:r w:rsidRPr="003F71F1">
                        <w:rPr>
                          <w:color w:val="000000" w:themeColor="text1"/>
                        </w:rPr>
                        <w:br/>
                        <w:t>The Australian partnership of Deloitte Touche Tohmatsu is a member of Deloitte Asia Pacific Limited and the Deloitte organisation. As one of Australia’s leading professional services firms, Deloitte Touche Tohmatsu and its affiliates provide audit, tax, consulting, risk advisory,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r w:rsidRPr="003F71F1">
                        <w:rPr>
                          <w:color w:val="000000" w:themeColor="text1"/>
                        </w:rPr>
                        <w:br/>
                      </w:r>
                      <w:r w:rsidRPr="003F71F1">
                        <w:rPr>
                          <w:color w:val="000000" w:themeColor="text1"/>
                        </w:rPr>
                        <w:br/>
                        <w:t>Liability limited by a scheme approved under Professional Standards Legislation.</w:t>
                      </w:r>
                      <w:r w:rsidRPr="003F71F1">
                        <w:rPr>
                          <w:color w:val="000000" w:themeColor="text1"/>
                        </w:rPr>
                        <w:br/>
                        <w:t xml:space="preserve">Member of Deloitte Asia Pacific Limited and the Deloitte organisation. </w:t>
                      </w:r>
                      <w:r w:rsidRPr="003F71F1">
                        <w:rPr>
                          <w:color w:val="000000" w:themeColor="text1"/>
                        </w:rPr>
                        <w:br/>
                      </w:r>
                      <w:r w:rsidRPr="003F71F1">
                        <w:rPr>
                          <w:color w:val="000000" w:themeColor="text1"/>
                        </w:rPr>
                        <w:br/>
                        <w:t>This communication contains general information only, and none of Deloitte Touche Tohmatsu Limited (“DTTL”), its global network of member firms or their related entities (collectively, the “Deloitte organisation”) is, by means of this communication, rendering professional advice or services. Before making any decision or taking any action that may affect your finances or your business, you should consult a qualified professional adviser. No representations, warranties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w:t>
                      </w:r>
                    </w:p>
                    <w:p w14:paraId="0A0C0309" w14:textId="4601F307" w:rsidR="003F2224" w:rsidRPr="002B57E5" w:rsidRDefault="002B57E5" w:rsidP="00C10F3C">
                      <w:pPr>
                        <w:pStyle w:val="Legaltext"/>
                        <w:ind w:right="1488"/>
                        <w:rPr>
                          <w:color w:val="000000" w:themeColor="text1"/>
                        </w:rPr>
                      </w:pPr>
                      <w:r w:rsidRPr="002B57E5">
                        <w:rPr>
                          <w:color w:val="000000" w:themeColor="text1"/>
                        </w:rPr>
                        <w:t>©202</w:t>
                      </w:r>
                      <w:r>
                        <w:rPr>
                          <w:color w:val="000000" w:themeColor="text1"/>
                        </w:rPr>
                        <w:t>3</w:t>
                      </w:r>
                      <w:r w:rsidRPr="002B57E5">
                        <w:rPr>
                          <w:color w:val="000000" w:themeColor="text1"/>
                        </w:rPr>
                        <w:t xml:space="preserve"> Deloitte Access Economics. Deloitte Touche Tohmatsu</w:t>
                      </w:r>
                    </w:p>
                  </w:txbxContent>
                </v:textbox>
                <w10:wrap anchorx="page" anchory="page"/>
                <w10:anchorlock/>
              </v:rect>
            </w:pict>
          </mc:Fallback>
        </mc:AlternateContent>
      </w:r>
    </w:p>
    <w:p w14:paraId="71169B56" w14:textId="77777777" w:rsidR="00BF6F8B" w:rsidRPr="00212852" w:rsidRDefault="00BF6F8B" w:rsidP="009B139F"/>
    <w:sectPr w:rsidR="00BF6F8B" w:rsidRPr="00212852" w:rsidSect="00345344">
      <w:pgSz w:w="11906" w:h="16838" w:code="9"/>
      <w:pgMar w:top="1985" w:right="1274" w:bottom="1134" w:left="680" w:header="680"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3330E" w14:textId="77777777" w:rsidR="00586231" w:rsidRDefault="00586231" w:rsidP="00C702C7">
      <w:pPr>
        <w:spacing w:after="0" w:line="240" w:lineRule="auto"/>
      </w:pPr>
      <w:r>
        <w:separator/>
      </w:r>
    </w:p>
  </w:endnote>
  <w:endnote w:type="continuationSeparator" w:id="0">
    <w:p w14:paraId="6296FF21" w14:textId="77777777" w:rsidR="00586231" w:rsidRDefault="00586231" w:rsidP="00C702C7">
      <w:pPr>
        <w:spacing w:after="0" w:line="240" w:lineRule="auto"/>
      </w:pPr>
      <w:r>
        <w:continuationSeparator/>
      </w:r>
    </w:p>
  </w:endnote>
  <w:endnote w:type="continuationNotice" w:id="1">
    <w:p w14:paraId="3A6DF77B" w14:textId="77777777" w:rsidR="00586231" w:rsidRDefault="005862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7723" w14:textId="77777777" w:rsidR="005434F8" w:rsidRDefault="005434F8">
    <w:pPr>
      <w:pStyle w:val="Footer"/>
    </w:pPr>
  </w:p>
  <w:p w14:paraId="068845F5" w14:textId="77777777" w:rsidR="005434F8" w:rsidRDefault="005434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851156"/>
      <w:docPartObj>
        <w:docPartGallery w:val="Page Numbers (Bottom of Page)"/>
        <w:docPartUnique/>
      </w:docPartObj>
    </w:sdtPr>
    <w:sdtEndPr>
      <w:rPr>
        <w:noProof/>
      </w:rPr>
    </w:sdtEndPr>
    <w:sdtContent>
      <w:p w14:paraId="25934634" w14:textId="1AC1B000" w:rsidR="00805A32" w:rsidRDefault="00805A32">
        <w:pPr>
          <w:pStyle w:val="Footer"/>
        </w:pPr>
        <w:r>
          <w:fldChar w:fldCharType="begin"/>
        </w:r>
        <w:r>
          <w:instrText xml:space="preserve"> PAGE   \* MERGEFORMAT </w:instrText>
        </w:r>
        <w:r>
          <w:fldChar w:fldCharType="separate"/>
        </w:r>
        <w:r>
          <w:rPr>
            <w:noProof/>
          </w:rPr>
          <w:t>2</w:t>
        </w:r>
        <w:r>
          <w:rPr>
            <w:noProof/>
          </w:rPr>
          <w:fldChar w:fldCharType="end"/>
        </w:r>
      </w:p>
    </w:sdtContent>
  </w:sdt>
  <w:p w14:paraId="4446993A" w14:textId="77777777" w:rsidR="00F15F5C" w:rsidRPr="00904097" w:rsidRDefault="00F15F5C" w:rsidP="00904097">
    <w:pPr>
      <w:pStyle w:val="Footer"/>
      <w:spacing w:line="240" w:lineRule="auto"/>
      <w:rPr>
        <w:sz w:val="4"/>
        <w:szCs w:val="4"/>
      </w:rPr>
    </w:pPr>
  </w:p>
  <w:p w14:paraId="7E932591" w14:textId="77777777" w:rsidR="00F15F5C" w:rsidRDefault="00F15F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7AAA" w14:textId="6FDB76D8" w:rsidR="00904097" w:rsidRDefault="00904097">
    <w:pPr>
      <w:pStyle w:val="Footer"/>
    </w:pPr>
  </w:p>
  <w:p w14:paraId="58172A73" w14:textId="77777777" w:rsidR="00904097" w:rsidRPr="00904097" w:rsidRDefault="00904097" w:rsidP="00904097">
    <w:pPr>
      <w:pStyle w:val="Footer"/>
      <w:spacing w:line="240"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B2D3A" w14:textId="77777777" w:rsidR="00586231" w:rsidRDefault="00586231" w:rsidP="00C702C7">
      <w:pPr>
        <w:spacing w:after="0" w:line="240" w:lineRule="auto"/>
      </w:pPr>
      <w:r>
        <w:separator/>
      </w:r>
    </w:p>
  </w:footnote>
  <w:footnote w:type="continuationSeparator" w:id="0">
    <w:p w14:paraId="35B6C887" w14:textId="77777777" w:rsidR="00586231" w:rsidRDefault="00586231" w:rsidP="00C702C7">
      <w:pPr>
        <w:spacing w:after="0" w:line="240" w:lineRule="auto"/>
      </w:pPr>
      <w:r>
        <w:continuationSeparator/>
      </w:r>
    </w:p>
  </w:footnote>
  <w:footnote w:type="continuationNotice" w:id="1">
    <w:p w14:paraId="331155E6" w14:textId="77777777" w:rsidR="00586231" w:rsidRDefault="00586231">
      <w:pPr>
        <w:spacing w:after="0" w:line="240" w:lineRule="auto"/>
      </w:pPr>
    </w:p>
  </w:footnote>
  <w:footnote w:id="2">
    <w:p w14:paraId="70AB7FD4" w14:textId="3B3E7E3F" w:rsidR="00E75FA0" w:rsidRPr="002A449D" w:rsidRDefault="00E75FA0">
      <w:pPr>
        <w:pStyle w:val="FootnoteText"/>
        <w:rPr>
          <w:lang w:val="en-AU"/>
        </w:rPr>
      </w:pPr>
      <w:r>
        <w:rPr>
          <w:rStyle w:val="FootnoteReference"/>
        </w:rPr>
        <w:footnoteRef/>
      </w:r>
      <w:r>
        <w:t xml:space="preserve"> Royal Commission into Aged Care Quality and Safety (Final Report, March 2021) Ch 3.</w:t>
      </w:r>
    </w:p>
  </w:footnote>
  <w:footnote w:id="3">
    <w:p w14:paraId="43413BBB" w14:textId="1DE7CBEE" w:rsidR="00980E57" w:rsidRPr="00980E57" w:rsidRDefault="00980E57">
      <w:pPr>
        <w:pStyle w:val="FootnoteText"/>
        <w:rPr>
          <w:lang w:val="en-AU"/>
        </w:rPr>
      </w:pPr>
      <w:r>
        <w:rPr>
          <w:rStyle w:val="FootnoteReference"/>
        </w:rPr>
        <w:footnoteRef/>
      </w:r>
      <w:r>
        <w:t xml:space="preserve"> </w:t>
      </w:r>
      <w:r w:rsidR="006625F7">
        <w:t xml:space="preserve">The ACT has a single </w:t>
      </w:r>
      <w:r w:rsidR="00D36781">
        <w:t>SDCU</w:t>
      </w:r>
      <w:r w:rsidR="006625F7">
        <w:t xml:space="preserve"> (Uniting Eabrai), and as such their large jurisdictional Program capacity is a function of their small population size. </w:t>
      </w:r>
      <w:r w:rsidR="002D4659">
        <w:t>Other jurisdictions with fewer than 10</w:t>
      </w:r>
      <w:r w:rsidR="00593CBE">
        <w:t xml:space="preserve">,000 </w:t>
      </w:r>
      <w:r w:rsidR="00974667">
        <w:t xml:space="preserve">people </w:t>
      </w:r>
      <w:r w:rsidR="00593CBE">
        <w:t>estimated to be living with dementia (</w:t>
      </w:r>
      <w:r w:rsidR="006625F7">
        <w:t>NT and TAS</w:t>
      </w:r>
      <w:r w:rsidR="00593CBE">
        <w:t>) do not have a site under Phase One.</w:t>
      </w:r>
    </w:p>
  </w:footnote>
  <w:footnote w:id="4">
    <w:p w14:paraId="78232006" w14:textId="77777777" w:rsidR="005A178E" w:rsidRPr="00496AFD" w:rsidRDefault="005A178E" w:rsidP="005A178E">
      <w:pPr>
        <w:pStyle w:val="FootnoteText"/>
        <w:rPr>
          <w:lang w:val="en-AU"/>
        </w:rPr>
      </w:pPr>
      <w:r>
        <w:rPr>
          <w:rStyle w:val="FootnoteReference"/>
        </w:rPr>
        <w:footnoteRef/>
      </w:r>
      <w:r>
        <w:t xml:space="preserve"> </w:t>
      </w:r>
      <w:r>
        <w:rPr>
          <w:lang w:val="en-AU"/>
        </w:rPr>
        <w:t xml:space="preserve">Data provided by Dementia Support Australia (2023). Missing/inadequate data is excluded in this calculation.  </w:t>
      </w:r>
    </w:p>
  </w:footnote>
  <w:footnote w:id="5">
    <w:p w14:paraId="769073A6" w14:textId="77777777" w:rsidR="005A178E" w:rsidRPr="00496AFD" w:rsidRDefault="005A178E" w:rsidP="005A178E">
      <w:pPr>
        <w:pStyle w:val="FootnoteText"/>
        <w:rPr>
          <w:lang w:val="en-AU"/>
        </w:rPr>
      </w:pPr>
      <w:r>
        <w:rPr>
          <w:rStyle w:val="FootnoteReference"/>
        </w:rPr>
        <w:footnoteRef/>
      </w:r>
      <w:r>
        <w:t xml:space="preserve"> </w:t>
      </w:r>
      <w:r>
        <w:rPr>
          <w:lang w:val="en-AU"/>
        </w:rPr>
        <w:t xml:space="preserve">Australian Bureau of Statistics (2022), </w:t>
      </w:r>
      <w:r w:rsidRPr="00496AFD">
        <w:rPr>
          <w:i/>
          <w:iCs/>
          <w:lang w:val="en-AU"/>
        </w:rPr>
        <w:t>50 years of capital city population change</w:t>
      </w:r>
      <w:r>
        <w:rPr>
          <w:lang w:val="en-AU"/>
        </w:rPr>
        <w:t>, accessed 6 March 2023 from &lt;</w:t>
      </w:r>
      <w:r w:rsidRPr="00186505">
        <w:rPr>
          <w:lang w:val="en-AU"/>
        </w:rPr>
        <w:t>https://www.abs.gov.au/articles/50-years-capital-city-population-change</w:t>
      </w:r>
      <w:r>
        <w:rPr>
          <w:lang w:val="en-AU"/>
        </w:rPr>
        <w:t>&gt;.</w:t>
      </w:r>
    </w:p>
  </w:footnote>
  <w:footnote w:id="6">
    <w:p w14:paraId="1EB18FAF" w14:textId="77777777" w:rsidR="005A178E" w:rsidRPr="00496AFD" w:rsidRDefault="005A178E" w:rsidP="005A178E">
      <w:pPr>
        <w:pStyle w:val="FootnoteText"/>
        <w:rPr>
          <w:lang w:val="en-AU"/>
        </w:rPr>
      </w:pPr>
      <w:r>
        <w:rPr>
          <w:rStyle w:val="FootnoteReference"/>
        </w:rPr>
        <w:footnoteRef/>
      </w:r>
      <w:r>
        <w:t xml:space="preserve"> </w:t>
      </w:r>
      <w:r>
        <w:rPr>
          <w:lang w:val="en-AU"/>
        </w:rPr>
        <w:t xml:space="preserve">Australian Bureau of Statistics (2022), </w:t>
      </w:r>
      <w:r w:rsidRPr="00496AFD">
        <w:rPr>
          <w:i/>
          <w:iCs/>
          <w:lang w:val="en-AU"/>
        </w:rPr>
        <w:t>Cultural diversity of Australia</w:t>
      </w:r>
      <w:r>
        <w:rPr>
          <w:lang w:val="en-AU"/>
        </w:rPr>
        <w:t>, accessed 6 March 2023 from &lt;</w:t>
      </w:r>
      <w:r w:rsidRPr="004B5C6D">
        <w:rPr>
          <w:lang w:val="en-AU"/>
        </w:rPr>
        <w:t>https://www.abs.gov.au/articles/cultural-diversity-australia</w:t>
      </w:r>
      <w:r>
        <w:rPr>
          <w:lang w:val="en-AU"/>
        </w:rPr>
        <w:t>&gt;.</w:t>
      </w:r>
    </w:p>
  </w:footnote>
  <w:footnote w:id="7">
    <w:p w14:paraId="1CE1E11A" w14:textId="77777777" w:rsidR="005A178E" w:rsidRPr="00496AFD" w:rsidRDefault="005A178E" w:rsidP="005A178E">
      <w:pPr>
        <w:pStyle w:val="FootnoteText"/>
        <w:rPr>
          <w:lang w:val="en-AU"/>
        </w:rPr>
      </w:pPr>
      <w:r>
        <w:rPr>
          <w:rStyle w:val="FootnoteReference"/>
        </w:rPr>
        <w:footnoteRef/>
      </w:r>
      <w:r>
        <w:t xml:space="preserve"> Australian Bureau of Statistics (2022), </w:t>
      </w:r>
      <w:r w:rsidRPr="00496AFD">
        <w:rPr>
          <w:i/>
          <w:iCs/>
        </w:rPr>
        <w:t>Estimates of Aboriginal and Torres Strait Islander Australians</w:t>
      </w:r>
      <w:r>
        <w:t>, accessed 6 March 2023 from &lt;</w:t>
      </w:r>
      <w:r w:rsidRPr="00541B1C">
        <w:t>https://www.abs.gov.au/statistics/people/aboriginal-and-torres-strait-islander-peoples/estimates-aboriginal-and-torres-strait-islander-australians/latest-release</w:t>
      </w:r>
      <w:r>
        <w:t>&gt;.</w:t>
      </w:r>
    </w:p>
  </w:footnote>
  <w:footnote w:id="8">
    <w:p w14:paraId="5C7F69D4" w14:textId="405DB572" w:rsidR="00CB181A" w:rsidRPr="002A449D" w:rsidRDefault="00CB181A" w:rsidP="002A449D">
      <w:pPr>
        <w:spacing w:line="240" w:lineRule="auto"/>
        <w:rPr>
          <w:sz w:val="16"/>
          <w:szCs w:val="20"/>
        </w:rPr>
      </w:pPr>
      <w:r>
        <w:rPr>
          <w:rStyle w:val="FootnoteReference"/>
        </w:rPr>
        <w:footnoteRef/>
      </w:r>
      <w:r>
        <w:t xml:space="preserve"> </w:t>
      </w:r>
      <w:r w:rsidR="00915432" w:rsidRPr="00C55504">
        <w:rPr>
          <w:sz w:val="16"/>
          <w:szCs w:val="18"/>
        </w:rPr>
        <w:t>Stakeholders did not comment directly on this issue in relation to Aboriginal and Torres Strait Islander people with very severe BPSD, however it is noted that there is also a cultural preference to receive health care on country. Thus, long distances between a person’s residence and the nearest SDCU is also expected to present barriers for Aboriginal and Torres Strait Islander people with very severe BPSD</w:t>
      </w:r>
      <w:r w:rsidR="00A10841">
        <w:rPr>
          <w:sz w:val="16"/>
          <w:szCs w:val="20"/>
        </w:rPr>
        <w:t xml:space="preserve">. </w:t>
      </w:r>
      <w:r w:rsidR="000E2EC1">
        <w:rPr>
          <w:sz w:val="16"/>
          <w:szCs w:val="20"/>
        </w:rPr>
        <w:t xml:space="preserve"> </w:t>
      </w:r>
      <w:r w:rsidR="00E35C85">
        <w:rPr>
          <w:sz w:val="16"/>
          <w:szCs w:val="20"/>
        </w:rPr>
        <w:t xml:space="preserve"> </w:t>
      </w:r>
    </w:p>
    <w:p w14:paraId="2A782B56" w14:textId="1F0BD0BF" w:rsidR="00CB181A" w:rsidRPr="002A449D" w:rsidRDefault="00CB181A">
      <w:pPr>
        <w:pStyle w:val="FootnoteText"/>
        <w:rPr>
          <w:lang w:val="en-AU"/>
        </w:rPr>
      </w:pPr>
    </w:p>
  </w:footnote>
  <w:footnote w:id="9">
    <w:p w14:paraId="43A01F06" w14:textId="34182294" w:rsidR="0082623B" w:rsidRPr="0082623B" w:rsidRDefault="0082623B">
      <w:pPr>
        <w:pStyle w:val="FootnoteText"/>
        <w:rPr>
          <w:lang w:val="en-AU"/>
        </w:rPr>
      </w:pPr>
      <w:r>
        <w:rPr>
          <w:rStyle w:val="FootnoteReference"/>
        </w:rPr>
        <w:footnoteRef/>
      </w:r>
      <w:r>
        <w:t xml:space="preserve"> </w:t>
      </w:r>
      <w:r>
        <w:rPr>
          <w:lang w:val="en-AU"/>
        </w:rPr>
        <w:t>F</w:t>
      </w:r>
      <w:r w:rsidRPr="000420C3">
        <w:rPr>
          <w:lang w:val="en-AU"/>
        </w:rPr>
        <w:t>or certain sites, unit</w:t>
      </w:r>
      <w:r w:rsidR="000217E8">
        <w:rPr>
          <w:lang w:val="en-AU"/>
        </w:rPr>
        <w:t xml:space="preserve"> </w:t>
      </w:r>
      <w:r w:rsidRPr="000420C3">
        <w:rPr>
          <w:lang w:val="en-AU"/>
        </w:rPr>
        <w:t>record level data did not reconcile with other summary data tables reported by providers</w:t>
      </w:r>
      <w:r>
        <w:rPr>
          <w:lang w:val="en-AU"/>
        </w:rPr>
        <w:t xml:space="preserve">. </w:t>
      </w:r>
      <w:r w:rsidR="00FF7699">
        <w:rPr>
          <w:lang w:val="en-AU"/>
        </w:rPr>
        <w:t>Unit</w:t>
      </w:r>
      <w:r w:rsidR="000217E8">
        <w:rPr>
          <w:lang w:val="en-AU"/>
        </w:rPr>
        <w:t xml:space="preserve"> </w:t>
      </w:r>
      <w:r w:rsidR="00FF7699">
        <w:rPr>
          <w:lang w:val="en-AU"/>
        </w:rPr>
        <w:t>record level data was used as the primary source</w:t>
      </w:r>
      <w:r w:rsidR="004514B3">
        <w:rPr>
          <w:lang w:val="en-AU"/>
        </w:rPr>
        <w:t xml:space="preserve"> where discrepancies occurred.</w:t>
      </w:r>
    </w:p>
  </w:footnote>
  <w:footnote w:id="10">
    <w:p w14:paraId="7262BBBB" w14:textId="2D93D90C" w:rsidR="002502FF" w:rsidRPr="002A449D" w:rsidRDefault="002502FF">
      <w:pPr>
        <w:pStyle w:val="FootnoteText"/>
        <w:rPr>
          <w:lang w:val="en-AU"/>
        </w:rPr>
      </w:pPr>
      <w:r>
        <w:rPr>
          <w:rStyle w:val="FootnoteReference"/>
        </w:rPr>
        <w:footnoteRef/>
      </w:r>
      <w:r>
        <w:t xml:space="preserve"> Australian Government Department of Health (2020), Specialist Dementia Care Program framework, accessed 1 June 2022, &lt;</w:t>
      </w:r>
      <w:r w:rsidRPr="0000056C">
        <w:t>https://www.health.gov.au/our-work/specialist-dementia-care-program-sdcp</w:t>
      </w:r>
      <w:r>
        <w:t>&gt; .</w:t>
      </w:r>
    </w:p>
  </w:footnote>
  <w:footnote w:id="11">
    <w:p w14:paraId="37AA7F4B" w14:textId="189A6EF4" w:rsidR="007C0F5D" w:rsidRPr="007C0F5D" w:rsidRDefault="007C0F5D">
      <w:pPr>
        <w:pStyle w:val="FootnoteText"/>
        <w:rPr>
          <w:lang w:val="en-AU"/>
        </w:rPr>
      </w:pPr>
      <w:r>
        <w:rPr>
          <w:rStyle w:val="FootnoteReference"/>
        </w:rPr>
        <w:footnoteRef/>
      </w:r>
      <w:r>
        <w:t xml:space="preserve"> </w:t>
      </w:r>
      <w:r w:rsidR="0076689B">
        <w:t xml:space="preserve">For the residents separated from the Program </w:t>
      </w:r>
      <w:r w:rsidR="00E00086">
        <w:t>for</w:t>
      </w:r>
      <w:r w:rsidR="0076689B">
        <w:t xml:space="preserve"> a reason other than the </w:t>
      </w:r>
      <w:r w:rsidR="00494104">
        <w:t>reduction/settling</w:t>
      </w:r>
      <w:r w:rsidR="0076689B">
        <w:t xml:space="preserve"> of symptoms</w:t>
      </w:r>
      <w:r w:rsidR="00E00086">
        <w:t xml:space="preserve">, it was not </w:t>
      </w:r>
      <w:r>
        <w:rPr>
          <w:lang w:val="en-AU"/>
        </w:rPr>
        <w:t xml:space="preserve">possible to </w:t>
      </w:r>
      <w:r w:rsidR="002346F0">
        <w:rPr>
          <w:lang w:val="en-AU"/>
        </w:rPr>
        <w:t>accurately</w:t>
      </w:r>
      <w:r>
        <w:rPr>
          <w:lang w:val="en-AU"/>
        </w:rPr>
        <w:t xml:space="preserve"> quantify the proportion </w:t>
      </w:r>
      <w:r w:rsidR="00494104">
        <w:rPr>
          <w:lang w:val="en-AU"/>
        </w:rPr>
        <w:t>discharged for</w:t>
      </w:r>
      <w:r>
        <w:rPr>
          <w:lang w:val="en-AU"/>
        </w:rPr>
        <w:t xml:space="preserve"> </w:t>
      </w:r>
      <w:r w:rsidR="00DC49CF">
        <w:rPr>
          <w:lang w:val="en-AU"/>
        </w:rPr>
        <w:t xml:space="preserve">each </w:t>
      </w:r>
      <w:r w:rsidR="00494104">
        <w:rPr>
          <w:lang w:val="en-AU"/>
        </w:rPr>
        <w:t xml:space="preserve">individual </w:t>
      </w:r>
      <w:r w:rsidR="00DC49CF">
        <w:rPr>
          <w:lang w:val="en-AU"/>
        </w:rPr>
        <w:t xml:space="preserve">reason. This was due to variances in how SDCUs reported the </w:t>
      </w:r>
      <w:r w:rsidR="00494104">
        <w:rPr>
          <w:lang w:val="en-AU"/>
        </w:rPr>
        <w:t xml:space="preserve">‘other’ </w:t>
      </w:r>
      <w:r w:rsidR="00DC49CF">
        <w:rPr>
          <w:lang w:val="en-AU"/>
        </w:rPr>
        <w:t>reasons for discharges. For example,</w:t>
      </w:r>
      <w:r w:rsidR="004A1C62">
        <w:rPr>
          <w:lang w:val="en-AU"/>
        </w:rPr>
        <w:t xml:space="preserve"> some </w:t>
      </w:r>
      <w:r w:rsidR="00FB12DE">
        <w:rPr>
          <w:lang w:val="en-AU"/>
        </w:rPr>
        <w:t xml:space="preserve">SDCUs </w:t>
      </w:r>
      <w:r w:rsidR="00604EE3">
        <w:rPr>
          <w:lang w:val="en-AU"/>
        </w:rPr>
        <w:t>reported on ‘change in care needs’ and ‘palliative’ separately, while other SDCUs included palliative residents within ‘change of care needs’</w:t>
      </w:r>
      <w:r w:rsidR="00753DE5">
        <w:rPr>
          <w:lang w:val="en-AU"/>
        </w:rPr>
        <w:t xml:space="preserve">. The discharge data </w:t>
      </w:r>
      <w:r w:rsidR="005C3C14">
        <w:rPr>
          <w:lang w:val="en-AU"/>
        </w:rPr>
        <w:t>recorded</w:t>
      </w:r>
      <w:r w:rsidR="00753DE5">
        <w:rPr>
          <w:lang w:val="en-AU"/>
        </w:rPr>
        <w:t xml:space="preserve"> in the six-monthly provider reports (</w:t>
      </w:r>
      <w:r w:rsidR="005C3C14">
        <w:rPr>
          <w:lang w:val="en-AU"/>
        </w:rPr>
        <w:t xml:space="preserve">at a </w:t>
      </w:r>
      <w:r w:rsidR="00753DE5">
        <w:rPr>
          <w:lang w:val="en-AU"/>
        </w:rPr>
        <w:t>cumulative and client</w:t>
      </w:r>
      <w:r w:rsidR="005C3C14">
        <w:rPr>
          <w:lang w:val="en-AU"/>
        </w:rPr>
        <w:t xml:space="preserve"> level) and the clinical incident data also did not reconcile for some SDCUs. </w:t>
      </w:r>
      <w:r w:rsidR="00D94218">
        <w:rPr>
          <w:lang w:val="en-AU"/>
        </w:rPr>
        <w:t>Despite these differences in coding, escalat</w:t>
      </w:r>
      <w:r w:rsidR="0055336B">
        <w:rPr>
          <w:lang w:val="en-AU"/>
        </w:rPr>
        <w:t>ed BPSD</w:t>
      </w:r>
      <w:r w:rsidR="00D94218">
        <w:rPr>
          <w:lang w:val="en-AU"/>
        </w:rPr>
        <w:t xml:space="preserve"> </w:t>
      </w:r>
      <w:r w:rsidR="00AA7690">
        <w:rPr>
          <w:lang w:val="en-AU"/>
        </w:rPr>
        <w:t>were considered to</w:t>
      </w:r>
      <w:r w:rsidR="00D94218">
        <w:rPr>
          <w:lang w:val="en-AU"/>
        </w:rPr>
        <w:t xml:space="preserve"> represen</w:t>
      </w:r>
      <w:r w:rsidR="00AA7690">
        <w:rPr>
          <w:lang w:val="en-AU"/>
        </w:rPr>
        <w:t>t</w:t>
      </w:r>
      <w:r w:rsidR="00D94218">
        <w:rPr>
          <w:lang w:val="en-AU"/>
        </w:rPr>
        <w:t xml:space="preserve"> a minority of separations</w:t>
      </w:r>
      <w:r w:rsidR="0077320E">
        <w:rPr>
          <w:lang w:val="en-AU"/>
        </w:rPr>
        <w:t>.</w:t>
      </w:r>
    </w:p>
  </w:footnote>
  <w:footnote w:id="12">
    <w:p w14:paraId="56D430F5" w14:textId="77777777" w:rsidR="00320CBC" w:rsidRPr="00A1060A" w:rsidRDefault="00320CBC" w:rsidP="00320CBC">
      <w:pPr>
        <w:pStyle w:val="FootnoteText"/>
        <w:rPr>
          <w:lang w:val="en-AU"/>
        </w:rPr>
      </w:pPr>
      <w:r>
        <w:rPr>
          <w:rStyle w:val="FootnoteReference"/>
        </w:rPr>
        <w:footnoteRef/>
      </w:r>
      <w:r>
        <w:t xml:space="preserve"> ‘DOMS: The Dementia Outcomes Measurement Suite’ (2022) </w:t>
      </w:r>
      <w:r w:rsidRPr="002B0EE0">
        <w:rPr>
          <w:i/>
          <w:iCs/>
        </w:rPr>
        <w:t>Dementia Centre for Research Collaboration</w:t>
      </w:r>
      <w:r>
        <w:rPr>
          <w:i/>
          <w:iCs/>
        </w:rPr>
        <w:t xml:space="preserve"> </w:t>
      </w:r>
      <w:r>
        <w:t>(Web Page, 2022) &lt;</w:t>
      </w:r>
      <w:r w:rsidRPr="00333363">
        <w:t xml:space="preserve"> https://dementiaresearch.org.au/doms/</w:t>
      </w:r>
      <w:r>
        <w:t xml:space="preserve">&gt;; M. F. Weiner, et al., ‘The quality of life in late-stage dementia (QUALID) scale’ (2000) 1(3) </w:t>
      </w:r>
      <w:r>
        <w:rPr>
          <w:i/>
          <w:iCs/>
        </w:rPr>
        <w:t>Journal of the American Medical Directors Association</w:t>
      </w:r>
      <w:r>
        <w:t xml:space="preserve"> 114; T.P. </w:t>
      </w:r>
      <w:r>
        <w:rPr>
          <w:lang w:val="en-AU"/>
        </w:rPr>
        <w:t xml:space="preserve">Ettema et al., ‘QUALIDEM: Development and evaluation of a dementia specific quality of life instrument – validation’ 22(5) </w:t>
      </w:r>
      <w:r>
        <w:rPr>
          <w:i/>
          <w:iCs/>
          <w:lang w:val="en-AU"/>
        </w:rPr>
        <w:t xml:space="preserve">International Journal of Geriatric Psychiatry </w:t>
      </w:r>
      <w:r>
        <w:rPr>
          <w:lang w:val="en-AU"/>
        </w:rPr>
        <w:t xml:space="preserve">424. </w:t>
      </w:r>
    </w:p>
  </w:footnote>
  <w:footnote w:id="13">
    <w:p w14:paraId="5095D18F" w14:textId="17F006E5" w:rsidR="001F4BFF" w:rsidRPr="00C5586D" w:rsidRDefault="001F4BFF" w:rsidP="001F4BFF">
      <w:pPr>
        <w:pStyle w:val="FootnoteText"/>
        <w:rPr>
          <w:lang w:val="en-AU"/>
        </w:rPr>
      </w:pPr>
      <w:r>
        <w:rPr>
          <w:rStyle w:val="FootnoteReference"/>
        </w:rPr>
        <w:footnoteRef/>
      </w:r>
      <w:r>
        <w:t xml:space="preserve"> ‘Behavioural incident’ includes any incident recorded for each resident which (1) was initiated by the resident and (2) involved aggression, agitation or abuse (physical or verbal).   </w:t>
      </w:r>
    </w:p>
  </w:footnote>
  <w:footnote w:id="14">
    <w:p w14:paraId="01765433" w14:textId="1F7483C3" w:rsidR="00126929" w:rsidRPr="006B39B6" w:rsidRDefault="00126929" w:rsidP="00126929">
      <w:pPr>
        <w:pStyle w:val="FootnoteText"/>
        <w:rPr>
          <w:lang w:val="en-AU"/>
        </w:rPr>
      </w:pPr>
      <w:r>
        <w:rPr>
          <w:rStyle w:val="FootnoteReference"/>
        </w:rPr>
        <w:footnoteRef/>
      </w:r>
      <w:r>
        <w:t xml:space="preserve"> It was not possible to map be</w:t>
      </w:r>
      <w:r w:rsidR="004B356C">
        <w:t xml:space="preserve">havioural incidents </w:t>
      </w:r>
      <w:r>
        <w:t xml:space="preserve">over time across all SDCUs due to </w:t>
      </w:r>
      <w:r w:rsidR="00CF672B">
        <w:t>variation</w:t>
      </w:r>
      <w:r>
        <w:t xml:space="preserve"> in </w:t>
      </w:r>
      <w:r w:rsidR="00CF672B">
        <w:t>completeness of</w:t>
      </w:r>
      <w:r>
        <w:t xml:space="preserve"> </w:t>
      </w:r>
      <w:r w:rsidR="00CF672B">
        <w:t>clinical</w:t>
      </w:r>
      <w:r>
        <w:t xml:space="preserve"> data provided by sites (discussed further in Section 7). Accordingly, case study analys</w:t>
      </w:r>
      <w:r w:rsidR="001F4BFF">
        <w:t>i</w:t>
      </w:r>
      <w:r>
        <w:t>s w</w:t>
      </w:r>
      <w:r w:rsidR="00BD4FFA">
        <w:t>as</w:t>
      </w:r>
      <w:r>
        <w:t xml:space="preserve"> performed on a smaller number of sites wherever possible, to examine the available data in more detail. </w:t>
      </w:r>
    </w:p>
  </w:footnote>
  <w:footnote w:id="15">
    <w:p w14:paraId="709ACB45" w14:textId="137ABCBD" w:rsidR="00055C77" w:rsidRPr="00055C77" w:rsidRDefault="00055C77">
      <w:pPr>
        <w:pStyle w:val="FootnoteText"/>
        <w:rPr>
          <w:lang w:val="en-AU"/>
        </w:rPr>
      </w:pPr>
      <w:r>
        <w:rPr>
          <w:rStyle w:val="FootnoteReference"/>
        </w:rPr>
        <w:footnoteRef/>
      </w:r>
      <w:r>
        <w:t xml:space="preserve"> </w:t>
      </w:r>
      <w:r>
        <w:rPr>
          <w:lang w:val="en-AU"/>
        </w:rPr>
        <w:t xml:space="preserve">The twelve domains are: Delusions, Hallucinations, Agitation/Aggression, Depression/Dysphoria, Anxiety, Elation/Euphoria, Apathy/Indifference, Disinhibition, Irritability/Lability, Aberrant Motor Behaviour, Appetite and Eating Disorders, and Sleep and Night-time Behaviour Disorders. </w:t>
      </w:r>
    </w:p>
  </w:footnote>
  <w:footnote w:id="16">
    <w:p w14:paraId="4F7290F9" w14:textId="1364F545" w:rsidR="00385AD8" w:rsidRPr="00385AD8" w:rsidRDefault="00385AD8">
      <w:pPr>
        <w:pStyle w:val="FootnoteText"/>
        <w:rPr>
          <w:lang w:val="en-AU"/>
        </w:rPr>
      </w:pPr>
      <w:r>
        <w:rPr>
          <w:rStyle w:val="FootnoteReference"/>
        </w:rPr>
        <w:footnoteRef/>
      </w:r>
      <w:r>
        <w:t xml:space="preserve"> Analysis looked at the directional change between resident’s NPI-NH score at admission and their last recorded scor</w:t>
      </w:r>
      <w:r w:rsidR="008553E0">
        <w:t>e</w:t>
      </w:r>
      <w:r w:rsidR="00FF1881">
        <w:t xml:space="preserve"> before, or upon, discharge from the SDCU.</w:t>
      </w:r>
      <w:r w:rsidR="00CD4639" w:rsidRPr="00CD4639">
        <w:t xml:space="preserve"> </w:t>
      </w:r>
      <w:r w:rsidR="00CD4639">
        <w:t xml:space="preserve">It was not possible to compare the magnitude of change in scores over time across residents due to high variation across sites. </w:t>
      </w:r>
    </w:p>
  </w:footnote>
  <w:footnote w:id="17">
    <w:p w14:paraId="590FB63D" w14:textId="77777777" w:rsidR="00332D2F" w:rsidRPr="000300D7" w:rsidRDefault="00332D2F" w:rsidP="00332D2F">
      <w:pPr>
        <w:pStyle w:val="FootnoteText"/>
        <w:rPr>
          <w:lang w:val="en-AU"/>
        </w:rPr>
      </w:pPr>
      <w:r>
        <w:rPr>
          <w:rStyle w:val="FootnoteReference"/>
        </w:rPr>
        <w:footnoteRef/>
      </w:r>
      <w:r>
        <w:t xml:space="preserve"> From 1 January 2023, </w:t>
      </w:r>
      <w:r w:rsidRPr="004857EF">
        <w:t xml:space="preserve">every government funded residential aged care facility will </w:t>
      </w:r>
      <w:r>
        <w:t xml:space="preserve">receive funding allowing them to </w:t>
      </w:r>
      <w:r w:rsidRPr="004857EF">
        <w:t>employ or engage an on-site pharmacist or community pharmacy service</w:t>
      </w:r>
      <w:r>
        <w:t xml:space="preserve">, as part of the Australian Government’s commitment to improve medication management and safety for aged care residents. </w:t>
      </w:r>
    </w:p>
  </w:footnote>
  <w:footnote w:id="18">
    <w:p w14:paraId="4BDC71E1" w14:textId="77777777" w:rsidR="003C313B" w:rsidRPr="00FB3B87" w:rsidRDefault="003C313B" w:rsidP="003C313B">
      <w:pPr>
        <w:spacing w:after="0" w:line="240" w:lineRule="auto"/>
        <w:rPr>
          <w:sz w:val="16"/>
          <w:szCs w:val="20"/>
        </w:rPr>
      </w:pPr>
      <w:r w:rsidRPr="00803592">
        <w:rPr>
          <w:sz w:val="16"/>
          <w:szCs w:val="16"/>
          <w:vertAlign w:val="superscript"/>
        </w:rPr>
        <w:footnoteRef/>
      </w:r>
      <w:r w:rsidRPr="00803592">
        <w:rPr>
          <w:sz w:val="16"/>
          <w:szCs w:val="16"/>
          <w:vertAlign w:val="superscript"/>
        </w:rPr>
        <w:t xml:space="preserve"> </w:t>
      </w:r>
      <w:r w:rsidRPr="00FB3B87">
        <w:rPr>
          <w:sz w:val="16"/>
          <w:szCs w:val="20"/>
        </w:rPr>
        <w:t xml:space="preserve">Due to limitations in the </w:t>
      </w:r>
      <w:r>
        <w:rPr>
          <w:sz w:val="16"/>
          <w:szCs w:val="20"/>
        </w:rPr>
        <w:t>unit</w:t>
      </w:r>
      <w:r w:rsidRPr="00FB3B87">
        <w:rPr>
          <w:sz w:val="16"/>
          <w:szCs w:val="20"/>
        </w:rPr>
        <w:t xml:space="preserve">-level data provided by SDCUs, it was not possible to quantify changes in prescribing patterns over time across sites. </w:t>
      </w:r>
      <w:r>
        <w:rPr>
          <w:sz w:val="16"/>
          <w:szCs w:val="20"/>
        </w:rPr>
        <w:t xml:space="preserve">It is noted that based on stakeholder consultation, further data collection in this area would benefit from understanding the classes of medication de-prescribed or additionally prescribed, to understand trends in medication management in this cohort over time. </w:t>
      </w:r>
    </w:p>
    <w:p w14:paraId="6309A146" w14:textId="77777777" w:rsidR="003C313B" w:rsidRPr="00FB3B87" w:rsidRDefault="003C313B" w:rsidP="003C313B">
      <w:pPr>
        <w:pStyle w:val="FootnoteText"/>
        <w:rPr>
          <w:lang w:val="en-AU"/>
        </w:rPr>
      </w:pPr>
    </w:p>
  </w:footnote>
  <w:footnote w:id="19">
    <w:p w14:paraId="7E428456" w14:textId="065DA9DE" w:rsidR="00013131" w:rsidRPr="00013131" w:rsidRDefault="00013131" w:rsidP="002A449D">
      <w:pPr>
        <w:spacing w:after="0" w:line="240" w:lineRule="auto"/>
        <w:ind w:left="119" w:right="386"/>
        <w:rPr>
          <w:sz w:val="16"/>
          <w:szCs w:val="20"/>
        </w:rPr>
      </w:pPr>
      <w:r>
        <w:rPr>
          <w:rStyle w:val="FootnoteReference"/>
        </w:rPr>
        <w:footnoteRef/>
      </w:r>
      <w:r>
        <w:t xml:space="preserve"> </w:t>
      </w:r>
      <w:r>
        <w:rPr>
          <w:sz w:val="16"/>
          <w:szCs w:val="20"/>
        </w:rPr>
        <w:t>It is noted that f</w:t>
      </w:r>
      <w:r w:rsidRPr="00013131">
        <w:rPr>
          <w:sz w:val="16"/>
          <w:szCs w:val="20"/>
        </w:rPr>
        <w:t>rom 1 January 2023, every government funded residential aged care facility will receive funding allowing them to employ or engage an on-site pharmacist or community pharmacy service, as part of the Australian Government’s commitment to improve medication management and safety for aged care residents.</w:t>
      </w:r>
      <w:r w:rsidR="00990AED">
        <w:rPr>
          <w:sz w:val="16"/>
          <w:szCs w:val="20"/>
        </w:rPr>
        <w:t xml:space="preserve"> However, the frequent nature of specialist </w:t>
      </w:r>
      <w:r w:rsidR="00C33789">
        <w:rPr>
          <w:sz w:val="16"/>
          <w:szCs w:val="20"/>
        </w:rPr>
        <w:t xml:space="preserve">review is expected to continue to provide </w:t>
      </w:r>
      <w:r w:rsidR="004A1F98">
        <w:rPr>
          <w:sz w:val="16"/>
          <w:szCs w:val="20"/>
        </w:rPr>
        <w:t>additional benefit to the Program cohort</w:t>
      </w:r>
      <w:r w:rsidR="007C55AB">
        <w:rPr>
          <w:sz w:val="16"/>
          <w:szCs w:val="20"/>
        </w:rPr>
        <w:t xml:space="preserve">. </w:t>
      </w:r>
    </w:p>
  </w:footnote>
  <w:footnote w:id="20">
    <w:p w14:paraId="6A2617BD" w14:textId="77777777" w:rsidR="007D4EF2" w:rsidRPr="003C5EB2" w:rsidRDefault="007D4EF2" w:rsidP="007D4EF2">
      <w:pPr>
        <w:pStyle w:val="FootnoteText"/>
        <w:rPr>
          <w:lang w:val="en-AU"/>
        </w:rPr>
      </w:pPr>
      <w:r>
        <w:rPr>
          <w:rStyle w:val="FootnoteReference"/>
        </w:rPr>
        <w:footnoteRef/>
      </w:r>
      <w:r>
        <w:t xml:space="preserve"> Australian Government Department of Health and Aged Care (2022), </w:t>
      </w:r>
      <w:r w:rsidRPr="000123F3">
        <w:rPr>
          <w:i/>
          <w:iCs/>
        </w:rPr>
        <w:t>National Medicines Policy</w:t>
      </w:r>
      <w:r>
        <w:t>, accessed 4 January 2023, &lt;</w:t>
      </w:r>
      <w:r w:rsidRPr="003C5EB2">
        <w:t>https://www.health.gov.au/resources/publications/national-medicines-policy?language=en</w:t>
      </w:r>
      <w:r>
        <w:t>&gt;.</w:t>
      </w:r>
    </w:p>
  </w:footnote>
  <w:footnote w:id="21">
    <w:p w14:paraId="3F283DB9" w14:textId="77777777" w:rsidR="00340826" w:rsidRPr="005D2DD6" w:rsidRDefault="00340826" w:rsidP="00340826">
      <w:pPr>
        <w:pStyle w:val="FootnoteText"/>
        <w:rPr>
          <w:lang w:val="en-AU"/>
        </w:rPr>
      </w:pPr>
      <w:r>
        <w:rPr>
          <w:rStyle w:val="FootnoteReference"/>
        </w:rPr>
        <w:footnoteRef/>
      </w:r>
      <w:r>
        <w:t xml:space="preserve"> Royal Commission into Aged Care Quality and Safety (Final Report, March 2021) vol 2;</w:t>
      </w:r>
      <w:r w:rsidRPr="00340826">
        <w:t xml:space="preserve"> </w:t>
      </w:r>
      <w:r>
        <w:t>Henry Brodaty, Brian M Draper, &amp; Lee-Fay Low, ‘Behavioural and psychological symptoms of dementia: a seven-tiered model of service delivery’ (2003) 178(5)</w:t>
      </w:r>
      <w:r w:rsidRPr="0028444C">
        <w:rPr>
          <w:i/>
          <w:iCs/>
        </w:rPr>
        <w:t xml:space="preserve"> The Medical Journal of Australia </w:t>
      </w:r>
      <w:r>
        <w:t>231.</w:t>
      </w:r>
    </w:p>
  </w:footnote>
  <w:footnote w:id="22">
    <w:p w14:paraId="04D47F34" w14:textId="77777777" w:rsidR="0018386D" w:rsidRPr="00FD7FDC" w:rsidRDefault="0018386D" w:rsidP="0018386D">
      <w:pPr>
        <w:pStyle w:val="FootnoteText"/>
        <w:rPr>
          <w:lang w:val="en-AU"/>
        </w:rPr>
      </w:pPr>
      <w:r>
        <w:rPr>
          <w:rStyle w:val="FootnoteReference"/>
        </w:rPr>
        <w:footnoteRef/>
      </w:r>
      <w:r>
        <w:t xml:space="preserve"> Ching-Yuan Huang, et al., ‘The impact of person-centred care on job productivity, job satisfaction and organisational commitment among employees in long-term care facilities’ (2020) 29(15) </w:t>
      </w:r>
      <w:r>
        <w:rPr>
          <w:i/>
          <w:iCs/>
        </w:rPr>
        <w:t xml:space="preserve">Journal of Clinical Nursing </w:t>
      </w:r>
      <w:r>
        <w:t xml:space="preserve">2967; </w:t>
      </w:r>
      <w:r w:rsidRPr="002A3E45">
        <w:t>Santhiny Rajamohan</w:t>
      </w:r>
      <w:r>
        <w:t xml:space="preserve">, </w:t>
      </w:r>
      <w:r w:rsidRPr="00C079DA">
        <w:t>Davina Porock</w:t>
      </w:r>
      <w:r>
        <w:t xml:space="preserve"> and </w:t>
      </w:r>
      <w:r w:rsidRPr="00327A69">
        <w:t>Yu-Ping Chang</w:t>
      </w:r>
      <w:r>
        <w:t xml:space="preserve">, ‘Understanding </w:t>
      </w:r>
      <w:r w:rsidRPr="00FD7FDC">
        <w:t>the Relationship Between Staff and Job Satisfaction, Stress, Turnover, and Staff Outcomes in the Person-Centered Care Nursing Home Aren</w:t>
      </w:r>
      <w:r>
        <w:t xml:space="preserve">a’ (2019) 51(5) </w:t>
      </w:r>
      <w:r>
        <w:rPr>
          <w:i/>
          <w:iCs/>
        </w:rPr>
        <w:t>Journal of Nursing Scholarship</w:t>
      </w:r>
      <w:r>
        <w:t xml:space="preserve"> 560. </w:t>
      </w:r>
    </w:p>
  </w:footnote>
  <w:footnote w:id="23">
    <w:p w14:paraId="39E2FE82" w14:textId="77777777" w:rsidR="00767F5F" w:rsidRPr="00CB183C" w:rsidRDefault="00767F5F" w:rsidP="00767F5F">
      <w:pPr>
        <w:pStyle w:val="FootnoteText"/>
        <w:rPr>
          <w:lang w:val="en-AU"/>
        </w:rPr>
      </w:pPr>
      <w:r>
        <w:rPr>
          <w:rStyle w:val="FootnoteReference"/>
        </w:rPr>
        <w:footnoteRef/>
      </w:r>
      <w:r>
        <w:t xml:space="preserve"> </w:t>
      </w:r>
      <w:r>
        <w:rPr>
          <w:lang w:val="en-AU"/>
        </w:rPr>
        <w:t xml:space="preserve">Commonwealth and resident contributions were assumed equivalent between the mainstream referring RACF and the SDCU, in the absence of additional information. </w:t>
      </w:r>
    </w:p>
  </w:footnote>
  <w:footnote w:id="24">
    <w:p w14:paraId="3ED3E613" w14:textId="328692BB" w:rsidR="00301C36" w:rsidRPr="00301C36" w:rsidRDefault="00301C36">
      <w:pPr>
        <w:pStyle w:val="FootnoteText"/>
        <w:rPr>
          <w:lang w:val="en-AU"/>
        </w:rPr>
      </w:pPr>
      <w:r>
        <w:rPr>
          <w:rStyle w:val="FootnoteReference"/>
        </w:rPr>
        <w:footnoteRef/>
      </w:r>
      <w:r>
        <w:t xml:space="preserve"> </w:t>
      </w:r>
      <w:r>
        <w:rPr>
          <w:lang w:val="en-AU"/>
        </w:rPr>
        <w:t>As a hypothetical example, a “cashable” saving would be achieved if the Program allowed a long-stay psychogeriatric care bed to be decommissioned.</w:t>
      </w:r>
    </w:p>
  </w:footnote>
  <w:footnote w:id="25">
    <w:p w14:paraId="4FDC7108" w14:textId="77777777" w:rsidR="00FD637F" w:rsidRPr="0078455E" w:rsidRDefault="00FD637F" w:rsidP="00FD637F">
      <w:pPr>
        <w:pStyle w:val="FootnoteText"/>
        <w:rPr>
          <w:lang w:val="en-AU"/>
        </w:rPr>
      </w:pPr>
      <w:r>
        <w:rPr>
          <w:rStyle w:val="FootnoteReference"/>
        </w:rPr>
        <w:footnoteRef/>
      </w:r>
      <w:r>
        <w:t xml:space="preserve"> </w:t>
      </w:r>
      <w:r>
        <w:rPr>
          <w:lang w:val="en-AU"/>
        </w:rPr>
        <w:t>The number of sites varied by clinical incident variable.</w:t>
      </w:r>
    </w:p>
  </w:footnote>
  <w:footnote w:id="26">
    <w:p w14:paraId="195F36D8" w14:textId="3D43E7D9" w:rsidR="002B5DC6" w:rsidRPr="002B5DC6" w:rsidRDefault="002B5DC6">
      <w:pPr>
        <w:pStyle w:val="FootnoteText"/>
        <w:rPr>
          <w:lang w:val="en-AU"/>
        </w:rPr>
      </w:pPr>
      <w:r>
        <w:rPr>
          <w:rStyle w:val="FootnoteReference"/>
        </w:rPr>
        <w:footnoteRef/>
      </w:r>
      <w:r>
        <w:t xml:space="preserve"> </w:t>
      </w:r>
      <w:r w:rsidR="009E1367">
        <w:t>Australian Government Department of Health (2020), Specialist Dementia Care Program framework, a</w:t>
      </w:r>
      <w:r w:rsidR="0059151B">
        <w:t xml:space="preserve">ccessed 1 June 2022, </w:t>
      </w:r>
      <w:r w:rsidR="0000056C">
        <w:t>&lt;</w:t>
      </w:r>
      <w:r w:rsidR="0000056C" w:rsidRPr="0000056C">
        <w:t>https://www.health.gov.au/our-work/specialist-dementia-care-program-sdcp</w:t>
      </w:r>
      <w:r w:rsidR="0000056C">
        <w:t>&gt; .</w:t>
      </w:r>
    </w:p>
  </w:footnote>
  <w:footnote w:id="27">
    <w:p w14:paraId="23480A54" w14:textId="54840951" w:rsidR="00207156" w:rsidRPr="00207156" w:rsidRDefault="00207156">
      <w:pPr>
        <w:pStyle w:val="FootnoteText"/>
        <w:rPr>
          <w:lang w:val="en-AU"/>
        </w:rPr>
      </w:pPr>
      <w:r>
        <w:rPr>
          <w:rStyle w:val="FootnoteReference"/>
        </w:rPr>
        <w:footnoteRef/>
      </w:r>
      <w:r>
        <w:t xml:space="preserve"> As part of the reporting requirements across the activity period, financial declarations are requested annually to verify that grant funds were spent in accordance with the grant agreement. An Audited Financial Acquittal Report is then provided at the conclusion of the activity period.</w:t>
      </w:r>
    </w:p>
  </w:footnote>
  <w:footnote w:id="28">
    <w:p w14:paraId="37037294" w14:textId="77777777" w:rsidR="00310663" w:rsidRPr="009B2A7E" w:rsidRDefault="00310663" w:rsidP="00310663">
      <w:pPr>
        <w:pStyle w:val="FootnoteText"/>
        <w:rPr>
          <w:lang w:val="en-AU"/>
        </w:rPr>
      </w:pPr>
      <w:r>
        <w:rPr>
          <w:rStyle w:val="FootnoteReference"/>
        </w:rPr>
        <w:footnoteRef/>
      </w:r>
      <w:r>
        <w:t xml:space="preserve"> Royal Commission into Aged Care Quality and Safety (Final Report, March 2021) Ch 3. </w:t>
      </w:r>
    </w:p>
  </w:footnote>
  <w:footnote w:id="29">
    <w:p w14:paraId="1A4F6F49" w14:textId="71F78E87" w:rsidR="00310663" w:rsidRPr="006158DD" w:rsidRDefault="00310663" w:rsidP="00310663">
      <w:pPr>
        <w:pStyle w:val="FootnoteText"/>
        <w:rPr>
          <w:lang w:val="en-AU"/>
        </w:rPr>
      </w:pPr>
      <w:r>
        <w:rPr>
          <w:rStyle w:val="FootnoteReference"/>
        </w:rPr>
        <w:footnoteRef/>
      </w:r>
      <w:r>
        <w:t xml:space="preserve"> </w:t>
      </w:r>
      <w:r>
        <w:rPr>
          <w:lang w:val="en-AU"/>
        </w:rPr>
        <w:t xml:space="preserve">Statement (a) was not included in the requested additional activities. </w:t>
      </w:r>
    </w:p>
  </w:footnote>
  <w:footnote w:id="30">
    <w:p w14:paraId="3E9EDB2F" w14:textId="77777777" w:rsidR="005C6D73" w:rsidRPr="008E4007" w:rsidRDefault="005C6D73" w:rsidP="005C6D73">
      <w:pPr>
        <w:pStyle w:val="FootnoteText"/>
        <w:rPr>
          <w:lang w:val="en-AU"/>
        </w:rPr>
      </w:pPr>
      <w:r>
        <w:rPr>
          <w:rStyle w:val="FootnoteReference"/>
        </w:rPr>
        <w:footnoteRef/>
      </w:r>
      <w:r>
        <w:t xml:space="preserve"> </w:t>
      </w:r>
      <w:r>
        <w:rPr>
          <w:lang w:val="en-AU"/>
        </w:rPr>
        <w:t>As a hypothetical example, Admitted Acute Service A which is assigned 2.0000 NWAU is funded at twice the amount of Admitted Subacute Service B, which is assigned 1.0000 NWAU.</w:t>
      </w:r>
    </w:p>
  </w:footnote>
  <w:footnote w:id="31">
    <w:p w14:paraId="6F4B606E" w14:textId="615DA168" w:rsidR="005C6D73" w:rsidRPr="005E51C1" w:rsidRDefault="005C6D73" w:rsidP="005C6D73">
      <w:pPr>
        <w:pStyle w:val="FootnoteText"/>
        <w:rPr>
          <w:lang w:val="en-AU"/>
        </w:rPr>
      </w:pPr>
      <w:r>
        <w:rPr>
          <w:rStyle w:val="FootnoteReference"/>
        </w:rPr>
        <w:footnoteRef/>
      </w:r>
      <w:r>
        <w:t xml:space="preserve"> The value of released capacity presented is the value associated with the ‘Optimised’ </w:t>
      </w:r>
      <w:r w:rsidR="00AB15F6">
        <w:t xml:space="preserve">1 </w:t>
      </w:r>
      <w:r>
        <w:t xml:space="preserve">scenario. Please refer to Section </w:t>
      </w:r>
      <w:r w:rsidR="00007E84">
        <w:fldChar w:fldCharType="begin"/>
      </w:r>
      <w:r w:rsidR="00007E84">
        <w:instrText xml:space="preserve"> REF _Ref125358641 \n \h </w:instrText>
      </w:r>
      <w:r w:rsidR="00007E84">
        <w:fldChar w:fldCharType="separate"/>
      </w:r>
      <w:r w:rsidR="005D4716">
        <w:t>6</w:t>
      </w:r>
      <w:r w:rsidR="00007E84">
        <w:fldChar w:fldCharType="end"/>
      </w:r>
      <w:r>
        <w:t xml:space="preserve"> for the ‘Optimised’ scenario description.</w:t>
      </w:r>
    </w:p>
  </w:footnote>
  <w:footnote w:id="32">
    <w:p w14:paraId="39BF4B4E" w14:textId="77777777" w:rsidR="005C6D73" w:rsidRPr="00980DFE" w:rsidRDefault="005C6D73" w:rsidP="005C6D73">
      <w:pPr>
        <w:pStyle w:val="FootnoteText"/>
        <w:rPr>
          <w:lang w:val="en-AU"/>
        </w:rPr>
      </w:pPr>
      <w:r>
        <w:rPr>
          <w:rStyle w:val="FootnoteReference"/>
        </w:rPr>
        <w:footnoteRef/>
      </w:r>
      <w:r>
        <w:t xml:space="preserve"> </w:t>
      </w:r>
      <w:r>
        <w:rPr>
          <w:lang w:val="en-AU"/>
        </w:rPr>
        <w:t>These estimates were based on six survey respondents, and thus it is acknowledged that the quantification process is based on information from a low sample size. As stated in the Limitations section for this report, the staff survey remained open for ten weeks to maximise the response rate. Deloitte Access Economics sought to validate the magnitude of this estimate against national ED presentation data sets for patients with dementia as a principal diagnosis (the closest proxy for BPSD exacerbations). However, given that BPSD ‘tiers’ are not a type of classification used in national data sets, patient-level frequency distributions of ED presentations by dementia severity were not able to be constructed to inform the estimation process.</w:t>
      </w:r>
    </w:p>
  </w:footnote>
  <w:footnote w:id="33">
    <w:p w14:paraId="7AB8C62D" w14:textId="635E075D" w:rsidR="005C6D73" w:rsidRPr="00824F29" w:rsidRDefault="005C6D73" w:rsidP="005C6D73">
      <w:pPr>
        <w:pStyle w:val="FootnoteText"/>
        <w:rPr>
          <w:lang w:val="en-AU"/>
        </w:rPr>
      </w:pPr>
      <w:r>
        <w:rPr>
          <w:rStyle w:val="FootnoteReference"/>
        </w:rPr>
        <w:footnoteRef/>
      </w:r>
      <w:r>
        <w:t xml:space="preserve"> The value of avoided ED presentations is the value associated with the ‘Optimise</w:t>
      </w:r>
      <w:r w:rsidR="00147459">
        <w:t xml:space="preserve"> 1</w:t>
      </w:r>
      <w:r>
        <w:t xml:space="preserve">’ scenario. Please refer to Section </w:t>
      </w:r>
      <w:r w:rsidR="00007E84">
        <w:fldChar w:fldCharType="begin"/>
      </w:r>
      <w:r w:rsidR="00007E84">
        <w:instrText xml:space="preserve"> REF _Ref125358641 \n \h </w:instrText>
      </w:r>
      <w:r w:rsidR="00007E84">
        <w:fldChar w:fldCharType="separate"/>
      </w:r>
      <w:r w:rsidR="005D4716">
        <w:t>6</w:t>
      </w:r>
      <w:r w:rsidR="00007E84">
        <w:fldChar w:fldCharType="end"/>
      </w:r>
      <w:r>
        <w:t xml:space="preserve"> for the ‘Optimised’ scenario description.</w:t>
      </w:r>
    </w:p>
  </w:footnote>
  <w:footnote w:id="34">
    <w:p w14:paraId="1D979A32" w14:textId="77777777" w:rsidR="005C6D73" w:rsidRPr="003D5E2A" w:rsidRDefault="005C6D73" w:rsidP="005C6D73">
      <w:pPr>
        <w:pStyle w:val="FootnoteText"/>
        <w:rPr>
          <w:lang w:val="en-AU"/>
        </w:rPr>
      </w:pPr>
      <w:r>
        <w:rPr>
          <w:rStyle w:val="FootnoteReference"/>
        </w:rPr>
        <w:footnoteRef/>
      </w:r>
      <w:r>
        <w:t xml:space="preserve"> </w:t>
      </w:r>
      <w:r>
        <w:rPr>
          <w:lang w:val="en-AU"/>
        </w:rPr>
        <w:t>It is noted that the AIHW estimated the average cost of a dementia-related ED presentation to be close to $1000 in FY2018-19 dollars. It is assumed that for the Tier 6 BPSD cohort, there is either a higher proportion of patients that require admission (increasing the funding per presentation), or the severity of behaviours increases the triage category assigned. See &lt;</w:t>
      </w:r>
      <w:r w:rsidRPr="00A45805">
        <w:rPr>
          <w:lang w:val="en-AU"/>
        </w:rPr>
        <w:t>https://www.aihw.gov.au/reports/dementia/dementia-in-aus/contents/health-and-aged-care-expenditure-on-dementia/total-health-expenditure-and-expenditure-on-hospital-services-1#outpatient_ED</w:t>
      </w:r>
      <w:r>
        <w:rPr>
          <w:lang w:val="en-AU"/>
        </w:rPr>
        <w:t>&gt;.</w:t>
      </w:r>
    </w:p>
  </w:footnote>
  <w:footnote w:id="35">
    <w:p w14:paraId="5C032EBA" w14:textId="77777777" w:rsidR="005C6D73" w:rsidRPr="00C11245" w:rsidRDefault="005C6D73" w:rsidP="005C6D73">
      <w:pPr>
        <w:pStyle w:val="FootnoteText"/>
        <w:rPr>
          <w:lang w:val="en-AU"/>
        </w:rPr>
      </w:pPr>
      <w:r>
        <w:rPr>
          <w:rStyle w:val="FootnoteReference"/>
        </w:rPr>
        <w:footnoteRef/>
      </w:r>
      <w:r>
        <w:t xml:space="preserve"> </w:t>
      </w:r>
      <w:r>
        <w:rPr>
          <w:lang w:val="en-AU"/>
        </w:rPr>
        <w:t xml:space="preserve">AIHW (2022), </w:t>
      </w:r>
      <w:r w:rsidRPr="002461DC">
        <w:rPr>
          <w:i/>
          <w:iCs/>
          <w:lang w:val="en-AU"/>
        </w:rPr>
        <w:t>Dementia in Australia</w:t>
      </w:r>
      <w:r>
        <w:rPr>
          <w:lang w:val="en-AU"/>
        </w:rPr>
        <w:t>, accessed 15 December 2022, &lt;</w:t>
      </w:r>
      <w:r w:rsidRPr="002461DC">
        <w:t xml:space="preserve"> </w:t>
      </w:r>
      <w:r w:rsidRPr="002461DC">
        <w:rPr>
          <w:lang w:val="en-AU"/>
        </w:rPr>
        <w:t>https://www.aihw.gov.au/reports/dementia/dementia-in-aus/contents/health-services-used-by-people-with-dementia/hospital-care</w:t>
      </w:r>
      <w:r>
        <w:rPr>
          <w:lang w:val="en-AU"/>
        </w:rPr>
        <w:t>&gt;.</w:t>
      </w:r>
    </w:p>
  </w:footnote>
  <w:footnote w:id="36">
    <w:p w14:paraId="0124891D" w14:textId="1B0CBDC0" w:rsidR="005C6D73" w:rsidRPr="00077971" w:rsidRDefault="005C6D73" w:rsidP="005C6D73">
      <w:pPr>
        <w:pStyle w:val="FootnoteText"/>
        <w:rPr>
          <w:lang w:val="en-AU"/>
        </w:rPr>
      </w:pPr>
      <w:r>
        <w:rPr>
          <w:rStyle w:val="FootnoteReference"/>
        </w:rPr>
        <w:footnoteRef/>
      </w:r>
      <w:r>
        <w:t xml:space="preserve"> The value of avoided unplanned admissions is the value associated with the ‘Optimised</w:t>
      </w:r>
      <w:r w:rsidR="004E16A0">
        <w:t xml:space="preserve"> 1</w:t>
      </w:r>
      <w:r>
        <w:t xml:space="preserve">’ scenario. Please refer to Section </w:t>
      </w:r>
      <w:r w:rsidR="00007E84">
        <w:fldChar w:fldCharType="begin"/>
      </w:r>
      <w:r w:rsidR="00007E84">
        <w:instrText xml:space="preserve"> REF _Ref125358641 \n \h </w:instrText>
      </w:r>
      <w:r w:rsidR="00007E84">
        <w:fldChar w:fldCharType="separate"/>
      </w:r>
      <w:r w:rsidR="005D4716">
        <w:t>6</w:t>
      </w:r>
      <w:r w:rsidR="00007E84">
        <w:fldChar w:fldCharType="end"/>
      </w:r>
      <w:r>
        <w:t xml:space="preserve"> for the ‘Optimised’ scenario description.</w:t>
      </w:r>
    </w:p>
  </w:footnote>
  <w:footnote w:id="37">
    <w:p w14:paraId="71ACD474" w14:textId="77777777" w:rsidR="005C6D73" w:rsidRPr="00041836" w:rsidRDefault="005C6D73" w:rsidP="005C6D73">
      <w:pPr>
        <w:pStyle w:val="FootnoteText"/>
        <w:rPr>
          <w:lang w:val="en-AU"/>
        </w:rPr>
      </w:pPr>
      <w:r>
        <w:rPr>
          <w:rStyle w:val="FootnoteReference"/>
        </w:rPr>
        <w:footnoteRef/>
      </w:r>
      <w:r>
        <w:t xml:space="preserve"> </w:t>
      </w:r>
      <w:r>
        <w:rPr>
          <w:lang w:val="en-AU"/>
        </w:rPr>
        <w:t>Anecdotally, from stakeholder consultation it was understood that SDCUs had varying protocols related to the involvement of police for BPSD exacerbations requiring emergency intervention. As an additional example of state-funded service utilisation, the extent to which police involvement may be avoided would also represent a benefit to government. This benefit was not able to be parameterised with confidence, and therefore has not been included.</w:t>
      </w:r>
    </w:p>
  </w:footnote>
  <w:footnote w:id="38">
    <w:p w14:paraId="0E5F6BD1" w14:textId="4B0A2132" w:rsidR="005C6D73" w:rsidRPr="008B3671" w:rsidRDefault="005C6D73" w:rsidP="005C6D73">
      <w:pPr>
        <w:pStyle w:val="FootnoteText"/>
        <w:rPr>
          <w:lang w:val="en-AU"/>
        </w:rPr>
      </w:pPr>
      <w:r>
        <w:rPr>
          <w:rStyle w:val="FootnoteReference"/>
        </w:rPr>
        <w:footnoteRef/>
      </w:r>
      <w:r>
        <w:t xml:space="preserve"> The value of avoided ambulance incidents is the value associated with the ‘Optimised</w:t>
      </w:r>
      <w:r w:rsidR="004E16A0">
        <w:t xml:space="preserve"> 1</w:t>
      </w:r>
      <w:r>
        <w:t xml:space="preserve">’ scenario. Please refer to Section </w:t>
      </w:r>
      <w:r w:rsidR="00007E84">
        <w:fldChar w:fldCharType="begin"/>
      </w:r>
      <w:r w:rsidR="00007E84">
        <w:instrText xml:space="preserve"> REF _Ref125358641 \n \h </w:instrText>
      </w:r>
      <w:r w:rsidR="00007E84">
        <w:fldChar w:fldCharType="separate"/>
      </w:r>
      <w:r w:rsidR="005D4716">
        <w:t>6</w:t>
      </w:r>
      <w:r w:rsidR="00007E84">
        <w:fldChar w:fldCharType="end"/>
      </w:r>
      <w:r>
        <w:t xml:space="preserve"> for the ‘Optimised’ scenario description.</w:t>
      </w:r>
    </w:p>
  </w:footnote>
  <w:footnote w:id="39">
    <w:p w14:paraId="7DB7F1BC" w14:textId="77777777" w:rsidR="005C6D73" w:rsidRPr="00AF57E0" w:rsidRDefault="005C6D73" w:rsidP="005C6D73">
      <w:pPr>
        <w:pStyle w:val="FootnoteText"/>
        <w:rPr>
          <w:lang w:val="en-AU"/>
        </w:rPr>
      </w:pPr>
      <w:r>
        <w:rPr>
          <w:rStyle w:val="FootnoteReference"/>
        </w:rPr>
        <w:footnoteRef/>
      </w:r>
      <w:r>
        <w:t xml:space="preserve"> </w:t>
      </w:r>
      <w:r>
        <w:rPr>
          <w:lang w:val="en-AU"/>
        </w:rPr>
        <w:t>COVID-19 funding supplements per day were not included.</w:t>
      </w:r>
    </w:p>
  </w:footnote>
  <w:footnote w:id="40">
    <w:p w14:paraId="59465DE6" w14:textId="50A9C39A" w:rsidR="009B628A" w:rsidRPr="002A449D" w:rsidRDefault="009B628A">
      <w:pPr>
        <w:pStyle w:val="FootnoteText"/>
        <w:rPr>
          <w:lang w:val="en-AU"/>
        </w:rPr>
      </w:pPr>
      <w:r>
        <w:rPr>
          <w:rStyle w:val="FootnoteReference"/>
        </w:rPr>
        <w:footnoteRef/>
      </w:r>
      <w:r>
        <w:t xml:space="preserve"> </w:t>
      </w:r>
      <w:r w:rsidR="00A719BA">
        <w:t xml:space="preserve">Program data was collected to </w:t>
      </w:r>
      <w:r w:rsidR="007507B6">
        <w:t xml:space="preserve">the end of FY2021-22, with </w:t>
      </w:r>
      <w:r w:rsidR="007419BF">
        <w:t>historical</w:t>
      </w:r>
      <w:r w:rsidR="007507B6">
        <w:t xml:space="preserve"> ACFI payment</w:t>
      </w:r>
      <w:r w:rsidR="007419BF">
        <w:t xml:space="preserve"> data used as a mod</w:t>
      </w:r>
      <w:r w:rsidR="007507B6">
        <w:t xml:space="preserve">el input. </w:t>
      </w:r>
      <w:r w:rsidR="006B3975">
        <w:t xml:space="preserve">The aged care system has recently moved to </w:t>
      </w:r>
      <w:r w:rsidR="001B79EE">
        <w:t>t</w:t>
      </w:r>
      <w:r w:rsidR="00C7405F">
        <w:t>he Australian Aged Care Classifica</w:t>
      </w:r>
      <w:r w:rsidR="00D926A4">
        <w:t>ti</w:t>
      </w:r>
      <w:r w:rsidR="00C7405F">
        <w:t>on (AN-ACC) funding model as of 1 October 2022</w:t>
      </w:r>
      <w:r w:rsidR="00F638D0">
        <w:t xml:space="preserve">. </w:t>
      </w:r>
      <w:r w:rsidR="00C050EC">
        <w:t>As a result</w:t>
      </w:r>
      <w:r w:rsidR="007419BF">
        <w:t>,</w:t>
      </w:r>
      <w:r w:rsidR="00FC7DE7">
        <w:t xml:space="preserve"> for the purposes of modelling additional benefits in FY2022-23 and FY2023-24, the value of released capacity was assumed to be constant in real terms from estimates calculated in FY2021-22. </w:t>
      </w:r>
      <w:r w:rsidR="000A583F">
        <w:t>The aged care contribution methodology will therefore require refinement moving forward once data is able to be collected on average funding received under the AN-ACC funding system.</w:t>
      </w:r>
    </w:p>
  </w:footnote>
  <w:footnote w:id="41">
    <w:p w14:paraId="14C1BE13" w14:textId="7B6FF1EB" w:rsidR="005C6D73" w:rsidRPr="002058A2" w:rsidRDefault="005C6D73" w:rsidP="005C6D73">
      <w:pPr>
        <w:pStyle w:val="FootnoteText"/>
        <w:rPr>
          <w:lang w:val="en-AU"/>
        </w:rPr>
      </w:pPr>
      <w:r>
        <w:rPr>
          <w:rStyle w:val="FootnoteReference"/>
        </w:rPr>
        <w:footnoteRef/>
      </w:r>
      <w:r>
        <w:t xml:space="preserve"> The value of released capacity (Commonwealth contribution) is the value associated with the ‘Optimised’ scenario. Please refer to Section </w:t>
      </w:r>
      <w:r w:rsidR="00007E84">
        <w:fldChar w:fldCharType="begin"/>
      </w:r>
      <w:r w:rsidR="00007E84">
        <w:instrText xml:space="preserve"> REF _Ref125358641 \n \h </w:instrText>
      </w:r>
      <w:r w:rsidR="00007E84">
        <w:fldChar w:fldCharType="separate"/>
      </w:r>
      <w:r w:rsidR="005D4716">
        <w:t>6</w:t>
      </w:r>
      <w:r w:rsidR="00007E84">
        <w:fldChar w:fldCharType="end"/>
      </w:r>
      <w:r>
        <w:t xml:space="preserve"> for the ‘Optimised’ scenario description.</w:t>
      </w:r>
    </w:p>
  </w:footnote>
  <w:footnote w:id="42">
    <w:p w14:paraId="01697F11" w14:textId="0317E7C7" w:rsidR="00BE0584" w:rsidRPr="00010CDB" w:rsidRDefault="00BE0584" w:rsidP="00BE0584">
      <w:pPr>
        <w:pStyle w:val="FootnoteText"/>
        <w:rPr>
          <w:lang w:val="en-AU"/>
        </w:rPr>
      </w:pPr>
      <w:r>
        <w:rPr>
          <w:rStyle w:val="FootnoteReference"/>
        </w:rPr>
        <w:footnoteRef/>
      </w:r>
      <w:r>
        <w:t xml:space="preserve"> The value of residential aged care costs (Commonwealth contribution) is the value associated with the ‘Optimised</w:t>
      </w:r>
      <w:r w:rsidR="00981380">
        <w:t xml:space="preserve"> 1</w:t>
      </w:r>
      <w:r>
        <w:t xml:space="preserve">’ scenario. Please refer to Section </w:t>
      </w:r>
      <w:r w:rsidR="00007E84">
        <w:fldChar w:fldCharType="begin"/>
      </w:r>
      <w:r w:rsidR="00007E84">
        <w:instrText xml:space="preserve"> REF _Ref125358641 \n \h </w:instrText>
      </w:r>
      <w:r w:rsidR="00007E84">
        <w:fldChar w:fldCharType="separate"/>
      </w:r>
      <w:r w:rsidR="005D4716">
        <w:t>6</w:t>
      </w:r>
      <w:r w:rsidR="00007E84">
        <w:fldChar w:fldCharType="end"/>
      </w:r>
      <w:r>
        <w:t xml:space="preserve"> for the ‘Optimised’ scenario description.</w:t>
      </w:r>
    </w:p>
  </w:footnote>
  <w:footnote w:id="43">
    <w:p w14:paraId="473C5085" w14:textId="3345C2CA" w:rsidR="00BE0584" w:rsidRPr="004C656E" w:rsidRDefault="00BE0584" w:rsidP="00BE0584">
      <w:pPr>
        <w:pStyle w:val="FootnoteText"/>
        <w:rPr>
          <w:lang w:val="en-AU"/>
        </w:rPr>
      </w:pPr>
      <w:r>
        <w:rPr>
          <w:rStyle w:val="FootnoteReference"/>
        </w:rPr>
        <w:footnoteRef/>
      </w:r>
      <w:r>
        <w:t xml:space="preserve"> The value of residential aged care costs (Commonwealth contribution) is the value associated with the ‘Optimised’ scenario. Please refer to Section </w:t>
      </w:r>
      <w:r w:rsidR="00007E84">
        <w:fldChar w:fldCharType="begin"/>
      </w:r>
      <w:r w:rsidR="00007E84">
        <w:instrText xml:space="preserve"> REF _Ref125358641 \n \h </w:instrText>
      </w:r>
      <w:r w:rsidR="00007E84">
        <w:fldChar w:fldCharType="separate"/>
      </w:r>
      <w:r w:rsidR="005D4716">
        <w:t>6</w:t>
      </w:r>
      <w:r w:rsidR="00007E84">
        <w:fldChar w:fldCharType="end"/>
      </w:r>
      <w:r>
        <w:t xml:space="preserve"> for the ‘Optimised</w:t>
      </w:r>
      <w:r w:rsidR="003A3DA5">
        <w:t xml:space="preserve"> 1</w:t>
      </w:r>
      <w:r>
        <w:t>’ scenario description.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842A" w14:textId="77777777" w:rsidR="005434F8" w:rsidRDefault="005434F8">
    <w:pPr>
      <w:pStyle w:val="Header"/>
    </w:pPr>
  </w:p>
  <w:p w14:paraId="643693B5" w14:textId="77777777" w:rsidR="005434F8" w:rsidRDefault="005434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45E2" w14:textId="2DAE730B" w:rsidR="00896BD0" w:rsidRPr="00D36E73" w:rsidRDefault="00896BD0">
    <w:pPr>
      <w:pStyle w:val="Header"/>
      <w:rPr>
        <w:b w:val="0"/>
      </w:rPr>
    </w:pPr>
    <w:r w:rsidRPr="00D36E73">
      <w:fldChar w:fldCharType="begin"/>
    </w:r>
    <w:r w:rsidRPr="00D36E73">
      <w:instrText xml:space="preserve"> STYLEREF  "</w:instrText>
    </w:r>
    <w:r w:rsidR="006528C9" w:rsidRPr="00D36E73">
      <w:instrText>Document title</w:instrText>
    </w:r>
    <w:r w:rsidRPr="00D36E73">
      <w:instrText xml:space="preserve">"  \* MERGEFORMAT </w:instrText>
    </w:r>
    <w:r w:rsidRPr="00D36E73">
      <w:fldChar w:fldCharType="separate"/>
    </w:r>
    <w:r w:rsidR="00D61C33" w:rsidRPr="00D61C33">
      <w:rPr>
        <w:b w:val="0"/>
        <w:noProof/>
      </w:rPr>
      <w:t>Evaluation of Phase One of the Specialist Dementia Care Program</w:t>
    </w:r>
    <w:r w:rsidRPr="00D36E73">
      <w:fldChar w:fldCharType="end"/>
    </w:r>
    <w:r w:rsidR="006528C9" w:rsidRPr="00D36E73">
      <w:rPr>
        <w:b w:val="0"/>
      </w:rPr>
      <w:t xml:space="preserve"> | </w:t>
    </w:r>
    <w:r w:rsidR="00880C09">
      <w:rPr>
        <w:b w:val="0"/>
      </w:rPr>
      <w:t>Final Evaluation Report</w:t>
    </w:r>
  </w:p>
  <w:p w14:paraId="73FCF0B7" w14:textId="77777777" w:rsidR="00896BD0" w:rsidRDefault="00896B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B489" w14:textId="77777777" w:rsidR="008544BF" w:rsidRDefault="00854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D035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12E5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449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8E8FE2"/>
    <w:lvl w:ilvl="0">
      <w:start w:val="1"/>
      <w:numFmt w:val="lowerLetter"/>
      <w:pStyle w:val="ListNumber2"/>
      <w:lvlText w:val="%1."/>
      <w:lvlJc w:val="left"/>
      <w:pPr>
        <w:ind w:left="644" w:hanging="360"/>
      </w:pPr>
    </w:lvl>
  </w:abstractNum>
  <w:abstractNum w:abstractNumId="4" w15:restartNumberingAfterBreak="0">
    <w:nsid w:val="FFFFFF80"/>
    <w:multiLevelType w:val="singleLevel"/>
    <w:tmpl w:val="BCC41E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3E0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BE6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5CC542"/>
    <w:lvl w:ilvl="0">
      <w:start w:val="1"/>
      <w:numFmt w:val="bullet"/>
      <w:pStyle w:val="ListBullet2"/>
      <w:lvlText w:val="‒"/>
      <w:lvlJc w:val="left"/>
      <w:pPr>
        <w:ind w:left="587" w:hanging="360"/>
      </w:pPr>
      <w:rPr>
        <w:rFonts w:ascii="Calibri" w:hAnsi="Calibri" w:hint="default"/>
      </w:rPr>
    </w:lvl>
  </w:abstractNum>
  <w:abstractNum w:abstractNumId="8" w15:restartNumberingAfterBreak="0">
    <w:nsid w:val="FFFFFF88"/>
    <w:multiLevelType w:val="singleLevel"/>
    <w:tmpl w:val="0CFA53E2"/>
    <w:lvl w:ilvl="0">
      <w:start w:val="1"/>
      <w:numFmt w:val="decimal"/>
      <w:pStyle w:val="ListNumber"/>
      <w:lvlText w:val="%1."/>
      <w:lvlJc w:val="left"/>
      <w:pPr>
        <w:tabs>
          <w:tab w:val="num" w:pos="360"/>
        </w:tabs>
        <w:ind w:left="360" w:hanging="360"/>
      </w:pPr>
      <w:rPr>
        <w:rFonts w:asciiTheme="majorHAnsi" w:hAnsiTheme="majorHAnsi" w:cstheme="majorHAnsi" w:hint="default"/>
        <w:b/>
        <w:bCs/>
      </w:rPr>
    </w:lvl>
  </w:abstractNum>
  <w:abstractNum w:abstractNumId="9" w15:restartNumberingAfterBreak="0">
    <w:nsid w:val="FFFFFF89"/>
    <w:multiLevelType w:val="singleLevel"/>
    <w:tmpl w:val="B9AC8E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65C87"/>
    <w:multiLevelType w:val="hybridMultilevel"/>
    <w:tmpl w:val="58B8E300"/>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13459AB"/>
    <w:multiLevelType w:val="hybridMultilevel"/>
    <w:tmpl w:val="6574A6A2"/>
    <w:lvl w:ilvl="0" w:tplc="D0CA4B2A">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7A6956"/>
    <w:multiLevelType w:val="hybridMultilevel"/>
    <w:tmpl w:val="FA005430"/>
    <w:lvl w:ilvl="0" w:tplc="0C090001">
      <w:start w:val="1"/>
      <w:numFmt w:val="bullet"/>
      <w:lvlText w:val=""/>
      <w:lvlJc w:val="left"/>
      <w:pPr>
        <w:ind w:left="720" w:hanging="360"/>
      </w:pPr>
      <w:rPr>
        <w:rFonts w:ascii="Symbol" w:hAnsi="Symbol" w:hint="default"/>
        <w:i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E52E9708">
      <w:numFmt w:val="bullet"/>
      <w:lvlText w:val="-"/>
      <w:lvlJc w:val="left"/>
      <w:pPr>
        <w:ind w:left="3600" w:hanging="360"/>
      </w:pPr>
      <w:rPr>
        <w:rFonts w:ascii="Calibri Light" w:eastAsiaTheme="minorHAnsi" w:hAnsi="Calibri Light" w:cs="Calibri Light" w:hint="default"/>
        <w:i w:val="0"/>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2E7FF3"/>
    <w:multiLevelType w:val="hybridMultilevel"/>
    <w:tmpl w:val="BA1C3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144C8D"/>
    <w:multiLevelType w:val="hybridMultilevel"/>
    <w:tmpl w:val="F486425C"/>
    <w:lvl w:ilvl="0" w:tplc="B8A2C686">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087FD5"/>
    <w:multiLevelType w:val="hybridMultilevel"/>
    <w:tmpl w:val="45CE628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34E4C17"/>
    <w:multiLevelType w:val="hybridMultilevel"/>
    <w:tmpl w:val="A72E3C02"/>
    <w:lvl w:ilvl="0" w:tplc="7E6C5272">
      <w:start w:val="12"/>
      <w:numFmt w:val="decimal"/>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6F6975"/>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70C4D7E"/>
    <w:multiLevelType w:val="hybridMultilevel"/>
    <w:tmpl w:val="6472FF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DF0490"/>
    <w:multiLevelType w:val="hybridMultilevel"/>
    <w:tmpl w:val="033A29DC"/>
    <w:lvl w:ilvl="0" w:tplc="2DF46BC8">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AD21034"/>
    <w:multiLevelType w:val="hybridMultilevel"/>
    <w:tmpl w:val="A83EC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F971C6"/>
    <w:multiLevelType w:val="hybridMultilevel"/>
    <w:tmpl w:val="F4BC56B8"/>
    <w:lvl w:ilvl="0" w:tplc="31AAD854">
      <w:start w:val="11"/>
      <w:numFmt w:val="decimal"/>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0A7595"/>
    <w:multiLevelType w:val="hybridMultilevel"/>
    <w:tmpl w:val="5A8E8DA2"/>
    <w:lvl w:ilvl="0" w:tplc="FFFFFFFF">
      <w:start w:val="1"/>
      <w:numFmt w:val="bullet"/>
      <w:lvlText w:val=""/>
      <w:lvlJc w:val="left"/>
      <w:pPr>
        <w:ind w:left="360" w:hanging="360"/>
      </w:pPr>
      <w:rPr>
        <w:rFonts w:ascii="Symbol" w:hAnsi="Symbol" w:hint="default"/>
      </w:rPr>
    </w:lvl>
    <w:lvl w:ilvl="1" w:tplc="F7E4A408">
      <w:start w:val="1"/>
      <w:numFmt w:val="bullet"/>
      <w:lvlText w:val="-"/>
      <w:lvlJc w:val="left"/>
      <w:pPr>
        <w:ind w:left="1440" w:hanging="72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1EB6D98"/>
    <w:multiLevelType w:val="hybridMultilevel"/>
    <w:tmpl w:val="4ED26748"/>
    <w:lvl w:ilvl="0" w:tplc="92DA3DA4">
      <w:numFmt w:val="bullet"/>
      <w:lvlText w:val=""/>
      <w:lvlJc w:val="left"/>
      <w:pPr>
        <w:ind w:left="402" w:hanging="284"/>
      </w:pPr>
      <w:rPr>
        <w:rFonts w:ascii="Symbol" w:eastAsia="Symbol" w:hAnsi="Symbol" w:cs="Symbol" w:hint="default"/>
        <w:b w:val="0"/>
        <w:bCs w:val="0"/>
        <w:i w:val="0"/>
        <w:iCs w:val="0"/>
        <w:w w:val="99"/>
        <w:sz w:val="20"/>
        <w:szCs w:val="20"/>
        <w:lang w:val="en-US" w:eastAsia="en-US" w:bidi="ar-SA"/>
      </w:rPr>
    </w:lvl>
    <w:lvl w:ilvl="1" w:tplc="428EA3D2">
      <w:numFmt w:val="bullet"/>
      <w:lvlText w:val="•"/>
      <w:lvlJc w:val="left"/>
      <w:pPr>
        <w:ind w:left="1404" w:hanging="284"/>
      </w:pPr>
      <w:rPr>
        <w:rFonts w:hint="default"/>
        <w:lang w:val="en-US" w:eastAsia="en-US" w:bidi="ar-SA"/>
      </w:rPr>
    </w:lvl>
    <w:lvl w:ilvl="2" w:tplc="523E7242">
      <w:numFmt w:val="bullet"/>
      <w:lvlText w:val="•"/>
      <w:lvlJc w:val="left"/>
      <w:pPr>
        <w:ind w:left="2409" w:hanging="284"/>
      </w:pPr>
      <w:rPr>
        <w:rFonts w:hint="default"/>
        <w:lang w:val="en-US" w:eastAsia="en-US" w:bidi="ar-SA"/>
      </w:rPr>
    </w:lvl>
    <w:lvl w:ilvl="3" w:tplc="AE8A61D6">
      <w:numFmt w:val="bullet"/>
      <w:lvlText w:val="•"/>
      <w:lvlJc w:val="left"/>
      <w:pPr>
        <w:ind w:left="3413" w:hanging="284"/>
      </w:pPr>
      <w:rPr>
        <w:rFonts w:hint="default"/>
        <w:lang w:val="en-US" w:eastAsia="en-US" w:bidi="ar-SA"/>
      </w:rPr>
    </w:lvl>
    <w:lvl w:ilvl="4" w:tplc="D8A82656">
      <w:numFmt w:val="bullet"/>
      <w:lvlText w:val="•"/>
      <w:lvlJc w:val="left"/>
      <w:pPr>
        <w:ind w:left="4418" w:hanging="284"/>
      </w:pPr>
      <w:rPr>
        <w:rFonts w:hint="default"/>
        <w:lang w:val="en-US" w:eastAsia="en-US" w:bidi="ar-SA"/>
      </w:rPr>
    </w:lvl>
    <w:lvl w:ilvl="5" w:tplc="394CA238">
      <w:numFmt w:val="bullet"/>
      <w:lvlText w:val="•"/>
      <w:lvlJc w:val="left"/>
      <w:pPr>
        <w:ind w:left="5423" w:hanging="284"/>
      </w:pPr>
      <w:rPr>
        <w:rFonts w:hint="default"/>
        <w:lang w:val="en-US" w:eastAsia="en-US" w:bidi="ar-SA"/>
      </w:rPr>
    </w:lvl>
    <w:lvl w:ilvl="6" w:tplc="D7AA1EA0">
      <w:numFmt w:val="bullet"/>
      <w:lvlText w:val="•"/>
      <w:lvlJc w:val="left"/>
      <w:pPr>
        <w:ind w:left="6427" w:hanging="284"/>
      </w:pPr>
      <w:rPr>
        <w:rFonts w:hint="default"/>
        <w:lang w:val="en-US" w:eastAsia="en-US" w:bidi="ar-SA"/>
      </w:rPr>
    </w:lvl>
    <w:lvl w:ilvl="7" w:tplc="43547828">
      <w:numFmt w:val="bullet"/>
      <w:lvlText w:val="•"/>
      <w:lvlJc w:val="left"/>
      <w:pPr>
        <w:ind w:left="7432" w:hanging="284"/>
      </w:pPr>
      <w:rPr>
        <w:rFonts w:hint="default"/>
        <w:lang w:val="en-US" w:eastAsia="en-US" w:bidi="ar-SA"/>
      </w:rPr>
    </w:lvl>
    <w:lvl w:ilvl="8" w:tplc="1C6CDA06">
      <w:numFmt w:val="bullet"/>
      <w:lvlText w:val="•"/>
      <w:lvlJc w:val="left"/>
      <w:pPr>
        <w:ind w:left="8437" w:hanging="284"/>
      </w:pPr>
      <w:rPr>
        <w:rFonts w:hint="default"/>
        <w:lang w:val="en-US" w:eastAsia="en-US" w:bidi="ar-SA"/>
      </w:rPr>
    </w:lvl>
  </w:abstractNum>
  <w:abstractNum w:abstractNumId="24" w15:restartNumberingAfterBreak="0">
    <w:nsid w:val="224C064F"/>
    <w:multiLevelType w:val="hybridMultilevel"/>
    <w:tmpl w:val="47A027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267064F"/>
    <w:multiLevelType w:val="hybridMultilevel"/>
    <w:tmpl w:val="470E7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3B4A1B"/>
    <w:multiLevelType w:val="hybridMultilevel"/>
    <w:tmpl w:val="772A1FB4"/>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BC01D3"/>
    <w:multiLevelType w:val="hybridMultilevel"/>
    <w:tmpl w:val="3D38D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8316A3"/>
    <w:multiLevelType w:val="hybridMultilevel"/>
    <w:tmpl w:val="4D2C1C6C"/>
    <w:lvl w:ilvl="0" w:tplc="E0A01428">
      <w:start w:val="1"/>
      <w:numFmt w:val="decimal"/>
      <w:lvlText w:val="%1."/>
      <w:lvlJc w:val="left"/>
      <w:pPr>
        <w:ind w:left="720" w:hanging="360"/>
      </w:pPr>
      <w:rPr>
        <w:b w:val="0"/>
        <w:bCs/>
      </w:rPr>
    </w:lvl>
    <w:lvl w:ilvl="1" w:tplc="9BB4B48A">
      <w:start w:val="1"/>
      <w:numFmt w:val="lowerLetter"/>
      <w:lvlText w:val="%2."/>
      <w:lvlJc w:val="left"/>
      <w:pPr>
        <w:ind w:left="1440" w:hanging="360"/>
      </w:pPr>
      <w:rPr>
        <w:b w:val="0"/>
        <w:bCs/>
      </w:rPr>
    </w:lvl>
    <w:lvl w:ilvl="2" w:tplc="C17AF2DA">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216A91"/>
    <w:multiLevelType w:val="hybridMultilevel"/>
    <w:tmpl w:val="FB802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D0D0CE"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D0D0CE"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D0D0CE"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D0D0CE"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D0D0CE" w:themeColor="text2"/>
      </w:rPr>
    </w:lvl>
  </w:abstractNum>
  <w:abstractNum w:abstractNumId="31" w15:restartNumberingAfterBreak="0">
    <w:nsid w:val="2F0E6DCD"/>
    <w:multiLevelType w:val="hybridMultilevel"/>
    <w:tmpl w:val="4596F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7B6A8A"/>
    <w:multiLevelType w:val="hybridMultilevel"/>
    <w:tmpl w:val="196ED564"/>
    <w:lvl w:ilvl="0" w:tplc="0C090001">
      <w:start w:val="1"/>
      <w:numFmt w:val="bullet"/>
      <w:lvlText w:val=""/>
      <w:lvlJc w:val="left"/>
      <w:pPr>
        <w:ind w:left="720" w:hanging="360"/>
      </w:pPr>
      <w:rPr>
        <w:rFonts w:ascii="Symbol" w:hAnsi="Symbol" w:hint="default"/>
      </w:rPr>
    </w:lvl>
    <w:lvl w:ilvl="1" w:tplc="9E209C7E">
      <w:start w:val="1"/>
      <w:numFmt w:val="decimal"/>
      <w:lvlText w:val="%2."/>
      <w:lvlJc w:val="left"/>
      <w:pPr>
        <w:ind w:left="1440" w:hanging="360"/>
      </w:pPr>
      <w:rPr>
        <w:rFonts w:asciiTheme="minorHAnsi" w:eastAsiaTheme="minorHAnsi" w:hAnsiTheme="minorHAnsi" w:cstheme="minorBidi"/>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E252C9"/>
    <w:multiLevelType w:val="hybridMultilevel"/>
    <w:tmpl w:val="56CE7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4FE2DDD"/>
    <w:multiLevelType w:val="hybridMultilevel"/>
    <w:tmpl w:val="CA628A0A"/>
    <w:lvl w:ilvl="0" w:tplc="0BAC49B2">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456336"/>
    <w:multiLevelType w:val="hybridMultilevel"/>
    <w:tmpl w:val="D7BCD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D30664"/>
    <w:multiLevelType w:val="hybridMultilevel"/>
    <w:tmpl w:val="6002B9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A2852B4"/>
    <w:multiLevelType w:val="hybridMultilevel"/>
    <w:tmpl w:val="F4E8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A44BA0"/>
    <w:multiLevelType w:val="hybridMultilevel"/>
    <w:tmpl w:val="1B40C72C"/>
    <w:lvl w:ilvl="0" w:tplc="0C090001">
      <w:start w:val="1"/>
      <w:numFmt w:val="bullet"/>
      <w:lvlText w:val=""/>
      <w:lvlJc w:val="left"/>
      <w:pPr>
        <w:ind w:left="366" w:hanging="360"/>
      </w:pPr>
      <w:rPr>
        <w:rFonts w:ascii="Symbol" w:hAnsi="Symbol" w:hint="default"/>
      </w:rPr>
    </w:lvl>
    <w:lvl w:ilvl="1" w:tplc="0C090003">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39" w15:restartNumberingAfterBreak="0">
    <w:nsid w:val="3D34285B"/>
    <w:multiLevelType w:val="hybridMultilevel"/>
    <w:tmpl w:val="A7947BF0"/>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3DC31C47"/>
    <w:multiLevelType w:val="hybridMultilevel"/>
    <w:tmpl w:val="F95CC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B67B90"/>
    <w:multiLevelType w:val="hybridMultilevel"/>
    <w:tmpl w:val="4F96B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8AB04DE"/>
    <w:multiLevelType w:val="hybridMultilevel"/>
    <w:tmpl w:val="B170875E"/>
    <w:lvl w:ilvl="0" w:tplc="9AB6C6D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B7224D7"/>
    <w:multiLevelType w:val="hybridMultilevel"/>
    <w:tmpl w:val="4260EDF2"/>
    <w:lvl w:ilvl="0" w:tplc="FFFFFFFF">
      <w:numFmt w:val="bullet"/>
      <w:lvlText w:val=""/>
      <w:lvlJc w:val="left"/>
      <w:pPr>
        <w:ind w:left="402" w:hanging="284"/>
      </w:pPr>
      <w:rPr>
        <w:rFonts w:ascii="Symbol" w:eastAsia="Symbol" w:hAnsi="Symbol" w:cs="Symbol" w:hint="default"/>
        <w:b w:val="0"/>
        <w:bCs w:val="0"/>
        <w:i w:val="0"/>
        <w:iCs w:val="0"/>
        <w:w w:val="99"/>
        <w:sz w:val="20"/>
        <w:szCs w:val="20"/>
        <w:lang w:val="en-US" w:eastAsia="en-US" w:bidi="ar-SA"/>
      </w:rPr>
    </w:lvl>
    <w:lvl w:ilvl="1" w:tplc="0C090003">
      <w:start w:val="1"/>
      <w:numFmt w:val="bullet"/>
      <w:lvlText w:val="o"/>
      <w:lvlJc w:val="left"/>
      <w:pPr>
        <w:ind w:left="1086" w:hanging="360"/>
      </w:pPr>
      <w:rPr>
        <w:rFonts w:ascii="Courier New" w:hAnsi="Courier New" w:cs="Courier New" w:hint="default"/>
      </w:rPr>
    </w:lvl>
    <w:lvl w:ilvl="2" w:tplc="FFFFFFFF">
      <w:numFmt w:val="bullet"/>
      <w:lvlText w:val="•"/>
      <w:lvlJc w:val="left"/>
      <w:pPr>
        <w:ind w:left="2409" w:hanging="284"/>
      </w:pPr>
      <w:rPr>
        <w:rFonts w:hint="default"/>
        <w:lang w:val="en-US" w:eastAsia="en-US" w:bidi="ar-SA"/>
      </w:rPr>
    </w:lvl>
    <w:lvl w:ilvl="3" w:tplc="FFFFFFFF">
      <w:numFmt w:val="bullet"/>
      <w:lvlText w:val="•"/>
      <w:lvlJc w:val="left"/>
      <w:pPr>
        <w:ind w:left="3413" w:hanging="284"/>
      </w:pPr>
      <w:rPr>
        <w:rFonts w:hint="default"/>
        <w:lang w:val="en-US" w:eastAsia="en-US" w:bidi="ar-SA"/>
      </w:rPr>
    </w:lvl>
    <w:lvl w:ilvl="4" w:tplc="FFFFFFFF">
      <w:numFmt w:val="bullet"/>
      <w:lvlText w:val="•"/>
      <w:lvlJc w:val="left"/>
      <w:pPr>
        <w:ind w:left="4418" w:hanging="284"/>
      </w:pPr>
      <w:rPr>
        <w:rFonts w:hint="default"/>
        <w:lang w:val="en-US" w:eastAsia="en-US" w:bidi="ar-SA"/>
      </w:rPr>
    </w:lvl>
    <w:lvl w:ilvl="5" w:tplc="FFFFFFFF">
      <w:numFmt w:val="bullet"/>
      <w:lvlText w:val="•"/>
      <w:lvlJc w:val="left"/>
      <w:pPr>
        <w:ind w:left="5423" w:hanging="284"/>
      </w:pPr>
      <w:rPr>
        <w:rFonts w:hint="default"/>
        <w:lang w:val="en-US" w:eastAsia="en-US" w:bidi="ar-SA"/>
      </w:rPr>
    </w:lvl>
    <w:lvl w:ilvl="6" w:tplc="FFFFFFFF">
      <w:numFmt w:val="bullet"/>
      <w:lvlText w:val="•"/>
      <w:lvlJc w:val="left"/>
      <w:pPr>
        <w:ind w:left="6427" w:hanging="284"/>
      </w:pPr>
      <w:rPr>
        <w:rFonts w:hint="default"/>
        <w:lang w:val="en-US" w:eastAsia="en-US" w:bidi="ar-SA"/>
      </w:rPr>
    </w:lvl>
    <w:lvl w:ilvl="7" w:tplc="FFFFFFFF">
      <w:numFmt w:val="bullet"/>
      <w:lvlText w:val="•"/>
      <w:lvlJc w:val="left"/>
      <w:pPr>
        <w:ind w:left="7432" w:hanging="284"/>
      </w:pPr>
      <w:rPr>
        <w:rFonts w:hint="default"/>
        <w:lang w:val="en-US" w:eastAsia="en-US" w:bidi="ar-SA"/>
      </w:rPr>
    </w:lvl>
    <w:lvl w:ilvl="8" w:tplc="FFFFFFFF">
      <w:numFmt w:val="bullet"/>
      <w:lvlText w:val="•"/>
      <w:lvlJc w:val="left"/>
      <w:pPr>
        <w:ind w:left="8437" w:hanging="284"/>
      </w:pPr>
      <w:rPr>
        <w:rFonts w:hint="default"/>
        <w:lang w:val="en-US" w:eastAsia="en-US" w:bidi="ar-SA"/>
      </w:rPr>
    </w:lvl>
  </w:abstractNum>
  <w:abstractNum w:abstractNumId="44" w15:restartNumberingAfterBreak="0">
    <w:nsid w:val="4DF563FB"/>
    <w:multiLevelType w:val="hybridMultilevel"/>
    <w:tmpl w:val="B5865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1E74B55"/>
    <w:multiLevelType w:val="hybridMultilevel"/>
    <w:tmpl w:val="627A5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297D4C"/>
    <w:multiLevelType w:val="hybridMultilevel"/>
    <w:tmpl w:val="24A8CDC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749593E"/>
    <w:multiLevelType w:val="hybridMultilevel"/>
    <w:tmpl w:val="B00665FA"/>
    <w:lvl w:ilvl="0" w:tplc="A348AC44">
      <w:start w:val="1"/>
      <w:numFmt w:val="decimal"/>
      <w:lvlText w:val="%1."/>
      <w:lvlJc w:val="left"/>
      <w:pPr>
        <w:ind w:left="720" w:hanging="360"/>
      </w:pPr>
      <w:rPr>
        <w:b w:val="0"/>
        <w:bCs/>
      </w:rPr>
    </w:lvl>
    <w:lvl w:ilvl="1" w:tplc="FFFFFFFF">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B2860D9"/>
    <w:multiLevelType w:val="hybridMultilevel"/>
    <w:tmpl w:val="43708DB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BA35731"/>
    <w:multiLevelType w:val="hybridMultilevel"/>
    <w:tmpl w:val="99D62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F1C6ECF"/>
    <w:multiLevelType w:val="hybridMultilevel"/>
    <w:tmpl w:val="3620F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0741DC"/>
    <w:multiLevelType w:val="hybridMultilevel"/>
    <w:tmpl w:val="94421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35203BA"/>
    <w:multiLevelType w:val="hybridMultilevel"/>
    <w:tmpl w:val="386C1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742066"/>
    <w:multiLevelType w:val="hybridMultilevel"/>
    <w:tmpl w:val="93D28A66"/>
    <w:lvl w:ilvl="0" w:tplc="0C090001">
      <w:start w:val="1"/>
      <w:numFmt w:val="bullet"/>
      <w:lvlText w:val=""/>
      <w:lvlJc w:val="left"/>
      <w:pPr>
        <w:ind w:left="360" w:hanging="360"/>
      </w:pPr>
      <w:rPr>
        <w:rFonts w:ascii="Symbol" w:hAnsi="Symbol" w:hint="default"/>
      </w:rPr>
    </w:lvl>
    <w:lvl w:ilvl="1" w:tplc="F7E4A408">
      <w:start w:val="1"/>
      <w:numFmt w:val="bullet"/>
      <w:lvlText w:val="-"/>
      <w:lvlJc w:val="left"/>
      <w:pPr>
        <w:ind w:left="1440" w:hanging="72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43D403E"/>
    <w:multiLevelType w:val="hybridMultilevel"/>
    <w:tmpl w:val="863E8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CD20181"/>
    <w:multiLevelType w:val="hybridMultilevel"/>
    <w:tmpl w:val="D61EC1A2"/>
    <w:lvl w:ilvl="0" w:tplc="DA3E0E36">
      <w:start w:val="1"/>
      <w:numFmt w:val="bullet"/>
      <w:lvlText w:val="•"/>
      <w:lvlJc w:val="left"/>
      <w:pPr>
        <w:tabs>
          <w:tab w:val="num" w:pos="720"/>
        </w:tabs>
        <w:ind w:left="720" w:hanging="360"/>
      </w:pPr>
      <w:rPr>
        <w:rFonts w:ascii="Arial" w:hAnsi="Arial" w:hint="default"/>
      </w:rPr>
    </w:lvl>
    <w:lvl w:ilvl="1" w:tplc="7D940B48">
      <w:start w:val="1"/>
      <w:numFmt w:val="bullet"/>
      <w:lvlText w:val="•"/>
      <w:lvlJc w:val="left"/>
      <w:pPr>
        <w:tabs>
          <w:tab w:val="num" w:pos="1440"/>
        </w:tabs>
        <w:ind w:left="1440" w:hanging="360"/>
      </w:pPr>
      <w:rPr>
        <w:rFonts w:ascii="Arial" w:hAnsi="Arial" w:hint="default"/>
      </w:rPr>
    </w:lvl>
    <w:lvl w:ilvl="2" w:tplc="3238F39C" w:tentative="1">
      <w:start w:val="1"/>
      <w:numFmt w:val="bullet"/>
      <w:lvlText w:val="•"/>
      <w:lvlJc w:val="left"/>
      <w:pPr>
        <w:tabs>
          <w:tab w:val="num" w:pos="2160"/>
        </w:tabs>
        <w:ind w:left="2160" w:hanging="360"/>
      </w:pPr>
      <w:rPr>
        <w:rFonts w:ascii="Arial" w:hAnsi="Arial" w:hint="default"/>
      </w:rPr>
    </w:lvl>
    <w:lvl w:ilvl="3" w:tplc="34CCE1A2" w:tentative="1">
      <w:start w:val="1"/>
      <w:numFmt w:val="bullet"/>
      <w:lvlText w:val="•"/>
      <w:lvlJc w:val="left"/>
      <w:pPr>
        <w:tabs>
          <w:tab w:val="num" w:pos="2880"/>
        </w:tabs>
        <w:ind w:left="2880" w:hanging="360"/>
      </w:pPr>
      <w:rPr>
        <w:rFonts w:ascii="Arial" w:hAnsi="Arial" w:hint="default"/>
      </w:rPr>
    </w:lvl>
    <w:lvl w:ilvl="4" w:tplc="B0D2F174" w:tentative="1">
      <w:start w:val="1"/>
      <w:numFmt w:val="bullet"/>
      <w:lvlText w:val="•"/>
      <w:lvlJc w:val="left"/>
      <w:pPr>
        <w:tabs>
          <w:tab w:val="num" w:pos="3600"/>
        </w:tabs>
        <w:ind w:left="3600" w:hanging="360"/>
      </w:pPr>
      <w:rPr>
        <w:rFonts w:ascii="Arial" w:hAnsi="Arial" w:hint="default"/>
      </w:rPr>
    </w:lvl>
    <w:lvl w:ilvl="5" w:tplc="B33E0526" w:tentative="1">
      <w:start w:val="1"/>
      <w:numFmt w:val="bullet"/>
      <w:lvlText w:val="•"/>
      <w:lvlJc w:val="left"/>
      <w:pPr>
        <w:tabs>
          <w:tab w:val="num" w:pos="4320"/>
        </w:tabs>
        <w:ind w:left="4320" w:hanging="360"/>
      </w:pPr>
      <w:rPr>
        <w:rFonts w:ascii="Arial" w:hAnsi="Arial" w:hint="default"/>
      </w:rPr>
    </w:lvl>
    <w:lvl w:ilvl="6" w:tplc="F06E4590" w:tentative="1">
      <w:start w:val="1"/>
      <w:numFmt w:val="bullet"/>
      <w:lvlText w:val="•"/>
      <w:lvlJc w:val="left"/>
      <w:pPr>
        <w:tabs>
          <w:tab w:val="num" w:pos="5040"/>
        </w:tabs>
        <w:ind w:left="5040" w:hanging="360"/>
      </w:pPr>
      <w:rPr>
        <w:rFonts w:ascii="Arial" w:hAnsi="Arial" w:hint="default"/>
      </w:rPr>
    </w:lvl>
    <w:lvl w:ilvl="7" w:tplc="1CB0D1FE" w:tentative="1">
      <w:start w:val="1"/>
      <w:numFmt w:val="bullet"/>
      <w:lvlText w:val="•"/>
      <w:lvlJc w:val="left"/>
      <w:pPr>
        <w:tabs>
          <w:tab w:val="num" w:pos="5760"/>
        </w:tabs>
        <w:ind w:left="5760" w:hanging="360"/>
      </w:pPr>
      <w:rPr>
        <w:rFonts w:ascii="Arial" w:hAnsi="Arial" w:hint="default"/>
      </w:rPr>
    </w:lvl>
    <w:lvl w:ilvl="8" w:tplc="84ECF4D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DB16176"/>
    <w:multiLevelType w:val="hybridMultilevel"/>
    <w:tmpl w:val="E70C6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184BB3"/>
    <w:multiLevelType w:val="hybridMultilevel"/>
    <w:tmpl w:val="98BA9286"/>
    <w:lvl w:ilvl="0" w:tplc="80C2005C">
      <w:start w:val="11"/>
      <w:numFmt w:val="decimal"/>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22535DC"/>
    <w:multiLevelType w:val="hybridMultilevel"/>
    <w:tmpl w:val="DF380418"/>
    <w:lvl w:ilvl="0" w:tplc="86DAD0EC">
      <w:start w:val="1"/>
      <w:numFmt w:val="bullet"/>
      <w:lvlText w:val="•"/>
      <w:lvlJc w:val="left"/>
      <w:pPr>
        <w:tabs>
          <w:tab w:val="num" w:pos="720"/>
        </w:tabs>
        <w:ind w:left="720" w:hanging="360"/>
      </w:pPr>
      <w:rPr>
        <w:rFonts w:ascii="Arial" w:hAnsi="Arial" w:hint="default"/>
      </w:rPr>
    </w:lvl>
    <w:lvl w:ilvl="1" w:tplc="A3E411A0">
      <w:start w:val="1"/>
      <w:numFmt w:val="bullet"/>
      <w:lvlText w:val="•"/>
      <w:lvlJc w:val="left"/>
      <w:pPr>
        <w:tabs>
          <w:tab w:val="num" w:pos="1440"/>
        </w:tabs>
        <w:ind w:left="1440" w:hanging="360"/>
      </w:pPr>
      <w:rPr>
        <w:rFonts w:ascii="Arial" w:hAnsi="Arial" w:hint="default"/>
      </w:rPr>
    </w:lvl>
    <w:lvl w:ilvl="2" w:tplc="A6F21E5A" w:tentative="1">
      <w:start w:val="1"/>
      <w:numFmt w:val="bullet"/>
      <w:lvlText w:val="•"/>
      <w:lvlJc w:val="left"/>
      <w:pPr>
        <w:tabs>
          <w:tab w:val="num" w:pos="2160"/>
        </w:tabs>
        <w:ind w:left="2160" w:hanging="360"/>
      </w:pPr>
      <w:rPr>
        <w:rFonts w:ascii="Arial" w:hAnsi="Arial" w:hint="default"/>
      </w:rPr>
    </w:lvl>
    <w:lvl w:ilvl="3" w:tplc="D676EFCA" w:tentative="1">
      <w:start w:val="1"/>
      <w:numFmt w:val="bullet"/>
      <w:lvlText w:val="•"/>
      <w:lvlJc w:val="left"/>
      <w:pPr>
        <w:tabs>
          <w:tab w:val="num" w:pos="2880"/>
        </w:tabs>
        <w:ind w:left="2880" w:hanging="360"/>
      </w:pPr>
      <w:rPr>
        <w:rFonts w:ascii="Arial" w:hAnsi="Arial" w:hint="default"/>
      </w:rPr>
    </w:lvl>
    <w:lvl w:ilvl="4" w:tplc="9990960C" w:tentative="1">
      <w:start w:val="1"/>
      <w:numFmt w:val="bullet"/>
      <w:lvlText w:val="•"/>
      <w:lvlJc w:val="left"/>
      <w:pPr>
        <w:tabs>
          <w:tab w:val="num" w:pos="3600"/>
        </w:tabs>
        <w:ind w:left="3600" w:hanging="360"/>
      </w:pPr>
      <w:rPr>
        <w:rFonts w:ascii="Arial" w:hAnsi="Arial" w:hint="default"/>
      </w:rPr>
    </w:lvl>
    <w:lvl w:ilvl="5" w:tplc="F8D487B6" w:tentative="1">
      <w:start w:val="1"/>
      <w:numFmt w:val="bullet"/>
      <w:lvlText w:val="•"/>
      <w:lvlJc w:val="left"/>
      <w:pPr>
        <w:tabs>
          <w:tab w:val="num" w:pos="4320"/>
        </w:tabs>
        <w:ind w:left="4320" w:hanging="360"/>
      </w:pPr>
      <w:rPr>
        <w:rFonts w:ascii="Arial" w:hAnsi="Arial" w:hint="default"/>
      </w:rPr>
    </w:lvl>
    <w:lvl w:ilvl="6" w:tplc="BD50209A" w:tentative="1">
      <w:start w:val="1"/>
      <w:numFmt w:val="bullet"/>
      <w:lvlText w:val="•"/>
      <w:lvlJc w:val="left"/>
      <w:pPr>
        <w:tabs>
          <w:tab w:val="num" w:pos="5040"/>
        </w:tabs>
        <w:ind w:left="5040" w:hanging="360"/>
      </w:pPr>
      <w:rPr>
        <w:rFonts w:ascii="Arial" w:hAnsi="Arial" w:hint="default"/>
      </w:rPr>
    </w:lvl>
    <w:lvl w:ilvl="7" w:tplc="39328EBA" w:tentative="1">
      <w:start w:val="1"/>
      <w:numFmt w:val="bullet"/>
      <w:lvlText w:val="•"/>
      <w:lvlJc w:val="left"/>
      <w:pPr>
        <w:tabs>
          <w:tab w:val="num" w:pos="5760"/>
        </w:tabs>
        <w:ind w:left="5760" w:hanging="360"/>
      </w:pPr>
      <w:rPr>
        <w:rFonts w:ascii="Arial" w:hAnsi="Arial" w:hint="default"/>
      </w:rPr>
    </w:lvl>
    <w:lvl w:ilvl="8" w:tplc="089EF1C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43F588F"/>
    <w:multiLevelType w:val="hybridMultilevel"/>
    <w:tmpl w:val="3A16B89E"/>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60" w15:restartNumberingAfterBreak="0">
    <w:nsid w:val="7C884DF8"/>
    <w:multiLevelType w:val="hybridMultilevel"/>
    <w:tmpl w:val="E682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79801437">
    <w:abstractNumId w:val="9"/>
  </w:num>
  <w:num w:numId="2" w16cid:durableId="1030304553">
    <w:abstractNumId w:val="7"/>
  </w:num>
  <w:num w:numId="3" w16cid:durableId="1462384850">
    <w:abstractNumId w:val="3"/>
  </w:num>
  <w:num w:numId="4" w16cid:durableId="2143620706">
    <w:abstractNumId w:val="34"/>
  </w:num>
  <w:num w:numId="5" w16cid:durableId="2132168654">
    <w:abstractNumId w:val="11"/>
  </w:num>
  <w:num w:numId="6" w16cid:durableId="1554005057">
    <w:abstractNumId w:val="17"/>
  </w:num>
  <w:num w:numId="7" w16cid:durableId="13011844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02505551">
    <w:abstractNumId w:val="30"/>
  </w:num>
  <w:num w:numId="9" w16cid:durableId="1969897486">
    <w:abstractNumId w:val="12"/>
  </w:num>
  <w:num w:numId="10" w16cid:durableId="290480972">
    <w:abstractNumId w:val="32"/>
  </w:num>
  <w:num w:numId="11" w16cid:durableId="821309684">
    <w:abstractNumId w:val="56"/>
  </w:num>
  <w:num w:numId="12" w16cid:durableId="1283996881">
    <w:abstractNumId w:val="24"/>
  </w:num>
  <w:num w:numId="13" w16cid:durableId="1668628833">
    <w:abstractNumId w:val="29"/>
  </w:num>
  <w:num w:numId="14" w16cid:durableId="1524592257">
    <w:abstractNumId w:val="53"/>
  </w:num>
  <w:num w:numId="15" w16cid:durableId="444078338">
    <w:abstractNumId w:val="54"/>
  </w:num>
  <w:num w:numId="16" w16cid:durableId="483861655">
    <w:abstractNumId w:val="33"/>
  </w:num>
  <w:num w:numId="17" w16cid:durableId="1716464524">
    <w:abstractNumId w:val="49"/>
  </w:num>
  <w:num w:numId="18" w16cid:durableId="1167096334">
    <w:abstractNumId w:val="35"/>
  </w:num>
  <w:num w:numId="19" w16cid:durableId="890767596">
    <w:abstractNumId w:val="55"/>
  </w:num>
  <w:num w:numId="20" w16cid:durableId="1875655361">
    <w:abstractNumId w:val="58"/>
  </w:num>
  <w:num w:numId="21" w16cid:durableId="809395386">
    <w:abstractNumId w:val="19"/>
  </w:num>
  <w:num w:numId="22" w16cid:durableId="1963000000">
    <w:abstractNumId w:val="44"/>
  </w:num>
  <w:num w:numId="23" w16cid:durableId="1738747061">
    <w:abstractNumId w:val="8"/>
    <w:lvlOverride w:ilvl="0">
      <w:startOverride w:val="1"/>
    </w:lvlOverride>
  </w:num>
  <w:num w:numId="24" w16cid:durableId="1586572033">
    <w:abstractNumId w:val="36"/>
  </w:num>
  <w:num w:numId="25" w16cid:durableId="2070810596">
    <w:abstractNumId w:val="41"/>
  </w:num>
  <w:num w:numId="26" w16cid:durableId="1070343514">
    <w:abstractNumId w:val="13"/>
  </w:num>
  <w:num w:numId="27" w16cid:durableId="418136936">
    <w:abstractNumId w:val="37"/>
  </w:num>
  <w:num w:numId="28" w16cid:durableId="568032431">
    <w:abstractNumId w:val="40"/>
  </w:num>
  <w:num w:numId="29" w16cid:durableId="229073280">
    <w:abstractNumId w:val="52"/>
  </w:num>
  <w:num w:numId="30" w16cid:durableId="1081637448">
    <w:abstractNumId w:val="25"/>
  </w:num>
  <w:num w:numId="31" w16cid:durableId="1924877160">
    <w:abstractNumId w:val="28"/>
  </w:num>
  <w:num w:numId="32" w16cid:durableId="129909366">
    <w:abstractNumId w:val="31"/>
  </w:num>
  <w:num w:numId="33" w16cid:durableId="1913852541">
    <w:abstractNumId w:val="60"/>
  </w:num>
  <w:num w:numId="34" w16cid:durableId="2029283605">
    <w:abstractNumId w:val="45"/>
  </w:num>
  <w:num w:numId="35" w16cid:durableId="485054736">
    <w:abstractNumId w:val="18"/>
  </w:num>
  <w:num w:numId="36" w16cid:durableId="2080059834">
    <w:abstractNumId w:val="51"/>
  </w:num>
  <w:num w:numId="37" w16cid:durableId="1683624126">
    <w:abstractNumId w:val="22"/>
  </w:num>
  <w:num w:numId="38" w16cid:durableId="15931886">
    <w:abstractNumId w:val="42"/>
  </w:num>
  <w:num w:numId="39" w16cid:durableId="1762137813">
    <w:abstractNumId w:val="47"/>
  </w:num>
  <w:num w:numId="40" w16cid:durableId="408356701">
    <w:abstractNumId w:val="15"/>
  </w:num>
  <w:num w:numId="41" w16cid:durableId="796410543">
    <w:abstractNumId w:val="38"/>
  </w:num>
  <w:num w:numId="42" w16cid:durableId="1724521057">
    <w:abstractNumId w:val="39"/>
  </w:num>
  <w:num w:numId="43" w16cid:durableId="698051606">
    <w:abstractNumId w:val="50"/>
  </w:num>
  <w:num w:numId="44" w16cid:durableId="1201700538">
    <w:abstractNumId w:val="27"/>
  </w:num>
  <w:num w:numId="45" w16cid:durableId="9569478">
    <w:abstractNumId w:val="48"/>
  </w:num>
  <w:num w:numId="46" w16cid:durableId="802695995">
    <w:abstractNumId w:val="23"/>
  </w:num>
  <w:num w:numId="47" w16cid:durableId="1245258391">
    <w:abstractNumId w:val="6"/>
  </w:num>
  <w:num w:numId="48" w16cid:durableId="738753053">
    <w:abstractNumId w:val="5"/>
  </w:num>
  <w:num w:numId="49" w16cid:durableId="7022978">
    <w:abstractNumId w:val="4"/>
  </w:num>
  <w:num w:numId="50" w16cid:durableId="577863190">
    <w:abstractNumId w:val="2"/>
  </w:num>
  <w:num w:numId="51" w16cid:durableId="1582370845">
    <w:abstractNumId w:val="1"/>
  </w:num>
  <w:num w:numId="52" w16cid:durableId="1379865517">
    <w:abstractNumId w:val="0"/>
  </w:num>
  <w:num w:numId="53" w16cid:durableId="66851993">
    <w:abstractNumId w:val="20"/>
  </w:num>
  <w:num w:numId="54" w16cid:durableId="1556165125">
    <w:abstractNumId w:val="43"/>
  </w:num>
  <w:num w:numId="55" w16cid:durableId="467430349">
    <w:abstractNumId w:val="46"/>
  </w:num>
  <w:num w:numId="56" w16cid:durableId="1016275754">
    <w:abstractNumId w:val="26"/>
  </w:num>
  <w:num w:numId="57" w16cid:durableId="26415727">
    <w:abstractNumId w:val="57"/>
  </w:num>
  <w:num w:numId="58" w16cid:durableId="216553007">
    <w:abstractNumId w:val="21"/>
  </w:num>
  <w:num w:numId="59" w16cid:durableId="1034186138">
    <w:abstractNumId w:val="14"/>
  </w:num>
  <w:num w:numId="60" w16cid:durableId="1428111027">
    <w:abstractNumId w:val="16"/>
  </w:num>
  <w:num w:numId="61" w16cid:durableId="1729837660">
    <w:abstractNumId w:val="10"/>
  </w:num>
  <w:num w:numId="62" w16cid:durableId="1151943441">
    <w:abstractNumId w:val="5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bV0y18AKgl5tetu1HP8hFxdRciEjSEZuEipFa4BVEpP0ShrowAeclw3auaP8h6/zRPmzJAXAoIqL787uVPC6g==" w:salt="oXeb+QFEEz3fv1l2Cge+5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61D"/>
    <w:rsid w:val="00000058"/>
    <w:rsid w:val="00000062"/>
    <w:rsid w:val="00000430"/>
    <w:rsid w:val="0000056C"/>
    <w:rsid w:val="000005FE"/>
    <w:rsid w:val="00000625"/>
    <w:rsid w:val="00000A89"/>
    <w:rsid w:val="00000ACD"/>
    <w:rsid w:val="0000103A"/>
    <w:rsid w:val="0000103D"/>
    <w:rsid w:val="00001095"/>
    <w:rsid w:val="0000109C"/>
    <w:rsid w:val="00001673"/>
    <w:rsid w:val="000016A9"/>
    <w:rsid w:val="00001A2C"/>
    <w:rsid w:val="00001ACF"/>
    <w:rsid w:val="00001D0E"/>
    <w:rsid w:val="00001FFE"/>
    <w:rsid w:val="00002020"/>
    <w:rsid w:val="0000205D"/>
    <w:rsid w:val="00002078"/>
    <w:rsid w:val="00002179"/>
    <w:rsid w:val="0000219C"/>
    <w:rsid w:val="000022D9"/>
    <w:rsid w:val="000023C9"/>
    <w:rsid w:val="0000276C"/>
    <w:rsid w:val="000028E5"/>
    <w:rsid w:val="00002C52"/>
    <w:rsid w:val="000030A3"/>
    <w:rsid w:val="00003129"/>
    <w:rsid w:val="0000321A"/>
    <w:rsid w:val="000032F4"/>
    <w:rsid w:val="0000332F"/>
    <w:rsid w:val="000035D2"/>
    <w:rsid w:val="00003717"/>
    <w:rsid w:val="00003ABE"/>
    <w:rsid w:val="00003B53"/>
    <w:rsid w:val="00003C31"/>
    <w:rsid w:val="00003F90"/>
    <w:rsid w:val="0000416F"/>
    <w:rsid w:val="000041A0"/>
    <w:rsid w:val="000041BE"/>
    <w:rsid w:val="000042AB"/>
    <w:rsid w:val="0000482F"/>
    <w:rsid w:val="000049F4"/>
    <w:rsid w:val="00004DF4"/>
    <w:rsid w:val="00004F23"/>
    <w:rsid w:val="00004FB8"/>
    <w:rsid w:val="0000502C"/>
    <w:rsid w:val="0000527B"/>
    <w:rsid w:val="000055C0"/>
    <w:rsid w:val="00005758"/>
    <w:rsid w:val="000058F4"/>
    <w:rsid w:val="00005AA4"/>
    <w:rsid w:val="00005B04"/>
    <w:rsid w:val="00005C16"/>
    <w:rsid w:val="00005DB2"/>
    <w:rsid w:val="00005E1C"/>
    <w:rsid w:val="00005FC3"/>
    <w:rsid w:val="000060E8"/>
    <w:rsid w:val="00006197"/>
    <w:rsid w:val="000063C5"/>
    <w:rsid w:val="0000655F"/>
    <w:rsid w:val="0000670B"/>
    <w:rsid w:val="00006A1C"/>
    <w:rsid w:val="00006AA7"/>
    <w:rsid w:val="00006B59"/>
    <w:rsid w:val="00006C1D"/>
    <w:rsid w:val="00006F43"/>
    <w:rsid w:val="000072C3"/>
    <w:rsid w:val="0000753A"/>
    <w:rsid w:val="0000771A"/>
    <w:rsid w:val="000077C1"/>
    <w:rsid w:val="00007C38"/>
    <w:rsid w:val="00007C7A"/>
    <w:rsid w:val="00007CC7"/>
    <w:rsid w:val="00007E17"/>
    <w:rsid w:val="00007E53"/>
    <w:rsid w:val="00007E84"/>
    <w:rsid w:val="00007F22"/>
    <w:rsid w:val="00007FCE"/>
    <w:rsid w:val="00010004"/>
    <w:rsid w:val="000101C8"/>
    <w:rsid w:val="00010698"/>
    <w:rsid w:val="0001069E"/>
    <w:rsid w:val="000108FB"/>
    <w:rsid w:val="00010C6E"/>
    <w:rsid w:val="00010CDB"/>
    <w:rsid w:val="00010FB8"/>
    <w:rsid w:val="00011104"/>
    <w:rsid w:val="0001114C"/>
    <w:rsid w:val="000111B6"/>
    <w:rsid w:val="00011201"/>
    <w:rsid w:val="00011861"/>
    <w:rsid w:val="000118AB"/>
    <w:rsid w:val="000119B2"/>
    <w:rsid w:val="000119DE"/>
    <w:rsid w:val="00011A4C"/>
    <w:rsid w:val="00011D69"/>
    <w:rsid w:val="000122AF"/>
    <w:rsid w:val="000123F3"/>
    <w:rsid w:val="0001254C"/>
    <w:rsid w:val="00012696"/>
    <w:rsid w:val="00012729"/>
    <w:rsid w:val="000127C6"/>
    <w:rsid w:val="00012949"/>
    <w:rsid w:val="000129E3"/>
    <w:rsid w:val="00012AE9"/>
    <w:rsid w:val="00012AF3"/>
    <w:rsid w:val="00012B03"/>
    <w:rsid w:val="00012C33"/>
    <w:rsid w:val="00012CDB"/>
    <w:rsid w:val="00012D59"/>
    <w:rsid w:val="00012F31"/>
    <w:rsid w:val="00013131"/>
    <w:rsid w:val="0001313F"/>
    <w:rsid w:val="00013187"/>
    <w:rsid w:val="000131A3"/>
    <w:rsid w:val="000135B4"/>
    <w:rsid w:val="000136AB"/>
    <w:rsid w:val="0001379F"/>
    <w:rsid w:val="00013864"/>
    <w:rsid w:val="00013A5F"/>
    <w:rsid w:val="00013CB9"/>
    <w:rsid w:val="0001454B"/>
    <w:rsid w:val="00014949"/>
    <w:rsid w:val="00014A06"/>
    <w:rsid w:val="00014A08"/>
    <w:rsid w:val="00014A0F"/>
    <w:rsid w:val="00014A87"/>
    <w:rsid w:val="00014B89"/>
    <w:rsid w:val="00014C49"/>
    <w:rsid w:val="00014F45"/>
    <w:rsid w:val="00015027"/>
    <w:rsid w:val="0001522A"/>
    <w:rsid w:val="00015399"/>
    <w:rsid w:val="000153E2"/>
    <w:rsid w:val="0001547D"/>
    <w:rsid w:val="00015527"/>
    <w:rsid w:val="000155AE"/>
    <w:rsid w:val="0001560F"/>
    <w:rsid w:val="0001570B"/>
    <w:rsid w:val="0001584E"/>
    <w:rsid w:val="00015957"/>
    <w:rsid w:val="00015967"/>
    <w:rsid w:val="00015A60"/>
    <w:rsid w:val="00015C7C"/>
    <w:rsid w:val="00015D8E"/>
    <w:rsid w:val="00015F77"/>
    <w:rsid w:val="000160B4"/>
    <w:rsid w:val="00016152"/>
    <w:rsid w:val="000161FC"/>
    <w:rsid w:val="000166D2"/>
    <w:rsid w:val="00016ADF"/>
    <w:rsid w:val="00016BF9"/>
    <w:rsid w:val="00016DE1"/>
    <w:rsid w:val="00017093"/>
    <w:rsid w:val="00017207"/>
    <w:rsid w:val="00017396"/>
    <w:rsid w:val="000173B3"/>
    <w:rsid w:val="0001784A"/>
    <w:rsid w:val="00017972"/>
    <w:rsid w:val="00017A95"/>
    <w:rsid w:val="00017B70"/>
    <w:rsid w:val="00017D31"/>
    <w:rsid w:val="00017FE4"/>
    <w:rsid w:val="00020009"/>
    <w:rsid w:val="00020054"/>
    <w:rsid w:val="00020062"/>
    <w:rsid w:val="000203AD"/>
    <w:rsid w:val="000203BF"/>
    <w:rsid w:val="000203E9"/>
    <w:rsid w:val="000204F1"/>
    <w:rsid w:val="000209A4"/>
    <w:rsid w:val="00020A29"/>
    <w:rsid w:val="00020D44"/>
    <w:rsid w:val="00021112"/>
    <w:rsid w:val="00021122"/>
    <w:rsid w:val="000216C2"/>
    <w:rsid w:val="000217E8"/>
    <w:rsid w:val="000219F0"/>
    <w:rsid w:val="00021A39"/>
    <w:rsid w:val="00021A95"/>
    <w:rsid w:val="00021EED"/>
    <w:rsid w:val="00021F62"/>
    <w:rsid w:val="00022153"/>
    <w:rsid w:val="000221D0"/>
    <w:rsid w:val="0002237A"/>
    <w:rsid w:val="000224D7"/>
    <w:rsid w:val="0002281C"/>
    <w:rsid w:val="0002299E"/>
    <w:rsid w:val="00022A3A"/>
    <w:rsid w:val="00022E22"/>
    <w:rsid w:val="00023234"/>
    <w:rsid w:val="000233D2"/>
    <w:rsid w:val="00023577"/>
    <w:rsid w:val="00023692"/>
    <w:rsid w:val="00023789"/>
    <w:rsid w:val="00023B7C"/>
    <w:rsid w:val="00023D10"/>
    <w:rsid w:val="00023E8D"/>
    <w:rsid w:val="00023F09"/>
    <w:rsid w:val="0002404B"/>
    <w:rsid w:val="00024227"/>
    <w:rsid w:val="0002423D"/>
    <w:rsid w:val="00024545"/>
    <w:rsid w:val="000246FF"/>
    <w:rsid w:val="000247E0"/>
    <w:rsid w:val="00024BA9"/>
    <w:rsid w:val="00024D12"/>
    <w:rsid w:val="00024DC4"/>
    <w:rsid w:val="00025093"/>
    <w:rsid w:val="0002529D"/>
    <w:rsid w:val="000252D6"/>
    <w:rsid w:val="000252E7"/>
    <w:rsid w:val="0002575B"/>
    <w:rsid w:val="00025ACD"/>
    <w:rsid w:val="00025E7D"/>
    <w:rsid w:val="00025FF5"/>
    <w:rsid w:val="00025FFC"/>
    <w:rsid w:val="0002606C"/>
    <w:rsid w:val="0002617C"/>
    <w:rsid w:val="00026359"/>
    <w:rsid w:val="0002656D"/>
    <w:rsid w:val="00026A0D"/>
    <w:rsid w:val="00027045"/>
    <w:rsid w:val="00027336"/>
    <w:rsid w:val="00027557"/>
    <w:rsid w:val="0002785B"/>
    <w:rsid w:val="000279CF"/>
    <w:rsid w:val="00027C1B"/>
    <w:rsid w:val="00027CA6"/>
    <w:rsid w:val="00027CF0"/>
    <w:rsid w:val="00027FAF"/>
    <w:rsid w:val="000300D7"/>
    <w:rsid w:val="0003011A"/>
    <w:rsid w:val="0003014F"/>
    <w:rsid w:val="0003022A"/>
    <w:rsid w:val="00030622"/>
    <w:rsid w:val="00030D7E"/>
    <w:rsid w:val="00030EB2"/>
    <w:rsid w:val="00031070"/>
    <w:rsid w:val="000311EE"/>
    <w:rsid w:val="00031263"/>
    <w:rsid w:val="0003159B"/>
    <w:rsid w:val="00031A1F"/>
    <w:rsid w:val="00031C1D"/>
    <w:rsid w:val="00031DE1"/>
    <w:rsid w:val="00031E31"/>
    <w:rsid w:val="00032226"/>
    <w:rsid w:val="000323EA"/>
    <w:rsid w:val="00032523"/>
    <w:rsid w:val="0003290A"/>
    <w:rsid w:val="00032EF5"/>
    <w:rsid w:val="00033184"/>
    <w:rsid w:val="00033200"/>
    <w:rsid w:val="000333CB"/>
    <w:rsid w:val="00033626"/>
    <w:rsid w:val="00033931"/>
    <w:rsid w:val="00033D20"/>
    <w:rsid w:val="00033E28"/>
    <w:rsid w:val="00034173"/>
    <w:rsid w:val="000341DC"/>
    <w:rsid w:val="0003428E"/>
    <w:rsid w:val="000342B2"/>
    <w:rsid w:val="0003447A"/>
    <w:rsid w:val="00034669"/>
    <w:rsid w:val="00034947"/>
    <w:rsid w:val="00034960"/>
    <w:rsid w:val="00034B90"/>
    <w:rsid w:val="00034F56"/>
    <w:rsid w:val="0003508E"/>
    <w:rsid w:val="000352BD"/>
    <w:rsid w:val="0003536D"/>
    <w:rsid w:val="00035696"/>
    <w:rsid w:val="00035705"/>
    <w:rsid w:val="00035ADD"/>
    <w:rsid w:val="00035DBA"/>
    <w:rsid w:val="00035E81"/>
    <w:rsid w:val="00035EEF"/>
    <w:rsid w:val="00036150"/>
    <w:rsid w:val="000361BA"/>
    <w:rsid w:val="00036408"/>
    <w:rsid w:val="000366B8"/>
    <w:rsid w:val="0003676C"/>
    <w:rsid w:val="00036A07"/>
    <w:rsid w:val="00036FD3"/>
    <w:rsid w:val="000374AB"/>
    <w:rsid w:val="000374D0"/>
    <w:rsid w:val="00037577"/>
    <w:rsid w:val="000377E2"/>
    <w:rsid w:val="00037957"/>
    <w:rsid w:val="00037A6A"/>
    <w:rsid w:val="00037BE0"/>
    <w:rsid w:val="00037C17"/>
    <w:rsid w:val="00037E93"/>
    <w:rsid w:val="00037ECC"/>
    <w:rsid w:val="000403EF"/>
    <w:rsid w:val="00040724"/>
    <w:rsid w:val="000408EB"/>
    <w:rsid w:val="00040A02"/>
    <w:rsid w:val="00040A3B"/>
    <w:rsid w:val="00040A94"/>
    <w:rsid w:val="00040AFA"/>
    <w:rsid w:val="00040B88"/>
    <w:rsid w:val="00040CEE"/>
    <w:rsid w:val="00040EB0"/>
    <w:rsid w:val="0004100D"/>
    <w:rsid w:val="00041032"/>
    <w:rsid w:val="00041164"/>
    <w:rsid w:val="00041294"/>
    <w:rsid w:val="00041319"/>
    <w:rsid w:val="0004133F"/>
    <w:rsid w:val="00041836"/>
    <w:rsid w:val="000418E2"/>
    <w:rsid w:val="00041BC4"/>
    <w:rsid w:val="00041DB4"/>
    <w:rsid w:val="000420C3"/>
    <w:rsid w:val="00042228"/>
    <w:rsid w:val="0004242B"/>
    <w:rsid w:val="0004269B"/>
    <w:rsid w:val="00042872"/>
    <w:rsid w:val="00042897"/>
    <w:rsid w:val="000428DB"/>
    <w:rsid w:val="000428EB"/>
    <w:rsid w:val="000429AC"/>
    <w:rsid w:val="00042A32"/>
    <w:rsid w:val="00042B6A"/>
    <w:rsid w:val="00042B99"/>
    <w:rsid w:val="00042BE9"/>
    <w:rsid w:val="00042C8A"/>
    <w:rsid w:val="00043590"/>
    <w:rsid w:val="00043600"/>
    <w:rsid w:val="000437CC"/>
    <w:rsid w:val="00043908"/>
    <w:rsid w:val="00043E93"/>
    <w:rsid w:val="00044280"/>
    <w:rsid w:val="0004429B"/>
    <w:rsid w:val="000445C9"/>
    <w:rsid w:val="000446D3"/>
    <w:rsid w:val="00044D29"/>
    <w:rsid w:val="00044F27"/>
    <w:rsid w:val="00044F49"/>
    <w:rsid w:val="000451E5"/>
    <w:rsid w:val="000452CE"/>
    <w:rsid w:val="0004537B"/>
    <w:rsid w:val="0004537C"/>
    <w:rsid w:val="0004548D"/>
    <w:rsid w:val="000455BE"/>
    <w:rsid w:val="00045841"/>
    <w:rsid w:val="00045951"/>
    <w:rsid w:val="00045B7E"/>
    <w:rsid w:val="00045D6F"/>
    <w:rsid w:val="00045DBC"/>
    <w:rsid w:val="00045E28"/>
    <w:rsid w:val="00045F96"/>
    <w:rsid w:val="0004600E"/>
    <w:rsid w:val="000463BF"/>
    <w:rsid w:val="000463E6"/>
    <w:rsid w:val="000463F0"/>
    <w:rsid w:val="00046738"/>
    <w:rsid w:val="0004675C"/>
    <w:rsid w:val="00046829"/>
    <w:rsid w:val="00046896"/>
    <w:rsid w:val="00046F80"/>
    <w:rsid w:val="00047025"/>
    <w:rsid w:val="00047044"/>
    <w:rsid w:val="0004711D"/>
    <w:rsid w:val="0004727B"/>
    <w:rsid w:val="0004729B"/>
    <w:rsid w:val="00047345"/>
    <w:rsid w:val="000473B5"/>
    <w:rsid w:val="000473DE"/>
    <w:rsid w:val="000474DF"/>
    <w:rsid w:val="00047778"/>
    <w:rsid w:val="000479C0"/>
    <w:rsid w:val="00047A4E"/>
    <w:rsid w:val="00047CD3"/>
    <w:rsid w:val="00050016"/>
    <w:rsid w:val="0005023D"/>
    <w:rsid w:val="00050273"/>
    <w:rsid w:val="0005099C"/>
    <w:rsid w:val="00050C04"/>
    <w:rsid w:val="00050FF0"/>
    <w:rsid w:val="00051347"/>
    <w:rsid w:val="000514B9"/>
    <w:rsid w:val="000514C2"/>
    <w:rsid w:val="0005151A"/>
    <w:rsid w:val="000515AD"/>
    <w:rsid w:val="000516AB"/>
    <w:rsid w:val="000516C4"/>
    <w:rsid w:val="0005174E"/>
    <w:rsid w:val="000517C0"/>
    <w:rsid w:val="0005197A"/>
    <w:rsid w:val="00051984"/>
    <w:rsid w:val="00051AFC"/>
    <w:rsid w:val="00051B37"/>
    <w:rsid w:val="00051F28"/>
    <w:rsid w:val="000521DD"/>
    <w:rsid w:val="00052218"/>
    <w:rsid w:val="00052430"/>
    <w:rsid w:val="00052633"/>
    <w:rsid w:val="0005297E"/>
    <w:rsid w:val="00052CB8"/>
    <w:rsid w:val="00052F2B"/>
    <w:rsid w:val="00052FC1"/>
    <w:rsid w:val="00052FE4"/>
    <w:rsid w:val="00053283"/>
    <w:rsid w:val="000534E6"/>
    <w:rsid w:val="000536AE"/>
    <w:rsid w:val="00053A25"/>
    <w:rsid w:val="00053C55"/>
    <w:rsid w:val="00053CF5"/>
    <w:rsid w:val="00053DBE"/>
    <w:rsid w:val="00053F3C"/>
    <w:rsid w:val="00054391"/>
    <w:rsid w:val="0005444C"/>
    <w:rsid w:val="00054456"/>
    <w:rsid w:val="00054486"/>
    <w:rsid w:val="00054720"/>
    <w:rsid w:val="00054735"/>
    <w:rsid w:val="00054AFF"/>
    <w:rsid w:val="00054B8A"/>
    <w:rsid w:val="00054D42"/>
    <w:rsid w:val="00054EE8"/>
    <w:rsid w:val="00054F0B"/>
    <w:rsid w:val="00054FB1"/>
    <w:rsid w:val="00054FCC"/>
    <w:rsid w:val="000553BF"/>
    <w:rsid w:val="000553C7"/>
    <w:rsid w:val="000554A1"/>
    <w:rsid w:val="000558C8"/>
    <w:rsid w:val="00055AAB"/>
    <w:rsid w:val="00055B6D"/>
    <w:rsid w:val="00055B88"/>
    <w:rsid w:val="00055C77"/>
    <w:rsid w:val="00055D50"/>
    <w:rsid w:val="00056319"/>
    <w:rsid w:val="00056557"/>
    <w:rsid w:val="0005684D"/>
    <w:rsid w:val="000568C3"/>
    <w:rsid w:val="000568D2"/>
    <w:rsid w:val="0005690F"/>
    <w:rsid w:val="00056B2B"/>
    <w:rsid w:val="00056C64"/>
    <w:rsid w:val="00056EA3"/>
    <w:rsid w:val="00056F54"/>
    <w:rsid w:val="00057380"/>
    <w:rsid w:val="00057404"/>
    <w:rsid w:val="00057845"/>
    <w:rsid w:val="0005789F"/>
    <w:rsid w:val="00057B21"/>
    <w:rsid w:val="00057B65"/>
    <w:rsid w:val="00057C60"/>
    <w:rsid w:val="0006002E"/>
    <w:rsid w:val="0006017D"/>
    <w:rsid w:val="00060494"/>
    <w:rsid w:val="00060779"/>
    <w:rsid w:val="00060A4E"/>
    <w:rsid w:val="00060B12"/>
    <w:rsid w:val="00060B93"/>
    <w:rsid w:val="00060C10"/>
    <w:rsid w:val="00060C78"/>
    <w:rsid w:val="00060D31"/>
    <w:rsid w:val="00060E74"/>
    <w:rsid w:val="00061444"/>
    <w:rsid w:val="000614E9"/>
    <w:rsid w:val="00061524"/>
    <w:rsid w:val="000616EF"/>
    <w:rsid w:val="00061AC9"/>
    <w:rsid w:val="000625AC"/>
    <w:rsid w:val="000626A2"/>
    <w:rsid w:val="00062A7D"/>
    <w:rsid w:val="00062BE2"/>
    <w:rsid w:val="00062C58"/>
    <w:rsid w:val="00062CC0"/>
    <w:rsid w:val="00062D64"/>
    <w:rsid w:val="00062DCC"/>
    <w:rsid w:val="00062FD5"/>
    <w:rsid w:val="00063156"/>
    <w:rsid w:val="000636B9"/>
    <w:rsid w:val="000637A6"/>
    <w:rsid w:val="000638C5"/>
    <w:rsid w:val="00063BAD"/>
    <w:rsid w:val="000640EB"/>
    <w:rsid w:val="00064DFE"/>
    <w:rsid w:val="00064ED7"/>
    <w:rsid w:val="000653F7"/>
    <w:rsid w:val="00065581"/>
    <w:rsid w:val="00065A1A"/>
    <w:rsid w:val="00065BE1"/>
    <w:rsid w:val="00065C9F"/>
    <w:rsid w:val="00065D6C"/>
    <w:rsid w:val="00065DFE"/>
    <w:rsid w:val="00065F61"/>
    <w:rsid w:val="00066079"/>
    <w:rsid w:val="000664FC"/>
    <w:rsid w:val="0006665C"/>
    <w:rsid w:val="00066737"/>
    <w:rsid w:val="0006687F"/>
    <w:rsid w:val="000668C7"/>
    <w:rsid w:val="00066A26"/>
    <w:rsid w:val="00066AC8"/>
    <w:rsid w:val="00066BBA"/>
    <w:rsid w:val="00066C1F"/>
    <w:rsid w:val="00066E41"/>
    <w:rsid w:val="00066E6A"/>
    <w:rsid w:val="00066EB3"/>
    <w:rsid w:val="00066EB5"/>
    <w:rsid w:val="00066ED1"/>
    <w:rsid w:val="00066F66"/>
    <w:rsid w:val="00067018"/>
    <w:rsid w:val="0006716D"/>
    <w:rsid w:val="00067227"/>
    <w:rsid w:val="000674E5"/>
    <w:rsid w:val="00067946"/>
    <w:rsid w:val="00067B26"/>
    <w:rsid w:val="00067BD4"/>
    <w:rsid w:val="00067C5C"/>
    <w:rsid w:val="00070048"/>
    <w:rsid w:val="000700E5"/>
    <w:rsid w:val="00070166"/>
    <w:rsid w:val="000701DE"/>
    <w:rsid w:val="00070226"/>
    <w:rsid w:val="00070500"/>
    <w:rsid w:val="00070760"/>
    <w:rsid w:val="000708A2"/>
    <w:rsid w:val="00070933"/>
    <w:rsid w:val="00070943"/>
    <w:rsid w:val="00070984"/>
    <w:rsid w:val="00070AB9"/>
    <w:rsid w:val="00070B40"/>
    <w:rsid w:val="00070D01"/>
    <w:rsid w:val="00070D4C"/>
    <w:rsid w:val="00070DE4"/>
    <w:rsid w:val="00070F6C"/>
    <w:rsid w:val="0007101D"/>
    <w:rsid w:val="00071119"/>
    <w:rsid w:val="000712A9"/>
    <w:rsid w:val="00071509"/>
    <w:rsid w:val="00071893"/>
    <w:rsid w:val="000718CB"/>
    <w:rsid w:val="00071A64"/>
    <w:rsid w:val="00071D56"/>
    <w:rsid w:val="00071F90"/>
    <w:rsid w:val="00072020"/>
    <w:rsid w:val="0007209A"/>
    <w:rsid w:val="0007235B"/>
    <w:rsid w:val="00072AD3"/>
    <w:rsid w:val="00072CD7"/>
    <w:rsid w:val="00072CF8"/>
    <w:rsid w:val="00072D81"/>
    <w:rsid w:val="00073188"/>
    <w:rsid w:val="000731CD"/>
    <w:rsid w:val="0007366E"/>
    <w:rsid w:val="0007393E"/>
    <w:rsid w:val="00073B94"/>
    <w:rsid w:val="00073D7B"/>
    <w:rsid w:val="00073DC8"/>
    <w:rsid w:val="00073E69"/>
    <w:rsid w:val="00073F05"/>
    <w:rsid w:val="00073FEF"/>
    <w:rsid w:val="000741F7"/>
    <w:rsid w:val="000745A3"/>
    <w:rsid w:val="000746B0"/>
    <w:rsid w:val="000747BD"/>
    <w:rsid w:val="00074AA1"/>
    <w:rsid w:val="00074C65"/>
    <w:rsid w:val="00074CAF"/>
    <w:rsid w:val="00074D4A"/>
    <w:rsid w:val="00074E02"/>
    <w:rsid w:val="00074E2B"/>
    <w:rsid w:val="00074E8B"/>
    <w:rsid w:val="00074E9A"/>
    <w:rsid w:val="000750D6"/>
    <w:rsid w:val="00075174"/>
    <w:rsid w:val="000752D2"/>
    <w:rsid w:val="00075515"/>
    <w:rsid w:val="00075673"/>
    <w:rsid w:val="00075704"/>
    <w:rsid w:val="0007571E"/>
    <w:rsid w:val="00075C89"/>
    <w:rsid w:val="00075D78"/>
    <w:rsid w:val="00075E28"/>
    <w:rsid w:val="0007601A"/>
    <w:rsid w:val="00076041"/>
    <w:rsid w:val="000760DB"/>
    <w:rsid w:val="000760EE"/>
    <w:rsid w:val="00076433"/>
    <w:rsid w:val="00076702"/>
    <w:rsid w:val="000768AE"/>
    <w:rsid w:val="00076944"/>
    <w:rsid w:val="00076A1A"/>
    <w:rsid w:val="00076BC3"/>
    <w:rsid w:val="00076CF7"/>
    <w:rsid w:val="00076F3C"/>
    <w:rsid w:val="0007726E"/>
    <w:rsid w:val="000772E2"/>
    <w:rsid w:val="000775D3"/>
    <w:rsid w:val="00077801"/>
    <w:rsid w:val="00077971"/>
    <w:rsid w:val="0007798B"/>
    <w:rsid w:val="00077ACF"/>
    <w:rsid w:val="00077C1C"/>
    <w:rsid w:val="00077CDD"/>
    <w:rsid w:val="00077D2C"/>
    <w:rsid w:val="00077D7A"/>
    <w:rsid w:val="00077D81"/>
    <w:rsid w:val="00077D8A"/>
    <w:rsid w:val="0008021A"/>
    <w:rsid w:val="000803C3"/>
    <w:rsid w:val="00080775"/>
    <w:rsid w:val="00080B32"/>
    <w:rsid w:val="00080B45"/>
    <w:rsid w:val="00080D7D"/>
    <w:rsid w:val="000810AF"/>
    <w:rsid w:val="00081105"/>
    <w:rsid w:val="00081149"/>
    <w:rsid w:val="000812A8"/>
    <w:rsid w:val="000812DB"/>
    <w:rsid w:val="00081430"/>
    <w:rsid w:val="000814DA"/>
    <w:rsid w:val="000815A3"/>
    <w:rsid w:val="00081A5E"/>
    <w:rsid w:val="00081E99"/>
    <w:rsid w:val="00081EA4"/>
    <w:rsid w:val="00081F67"/>
    <w:rsid w:val="00081FC4"/>
    <w:rsid w:val="00082590"/>
    <w:rsid w:val="0008263B"/>
    <w:rsid w:val="000829CC"/>
    <w:rsid w:val="000829F4"/>
    <w:rsid w:val="00082C09"/>
    <w:rsid w:val="00082F03"/>
    <w:rsid w:val="00083203"/>
    <w:rsid w:val="0008335B"/>
    <w:rsid w:val="000834D7"/>
    <w:rsid w:val="00083539"/>
    <w:rsid w:val="0008364B"/>
    <w:rsid w:val="000836A4"/>
    <w:rsid w:val="00083809"/>
    <w:rsid w:val="00083820"/>
    <w:rsid w:val="000839D3"/>
    <w:rsid w:val="000839F8"/>
    <w:rsid w:val="00083CD2"/>
    <w:rsid w:val="00083DD5"/>
    <w:rsid w:val="00083E5D"/>
    <w:rsid w:val="00084104"/>
    <w:rsid w:val="000842D8"/>
    <w:rsid w:val="000846DE"/>
    <w:rsid w:val="000847D0"/>
    <w:rsid w:val="000848D4"/>
    <w:rsid w:val="00084909"/>
    <w:rsid w:val="00084A9D"/>
    <w:rsid w:val="00084B49"/>
    <w:rsid w:val="00084D47"/>
    <w:rsid w:val="00084F05"/>
    <w:rsid w:val="00084F3A"/>
    <w:rsid w:val="00084F42"/>
    <w:rsid w:val="00085041"/>
    <w:rsid w:val="000850FE"/>
    <w:rsid w:val="00085122"/>
    <w:rsid w:val="000853B1"/>
    <w:rsid w:val="00085528"/>
    <w:rsid w:val="0008555A"/>
    <w:rsid w:val="000856BC"/>
    <w:rsid w:val="00085916"/>
    <w:rsid w:val="00085B71"/>
    <w:rsid w:val="00085C0E"/>
    <w:rsid w:val="00085CCB"/>
    <w:rsid w:val="00085E72"/>
    <w:rsid w:val="00086134"/>
    <w:rsid w:val="0008620D"/>
    <w:rsid w:val="0008622A"/>
    <w:rsid w:val="0008629B"/>
    <w:rsid w:val="00086350"/>
    <w:rsid w:val="000868EE"/>
    <w:rsid w:val="00086C28"/>
    <w:rsid w:val="00086E7D"/>
    <w:rsid w:val="00087446"/>
    <w:rsid w:val="00087890"/>
    <w:rsid w:val="00087A30"/>
    <w:rsid w:val="00087D96"/>
    <w:rsid w:val="00087DA2"/>
    <w:rsid w:val="00087DEA"/>
    <w:rsid w:val="00087F23"/>
    <w:rsid w:val="00087FA8"/>
    <w:rsid w:val="000901FB"/>
    <w:rsid w:val="0009031B"/>
    <w:rsid w:val="00090637"/>
    <w:rsid w:val="0009084D"/>
    <w:rsid w:val="000908B7"/>
    <w:rsid w:val="00090993"/>
    <w:rsid w:val="00090C0F"/>
    <w:rsid w:val="00090D70"/>
    <w:rsid w:val="00090E7D"/>
    <w:rsid w:val="00090F72"/>
    <w:rsid w:val="00091589"/>
    <w:rsid w:val="00091620"/>
    <w:rsid w:val="00091626"/>
    <w:rsid w:val="000918B5"/>
    <w:rsid w:val="00091A15"/>
    <w:rsid w:val="00091A60"/>
    <w:rsid w:val="00091CB5"/>
    <w:rsid w:val="00091DEE"/>
    <w:rsid w:val="00092016"/>
    <w:rsid w:val="00092341"/>
    <w:rsid w:val="000925A2"/>
    <w:rsid w:val="0009274B"/>
    <w:rsid w:val="0009277F"/>
    <w:rsid w:val="00092BC0"/>
    <w:rsid w:val="00092C36"/>
    <w:rsid w:val="00092C89"/>
    <w:rsid w:val="00092C8C"/>
    <w:rsid w:val="00092C9C"/>
    <w:rsid w:val="00092FE5"/>
    <w:rsid w:val="000930EA"/>
    <w:rsid w:val="0009340C"/>
    <w:rsid w:val="00093477"/>
    <w:rsid w:val="00093507"/>
    <w:rsid w:val="000936A7"/>
    <w:rsid w:val="000937A6"/>
    <w:rsid w:val="00093AB6"/>
    <w:rsid w:val="00093B22"/>
    <w:rsid w:val="00093C8C"/>
    <w:rsid w:val="00093DBD"/>
    <w:rsid w:val="00093DC8"/>
    <w:rsid w:val="00093DEB"/>
    <w:rsid w:val="00093E9A"/>
    <w:rsid w:val="00093FE9"/>
    <w:rsid w:val="000947B8"/>
    <w:rsid w:val="0009484C"/>
    <w:rsid w:val="00094CA5"/>
    <w:rsid w:val="00094CE6"/>
    <w:rsid w:val="00094D16"/>
    <w:rsid w:val="00095109"/>
    <w:rsid w:val="000951D7"/>
    <w:rsid w:val="00095260"/>
    <w:rsid w:val="00095401"/>
    <w:rsid w:val="00095471"/>
    <w:rsid w:val="0009555F"/>
    <w:rsid w:val="0009564C"/>
    <w:rsid w:val="00095734"/>
    <w:rsid w:val="00095764"/>
    <w:rsid w:val="00095793"/>
    <w:rsid w:val="00095953"/>
    <w:rsid w:val="00095AA1"/>
    <w:rsid w:val="00095B53"/>
    <w:rsid w:val="00095CAF"/>
    <w:rsid w:val="000962E8"/>
    <w:rsid w:val="00096391"/>
    <w:rsid w:val="000963C1"/>
    <w:rsid w:val="00096425"/>
    <w:rsid w:val="00096826"/>
    <w:rsid w:val="000968D0"/>
    <w:rsid w:val="000969F1"/>
    <w:rsid w:val="00096A39"/>
    <w:rsid w:val="00096ACC"/>
    <w:rsid w:val="00096D8A"/>
    <w:rsid w:val="000971C1"/>
    <w:rsid w:val="000973F4"/>
    <w:rsid w:val="00097660"/>
    <w:rsid w:val="00097728"/>
    <w:rsid w:val="00097847"/>
    <w:rsid w:val="00097AE3"/>
    <w:rsid w:val="00097B2A"/>
    <w:rsid w:val="00097BC9"/>
    <w:rsid w:val="00097C6E"/>
    <w:rsid w:val="00097C8F"/>
    <w:rsid w:val="00097F7B"/>
    <w:rsid w:val="00097F82"/>
    <w:rsid w:val="000A0134"/>
    <w:rsid w:val="000A0247"/>
    <w:rsid w:val="000A03FD"/>
    <w:rsid w:val="000A049C"/>
    <w:rsid w:val="000A0962"/>
    <w:rsid w:val="000A0FC6"/>
    <w:rsid w:val="000A10CD"/>
    <w:rsid w:val="000A10CF"/>
    <w:rsid w:val="000A1142"/>
    <w:rsid w:val="000A1954"/>
    <w:rsid w:val="000A1955"/>
    <w:rsid w:val="000A1C75"/>
    <w:rsid w:val="000A1E2D"/>
    <w:rsid w:val="000A21FE"/>
    <w:rsid w:val="000A2208"/>
    <w:rsid w:val="000A23B9"/>
    <w:rsid w:val="000A24A6"/>
    <w:rsid w:val="000A261D"/>
    <w:rsid w:val="000A2924"/>
    <w:rsid w:val="000A2B9F"/>
    <w:rsid w:val="000A2FFD"/>
    <w:rsid w:val="000A3043"/>
    <w:rsid w:val="000A33C6"/>
    <w:rsid w:val="000A3415"/>
    <w:rsid w:val="000A36BD"/>
    <w:rsid w:val="000A3A1A"/>
    <w:rsid w:val="000A3C06"/>
    <w:rsid w:val="000A3C10"/>
    <w:rsid w:val="000A3CFA"/>
    <w:rsid w:val="000A3F2D"/>
    <w:rsid w:val="000A4077"/>
    <w:rsid w:val="000A4091"/>
    <w:rsid w:val="000A40C9"/>
    <w:rsid w:val="000A41A8"/>
    <w:rsid w:val="000A4326"/>
    <w:rsid w:val="000A4343"/>
    <w:rsid w:val="000A439C"/>
    <w:rsid w:val="000A4587"/>
    <w:rsid w:val="000A464C"/>
    <w:rsid w:val="000A46F2"/>
    <w:rsid w:val="000A48D6"/>
    <w:rsid w:val="000A496A"/>
    <w:rsid w:val="000A4A42"/>
    <w:rsid w:val="000A4B9B"/>
    <w:rsid w:val="000A4F63"/>
    <w:rsid w:val="000A5102"/>
    <w:rsid w:val="000A5311"/>
    <w:rsid w:val="000A5493"/>
    <w:rsid w:val="000A55E3"/>
    <w:rsid w:val="000A56F9"/>
    <w:rsid w:val="000A583F"/>
    <w:rsid w:val="000A5894"/>
    <w:rsid w:val="000A5958"/>
    <w:rsid w:val="000A5B7E"/>
    <w:rsid w:val="000A6060"/>
    <w:rsid w:val="000A62CE"/>
    <w:rsid w:val="000A6623"/>
    <w:rsid w:val="000A66DD"/>
    <w:rsid w:val="000A6937"/>
    <w:rsid w:val="000A6CF2"/>
    <w:rsid w:val="000A6D77"/>
    <w:rsid w:val="000A6D9E"/>
    <w:rsid w:val="000A6F33"/>
    <w:rsid w:val="000A72D1"/>
    <w:rsid w:val="000A793A"/>
    <w:rsid w:val="000A7AF3"/>
    <w:rsid w:val="000A7B88"/>
    <w:rsid w:val="000A7C0E"/>
    <w:rsid w:val="000A7F05"/>
    <w:rsid w:val="000B00A6"/>
    <w:rsid w:val="000B0127"/>
    <w:rsid w:val="000B0181"/>
    <w:rsid w:val="000B035F"/>
    <w:rsid w:val="000B0366"/>
    <w:rsid w:val="000B03CA"/>
    <w:rsid w:val="000B0646"/>
    <w:rsid w:val="000B06DA"/>
    <w:rsid w:val="000B079B"/>
    <w:rsid w:val="000B07A6"/>
    <w:rsid w:val="000B0A56"/>
    <w:rsid w:val="000B0B1F"/>
    <w:rsid w:val="000B0C8A"/>
    <w:rsid w:val="000B0C97"/>
    <w:rsid w:val="000B0DAF"/>
    <w:rsid w:val="000B0DC5"/>
    <w:rsid w:val="000B10E2"/>
    <w:rsid w:val="000B129C"/>
    <w:rsid w:val="000B12F7"/>
    <w:rsid w:val="000B141E"/>
    <w:rsid w:val="000B15AE"/>
    <w:rsid w:val="000B15C8"/>
    <w:rsid w:val="000B15F8"/>
    <w:rsid w:val="000B17FA"/>
    <w:rsid w:val="000B18D8"/>
    <w:rsid w:val="000B190D"/>
    <w:rsid w:val="000B1B8D"/>
    <w:rsid w:val="000B1F39"/>
    <w:rsid w:val="000B1FDB"/>
    <w:rsid w:val="000B2154"/>
    <w:rsid w:val="000B22C7"/>
    <w:rsid w:val="000B235E"/>
    <w:rsid w:val="000B24AA"/>
    <w:rsid w:val="000B255E"/>
    <w:rsid w:val="000B2648"/>
    <w:rsid w:val="000B27F8"/>
    <w:rsid w:val="000B295D"/>
    <w:rsid w:val="000B2A0F"/>
    <w:rsid w:val="000B2A67"/>
    <w:rsid w:val="000B2BB0"/>
    <w:rsid w:val="000B31B1"/>
    <w:rsid w:val="000B31F7"/>
    <w:rsid w:val="000B3760"/>
    <w:rsid w:val="000B4160"/>
    <w:rsid w:val="000B42A0"/>
    <w:rsid w:val="000B4435"/>
    <w:rsid w:val="000B4586"/>
    <w:rsid w:val="000B47CF"/>
    <w:rsid w:val="000B4892"/>
    <w:rsid w:val="000B4A08"/>
    <w:rsid w:val="000B4D01"/>
    <w:rsid w:val="000B4EA3"/>
    <w:rsid w:val="000B4F83"/>
    <w:rsid w:val="000B5045"/>
    <w:rsid w:val="000B542B"/>
    <w:rsid w:val="000B59AC"/>
    <w:rsid w:val="000B5B74"/>
    <w:rsid w:val="000B5CC9"/>
    <w:rsid w:val="000B5CFA"/>
    <w:rsid w:val="000B5D1D"/>
    <w:rsid w:val="000B5E2B"/>
    <w:rsid w:val="000B5FF5"/>
    <w:rsid w:val="000B6385"/>
    <w:rsid w:val="000B665B"/>
    <w:rsid w:val="000B68CC"/>
    <w:rsid w:val="000B6A64"/>
    <w:rsid w:val="000B6AEC"/>
    <w:rsid w:val="000B6C05"/>
    <w:rsid w:val="000B6F6E"/>
    <w:rsid w:val="000B7334"/>
    <w:rsid w:val="000B7425"/>
    <w:rsid w:val="000B7448"/>
    <w:rsid w:val="000B74CB"/>
    <w:rsid w:val="000B76D7"/>
    <w:rsid w:val="000B774E"/>
    <w:rsid w:val="000B7A24"/>
    <w:rsid w:val="000B7B03"/>
    <w:rsid w:val="000B7C0A"/>
    <w:rsid w:val="000B7D55"/>
    <w:rsid w:val="000B7D67"/>
    <w:rsid w:val="000C0002"/>
    <w:rsid w:val="000C01D5"/>
    <w:rsid w:val="000C04FE"/>
    <w:rsid w:val="000C0543"/>
    <w:rsid w:val="000C065A"/>
    <w:rsid w:val="000C0C82"/>
    <w:rsid w:val="000C0D17"/>
    <w:rsid w:val="000C123A"/>
    <w:rsid w:val="000C1250"/>
    <w:rsid w:val="000C1342"/>
    <w:rsid w:val="000C14C5"/>
    <w:rsid w:val="000C1621"/>
    <w:rsid w:val="000C1B66"/>
    <w:rsid w:val="000C1CB4"/>
    <w:rsid w:val="000C1DCF"/>
    <w:rsid w:val="000C20A2"/>
    <w:rsid w:val="000C20BD"/>
    <w:rsid w:val="000C21FC"/>
    <w:rsid w:val="000C25B6"/>
    <w:rsid w:val="000C2899"/>
    <w:rsid w:val="000C2B24"/>
    <w:rsid w:val="000C2CDD"/>
    <w:rsid w:val="000C2D10"/>
    <w:rsid w:val="000C3105"/>
    <w:rsid w:val="000C35B3"/>
    <w:rsid w:val="000C35EE"/>
    <w:rsid w:val="000C3621"/>
    <w:rsid w:val="000C3661"/>
    <w:rsid w:val="000C394D"/>
    <w:rsid w:val="000C414E"/>
    <w:rsid w:val="000C4236"/>
    <w:rsid w:val="000C44B2"/>
    <w:rsid w:val="000C48CF"/>
    <w:rsid w:val="000C4A9E"/>
    <w:rsid w:val="000C4ADF"/>
    <w:rsid w:val="000C4C37"/>
    <w:rsid w:val="000C4C74"/>
    <w:rsid w:val="000C4C94"/>
    <w:rsid w:val="000C4ED3"/>
    <w:rsid w:val="000C5161"/>
    <w:rsid w:val="000C52BF"/>
    <w:rsid w:val="000C53F8"/>
    <w:rsid w:val="000C542E"/>
    <w:rsid w:val="000C5458"/>
    <w:rsid w:val="000C55CF"/>
    <w:rsid w:val="000C572F"/>
    <w:rsid w:val="000C5972"/>
    <w:rsid w:val="000C5B57"/>
    <w:rsid w:val="000C5C33"/>
    <w:rsid w:val="000C5EA5"/>
    <w:rsid w:val="000C6105"/>
    <w:rsid w:val="000C6215"/>
    <w:rsid w:val="000C64A9"/>
    <w:rsid w:val="000C6515"/>
    <w:rsid w:val="000C6562"/>
    <w:rsid w:val="000C65F8"/>
    <w:rsid w:val="000C664E"/>
    <w:rsid w:val="000C6851"/>
    <w:rsid w:val="000C68A6"/>
    <w:rsid w:val="000C6C5C"/>
    <w:rsid w:val="000C6EBC"/>
    <w:rsid w:val="000C6EE5"/>
    <w:rsid w:val="000C6FA5"/>
    <w:rsid w:val="000C7021"/>
    <w:rsid w:val="000C71B6"/>
    <w:rsid w:val="000C726C"/>
    <w:rsid w:val="000C735A"/>
    <w:rsid w:val="000C7480"/>
    <w:rsid w:val="000C75D3"/>
    <w:rsid w:val="000C7CBB"/>
    <w:rsid w:val="000C7CDA"/>
    <w:rsid w:val="000C7F42"/>
    <w:rsid w:val="000D0446"/>
    <w:rsid w:val="000D047B"/>
    <w:rsid w:val="000D0530"/>
    <w:rsid w:val="000D0632"/>
    <w:rsid w:val="000D0938"/>
    <w:rsid w:val="000D0C5C"/>
    <w:rsid w:val="000D0F3D"/>
    <w:rsid w:val="000D100B"/>
    <w:rsid w:val="000D117B"/>
    <w:rsid w:val="000D1232"/>
    <w:rsid w:val="000D124B"/>
    <w:rsid w:val="000D13BC"/>
    <w:rsid w:val="000D18FC"/>
    <w:rsid w:val="000D1936"/>
    <w:rsid w:val="000D196F"/>
    <w:rsid w:val="000D19EF"/>
    <w:rsid w:val="000D1C15"/>
    <w:rsid w:val="000D1C3F"/>
    <w:rsid w:val="000D1D77"/>
    <w:rsid w:val="000D1F65"/>
    <w:rsid w:val="000D2071"/>
    <w:rsid w:val="000D21E4"/>
    <w:rsid w:val="000D2238"/>
    <w:rsid w:val="000D2254"/>
    <w:rsid w:val="000D22E5"/>
    <w:rsid w:val="000D2581"/>
    <w:rsid w:val="000D267D"/>
    <w:rsid w:val="000D2DE0"/>
    <w:rsid w:val="000D2FD1"/>
    <w:rsid w:val="000D3092"/>
    <w:rsid w:val="000D318D"/>
    <w:rsid w:val="000D3438"/>
    <w:rsid w:val="000D3586"/>
    <w:rsid w:val="000D3762"/>
    <w:rsid w:val="000D3820"/>
    <w:rsid w:val="000D3845"/>
    <w:rsid w:val="000D3A23"/>
    <w:rsid w:val="000D3B78"/>
    <w:rsid w:val="000D3F69"/>
    <w:rsid w:val="000D3FDA"/>
    <w:rsid w:val="000D3FEA"/>
    <w:rsid w:val="000D42E8"/>
    <w:rsid w:val="000D43DC"/>
    <w:rsid w:val="000D4475"/>
    <w:rsid w:val="000D4B50"/>
    <w:rsid w:val="000D4C7C"/>
    <w:rsid w:val="000D4CAD"/>
    <w:rsid w:val="000D4D03"/>
    <w:rsid w:val="000D5028"/>
    <w:rsid w:val="000D5653"/>
    <w:rsid w:val="000D5792"/>
    <w:rsid w:val="000D5826"/>
    <w:rsid w:val="000D5B4D"/>
    <w:rsid w:val="000D5C81"/>
    <w:rsid w:val="000D6107"/>
    <w:rsid w:val="000D61E6"/>
    <w:rsid w:val="000D62C9"/>
    <w:rsid w:val="000D62CE"/>
    <w:rsid w:val="000D62F7"/>
    <w:rsid w:val="000D63B4"/>
    <w:rsid w:val="000D6478"/>
    <w:rsid w:val="000D653D"/>
    <w:rsid w:val="000D65E9"/>
    <w:rsid w:val="000D67F4"/>
    <w:rsid w:val="000D6D0F"/>
    <w:rsid w:val="000D6D39"/>
    <w:rsid w:val="000D6E53"/>
    <w:rsid w:val="000D6F6E"/>
    <w:rsid w:val="000D724B"/>
    <w:rsid w:val="000D7494"/>
    <w:rsid w:val="000D75C3"/>
    <w:rsid w:val="000D786C"/>
    <w:rsid w:val="000D78C9"/>
    <w:rsid w:val="000D7C36"/>
    <w:rsid w:val="000D7C61"/>
    <w:rsid w:val="000D7EBA"/>
    <w:rsid w:val="000D7FA4"/>
    <w:rsid w:val="000E00C9"/>
    <w:rsid w:val="000E022B"/>
    <w:rsid w:val="000E04A8"/>
    <w:rsid w:val="000E058C"/>
    <w:rsid w:val="000E05BB"/>
    <w:rsid w:val="000E05CA"/>
    <w:rsid w:val="000E074F"/>
    <w:rsid w:val="000E07D1"/>
    <w:rsid w:val="000E0932"/>
    <w:rsid w:val="000E09B3"/>
    <w:rsid w:val="000E0CEF"/>
    <w:rsid w:val="000E0D27"/>
    <w:rsid w:val="000E0DDF"/>
    <w:rsid w:val="000E0E2B"/>
    <w:rsid w:val="000E0ED1"/>
    <w:rsid w:val="000E1040"/>
    <w:rsid w:val="000E13F8"/>
    <w:rsid w:val="000E1544"/>
    <w:rsid w:val="000E1B95"/>
    <w:rsid w:val="000E1BA3"/>
    <w:rsid w:val="000E1C87"/>
    <w:rsid w:val="000E1DB2"/>
    <w:rsid w:val="000E1E5A"/>
    <w:rsid w:val="000E1E62"/>
    <w:rsid w:val="000E1EB8"/>
    <w:rsid w:val="000E21DE"/>
    <w:rsid w:val="000E2311"/>
    <w:rsid w:val="000E231E"/>
    <w:rsid w:val="000E2452"/>
    <w:rsid w:val="000E271C"/>
    <w:rsid w:val="000E276D"/>
    <w:rsid w:val="000E2A3A"/>
    <w:rsid w:val="000E2C94"/>
    <w:rsid w:val="000E2D1C"/>
    <w:rsid w:val="000E2D46"/>
    <w:rsid w:val="000E2D74"/>
    <w:rsid w:val="000E2EC1"/>
    <w:rsid w:val="000E3097"/>
    <w:rsid w:val="000E3337"/>
    <w:rsid w:val="000E34DE"/>
    <w:rsid w:val="000E379D"/>
    <w:rsid w:val="000E39EF"/>
    <w:rsid w:val="000E3D79"/>
    <w:rsid w:val="000E3DF1"/>
    <w:rsid w:val="000E3EF7"/>
    <w:rsid w:val="000E41A6"/>
    <w:rsid w:val="000E4583"/>
    <w:rsid w:val="000E4584"/>
    <w:rsid w:val="000E463C"/>
    <w:rsid w:val="000E463E"/>
    <w:rsid w:val="000E4649"/>
    <w:rsid w:val="000E4667"/>
    <w:rsid w:val="000E478E"/>
    <w:rsid w:val="000E4A42"/>
    <w:rsid w:val="000E4AA4"/>
    <w:rsid w:val="000E4B67"/>
    <w:rsid w:val="000E4C10"/>
    <w:rsid w:val="000E4D58"/>
    <w:rsid w:val="000E4E2E"/>
    <w:rsid w:val="000E4E78"/>
    <w:rsid w:val="000E4EB8"/>
    <w:rsid w:val="000E4F62"/>
    <w:rsid w:val="000E53A1"/>
    <w:rsid w:val="000E54ED"/>
    <w:rsid w:val="000E55B5"/>
    <w:rsid w:val="000E5617"/>
    <w:rsid w:val="000E56A7"/>
    <w:rsid w:val="000E5F82"/>
    <w:rsid w:val="000E624F"/>
    <w:rsid w:val="000E62B5"/>
    <w:rsid w:val="000E6473"/>
    <w:rsid w:val="000E64DC"/>
    <w:rsid w:val="000E67EC"/>
    <w:rsid w:val="000E69AF"/>
    <w:rsid w:val="000E6AAC"/>
    <w:rsid w:val="000E6BEB"/>
    <w:rsid w:val="000E7055"/>
    <w:rsid w:val="000E73D1"/>
    <w:rsid w:val="000E742F"/>
    <w:rsid w:val="000E772C"/>
    <w:rsid w:val="000E7740"/>
    <w:rsid w:val="000E7827"/>
    <w:rsid w:val="000E7B4A"/>
    <w:rsid w:val="000E7C18"/>
    <w:rsid w:val="000E7E4C"/>
    <w:rsid w:val="000E7F82"/>
    <w:rsid w:val="000F031A"/>
    <w:rsid w:val="000F04B4"/>
    <w:rsid w:val="000F0808"/>
    <w:rsid w:val="000F093E"/>
    <w:rsid w:val="000F0A0B"/>
    <w:rsid w:val="000F0A16"/>
    <w:rsid w:val="000F0BB7"/>
    <w:rsid w:val="000F0C44"/>
    <w:rsid w:val="000F0DCF"/>
    <w:rsid w:val="000F0F20"/>
    <w:rsid w:val="000F10E8"/>
    <w:rsid w:val="000F10FC"/>
    <w:rsid w:val="000F118C"/>
    <w:rsid w:val="000F12E8"/>
    <w:rsid w:val="000F1792"/>
    <w:rsid w:val="000F1AA5"/>
    <w:rsid w:val="000F1BBC"/>
    <w:rsid w:val="000F1C86"/>
    <w:rsid w:val="000F1F19"/>
    <w:rsid w:val="000F1FBA"/>
    <w:rsid w:val="000F2104"/>
    <w:rsid w:val="000F2437"/>
    <w:rsid w:val="000F2463"/>
    <w:rsid w:val="000F26AE"/>
    <w:rsid w:val="000F2B80"/>
    <w:rsid w:val="000F2EBE"/>
    <w:rsid w:val="000F312A"/>
    <w:rsid w:val="000F3144"/>
    <w:rsid w:val="000F31BD"/>
    <w:rsid w:val="000F324C"/>
    <w:rsid w:val="000F32F0"/>
    <w:rsid w:val="000F3389"/>
    <w:rsid w:val="000F371B"/>
    <w:rsid w:val="000F380A"/>
    <w:rsid w:val="000F390D"/>
    <w:rsid w:val="000F39F1"/>
    <w:rsid w:val="000F3A1A"/>
    <w:rsid w:val="000F3C1C"/>
    <w:rsid w:val="000F3C8A"/>
    <w:rsid w:val="000F3CE4"/>
    <w:rsid w:val="000F3E52"/>
    <w:rsid w:val="000F3F50"/>
    <w:rsid w:val="000F4020"/>
    <w:rsid w:val="000F43E1"/>
    <w:rsid w:val="000F456D"/>
    <w:rsid w:val="000F4987"/>
    <w:rsid w:val="000F4A71"/>
    <w:rsid w:val="000F4BF7"/>
    <w:rsid w:val="000F4D89"/>
    <w:rsid w:val="000F5074"/>
    <w:rsid w:val="000F510C"/>
    <w:rsid w:val="000F51C0"/>
    <w:rsid w:val="000F51CA"/>
    <w:rsid w:val="000F51E4"/>
    <w:rsid w:val="000F5624"/>
    <w:rsid w:val="000F5685"/>
    <w:rsid w:val="000F57AE"/>
    <w:rsid w:val="000F57F6"/>
    <w:rsid w:val="000F5BA9"/>
    <w:rsid w:val="000F5C22"/>
    <w:rsid w:val="000F5C35"/>
    <w:rsid w:val="000F6058"/>
    <w:rsid w:val="000F6126"/>
    <w:rsid w:val="000F6259"/>
    <w:rsid w:val="000F67D3"/>
    <w:rsid w:val="000F69D2"/>
    <w:rsid w:val="000F6D45"/>
    <w:rsid w:val="000F6E36"/>
    <w:rsid w:val="000F6E49"/>
    <w:rsid w:val="000F6FDB"/>
    <w:rsid w:val="000F7118"/>
    <w:rsid w:val="000F7237"/>
    <w:rsid w:val="000F73A3"/>
    <w:rsid w:val="000F756E"/>
    <w:rsid w:val="000F75A5"/>
    <w:rsid w:val="000F7615"/>
    <w:rsid w:val="000F7933"/>
    <w:rsid w:val="000F7A4B"/>
    <w:rsid w:val="000F7D47"/>
    <w:rsid w:val="000F7DD2"/>
    <w:rsid w:val="000F7FBC"/>
    <w:rsid w:val="0010054D"/>
    <w:rsid w:val="00100566"/>
    <w:rsid w:val="00100899"/>
    <w:rsid w:val="00100921"/>
    <w:rsid w:val="00100B2E"/>
    <w:rsid w:val="00100C25"/>
    <w:rsid w:val="00100E1C"/>
    <w:rsid w:val="00100FDC"/>
    <w:rsid w:val="001010D1"/>
    <w:rsid w:val="0010113D"/>
    <w:rsid w:val="00101237"/>
    <w:rsid w:val="0010149F"/>
    <w:rsid w:val="0010162C"/>
    <w:rsid w:val="0010176D"/>
    <w:rsid w:val="0010192D"/>
    <w:rsid w:val="00101B63"/>
    <w:rsid w:val="00101D71"/>
    <w:rsid w:val="00101E8A"/>
    <w:rsid w:val="00101FCB"/>
    <w:rsid w:val="001021CF"/>
    <w:rsid w:val="00102374"/>
    <w:rsid w:val="00102399"/>
    <w:rsid w:val="00102565"/>
    <w:rsid w:val="00102710"/>
    <w:rsid w:val="00102797"/>
    <w:rsid w:val="001028D8"/>
    <w:rsid w:val="00102AB5"/>
    <w:rsid w:val="00102F25"/>
    <w:rsid w:val="0010333A"/>
    <w:rsid w:val="00103A86"/>
    <w:rsid w:val="00103BB6"/>
    <w:rsid w:val="00103CC4"/>
    <w:rsid w:val="00103FA5"/>
    <w:rsid w:val="00104013"/>
    <w:rsid w:val="001043D8"/>
    <w:rsid w:val="00104516"/>
    <w:rsid w:val="0010462B"/>
    <w:rsid w:val="001046FA"/>
    <w:rsid w:val="0010487C"/>
    <w:rsid w:val="00104970"/>
    <w:rsid w:val="00104991"/>
    <w:rsid w:val="00104A57"/>
    <w:rsid w:val="00104CFC"/>
    <w:rsid w:val="00104D56"/>
    <w:rsid w:val="00104FB9"/>
    <w:rsid w:val="00105123"/>
    <w:rsid w:val="001058AD"/>
    <w:rsid w:val="00105968"/>
    <w:rsid w:val="00105A59"/>
    <w:rsid w:val="00105B6D"/>
    <w:rsid w:val="00106132"/>
    <w:rsid w:val="00106F09"/>
    <w:rsid w:val="00106F68"/>
    <w:rsid w:val="0010717F"/>
    <w:rsid w:val="00107205"/>
    <w:rsid w:val="001075C8"/>
    <w:rsid w:val="0010764A"/>
    <w:rsid w:val="0010775A"/>
    <w:rsid w:val="00107872"/>
    <w:rsid w:val="00107938"/>
    <w:rsid w:val="00107A9C"/>
    <w:rsid w:val="00107B89"/>
    <w:rsid w:val="00107D29"/>
    <w:rsid w:val="00107DDB"/>
    <w:rsid w:val="00107EBB"/>
    <w:rsid w:val="00110397"/>
    <w:rsid w:val="001103E5"/>
    <w:rsid w:val="0011058D"/>
    <w:rsid w:val="00110918"/>
    <w:rsid w:val="00110C8B"/>
    <w:rsid w:val="00110CCF"/>
    <w:rsid w:val="00111011"/>
    <w:rsid w:val="00111198"/>
    <w:rsid w:val="00111314"/>
    <w:rsid w:val="001113FC"/>
    <w:rsid w:val="0011154E"/>
    <w:rsid w:val="001115EE"/>
    <w:rsid w:val="00111832"/>
    <w:rsid w:val="00111855"/>
    <w:rsid w:val="001119C8"/>
    <w:rsid w:val="00111AC6"/>
    <w:rsid w:val="00111B3E"/>
    <w:rsid w:val="00111B8F"/>
    <w:rsid w:val="00111FEC"/>
    <w:rsid w:val="00112349"/>
    <w:rsid w:val="001123CB"/>
    <w:rsid w:val="001126F1"/>
    <w:rsid w:val="00112A0F"/>
    <w:rsid w:val="00112A91"/>
    <w:rsid w:val="00112C63"/>
    <w:rsid w:val="00112C9C"/>
    <w:rsid w:val="0011308F"/>
    <w:rsid w:val="0011317D"/>
    <w:rsid w:val="001131BE"/>
    <w:rsid w:val="00113336"/>
    <w:rsid w:val="001133C9"/>
    <w:rsid w:val="001138B9"/>
    <w:rsid w:val="00113AA3"/>
    <w:rsid w:val="0011434A"/>
    <w:rsid w:val="00114533"/>
    <w:rsid w:val="00114699"/>
    <w:rsid w:val="00114708"/>
    <w:rsid w:val="00114765"/>
    <w:rsid w:val="00114776"/>
    <w:rsid w:val="001148E8"/>
    <w:rsid w:val="00114B6B"/>
    <w:rsid w:val="00114BDB"/>
    <w:rsid w:val="00114C20"/>
    <w:rsid w:val="00114DF6"/>
    <w:rsid w:val="00114F1F"/>
    <w:rsid w:val="00114F2A"/>
    <w:rsid w:val="00115155"/>
    <w:rsid w:val="001156E7"/>
    <w:rsid w:val="0011581B"/>
    <w:rsid w:val="00115868"/>
    <w:rsid w:val="00115A0A"/>
    <w:rsid w:val="00115E7F"/>
    <w:rsid w:val="00115EB1"/>
    <w:rsid w:val="00116486"/>
    <w:rsid w:val="001169FE"/>
    <w:rsid w:val="00116A20"/>
    <w:rsid w:val="00116BCF"/>
    <w:rsid w:val="00116D1B"/>
    <w:rsid w:val="0011714B"/>
    <w:rsid w:val="001171A4"/>
    <w:rsid w:val="0011723F"/>
    <w:rsid w:val="00117570"/>
    <w:rsid w:val="00117656"/>
    <w:rsid w:val="001179FD"/>
    <w:rsid w:val="00117A11"/>
    <w:rsid w:val="00117B5E"/>
    <w:rsid w:val="00117C20"/>
    <w:rsid w:val="00117D1E"/>
    <w:rsid w:val="00117D60"/>
    <w:rsid w:val="00117DCD"/>
    <w:rsid w:val="00117F95"/>
    <w:rsid w:val="00117F9D"/>
    <w:rsid w:val="00120251"/>
    <w:rsid w:val="001202ED"/>
    <w:rsid w:val="001203D8"/>
    <w:rsid w:val="0012051A"/>
    <w:rsid w:val="0012062F"/>
    <w:rsid w:val="0012088B"/>
    <w:rsid w:val="00120CDC"/>
    <w:rsid w:val="00120E26"/>
    <w:rsid w:val="001211CE"/>
    <w:rsid w:val="00121332"/>
    <w:rsid w:val="001213AF"/>
    <w:rsid w:val="001213E7"/>
    <w:rsid w:val="00121468"/>
    <w:rsid w:val="0012154A"/>
    <w:rsid w:val="00121762"/>
    <w:rsid w:val="00121B50"/>
    <w:rsid w:val="00121BAE"/>
    <w:rsid w:val="00121CAE"/>
    <w:rsid w:val="00121CB2"/>
    <w:rsid w:val="00121CB6"/>
    <w:rsid w:val="00121CBC"/>
    <w:rsid w:val="00121DC1"/>
    <w:rsid w:val="001220F7"/>
    <w:rsid w:val="0012212F"/>
    <w:rsid w:val="00122372"/>
    <w:rsid w:val="001224C0"/>
    <w:rsid w:val="0012279D"/>
    <w:rsid w:val="00122978"/>
    <w:rsid w:val="001229CB"/>
    <w:rsid w:val="00122A43"/>
    <w:rsid w:val="00122BEE"/>
    <w:rsid w:val="00122C5A"/>
    <w:rsid w:val="00122D1A"/>
    <w:rsid w:val="00122E1E"/>
    <w:rsid w:val="00122FE3"/>
    <w:rsid w:val="001230AC"/>
    <w:rsid w:val="00123226"/>
    <w:rsid w:val="001234E3"/>
    <w:rsid w:val="0012351F"/>
    <w:rsid w:val="001235B8"/>
    <w:rsid w:val="00123702"/>
    <w:rsid w:val="00123735"/>
    <w:rsid w:val="00123997"/>
    <w:rsid w:val="001239BE"/>
    <w:rsid w:val="00123AD3"/>
    <w:rsid w:val="00123DD5"/>
    <w:rsid w:val="00123E5E"/>
    <w:rsid w:val="00123EED"/>
    <w:rsid w:val="00123F86"/>
    <w:rsid w:val="001240E8"/>
    <w:rsid w:val="0012423D"/>
    <w:rsid w:val="00124313"/>
    <w:rsid w:val="0012445C"/>
    <w:rsid w:val="00124491"/>
    <w:rsid w:val="0012456D"/>
    <w:rsid w:val="0012474D"/>
    <w:rsid w:val="00124798"/>
    <w:rsid w:val="001248A0"/>
    <w:rsid w:val="00124968"/>
    <w:rsid w:val="001249B6"/>
    <w:rsid w:val="00124AE6"/>
    <w:rsid w:val="00124C67"/>
    <w:rsid w:val="00124CCD"/>
    <w:rsid w:val="00124E5D"/>
    <w:rsid w:val="00124E7A"/>
    <w:rsid w:val="001252F0"/>
    <w:rsid w:val="00125659"/>
    <w:rsid w:val="00125855"/>
    <w:rsid w:val="00125921"/>
    <w:rsid w:val="00125A92"/>
    <w:rsid w:val="00125D20"/>
    <w:rsid w:val="00126170"/>
    <w:rsid w:val="00126350"/>
    <w:rsid w:val="001265CF"/>
    <w:rsid w:val="00126604"/>
    <w:rsid w:val="00126734"/>
    <w:rsid w:val="0012684C"/>
    <w:rsid w:val="001268C0"/>
    <w:rsid w:val="001268FD"/>
    <w:rsid w:val="00126929"/>
    <w:rsid w:val="0012692A"/>
    <w:rsid w:val="00126A74"/>
    <w:rsid w:val="00126B58"/>
    <w:rsid w:val="00126B5E"/>
    <w:rsid w:val="00126D55"/>
    <w:rsid w:val="00127017"/>
    <w:rsid w:val="00127135"/>
    <w:rsid w:val="00127198"/>
    <w:rsid w:val="00127824"/>
    <w:rsid w:val="0012782E"/>
    <w:rsid w:val="0012783A"/>
    <w:rsid w:val="0012797E"/>
    <w:rsid w:val="00127B0E"/>
    <w:rsid w:val="00127CE7"/>
    <w:rsid w:val="00127D67"/>
    <w:rsid w:val="00127F33"/>
    <w:rsid w:val="00127F37"/>
    <w:rsid w:val="00130191"/>
    <w:rsid w:val="0013040F"/>
    <w:rsid w:val="001304F8"/>
    <w:rsid w:val="0013064E"/>
    <w:rsid w:val="0013075F"/>
    <w:rsid w:val="00130A56"/>
    <w:rsid w:val="00130B1F"/>
    <w:rsid w:val="00130B76"/>
    <w:rsid w:val="00130CC0"/>
    <w:rsid w:val="001310BB"/>
    <w:rsid w:val="001311A0"/>
    <w:rsid w:val="001314AB"/>
    <w:rsid w:val="0013150D"/>
    <w:rsid w:val="001315F3"/>
    <w:rsid w:val="0013172E"/>
    <w:rsid w:val="00131A74"/>
    <w:rsid w:val="00131C9B"/>
    <w:rsid w:val="00131D23"/>
    <w:rsid w:val="00131EF9"/>
    <w:rsid w:val="001321F2"/>
    <w:rsid w:val="0013253A"/>
    <w:rsid w:val="00132678"/>
    <w:rsid w:val="001327D1"/>
    <w:rsid w:val="00132D83"/>
    <w:rsid w:val="00132E57"/>
    <w:rsid w:val="0013310F"/>
    <w:rsid w:val="001331AB"/>
    <w:rsid w:val="001331BE"/>
    <w:rsid w:val="00133289"/>
    <w:rsid w:val="00133459"/>
    <w:rsid w:val="0013349F"/>
    <w:rsid w:val="001336D1"/>
    <w:rsid w:val="00133A80"/>
    <w:rsid w:val="001342E2"/>
    <w:rsid w:val="00134372"/>
    <w:rsid w:val="00134465"/>
    <w:rsid w:val="00134772"/>
    <w:rsid w:val="00134A0D"/>
    <w:rsid w:val="00134CE0"/>
    <w:rsid w:val="001352C1"/>
    <w:rsid w:val="001352E6"/>
    <w:rsid w:val="001354DC"/>
    <w:rsid w:val="00135844"/>
    <w:rsid w:val="00135871"/>
    <w:rsid w:val="00135911"/>
    <w:rsid w:val="00135944"/>
    <w:rsid w:val="00135AFF"/>
    <w:rsid w:val="00135B14"/>
    <w:rsid w:val="00135CAD"/>
    <w:rsid w:val="00135E59"/>
    <w:rsid w:val="00135F05"/>
    <w:rsid w:val="00135FCA"/>
    <w:rsid w:val="00136083"/>
    <w:rsid w:val="001360FA"/>
    <w:rsid w:val="00136294"/>
    <w:rsid w:val="00136307"/>
    <w:rsid w:val="00136632"/>
    <w:rsid w:val="001367A0"/>
    <w:rsid w:val="00136867"/>
    <w:rsid w:val="00136955"/>
    <w:rsid w:val="00136A0D"/>
    <w:rsid w:val="00136AA5"/>
    <w:rsid w:val="00136C8A"/>
    <w:rsid w:val="00136DF9"/>
    <w:rsid w:val="00136EF5"/>
    <w:rsid w:val="0013739E"/>
    <w:rsid w:val="00137591"/>
    <w:rsid w:val="0013764E"/>
    <w:rsid w:val="00137912"/>
    <w:rsid w:val="00137941"/>
    <w:rsid w:val="0013795B"/>
    <w:rsid w:val="00137A42"/>
    <w:rsid w:val="00137BA7"/>
    <w:rsid w:val="00137D20"/>
    <w:rsid w:val="00140469"/>
    <w:rsid w:val="00140543"/>
    <w:rsid w:val="00140609"/>
    <w:rsid w:val="001406F0"/>
    <w:rsid w:val="0014076F"/>
    <w:rsid w:val="00140A8F"/>
    <w:rsid w:val="00140CD9"/>
    <w:rsid w:val="00140F52"/>
    <w:rsid w:val="00141075"/>
    <w:rsid w:val="0014116B"/>
    <w:rsid w:val="00141419"/>
    <w:rsid w:val="001416EB"/>
    <w:rsid w:val="00141743"/>
    <w:rsid w:val="001418E8"/>
    <w:rsid w:val="001419FB"/>
    <w:rsid w:val="00141BE2"/>
    <w:rsid w:val="0014206D"/>
    <w:rsid w:val="0014216D"/>
    <w:rsid w:val="001421F3"/>
    <w:rsid w:val="00142201"/>
    <w:rsid w:val="00142389"/>
    <w:rsid w:val="0014251C"/>
    <w:rsid w:val="001425F7"/>
    <w:rsid w:val="00142654"/>
    <w:rsid w:val="00142763"/>
    <w:rsid w:val="001427FE"/>
    <w:rsid w:val="00142A85"/>
    <w:rsid w:val="00142B91"/>
    <w:rsid w:val="00142BCB"/>
    <w:rsid w:val="00142CAB"/>
    <w:rsid w:val="0014301A"/>
    <w:rsid w:val="00143292"/>
    <w:rsid w:val="0014336A"/>
    <w:rsid w:val="001433FE"/>
    <w:rsid w:val="00143405"/>
    <w:rsid w:val="001435E7"/>
    <w:rsid w:val="0014372E"/>
    <w:rsid w:val="001437A1"/>
    <w:rsid w:val="001437AE"/>
    <w:rsid w:val="001439FF"/>
    <w:rsid w:val="00143A02"/>
    <w:rsid w:val="00143B26"/>
    <w:rsid w:val="00143D0C"/>
    <w:rsid w:val="00143FC3"/>
    <w:rsid w:val="001440F0"/>
    <w:rsid w:val="00144190"/>
    <w:rsid w:val="001442B3"/>
    <w:rsid w:val="00144777"/>
    <w:rsid w:val="001448B5"/>
    <w:rsid w:val="00144BFB"/>
    <w:rsid w:val="00144C54"/>
    <w:rsid w:val="00144CC7"/>
    <w:rsid w:val="00145091"/>
    <w:rsid w:val="001457BC"/>
    <w:rsid w:val="001457CB"/>
    <w:rsid w:val="00145806"/>
    <w:rsid w:val="00145ADE"/>
    <w:rsid w:val="00145B1A"/>
    <w:rsid w:val="00145C3A"/>
    <w:rsid w:val="00145CA1"/>
    <w:rsid w:val="00145EFF"/>
    <w:rsid w:val="001460AF"/>
    <w:rsid w:val="00146132"/>
    <w:rsid w:val="0014620E"/>
    <w:rsid w:val="001463EF"/>
    <w:rsid w:val="0014656D"/>
    <w:rsid w:val="0014672F"/>
    <w:rsid w:val="001469A0"/>
    <w:rsid w:val="001469F0"/>
    <w:rsid w:val="00146A45"/>
    <w:rsid w:val="00146A9C"/>
    <w:rsid w:val="00146BEB"/>
    <w:rsid w:val="001470EA"/>
    <w:rsid w:val="001471C0"/>
    <w:rsid w:val="001472B7"/>
    <w:rsid w:val="00147459"/>
    <w:rsid w:val="0014751B"/>
    <w:rsid w:val="001479A9"/>
    <w:rsid w:val="00147DB1"/>
    <w:rsid w:val="00147DF5"/>
    <w:rsid w:val="001500B5"/>
    <w:rsid w:val="00150131"/>
    <w:rsid w:val="00150375"/>
    <w:rsid w:val="00150B76"/>
    <w:rsid w:val="00150CF5"/>
    <w:rsid w:val="00150D42"/>
    <w:rsid w:val="00150DBF"/>
    <w:rsid w:val="001510E7"/>
    <w:rsid w:val="001511D9"/>
    <w:rsid w:val="00151433"/>
    <w:rsid w:val="001516B3"/>
    <w:rsid w:val="001517AF"/>
    <w:rsid w:val="00151876"/>
    <w:rsid w:val="001518F3"/>
    <w:rsid w:val="00151919"/>
    <w:rsid w:val="00151A78"/>
    <w:rsid w:val="00151E8A"/>
    <w:rsid w:val="00151F37"/>
    <w:rsid w:val="00152277"/>
    <w:rsid w:val="0015269D"/>
    <w:rsid w:val="0015294A"/>
    <w:rsid w:val="00152E51"/>
    <w:rsid w:val="00152E6B"/>
    <w:rsid w:val="0015303D"/>
    <w:rsid w:val="00153155"/>
    <w:rsid w:val="0015346B"/>
    <w:rsid w:val="00153533"/>
    <w:rsid w:val="00153677"/>
    <w:rsid w:val="00153CDD"/>
    <w:rsid w:val="0015400C"/>
    <w:rsid w:val="00154109"/>
    <w:rsid w:val="00154493"/>
    <w:rsid w:val="00154597"/>
    <w:rsid w:val="00154836"/>
    <w:rsid w:val="0015491A"/>
    <w:rsid w:val="001549F7"/>
    <w:rsid w:val="00154D61"/>
    <w:rsid w:val="00154E99"/>
    <w:rsid w:val="00155159"/>
    <w:rsid w:val="001551B3"/>
    <w:rsid w:val="001555D9"/>
    <w:rsid w:val="0015566A"/>
    <w:rsid w:val="001556E5"/>
    <w:rsid w:val="00155735"/>
    <w:rsid w:val="001558D6"/>
    <w:rsid w:val="001558EC"/>
    <w:rsid w:val="001558FB"/>
    <w:rsid w:val="001559C2"/>
    <w:rsid w:val="00155A3E"/>
    <w:rsid w:val="00155BAB"/>
    <w:rsid w:val="00155C11"/>
    <w:rsid w:val="00155CCF"/>
    <w:rsid w:val="00155CE3"/>
    <w:rsid w:val="00155F2A"/>
    <w:rsid w:val="00156350"/>
    <w:rsid w:val="0015676C"/>
    <w:rsid w:val="001568C2"/>
    <w:rsid w:val="001568E7"/>
    <w:rsid w:val="00156A6E"/>
    <w:rsid w:val="00157008"/>
    <w:rsid w:val="001571CA"/>
    <w:rsid w:val="0015755A"/>
    <w:rsid w:val="001575AB"/>
    <w:rsid w:val="001575F9"/>
    <w:rsid w:val="00157658"/>
    <w:rsid w:val="001576EA"/>
    <w:rsid w:val="00157A33"/>
    <w:rsid w:val="00157BD7"/>
    <w:rsid w:val="00157D2F"/>
    <w:rsid w:val="001603F5"/>
    <w:rsid w:val="0016042C"/>
    <w:rsid w:val="0016065D"/>
    <w:rsid w:val="001607F2"/>
    <w:rsid w:val="0016086B"/>
    <w:rsid w:val="00160876"/>
    <w:rsid w:val="00160898"/>
    <w:rsid w:val="00160DF7"/>
    <w:rsid w:val="00160F42"/>
    <w:rsid w:val="00160F83"/>
    <w:rsid w:val="0016105B"/>
    <w:rsid w:val="001613A4"/>
    <w:rsid w:val="001613D1"/>
    <w:rsid w:val="0016178A"/>
    <w:rsid w:val="0016187D"/>
    <w:rsid w:val="00161A50"/>
    <w:rsid w:val="00161BD6"/>
    <w:rsid w:val="00161BE3"/>
    <w:rsid w:val="00161C3A"/>
    <w:rsid w:val="00161C58"/>
    <w:rsid w:val="00161CC2"/>
    <w:rsid w:val="00161F81"/>
    <w:rsid w:val="00162084"/>
    <w:rsid w:val="001621FA"/>
    <w:rsid w:val="00162274"/>
    <w:rsid w:val="001625B3"/>
    <w:rsid w:val="00162A55"/>
    <w:rsid w:val="00162C9A"/>
    <w:rsid w:val="00162E3F"/>
    <w:rsid w:val="00162FBF"/>
    <w:rsid w:val="001630D5"/>
    <w:rsid w:val="001633E3"/>
    <w:rsid w:val="00163701"/>
    <w:rsid w:val="00163881"/>
    <w:rsid w:val="0016396D"/>
    <w:rsid w:val="00163CE2"/>
    <w:rsid w:val="00163D17"/>
    <w:rsid w:val="00163ED3"/>
    <w:rsid w:val="00163EEE"/>
    <w:rsid w:val="00163F6E"/>
    <w:rsid w:val="0016421F"/>
    <w:rsid w:val="00164885"/>
    <w:rsid w:val="00164A8E"/>
    <w:rsid w:val="00164BD1"/>
    <w:rsid w:val="00164BFC"/>
    <w:rsid w:val="00164C8D"/>
    <w:rsid w:val="00164CD9"/>
    <w:rsid w:val="00164D2C"/>
    <w:rsid w:val="00164E22"/>
    <w:rsid w:val="0016505E"/>
    <w:rsid w:val="00165097"/>
    <w:rsid w:val="00165114"/>
    <w:rsid w:val="001652E4"/>
    <w:rsid w:val="00165330"/>
    <w:rsid w:val="00165449"/>
    <w:rsid w:val="001654E5"/>
    <w:rsid w:val="00165540"/>
    <w:rsid w:val="001659E4"/>
    <w:rsid w:val="00165A9D"/>
    <w:rsid w:val="00165AEB"/>
    <w:rsid w:val="00165B9D"/>
    <w:rsid w:val="00165CC9"/>
    <w:rsid w:val="00166054"/>
    <w:rsid w:val="0016612F"/>
    <w:rsid w:val="00166183"/>
    <w:rsid w:val="0016634A"/>
    <w:rsid w:val="001663B4"/>
    <w:rsid w:val="00166582"/>
    <w:rsid w:val="00166E26"/>
    <w:rsid w:val="00166FBA"/>
    <w:rsid w:val="0016703B"/>
    <w:rsid w:val="001671B6"/>
    <w:rsid w:val="00167274"/>
    <w:rsid w:val="0016745D"/>
    <w:rsid w:val="001674F1"/>
    <w:rsid w:val="00167520"/>
    <w:rsid w:val="00167531"/>
    <w:rsid w:val="0016759D"/>
    <w:rsid w:val="001675EC"/>
    <w:rsid w:val="00167682"/>
    <w:rsid w:val="001676D6"/>
    <w:rsid w:val="0016778E"/>
    <w:rsid w:val="001678AD"/>
    <w:rsid w:val="0016790E"/>
    <w:rsid w:val="00167B88"/>
    <w:rsid w:val="00167CB1"/>
    <w:rsid w:val="00167EB5"/>
    <w:rsid w:val="00167ED0"/>
    <w:rsid w:val="00167F7C"/>
    <w:rsid w:val="001700C1"/>
    <w:rsid w:val="001701A5"/>
    <w:rsid w:val="001701E7"/>
    <w:rsid w:val="001701EE"/>
    <w:rsid w:val="00170310"/>
    <w:rsid w:val="001704E7"/>
    <w:rsid w:val="00170584"/>
    <w:rsid w:val="00170659"/>
    <w:rsid w:val="0017077E"/>
    <w:rsid w:val="00170826"/>
    <w:rsid w:val="001708B9"/>
    <w:rsid w:val="00170941"/>
    <w:rsid w:val="00170BAC"/>
    <w:rsid w:val="00170C3A"/>
    <w:rsid w:val="00170E67"/>
    <w:rsid w:val="00170F57"/>
    <w:rsid w:val="001710B8"/>
    <w:rsid w:val="001711B3"/>
    <w:rsid w:val="001711DE"/>
    <w:rsid w:val="00171216"/>
    <w:rsid w:val="00171252"/>
    <w:rsid w:val="00171276"/>
    <w:rsid w:val="00171600"/>
    <w:rsid w:val="001716FD"/>
    <w:rsid w:val="00171777"/>
    <w:rsid w:val="001717F9"/>
    <w:rsid w:val="001717FC"/>
    <w:rsid w:val="00171820"/>
    <w:rsid w:val="00171964"/>
    <w:rsid w:val="00171A87"/>
    <w:rsid w:val="00171AD9"/>
    <w:rsid w:val="00171B27"/>
    <w:rsid w:val="00171D38"/>
    <w:rsid w:val="00171FCD"/>
    <w:rsid w:val="00172041"/>
    <w:rsid w:val="00172456"/>
    <w:rsid w:val="0017245C"/>
    <w:rsid w:val="00172545"/>
    <w:rsid w:val="001725EE"/>
    <w:rsid w:val="0017280D"/>
    <w:rsid w:val="00172AB6"/>
    <w:rsid w:val="00172B1B"/>
    <w:rsid w:val="00172C5F"/>
    <w:rsid w:val="00172C6B"/>
    <w:rsid w:val="00172C6F"/>
    <w:rsid w:val="00173042"/>
    <w:rsid w:val="00173064"/>
    <w:rsid w:val="00173132"/>
    <w:rsid w:val="0017326B"/>
    <w:rsid w:val="001733A6"/>
    <w:rsid w:val="0017358E"/>
    <w:rsid w:val="001735BA"/>
    <w:rsid w:val="0017360A"/>
    <w:rsid w:val="0017391E"/>
    <w:rsid w:val="00173A5F"/>
    <w:rsid w:val="00173DFD"/>
    <w:rsid w:val="00173FC2"/>
    <w:rsid w:val="00173FC8"/>
    <w:rsid w:val="001742EE"/>
    <w:rsid w:val="00174358"/>
    <w:rsid w:val="0017437F"/>
    <w:rsid w:val="001747AC"/>
    <w:rsid w:val="00174DC9"/>
    <w:rsid w:val="00174E29"/>
    <w:rsid w:val="00174E79"/>
    <w:rsid w:val="00175048"/>
    <w:rsid w:val="00175134"/>
    <w:rsid w:val="00175165"/>
    <w:rsid w:val="00175429"/>
    <w:rsid w:val="001754CB"/>
    <w:rsid w:val="001755D8"/>
    <w:rsid w:val="001756C1"/>
    <w:rsid w:val="001757CE"/>
    <w:rsid w:val="0017592E"/>
    <w:rsid w:val="00175953"/>
    <w:rsid w:val="00175A1D"/>
    <w:rsid w:val="00175AF5"/>
    <w:rsid w:val="00175D35"/>
    <w:rsid w:val="0017609A"/>
    <w:rsid w:val="00176387"/>
    <w:rsid w:val="001764B0"/>
    <w:rsid w:val="00176554"/>
    <w:rsid w:val="001767ED"/>
    <w:rsid w:val="00176AC4"/>
    <w:rsid w:val="00176B0F"/>
    <w:rsid w:val="00176C18"/>
    <w:rsid w:val="00176D15"/>
    <w:rsid w:val="00176D5A"/>
    <w:rsid w:val="00176F2F"/>
    <w:rsid w:val="00176FDF"/>
    <w:rsid w:val="00177123"/>
    <w:rsid w:val="001774ED"/>
    <w:rsid w:val="00177609"/>
    <w:rsid w:val="001778AD"/>
    <w:rsid w:val="00177AE0"/>
    <w:rsid w:val="00177CDC"/>
    <w:rsid w:val="00177D15"/>
    <w:rsid w:val="00177E8C"/>
    <w:rsid w:val="00177E8D"/>
    <w:rsid w:val="00177F91"/>
    <w:rsid w:val="00180068"/>
    <w:rsid w:val="001800B0"/>
    <w:rsid w:val="0018014B"/>
    <w:rsid w:val="0018027A"/>
    <w:rsid w:val="001802D0"/>
    <w:rsid w:val="00180370"/>
    <w:rsid w:val="001803D4"/>
    <w:rsid w:val="00180603"/>
    <w:rsid w:val="001806E5"/>
    <w:rsid w:val="00180785"/>
    <w:rsid w:val="001807A2"/>
    <w:rsid w:val="001808F0"/>
    <w:rsid w:val="00180BDA"/>
    <w:rsid w:val="00180CE8"/>
    <w:rsid w:val="00180DCB"/>
    <w:rsid w:val="00180E72"/>
    <w:rsid w:val="0018105F"/>
    <w:rsid w:val="0018108F"/>
    <w:rsid w:val="001810A8"/>
    <w:rsid w:val="00181101"/>
    <w:rsid w:val="0018111A"/>
    <w:rsid w:val="00181348"/>
    <w:rsid w:val="00181401"/>
    <w:rsid w:val="0018176B"/>
    <w:rsid w:val="00181792"/>
    <w:rsid w:val="00181A03"/>
    <w:rsid w:val="00181AE0"/>
    <w:rsid w:val="00181B3C"/>
    <w:rsid w:val="00181DDC"/>
    <w:rsid w:val="00182031"/>
    <w:rsid w:val="00182053"/>
    <w:rsid w:val="00182365"/>
    <w:rsid w:val="0018259C"/>
    <w:rsid w:val="001825DD"/>
    <w:rsid w:val="00182665"/>
    <w:rsid w:val="0018284A"/>
    <w:rsid w:val="0018297E"/>
    <w:rsid w:val="001829DF"/>
    <w:rsid w:val="00182BEE"/>
    <w:rsid w:val="00182E38"/>
    <w:rsid w:val="001830BF"/>
    <w:rsid w:val="00183222"/>
    <w:rsid w:val="0018326E"/>
    <w:rsid w:val="0018344B"/>
    <w:rsid w:val="001835A0"/>
    <w:rsid w:val="00183834"/>
    <w:rsid w:val="0018386D"/>
    <w:rsid w:val="00183A1A"/>
    <w:rsid w:val="00183AF9"/>
    <w:rsid w:val="00183DD7"/>
    <w:rsid w:val="00183F21"/>
    <w:rsid w:val="00183F39"/>
    <w:rsid w:val="00184071"/>
    <w:rsid w:val="0018410D"/>
    <w:rsid w:val="0018439F"/>
    <w:rsid w:val="001843C3"/>
    <w:rsid w:val="001844EE"/>
    <w:rsid w:val="00184DD4"/>
    <w:rsid w:val="00184DED"/>
    <w:rsid w:val="001851E6"/>
    <w:rsid w:val="00185666"/>
    <w:rsid w:val="001856E9"/>
    <w:rsid w:val="001857F9"/>
    <w:rsid w:val="00185B7F"/>
    <w:rsid w:val="00185D2B"/>
    <w:rsid w:val="0018618E"/>
    <w:rsid w:val="00186249"/>
    <w:rsid w:val="00186505"/>
    <w:rsid w:val="00186575"/>
    <w:rsid w:val="00186738"/>
    <w:rsid w:val="00186A93"/>
    <w:rsid w:val="00186B48"/>
    <w:rsid w:val="00186D3B"/>
    <w:rsid w:val="00186F45"/>
    <w:rsid w:val="00186F81"/>
    <w:rsid w:val="00186FB3"/>
    <w:rsid w:val="00186FC8"/>
    <w:rsid w:val="00186FDB"/>
    <w:rsid w:val="00186FEC"/>
    <w:rsid w:val="0018705C"/>
    <w:rsid w:val="0018761B"/>
    <w:rsid w:val="00187832"/>
    <w:rsid w:val="0018790A"/>
    <w:rsid w:val="00187AB4"/>
    <w:rsid w:val="00187ABE"/>
    <w:rsid w:val="00187CF7"/>
    <w:rsid w:val="00187D79"/>
    <w:rsid w:val="00187E25"/>
    <w:rsid w:val="00187EF1"/>
    <w:rsid w:val="00187FDE"/>
    <w:rsid w:val="001904FF"/>
    <w:rsid w:val="00190731"/>
    <w:rsid w:val="00190739"/>
    <w:rsid w:val="001907C7"/>
    <w:rsid w:val="00190852"/>
    <w:rsid w:val="00190AB4"/>
    <w:rsid w:val="00190B5B"/>
    <w:rsid w:val="00190CE0"/>
    <w:rsid w:val="00190DBE"/>
    <w:rsid w:val="00190E88"/>
    <w:rsid w:val="00190EAD"/>
    <w:rsid w:val="0019108E"/>
    <w:rsid w:val="001911A6"/>
    <w:rsid w:val="0019123C"/>
    <w:rsid w:val="0019137B"/>
    <w:rsid w:val="001917F6"/>
    <w:rsid w:val="00191AFC"/>
    <w:rsid w:val="00191BB6"/>
    <w:rsid w:val="00191E7F"/>
    <w:rsid w:val="00191F01"/>
    <w:rsid w:val="001920CC"/>
    <w:rsid w:val="00192255"/>
    <w:rsid w:val="001922B6"/>
    <w:rsid w:val="0019236F"/>
    <w:rsid w:val="001925D9"/>
    <w:rsid w:val="001926A4"/>
    <w:rsid w:val="0019295A"/>
    <w:rsid w:val="00192BEF"/>
    <w:rsid w:val="00192F6A"/>
    <w:rsid w:val="00193165"/>
    <w:rsid w:val="0019326F"/>
    <w:rsid w:val="001932C1"/>
    <w:rsid w:val="0019336B"/>
    <w:rsid w:val="001933EC"/>
    <w:rsid w:val="00193591"/>
    <w:rsid w:val="00193631"/>
    <w:rsid w:val="0019382D"/>
    <w:rsid w:val="0019398A"/>
    <w:rsid w:val="001939F7"/>
    <w:rsid w:val="00193A47"/>
    <w:rsid w:val="00193CE7"/>
    <w:rsid w:val="00194028"/>
    <w:rsid w:val="001942EB"/>
    <w:rsid w:val="00194327"/>
    <w:rsid w:val="00194449"/>
    <w:rsid w:val="0019445F"/>
    <w:rsid w:val="001945D9"/>
    <w:rsid w:val="00194782"/>
    <w:rsid w:val="00194812"/>
    <w:rsid w:val="00194843"/>
    <w:rsid w:val="001949DA"/>
    <w:rsid w:val="00194AA5"/>
    <w:rsid w:val="00194DDB"/>
    <w:rsid w:val="00194F4B"/>
    <w:rsid w:val="00194FEF"/>
    <w:rsid w:val="001951FC"/>
    <w:rsid w:val="001952B0"/>
    <w:rsid w:val="0019551B"/>
    <w:rsid w:val="00195925"/>
    <w:rsid w:val="0019593B"/>
    <w:rsid w:val="0019599C"/>
    <w:rsid w:val="00195B4E"/>
    <w:rsid w:val="00195B60"/>
    <w:rsid w:val="00195E23"/>
    <w:rsid w:val="00195F82"/>
    <w:rsid w:val="00195FCA"/>
    <w:rsid w:val="00196071"/>
    <w:rsid w:val="00196076"/>
    <w:rsid w:val="001963A4"/>
    <w:rsid w:val="001963CC"/>
    <w:rsid w:val="00196866"/>
    <w:rsid w:val="0019698C"/>
    <w:rsid w:val="001969D3"/>
    <w:rsid w:val="00196AE6"/>
    <w:rsid w:val="00196B67"/>
    <w:rsid w:val="00196C5B"/>
    <w:rsid w:val="00196DB4"/>
    <w:rsid w:val="00196E24"/>
    <w:rsid w:val="00197038"/>
    <w:rsid w:val="001971E4"/>
    <w:rsid w:val="0019759D"/>
    <w:rsid w:val="001975EF"/>
    <w:rsid w:val="00197638"/>
    <w:rsid w:val="0019765A"/>
    <w:rsid w:val="0019765C"/>
    <w:rsid w:val="0019770D"/>
    <w:rsid w:val="00197989"/>
    <w:rsid w:val="00197C69"/>
    <w:rsid w:val="00197CBE"/>
    <w:rsid w:val="00197D99"/>
    <w:rsid w:val="00197F22"/>
    <w:rsid w:val="001A022F"/>
    <w:rsid w:val="001A0464"/>
    <w:rsid w:val="001A068B"/>
    <w:rsid w:val="001A0830"/>
    <w:rsid w:val="001A08A2"/>
    <w:rsid w:val="001A0990"/>
    <w:rsid w:val="001A0F4B"/>
    <w:rsid w:val="001A0FCD"/>
    <w:rsid w:val="001A0FDD"/>
    <w:rsid w:val="001A111B"/>
    <w:rsid w:val="001A1123"/>
    <w:rsid w:val="001A1423"/>
    <w:rsid w:val="001A157F"/>
    <w:rsid w:val="001A15CC"/>
    <w:rsid w:val="001A17BF"/>
    <w:rsid w:val="001A19CA"/>
    <w:rsid w:val="001A1CD1"/>
    <w:rsid w:val="001A1D10"/>
    <w:rsid w:val="001A1D42"/>
    <w:rsid w:val="001A1F47"/>
    <w:rsid w:val="001A1FA6"/>
    <w:rsid w:val="001A243B"/>
    <w:rsid w:val="001A26EB"/>
    <w:rsid w:val="001A28C4"/>
    <w:rsid w:val="001A291C"/>
    <w:rsid w:val="001A2966"/>
    <w:rsid w:val="001A297D"/>
    <w:rsid w:val="001A2BBE"/>
    <w:rsid w:val="001A2E2A"/>
    <w:rsid w:val="001A306C"/>
    <w:rsid w:val="001A3145"/>
    <w:rsid w:val="001A331B"/>
    <w:rsid w:val="001A340F"/>
    <w:rsid w:val="001A343A"/>
    <w:rsid w:val="001A374B"/>
    <w:rsid w:val="001A37E9"/>
    <w:rsid w:val="001A38E7"/>
    <w:rsid w:val="001A3C78"/>
    <w:rsid w:val="001A3C7D"/>
    <w:rsid w:val="001A3DBD"/>
    <w:rsid w:val="001A3F65"/>
    <w:rsid w:val="001A3FAE"/>
    <w:rsid w:val="001A416B"/>
    <w:rsid w:val="001A45A8"/>
    <w:rsid w:val="001A45CF"/>
    <w:rsid w:val="001A45FE"/>
    <w:rsid w:val="001A4778"/>
    <w:rsid w:val="001A49E1"/>
    <w:rsid w:val="001A4C5F"/>
    <w:rsid w:val="001A4D79"/>
    <w:rsid w:val="001A4EDE"/>
    <w:rsid w:val="001A4FC6"/>
    <w:rsid w:val="001A530D"/>
    <w:rsid w:val="001A53BB"/>
    <w:rsid w:val="001A556D"/>
    <w:rsid w:val="001A55E7"/>
    <w:rsid w:val="001A585E"/>
    <w:rsid w:val="001A5C12"/>
    <w:rsid w:val="001A5C95"/>
    <w:rsid w:val="001A5DE2"/>
    <w:rsid w:val="001A5E51"/>
    <w:rsid w:val="001A5F14"/>
    <w:rsid w:val="001A5F38"/>
    <w:rsid w:val="001A5FDA"/>
    <w:rsid w:val="001A6205"/>
    <w:rsid w:val="001A621A"/>
    <w:rsid w:val="001A62F4"/>
    <w:rsid w:val="001A6720"/>
    <w:rsid w:val="001A68E3"/>
    <w:rsid w:val="001A69BF"/>
    <w:rsid w:val="001A6C8E"/>
    <w:rsid w:val="001A6F08"/>
    <w:rsid w:val="001A6FEF"/>
    <w:rsid w:val="001A70EE"/>
    <w:rsid w:val="001A70EF"/>
    <w:rsid w:val="001A7200"/>
    <w:rsid w:val="001A763B"/>
    <w:rsid w:val="001A7858"/>
    <w:rsid w:val="001A7895"/>
    <w:rsid w:val="001A7A93"/>
    <w:rsid w:val="001B0094"/>
    <w:rsid w:val="001B0143"/>
    <w:rsid w:val="001B04CC"/>
    <w:rsid w:val="001B0828"/>
    <w:rsid w:val="001B0874"/>
    <w:rsid w:val="001B0A75"/>
    <w:rsid w:val="001B0AEA"/>
    <w:rsid w:val="001B0AFF"/>
    <w:rsid w:val="001B0B8A"/>
    <w:rsid w:val="001B0DED"/>
    <w:rsid w:val="001B0E70"/>
    <w:rsid w:val="001B0E7D"/>
    <w:rsid w:val="001B0F65"/>
    <w:rsid w:val="001B0F94"/>
    <w:rsid w:val="001B118B"/>
    <w:rsid w:val="001B133C"/>
    <w:rsid w:val="001B1349"/>
    <w:rsid w:val="001B16AC"/>
    <w:rsid w:val="001B1AF2"/>
    <w:rsid w:val="001B1EEA"/>
    <w:rsid w:val="001B212C"/>
    <w:rsid w:val="001B2205"/>
    <w:rsid w:val="001B2352"/>
    <w:rsid w:val="001B2635"/>
    <w:rsid w:val="001B26E9"/>
    <w:rsid w:val="001B26F1"/>
    <w:rsid w:val="001B2919"/>
    <w:rsid w:val="001B2A84"/>
    <w:rsid w:val="001B2CC2"/>
    <w:rsid w:val="001B2D7F"/>
    <w:rsid w:val="001B2DE3"/>
    <w:rsid w:val="001B2E26"/>
    <w:rsid w:val="001B35F1"/>
    <w:rsid w:val="001B36D8"/>
    <w:rsid w:val="001B37BC"/>
    <w:rsid w:val="001B37D8"/>
    <w:rsid w:val="001B39A6"/>
    <w:rsid w:val="001B39BF"/>
    <w:rsid w:val="001B3A56"/>
    <w:rsid w:val="001B3C8C"/>
    <w:rsid w:val="001B4493"/>
    <w:rsid w:val="001B4512"/>
    <w:rsid w:val="001B4681"/>
    <w:rsid w:val="001B4766"/>
    <w:rsid w:val="001B480B"/>
    <w:rsid w:val="001B4981"/>
    <w:rsid w:val="001B4ABA"/>
    <w:rsid w:val="001B4B95"/>
    <w:rsid w:val="001B4F00"/>
    <w:rsid w:val="001B5088"/>
    <w:rsid w:val="001B5243"/>
    <w:rsid w:val="001B53BD"/>
    <w:rsid w:val="001B54C8"/>
    <w:rsid w:val="001B54DD"/>
    <w:rsid w:val="001B55E2"/>
    <w:rsid w:val="001B5839"/>
    <w:rsid w:val="001B5A62"/>
    <w:rsid w:val="001B5C19"/>
    <w:rsid w:val="001B5EB9"/>
    <w:rsid w:val="001B65F3"/>
    <w:rsid w:val="001B6B0E"/>
    <w:rsid w:val="001B6E1D"/>
    <w:rsid w:val="001B712A"/>
    <w:rsid w:val="001B72E4"/>
    <w:rsid w:val="001B74F1"/>
    <w:rsid w:val="001B7618"/>
    <w:rsid w:val="001B7911"/>
    <w:rsid w:val="001B7939"/>
    <w:rsid w:val="001B79EE"/>
    <w:rsid w:val="001B7A66"/>
    <w:rsid w:val="001B7B06"/>
    <w:rsid w:val="001C0035"/>
    <w:rsid w:val="001C003D"/>
    <w:rsid w:val="001C03F6"/>
    <w:rsid w:val="001C0487"/>
    <w:rsid w:val="001C0558"/>
    <w:rsid w:val="001C0609"/>
    <w:rsid w:val="001C06B0"/>
    <w:rsid w:val="001C0768"/>
    <w:rsid w:val="001C08FA"/>
    <w:rsid w:val="001C0B58"/>
    <w:rsid w:val="001C0BCB"/>
    <w:rsid w:val="001C0D51"/>
    <w:rsid w:val="001C0EDF"/>
    <w:rsid w:val="001C0F1A"/>
    <w:rsid w:val="001C0F8B"/>
    <w:rsid w:val="001C0FB0"/>
    <w:rsid w:val="001C1181"/>
    <w:rsid w:val="001C120B"/>
    <w:rsid w:val="001C138C"/>
    <w:rsid w:val="001C1419"/>
    <w:rsid w:val="001C15B2"/>
    <w:rsid w:val="001C161C"/>
    <w:rsid w:val="001C1ACF"/>
    <w:rsid w:val="001C1BDB"/>
    <w:rsid w:val="001C1C3C"/>
    <w:rsid w:val="001C1C40"/>
    <w:rsid w:val="001C1FB0"/>
    <w:rsid w:val="001C20A1"/>
    <w:rsid w:val="001C20AE"/>
    <w:rsid w:val="001C20FC"/>
    <w:rsid w:val="001C27C6"/>
    <w:rsid w:val="001C28CE"/>
    <w:rsid w:val="001C2A9A"/>
    <w:rsid w:val="001C2D5D"/>
    <w:rsid w:val="001C3030"/>
    <w:rsid w:val="001C30E0"/>
    <w:rsid w:val="001C3339"/>
    <w:rsid w:val="001C3610"/>
    <w:rsid w:val="001C37CD"/>
    <w:rsid w:val="001C3944"/>
    <w:rsid w:val="001C3976"/>
    <w:rsid w:val="001C3990"/>
    <w:rsid w:val="001C3B58"/>
    <w:rsid w:val="001C3BA1"/>
    <w:rsid w:val="001C3C7A"/>
    <w:rsid w:val="001C3D43"/>
    <w:rsid w:val="001C3ECD"/>
    <w:rsid w:val="001C3EF7"/>
    <w:rsid w:val="001C4327"/>
    <w:rsid w:val="001C470A"/>
    <w:rsid w:val="001C4859"/>
    <w:rsid w:val="001C509C"/>
    <w:rsid w:val="001C52BD"/>
    <w:rsid w:val="001C52EC"/>
    <w:rsid w:val="001C535F"/>
    <w:rsid w:val="001C570A"/>
    <w:rsid w:val="001C58E7"/>
    <w:rsid w:val="001C59E2"/>
    <w:rsid w:val="001C5A7A"/>
    <w:rsid w:val="001C5C8E"/>
    <w:rsid w:val="001C5E30"/>
    <w:rsid w:val="001C5E96"/>
    <w:rsid w:val="001C619A"/>
    <w:rsid w:val="001C61F7"/>
    <w:rsid w:val="001C6536"/>
    <w:rsid w:val="001C659D"/>
    <w:rsid w:val="001C66D8"/>
    <w:rsid w:val="001C6867"/>
    <w:rsid w:val="001C6D6D"/>
    <w:rsid w:val="001C6DF7"/>
    <w:rsid w:val="001C6EC0"/>
    <w:rsid w:val="001C6ED4"/>
    <w:rsid w:val="001C6F1F"/>
    <w:rsid w:val="001C70DE"/>
    <w:rsid w:val="001C766F"/>
    <w:rsid w:val="001C77C2"/>
    <w:rsid w:val="001C79DD"/>
    <w:rsid w:val="001C7A45"/>
    <w:rsid w:val="001C7C01"/>
    <w:rsid w:val="001C7C42"/>
    <w:rsid w:val="001C7CBB"/>
    <w:rsid w:val="001C7F0D"/>
    <w:rsid w:val="001C7FA4"/>
    <w:rsid w:val="001D01FA"/>
    <w:rsid w:val="001D0353"/>
    <w:rsid w:val="001D03A7"/>
    <w:rsid w:val="001D040B"/>
    <w:rsid w:val="001D04BD"/>
    <w:rsid w:val="001D04F0"/>
    <w:rsid w:val="001D0651"/>
    <w:rsid w:val="001D075C"/>
    <w:rsid w:val="001D0BEA"/>
    <w:rsid w:val="001D0CAD"/>
    <w:rsid w:val="001D145A"/>
    <w:rsid w:val="001D174C"/>
    <w:rsid w:val="001D20C8"/>
    <w:rsid w:val="001D2166"/>
    <w:rsid w:val="001D2192"/>
    <w:rsid w:val="001D232A"/>
    <w:rsid w:val="001D2510"/>
    <w:rsid w:val="001D2718"/>
    <w:rsid w:val="001D27E4"/>
    <w:rsid w:val="001D29AE"/>
    <w:rsid w:val="001D2AD9"/>
    <w:rsid w:val="001D2C71"/>
    <w:rsid w:val="001D2ED8"/>
    <w:rsid w:val="001D313B"/>
    <w:rsid w:val="001D3201"/>
    <w:rsid w:val="001D35F4"/>
    <w:rsid w:val="001D36AE"/>
    <w:rsid w:val="001D3754"/>
    <w:rsid w:val="001D382C"/>
    <w:rsid w:val="001D398F"/>
    <w:rsid w:val="001D3BB4"/>
    <w:rsid w:val="001D3C0F"/>
    <w:rsid w:val="001D428C"/>
    <w:rsid w:val="001D42E2"/>
    <w:rsid w:val="001D42F0"/>
    <w:rsid w:val="001D44C3"/>
    <w:rsid w:val="001D45A3"/>
    <w:rsid w:val="001D4662"/>
    <w:rsid w:val="001D4E72"/>
    <w:rsid w:val="001D5159"/>
    <w:rsid w:val="001D5166"/>
    <w:rsid w:val="001D51FD"/>
    <w:rsid w:val="001D523D"/>
    <w:rsid w:val="001D5272"/>
    <w:rsid w:val="001D543F"/>
    <w:rsid w:val="001D57B1"/>
    <w:rsid w:val="001D58E9"/>
    <w:rsid w:val="001D58FB"/>
    <w:rsid w:val="001D5900"/>
    <w:rsid w:val="001D5A14"/>
    <w:rsid w:val="001D5AED"/>
    <w:rsid w:val="001D5D52"/>
    <w:rsid w:val="001D5E66"/>
    <w:rsid w:val="001D5F32"/>
    <w:rsid w:val="001D642C"/>
    <w:rsid w:val="001D643C"/>
    <w:rsid w:val="001D6727"/>
    <w:rsid w:val="001D68DF"/>
    <w:rsid w:val="001D69DD"/>
    <w:rsid w:val="001D6C14"/>
    <w:rsid w:val="001D6C65"/>
    <w:rsid w:val="001D6C9C"/>
    <w:rsid w:val="001D6DF7"/>
    <w:rsid w:val="001D6E7C"/>
    <w:rsid w:val="001D6F35"/>
    <w:rsid w:val="001D718D"/>
    <w:rsid w:val="001D7368"/>
    <w:rsid w:val="001D73C0"/>
    <w:rsid w:val="001D7642"/>
    <w:rsid w:val="001D7661"/>
    <w:rsid w:val="001D768C"/>
    <w:rsid w:val="001D76E7"/>
    <w:rsid w:val="001D7847"/>
    <w:rsid w:val="001D78AA"/>
    <w:rsid w:val="001D7A84"/>
    <w:rsid w:val="001D7D46"/>
    <w:rsid w:val="001D7DCE"/>
    <w:rsid w:val="001D7E14"/>
    <w:rsid w:val="001D7EE8"/>
    <w:rsid w:val="001D7FB5"/>
    <w:rsid w:val="001E0061"/>
    <w:rsid w:val="001E016B"/>
    <w:rsid w:val="001E0375"/>
    <w:rsid w:val="001E03E2"/>
    <w:rsid w:val="001E05FA"/>
    <w:rsid w:val="001E0909"/>
    <w:rsid w:val="001E0953"/>
    <w:rsid w:val="001E0AE7"/>
    <w:rsid w:val="001E0C48"/>
    <w:rsid w:val="001E0C93"/>
    <w:rsid w:val="001E0CDB"/>
    <w:rsid w:val="001E0F72"/>
    <w:rsid w:val="001E11EA"/>
    <w:rsid w:val="001E1311"/>
    <w:rsid w:val="001E14E8"/>
    <w:rsid w:val="001E1500"/>
    <w:rsid w:val="001E1925"/>
    <w:rsid w:val="001E1CD6"/>
    <w:rsid w:val="001E1D3E"/>
    <w:rsid w:val="001E1E72"/>
    <w:rsid w:val="001E1F12"/>
    <w:rsid w:val="001E2252"/>
    <w:rsid w:val="001E2352"/>
    <w:rsid w:val="001E2387"/>
    <w:rsid w:val="001E2687"/>
    <w:rsid w:val="001E2807"/>
    <w:rsid w:val="001E2927"/>
    <w:rsid w:val="001E2988"/>
    <w:rsid w:val="001E2B93"/>
    <w:rsid w:val="001E2C11"/>
    <w:rsid w:val="001E2E05"/>
    <w:rsid w:val="001E2F15"/>
    <w:rsid w:val="001E2F31"/>
    <w:rsid w:val="001E32CD"/>
    <w:rsid w:val="001E33E8"/>
    <w:rsid w:val="001E34C1"/>
    <w:rsid w:val="001E3743"/>
    <w:rsid w:val="001E3B0D"/>
    <w:rsid w:val="001E3EFD"/>
    <w:rsid w:val="001E403C"/>
    <w:rsid w:val="001E4186"/>
    <w:rsid w:val="001E423E"/>
    <w:rsid w:val="001E45B4"/>
    <w:rsid w:val="001E4838"/>
    <w:rsid w:val="001E4929"/>
    <w:rsid w:val="001E4E1B"/>
    <w:rsid w:val="001E4E56"/>
    <w:rsid w:val="001E4EE3"/>
    <w:rsid w:val="001E502A"/>
    <w:rsid w:val="001E526A"/>
    <w:rsid w:val="001E54FC"/>
    <w:rsid w:val="001E5A87"/>
    <w:rsid w:val="001E5B1B"/>
    <w:rsid w:val="001E5B26"/>
    <w:rsid w:val="001E5C97"/>
    <w:rsid w:val="001E5D18"/>
    <w:rsid w:val="001E5DDA"/>
    <w:rsid w:val="001E5F4B"/>
    <w:rsid w:val="001E5F74"/>
    <w:rsid w:val="001E6156"/>
    <w:rsid w:val="001E617A"/>
    <w:rsid w:val="001E62CF"/>
    <w:rsid w:val="001E6341"/>
    <w:rsid w:val="001E642B"/>
    <w:rsid w:val="001E67E6"/>
    <w:rsid w:val="001E6BA9"/>
    <w:rsid w:val="001E6E8A"/>
    <w:rsid w:val="001E6EF6"/>
    <w:rsid w:val="001E6F12"/>
    <w:rsid w:val="001E768B"/>
    <w:rsid w:val="001E7785"/>
    <w:rsid w:val="001E7925"/>
    <w:rsid w:val="001E7A31"/>
    <w:rsid w:val="001E7B0A"/>
    <w:rsid w:val="001E7B72"/>
    <w:rsid w:val="001E7C42"/>
    <w:rsid w:val="001E7D3E"/>
    <w:rsid w:val="001F06AE"/>
    <w:rsid w:val="001F0870"/>
    <w:rsid w:val="001F0C0E"/>
    <w:rsid w:val="001F0ED2"/>
    <w:rsid w:val="001F0F40"/>
    <w:rsid w:val="001F0F8C"/>
    <w:rsid w:val="001F1135"/>
    <w:rsid w:val="001F1293"/>
    <w:rsid w:val="001F1580"/>
    <w:rsid w:val="001F16CD"/>
    <w:rsid w:val="001F187C"/>
    <w:rsid w:val="001F188C"/>
    <w:rsid w:val="001F1915"/>
    <w:rsid w:val="001F1B85"/>
    <w:rsid w:val="001F1D0A"/>
    <w:rsid w:val="001F2000"/>
    <w:rsid w:val="001F212A"/>
    <w:rsid w:val="001F236E"/>
    <w:rsid w:val="001F23CD"/>
    <w:rsid w:val="001F24AF"/>
    <w:rsid w:val="001F2527"/>
    <w:rsid w:val="001F2793"/>
    <w:rsid w:val="001F28AE"/>
    <w:rsid w:val="001F29B7"/>
    <w:rsid w:val="001F2B73"/>
    <w:rsid w:val="001F2BE9"/>
    <w:rsid w:val="001F2C6D"/>
    <w:rsid w:val="001F319F"/>
    <w:rsid w:val="001F3562"/>
    <w:rsid w:val="001F3622"/>
    <w:rsid w:val="001F36D8"/>
    <w:rsid w:val="001F37C2"/>
    <w:rsid w:val="001F38B5"/>
    <w:rsid w:val="001F38BE"/>
    <w:rsid w:val="001F3935"/>
    <w:rsid w:val="001F3CC8"/>
    <w:rsid w:val="001F3E67"/>
    <w:rsid w:val="001F40A9"/>
    <w:rsid w:val="001F423D"/>
    <w:rsid w:val="001F4263"/>
    <w:rsid w:val="001F4401"/>
    <w:rsid w:val="001F444D"/>
    <w:rsid w:val="001F44F5"/>
    <w:rsid w:val="001F450B"/>
    <w:rsid w:val="001F4531"/>
    <w:rsid w:val="001F4543"/>
    <w:rsid w:val="001F4665"/>
    <w:rsid w:val="001F466B"/>
    <w:rsid w:val="001F4965"/>
    <w:rsid w:val="001F4A77"/>
    <w:rsid w:val="001F4AED"/>
    <w:rsid w:val="001F4B1A"/>
    <w:rsid w:val="001F4BFF"/>
    <w:rsid w:val="001F4E0E"/>
    <w:rsid w:val="001F4E84"/>
    <w:rsid w:val="001F51E1"/>
    <w:rsid w:val="001F528C"/>
    <w:rsid w:val="001F5494"/>
    <w:rsid w:val="001F55FD"/>
    <w:rsid w:val="001F57B7"/>
    <w:rsid w:val="001F5B29"/>
    <w:rsid w:val="001F5BD6"/>
    <w:rsid w:val="001F5C1D"/>
    <w:rsid w:val="001F5C48"/>
    <w:rsid w:val="001F5F61"/>
    <w:rsid w:val="001F619B"/>
    <w:rsid w:val="001F61B8"/>
    <w:rsid w:val="001F61BA"/>
    <w:rsid w:val="001F62D4"/>
    <w:rsid w:val="001F63C6"/>
    <w:rsid w:val="001F6462"/>
    <w:rsid w:val="001F65F0"/>
    <w:rsid w:val="001F6839"/>
    <w:rsid w:val="001F6971"/>
    <w:rsid w:val="001F6B8F"/>
    <w:rsid w:val="001F6C83"/>
    <w:rsid w:val="001F6D80"/>
    <w:rsid w:val="001F715E"/>
    <w:rsid w:val="001F746B"/>
    <w:rsid w:val="001F78C6"/>
    <w:rsid w:val="001F7C27"/>
    <w:rsid w:val="001F7C4D"/>
    <w:rsid w:val="001F7C9E"/>
    <w:rsid w:val="001F7EDB"/>
    <w:rsid w:val="00200010"/>
    <w:rsid w:val="0020008A"/>
    <w:rsid w:val="002004AE"/>
    <w:rsid w:val="002005C2"/>
    <w:rsid w:val="0020067C"/>
    <w:rsid w:val="002006A9"/>
    <w:rsid w:val="00200827"/>
    <w:rsid w:val="00200A32"/>
    <w:rsid w:val="00200B4A"/>
    <w:rsid w:val="00200B84"/>
    <w:rsid w:val="00200C5E"/>
    <w:rsid w:val="002011CF"/>
    <w:rsid w:val="0020136B"/>
    <w:rsid w:val="0020146A"/>
    <w:rsid w:val="0020171B"/>
    <w:rsid w:val="002018EE"/>
    <w:rsid w:val="00201969"/>
    <w:rsid w:val="00201A7B"/>
    <w:rsid w:val="00201C85"/>
    <w:rsid w:val="00201CC1"/>
    <w:rsid w:val="00201D2E"/>
    <w:rsid w:val="00201E58"/>
    <w:rsid w:val="00201FFA"/>
    <w:rsid w:val="00202172"/>
    <w:rsid w:val="0020228E"/>
    <w:rsid w:val="002026D9"/>
    <w:rsid w:val="00202ABF"/>
    <w:rsid w:val="00202B29"/>
    <w:rsid w:val="00202E48"/>
    <w:rsid w:val="00202FA9"/>
    <w:rsid w:val="00203014"/>
    <w:rsid w:val="0020304D"/>
    <w:rsid w:val="002030E3"/>
    <w:rsid w:val="00203417"/>
    <w:rsid w:val="00203566"/>
    <w:rsid w:val="00203727"/>
    <w:rsid w:val="00203729"/>
    <w:rsid w:val="0020376C"/>
    <w:rsid w:val="0020378F"/>
    <w:rsid w:val="00203795"/>
    <w:rsid w:val="00203896"/>
    <w:rsid w:val="00203D11"/>
    <w:rsid w:val="00203D4E"/>
    <w:rsid w:val="00204180"/>
    <w:rsid w:val="0020427D"/>
    <w:rsid w:val="00204457"/>
    <w:rsid w:val="00204848"/>
    <w:rsid w:val="0020490F"/>
    <w:rsid w:val="00204B4C"/>
    <w:rsid w:val="00204C5D"/>
    <w:rsid w:val="00204CBA"/>
    <w:rsid w:val="00204F62"/>
    <w:rsid w:val="00205097"/>
    <w:rsid w:val="00205139"/>
    <w:rsid w:val="0020555E"/>
    <w:rsid w:val="002055D2"/>
    <w:rsid w:val="0020573B"/>
    <w:rsid w:val="00205745"/>
    <w:rsid w:val="002058A2"/>
    <w:rsid w:val="00205994"/>
    <w:rsid w:val="00205D6D"/>
    <w:rsid w:val="00205DB4"/>
    <w:rsid w:val="00205EF2"/>
    <w:rsid w:val="0020609D"/>
    <w:rsid w:val="00206170"/>
    <w:rsid w:val="0020623A"/>
    <w:rsid w:val="002063FA"/>
    <w:rsid w:val="002066D9"/>
    <w:rsid w:val="00206802"/>
    <w:rsid w:val="002068E8"/>
    <w:rsid w:val="00206917"/>
    <w:rsid w:val="002069A8"/>
    <w:rsid w:val="00206C35"/>
    <w:rsid w:val="00206D4D"/>
    <w:rsid w:val="00206D9A"/>
    <w:rsid w:val="00206E38"/>
    <w:rsid w:val="0020714C"/>
    <w:rsid w:val="00207156"/>
    <w:rsid w:val="00207349"/>
    <w:rsid w:val="00207824"/>
    <w:rsid w:val="00207A60"/>
    <w:rsid w:val="0021015F"/>
    <w:rsid w:val="00210177"/>
    <w:rsid w:val="002102CF"/>
    <w:rsid w:val="002106AE"/>
    <w:rsid w:val="002106DD"/>
    <w:rsid w:val="00210A74"/>
    <w:rsid w:val="00210B00"/>
    <w:rsid w:val="00210EEF"/>
    <w:rsid w:val="00210FC7"/>
    <w:rsid w:val="002111A4"/>
    <w:rsid w:val="002111D7"/>
    <w:rsid w:val="002112A6"/>
    <w:rsid w:val="0021173F"/>
    <w:rsid w:val="002117B6"/>
    <w:rsid w:val="00211802"/>
    <w:rsid w:val="00211894"/>
    <w:rsid w:val="002118F3"/>
    <w:rsid w:val="00211AB1"/>
    <w:rsid w:val="00211B02"/>
    <w:rsid w:val="00211CDE"/>
    <w:rsid w:val="00211E93"/>
    <w:rsid w:val="00212092"/>
    <w:rsid w:val="00212361"/>
    <w:rsid w:val="00212494"/>
    <w:rsid w:val="002127C7"/>
    <w:rsid w:val="00212852"/>
    <w:rsid w:val="00212936"/>
    <w:rsid w:val="0021295F"/>
    <w:rsid w:val="00212A3B"/>
    <w:rsid w:val="00212A90"/>
    <w:rsid w:val="00212D03"/>
    <w:rsid w:val="00212E06"/>
    <w:rsid w:val="00212F2C"/>
    <w:rsid w:val="00213099"/>
    <w:rsid w:val="002130F5"/>
    <w:rsid w:val="0021329C"/>
    <w:rsid w:val="00213382"/>
    <w:rsid w:val="0021338D"/>
    <w:rsid w:val="002135E7"/>
    <w:rsid w:val="00213ECB"/>
    <w:rsid w:val="00213F9F"/>
    <w:rsid w:val="002141A4"/>
    <w:rsid w:val="002142C1"/>
    <w:rsid w:val="0021483F"/>
    <w:rsid w:val="00214A14"/>
    <w:rsid w:val="00214B6A"/>
    <w:rsid w:val="00214D83"/>
    <w:rsid w:val="00214F3A"/>
    <w:rsid w:val="002151A7"/>
    <w:rsid w:val="002152C0"/>
    <w:rsid w:val="00215473"/>
    <w:rsid w:val="0021573F"/>
    <w:rsid w:val="00215750"/>
    <w:rsid w:val="002157FA"/>
    <w:rsid w:val="00215A5C"/>
    <w:rsid w:val="00215A78"/>
    <w:rsid w:val="00215AC4"/>
    <w:rsid w:val="00215AF6"/>
    <w:rsid w:val="00215BDC"/>
    <w:rsid w:val="00215C74"/>
    <w:rsid w:val="00215DD6"/>
    <w:rsid w:val="00215E3A"/>
    <w:rsid w:val="00216366"/>
    <w:rsid w:val="002163DB"/>
    <w:rsid w:val="002163EB"/>
    <w:rsid w:val="0021645E"/>
    <w:rsid w:val="002168AB"/>
    <w:rsid w:val="0021697F"/>
    <w:rsid w:val="002169E4"/>
    <w:rsid w:val="00216A61"/>
    <w:rsid w:val="00216B21"/>
    <w:rsid w:val="00216C7C"/>
    <w:rsid w:val="00216C88"/>
    <w:rsid w:val="00216CD9"/>
    <w:rsid w:val="00216CF6"/>
    <w:rsid w:val="00216DF2"/>
    <w:rsid w:val="00216E69"/>
    <w:rsid w:val="00217169"/>
    <w:rsid w:val="00217207"/>
    <w:rsid w:val="00217286"/>
    <w:rsid w:val="0021747B"/>
    <w:rsid w:val="0021760F"/>
    <w:rsid w:val="00217778"/>
    <w:rsid w:val="00217815"/>
    <w:rsid w:val="00217A03"/>
    <w:rsid w:val="00217B36"/>
    <w:rsid w:val="00217C7D"/>
    <w:rsid w:val="00217D36"/>
    <w:rsid w:val="00217EF5"/>
    <w:rsid w:val="00217FAF"/>
    <w:rsid w:val="002209D3"/>
    <w:rsid w:val="00220B87"/>
    <w:rsid w:val="00220CCF"/>
    <w:rsid w:val="00220D5F"/>
    <w:rsid w:val="00220EA9"/>
    <w:rsid w:val="00220F21"/>
    <w:rsid w:val="00220FA4"/>
    <w:rsid w:val="002211FC"/>
    <w:rsid w:val="0022138F"/>
    <w:rsid w:val="0022143C"/>
    <w:rsid w:val="00221660"/>
    <w:rsid w:val="00221701"/>
    <w:rsid w:val="00221802"/>
    <w:rsid w:val="00221DD2"/>
    <w:rsid w:val="00221E3A"/>
    <w:rsid w:val="0022220B"/>
    <w:rsid w:val="002222A7"/>
    <w:rsid w:val="00222341"/>
    <w:rsid w:val="00222353"/>
    <w:rsid w:val="00222372"/>
    <w:rsid w:val="002223B6"/>
    <w:rsid w:val="00222781"/>
    <w:rsid w:val="002227E5"/>
    <w:rsid w:val="002228B6"/>
    <w:rsid w:val="00222932"/>
    <w:rsid w:val="00222ACE"/>
    <w:rsid w:val="00222B3E"/>
    <w:rsid w:val="00222EB4"/>
    <w:rsid w:val="00222F0C"/>
    <w:rsid w:val="00222F17"/>
    <w:rsid w:val="00223045"/>
    <w:rsid w:val="002231E2"/>
    <w:rsid w:val="0022335C"/>
    <w:rsid w:val="002234BE"/>
    <w:rsid w:val="002234FD"/>
    <w:rsid w:val="0022368A"/>
    <w:rsid w:val="0022380C"/>
    <w:rsid w:val="00223A8C"/>
    <w:rsid w:val="00223C2A"/>
    <w:rsid w:val="00223D88"/>
    <w:rsid w:val="00223F08"/>
    <w:rsid w:val="002242FB"/>
    <w:rsid w:val="002243D5"/>
    <w:rsid w:val="002244E0"/>
    <w:rsid w:val="002247A4"/>
    <w:rsid w:val="00224A66"/>
    <w:rsid w:val="00224C5C"/>
    <w:rsid w:val="002253AA"/>
    <w:rsid w:val="002253BA"/>
    <w:rsid w:val="0022542F"/>
    <w:rsid w:val="002256FA"/>
    <w:rsid w:val="00225CBC"/>
    <w:rsid w:val="00225DE6"/>
    <w:rsid w:val="00226189"/>
    <w:rsid w:val="00226340"/>
    <w:rsid w:val="00226656"/>
    <w:rsid w:val="00226697"/>
    <w:rsid w:val="002266C5"/>
    <w:rsid w:val="0022676A"/>
    <w:rsid w:val="002267E8"/>
    <w:rsid w:val="00226841"/>
    <w:rsid w:val="00226C73"/>
    <w:rsid w:val="002270CD"/>
    <w:rsid w:val="002272BF"/>
    <w:rsid w:val="00227400"/>
    <w:rsid w:val="00227E2D"/>
    <w:rsid w:val="00227E43"/>
    <w:rsid w:val="00227F1F"/>
    <w:rsid w:val="00227F37"/>
    <w:rsid w:val="00227F9E"/>
    <w:rsid w:val="002305C0"/>
    <w:rsid w:val="002306A7"/>
    <w:rsid w:val="00230E1A"/>
    <w:rsid w:val="00230F65"/>
    <w:rsid w:val="00230FC3"/>
    <w:rsid w:val="0023114A"/>
    <w:rsid w:val="00231261"/>
    <w:rsid w:val="002312B9"/>
    <w:rsid w:val="00231575"/>
    <w:rsid w:val="00231660"/>
    <w:rsid w:val="00231744"/>
    <w:rsid w:val="0023190C"/>
    <w:rsid w:val="00231A0F"/>
    <w:rsid w:val="00231A37"/>
    <w:rsid w:val="00231A6F"/>
    <w:rsid w:val="00231A91"/>
    <w:rsid w:val="00231B44"/>
    <w:rsid w:val="0023241F"/>
    <w:rsid w:val="002324E3"/>
    <w:rsid w:val="002326E8"/>
    <w:rsid w:val="00232867"/>
    <w:rsid w:val="002329F2"/>
    <w:rsid w:val="00232C2D"/>
    <w:rsid w:val="00232C83"/>
    <w:rsid w:val="00232F20"/>
    <w:rsid w:val="00232FC1"/>
    <w:rsid w:val="00233065"/>
    <w:rsid w:val="002332C6"/>
    <w:rsid w:val="00233383"/>
    <w:rsid w:val="00233565"/>
    <w:rsid w:val="002335DE"/>
    <w:rsid w:val="0023399F"/>
    <w:rsid w:val="00233B8A"/>
    <w:rsid w:val="00233CAB"/>
    <w:rsid w:val="002340B6"/>
    <w:rsid w:val="0023457F"/>
    <w:rsid w:val="002346C5"/>
    <w:rsid w:val="002346F0"/>
    <w:rsid w:val="0023497E"/>
    <w:rsid w:val="002349C7"/>
    <w:rsid w:val="00234A73"/>
    <w:rsid w:val="00234BA2"/>
    <w:rsid w:val="00234BB5"/>
    <w:rsid w:val="00234DB3"/>
    <w:rsid w:val="00234F31"/>
    <w:rsid w:val="00234FD6"/>
    <w:rsid w:val="00235199"/>
    <w:rsid w:val="00235287"/>
    <w:rsid w:val="00235582"/>
    <w:rsid w:val="002356E8"/>
    <w:rsid w:val="00235C1B"/>
    <w:rsid w:val="002360BC"/>
    <w:rsid w:val="00236190"/>
    <w:rsid w:val="002362B8"/>
    <w:rsid w:val="00236338"/>
    <w:rsid w:val="00236552"/>
    <w:rsid w:val="00236748"/>
    <w:rsid w:val="00236D87"/>
    <w:rsid w:val="00236E45"/>
    <w:rsid w:val="00236E83"/>
    <w:rsid w:val="00236FF2"/>
    <w:rsid w:val="002370AB"/>
    <w:rsid w:val="0023785F"/>
    <w:rsid w:val="00237872"/>
    <w:rsid w:val="002379F1"/>
    <w:rsid w:val="00237D54"/>
    <w:rsid w:val="00240192"/>
    <w:rsid w:val="002402EA"/>
    <w:rsid w:val="00240520"/>
    <w:rsid w:val="00240773"/>
    <w:rsid w:val="002408FA"/>
    <w:rsid w:val="00240A7B"/>
    <w:rsid w:val="00240FC1"/>
    <w:rsid w:val="00240FED"/>
    <w:rsid w:val="0024102B"/>
    <w:rsid w:val="002410D5"/>
    <w:rsid w:val="00241118"/>
    <w:rsid w:val="0024125B"/>
    <w:rsid w:val="002414BA"/>
    <w:rsid w:val="00241504"/>
    <w:rsid w:val="002415BA"/>
    <w:rsid w:val="0024174C"/>
    <w:rsid w:val="002418A2"/>
    <w:rsid w:val="002419C4"/>
    <w:rsid w:val="00241A0B"/>
    <w:rsid w:val="00241A97"/>
    <w:rsid w:val="00241B08"/>
    <w:rsid w:val="00241B46"/>
    <w:rsid w:val="00241C24"/>
    <w:rsid w:val="00241D55"/>
    <w:rsid w:val="00241E54"/>
    <w:rsid w:val="00241F0C"/>
    <w:rsid w:val="00242021"/>
    <w:rsid w:val="002425AB"/>
    <w:rsid w:val="00242650"/>
    <w:rsid w:val="002428FA"/>
    <w:rsid w:val="00242A25"/>
    <w:rsid w:val="00242AE7"/>
    <w:rsid w:val="00242E11"/>
    <w:rsid w:val="00242E2B"/>
    <w:rsid w:val="00242EEC"/>
    <w:rsid w:val="0024304B"/>
    <w:rsid w:val="0024319E"/>
    <w:rsid w:val="002435BF"/>
    <w:rsid w:val="002435FF"/>
    <w:rsid w:val="00243659"/>
    <w:rsid w:val="00243742"/>
    <w:rsid w:val="002437AD"/>
    <w:rsid w:val="00243BE4"/>
    <w:rsid w:val="00243EFE"/>
    <w:rsid w:val="00243FE7"/>
    <w:rsid w:val="00244010"/>
    <w:rsid w:val="002443DB"/>
    <w:rsid w:val="00244414"/>
    <w:rsid w:val="00244427"/>
    <w:rsid w:val="00244513"/>
    <w:rsid w:val="00244606"/>
    <w:rsid w:val="00244B17"/>
    <w:rsid w:val="00244B37"/>
    <w:rsid w:val="00244B73"/>
    <w:rsid w:val="00244B8D"/>
    <w:rsid w:val="00244BF8"/>
    <w:rsid w:val="0024517B"/>
    <w:rsid w:val="002456E9"/>
    <w:rsid w:val="00245AF6"/>
    <w:rsid w:val="00245B06"/>
    <w:rsid w:val="00245BC6"/>
    <w:rsid w:val="00245D83"/>
    <w:rsid w:val="00245FF5"/>
    <w:rsid w:val="002461DC"/>
    <w:rsid w:val="00246449"/>
    <w:rsid w:val="0024647A"/>
    <w:rsid w:val="0024654B"/>
    <w:rsid w:val="0024661C"/>
    <w:rsid w:val="002467CD"/>
    <w:rsid w:val="002467EE"/>
    <w:rsid w:val="00246AEC"/>
    <w:rsid w:val="00247392"/>
    <w:rsid w:val="0024743B"/>
    <w:rsid w:val="002476AF"/>
    <w:rsid w:val="0024795A"/>
    <w:rsid w:val="00247A42"/>
    <w:rsid w:val="00247BE9"/>
    <w:rsid w:val="00247C2D"/>
    <w:rsid w:val="00247EF9"/>
    <w:rsid w:val="002502FF"/>
    <w:rsid w:val="0025051C"/>
    <w:rsid w:val="002506D0"/>
    <w:rsid w:val="00250879"/>
    <w:rsid w:val="002509AB"/>
    <w:rsid w:val="00250DBE"/>
    <w:rsid w:val="00250DE4"/>
    <w:rsid w:val="00250E05"/>
    <w:rsid w:val="00250E4D"/>
    <w:rsid w:val="002511CA"/>
    <w:rsid w:val="002514BB"/>
    <w:rsid w:val="002515D7"/>
    <w:rsid w:val="00251680"/>
    <w:rsid w:val="00251759"/>
    <w:rsid w:val="00251775"/>
    <w:rsid w:val="002517AC"/>
    <w:rsid w:val="00252090"/>
    <w:rsid w:val="00252254"/>
    <w:rsid w:val="00252269"/>
    <w:rsid w:val="0025243A"/>
    <w:rsid w:val="00252451"/>
    <w:rsid w:val="0025245E"/>
    <w:rsid w:val="002524ED"/>
    <w:rsid w:val="0025277E"/>
    <w:rsid w:val="00252816"/>
    <w:rsid w:val="002529D6"/>
    <w:rsid w:val="00252D63"/>
    <w:rsid w:val="00252F27"/>
    <w:rsid w:val="00252F33"/>
    <w:rsid w:val="002531B4"/>
    <w:rsid w:val="002532C1"/>
    <w:rsid w:val="002535CF"/>
    <w:rsid w:val="00253677"/>
    <w:rsid w:val="002536DD"/>
    <w:rsid w:val="00253775"/>
    <w:rsid w:val="00253846"/>
    <w:rsid w:val="00253869"/>
    <w:rsid w:val="0025391A"/>
    <w:rsid w:val="00253AA5"/>
    <w:rsid w:val="00253C37"/>
    <w:rsid w:val="00253D2A"/>
    <w:rsid w:val="00253E28"/>
    <w:rsid w:val="00253EDF"/>
    <w:rsid w:val="00254840"/>
    <w:rsid w:val="002548A2"/>
    <w:rsid w:val="00254B75"/>
    <w:rsid w:val="00254E20"/>
    <w:rsid w:val="00254F48"/>
    <w:rsid w:val="00255027"/>
    <w:rsid w:val="002552A9"/>
    <w:rsid w:val="00255418"/>
    <w:rsid w:val="002555E9"/>
    <w:rsid w:val="00255665"/>
    <w:rsid w:val="00255751"/>
    <w:rsid w:val="002558E8"/>
    <w:rsid w:val="00255C51"/>
    <w:rsid w:val="00255D0B"/>
    <w:rsid w:val="00255D53"/>
    <w:rsid w:val="00255F71"/>
    <w:rsid w:val="00256081"/>
    <w:rsid w:val="002560CD"/>
    <w:rsid w:val="00256163"/>
    <w:rsid w:val="002561A0"/>
    <w:rsid w:val="002569F6"/>
    <w:rsid w:val="00256AD9"/>
    <w:rsid w:val="00256C1C"/>
    <w:rsid w:val="00256CF0"/>
    <w:rsid w:val="00256E85"/>
    <w:rsid w:val="00257129"/>
    <w:rsid w:val="002571AA"/>
    <w:rsid w:val="00257205"/>
    <w:rsid w:val="0025763A"/>
    <w:rsid w:val="00257723"/>
    <w:rsid w:val="0026020F"/>
    <w:rsid w:val="00260238"/>
    <w:rsid w:val="00260277"/>
    <w:rsid w:val="00260417"/>
    <w:rsid w:val="0026042A"/>
    <w:rsid w:val="0026054F"/>
    <w:rsid w:val="0026057C"/>
    <w:rsid w:val="002606B0"/>
    <w:rsid w:val="00260744"/>
    <w:rsid w:val="002609E0"/>
    <w:rsid w:val="00260D4F"/>
    <w:rsid w:val="002611DB"/>
    <w:rsid w:val="002611EE"/>
    <w:rsid w:val="00261344"/>
    <w:rsid w:val="00261587"/>
    <w:rsid w:val="002616CE"/>
    <w:rsid w:val="0026194C"/>
    <w:rsid w:val="0026194D"/>
    <w:rsid w:val="00261B02"/>
    <w:rsid w:val="00261BD4"/>
    <w:rsid w:val="00261CD8"/>
    <w:rsid w:val="00261ED7"/>
    <w:rsid w:val="002621F0"/>
    <w:rsid w:val="002622D3"/>
    <w:rsid w:val="002622E0"/>
    <w:rsid w:val="002623D0"/>
    <w:rsid w:val="0026241D"/>
    <w:rsid w:val="00262715"/>
    <w:rsid w:val="002627CB"/>
    <w:rsid w:val="00262885"/>
    <w:rsid w:val="00263285"/>
    <w:rsid w:val="002633FB"/>
    <w:rsid w:val="0026343A"/>
    <w:rsid w:val="002635B7"/>
    <w:rsid w:val="00263760"/>
    <w:rsid w:val="0026389A"/>
    <w:rsid w:val="00263BB8"/>
    <w:rsid w:val="00263C57"/>
    <w:rsid w:val="00263CD5"/>
    <w:rsid w:val="00263E11"/>
    <w:rsid w:val="00263F98"/>
    <w:rsid w:val="00264005"/>
    <w:rsid w:val="00264019"/>
    <w:rsid w:val="0026409E"/>
    <w:rsid w:val="00264132"/>
    <w:rsid w:val="0026418B"/>
    <w:rsid w:val="00264290"/>
    <w:rsid w:val="002643B4"/>
    <w:rsid w:val="002643EF"/>
    <w:rsid w:val="00264421"/>
    <w:rsid w:val="00264448"/>
    <w:rsid w:val="00264529"/>
    <w:rsid w:val="00264BDF"/>
    <w:rsid w:val="00264D3B"/>
    <w:rsid w:val="00265037"/>
    <w:rsid w:val="002650E9"/>
    <w:rsid w:val="0026521F"/>
    <w:rsid w:val="00265700"/>
    <w:rsid w:val="00265757"/>
    <w:rsid w:val="00265871"/>
    <w:rsid w:val="00265882"/>
    <w:rsid w:val="002659E4"/>
    <w:rsid w:val="00265C45"/>
    <w:rsid w:val="00265F1A"/>
    <w:rsid w:val="00265F3E"/>
    <w:rsid w:val="0026629B"/>
    <w:rsid w:val="00266314"/>
    <w:rsid w:val="002665F1"/>
    <w:rsid w:val="00266686"/>
    <w:rsid w:val="002667A0"/>
    <w:rsid w:val="002667FE"/>
    <w:rsid w:val="00266840"/>
    <w:rsid w:val="002669CC"/>
    <w:rsid w:val="00266A1A"/>
    <w:rsid w:val="00266B0F"/>
    <w:rsid w:val="00266C17"/>
    <w:rsid w:val="00266CFB"/>
    <w:rsid w:val="002676E7"/>
    <w:rsid w:val="00267866"/>
    <w:rsid w:val="00267C48"/>
    <w:rsid w:val="00267D73"/>
    <w:rsid w:val="00267DA3"/>
    <w:rsid w:val="00267E8C"/>
    <w:rsid w:val="0027014A"/>
    <w:rsid w:val="002701C0"/>
    <w:rsid w:val="0027028C"/>
    <w:rsid w:val="002707EF"/>
    <w:rsid w:val="002709D1"/>
    <w:rsid w:val="00270AFF"/>
    <w:rsid w:val="00270C36"/>
    <w:rsid w:val="00270D15"/>
    <w:rsid w:val="00270D46"/>
    <w:rsid w:val="00270ECA"/>
    <w:rsid w:val="00270ED8"/>
    <w:rsid w:val="00271088"/>
    <w:rsid w:val="002710A5"/>
    <w:rsid w:val="002710F9"/>
    <w:rsid w:val="00271234"/>
    <w:rsid w:val="002715A6"/>
    <w:rsid w:val="0027183A"/>
    <w:rsid w:val="0027191F"/>
    <w:rsid w:val="00271A91"/>
    <w:rsid w:val="00271B12"/>
    <w:rsid w:val="00271B5B"/>
    <w:rsid w:val="00271CBC"/>
    <w:rsid w:val="00272377"/>
    <w:rsid w:val="0027240E"/>
    <w:rsid w:val="002726E9"/>
    <w:rsid w:val="0027273E"/>
    <w:rsid w:val="00272763"/>
    <w:rsid w:val="0027287D"/>
    <w:rsid w:val="00272B8D"/>
    <w:rsid w:val="00272C32"/>
    <w:rsid w:val="00272D46"/>
    <w:rsid w:val="00272EA4"/>
    <w:rsid w:val="00272FC3"/>
    <w:rsid w:val="0027309D"/>
    <w:rsid w:val="002730CC"/>
    <w:rsid w:val="002730EB"/>
    <w:rsid w:val="00273713"/>
    <w:rsid w:val="002739A7"/>
    <w:rsid w:val="002739EE"/>
    <w:rsid w:val="00273A23"/>
    <w:rsid w:val="00273A33"/>
    <w:rsid w:val="00273A7A"/>
    <w:rsid w:val="00273D69"/>
    <w:rsid w:val="00273D72"/>
    <w:rsid w:val="00273F9A"/>
    <w:rsid w:val="00273FA7"/>
    <w:rsid w:val="00274435"/>
    <w:rsid w:val="002746F7"/>
    <w:rsid w:val="00274763"/>
    <w:rsid w:val="00274C4C"/>
    <w:rsid w:val="00274DF5"/>
    <w:rsid w:val="00274EAB"/>
    <w:rsid w:val="00275024"/>
    <w:rsid w:val="002750EA"/>
    <w:rsid w:val="00275147"/>
    <w:rsid w:val="002753E2"/>
    <w:rsid w:val="002754A5"/>
    <w:rsid w:val="0027551A"/>
    <w:rsid w:val="002755E5"/>
    <w:rsid w:val="00275D0A"/>
    <w:rsid w:val="00275EDC"/>
    <w:rsid w:val="00276003"/>
    <w:rsid w:val="00276228"/>
    <w:rsid w:val="0027626F"/>
    <w:rsid w:val="002762B5"/>
    <w:rsid w:val="00276561"/>
    <w:rsid w:val="002768F5"/>
    <w:rsid w:val="00276A27"/>
    <w:rsid w:val="00276C60"/>
    <w:rsid w:val="00276C70"/>
    <w:rsid w:val="00277255"/>
    <w:rsid w:val="00277384"/>
    <w:rsid w:val="00277484"/>
    <w:rsid w:val="00277D6E"/>
    <w:rsid w:val="00280092"/>
    <w:rsid w:val="002800C2"/>
    <w:rsid w:val="00280182"/>
    <w:rsid w:val="002801F4"/>
    <w:rsid w:val="00280379"/>
    <w:rsid w:val="0028040A"/>
    <w:rsid w:val="0028056D"/>
    <w:rsid w:val="002808C1"/>
    <w:rsid w:val="0028098B"/>
    <w:rsid w:val="00280AD8"/>
    <w:rsid w:val="00280B31"/>
    <w:rsid w:val="00280C85"/>
    <w:rsid w:val="00280E83"/>
    <w:rsid w:val="00280E98"/>
    <w:rsid w:val="00280F3E"/>
    <w:rsid w:val="00280F4D"/>
    <w:rsid w:val="002811C8"/>
    <w:rsid w:val="0028123B"/>
    <w:rsid w:val="00281262"/>
    <w:rsid w:val="002815E4"/>
    <w:rsid w:val="0028162C"/>
    <w:rsid w:val="002816DA"/>
    <w:rsid w:val="00281758"/>
    <w:rsid w:val="002817B7"/>
    <w:rsid w:val="002818F2"/>
    <w:rsid w:val="00281DE6"/>
    <w:rsid w:val="00281FE6"/>
    <w:rsid w:val="002821C2"/>
    <w:rsid w:val="00282364"/>
    <w:rsid w:val="00282557"/>
    <w:rsid w:val="00282814"/>
    <w:rsid w:val="00282AFF"/>
    <w:rsid w:val="00282CAD"/>
    <w:rsid w:val="00282D04"/>
    <w:rsid w:val="00282E25"/>
    <w:rsid w:val="0028370C"/>
    <w:rsid w:val="00283714"/>
    <w:rsid w:val="002838D9"/>
    <w:rsid w:val="0028391B"/>
    <w:rsid w:val="00283FD6"/>
    <w:rsid w:val="00284280"/>
    <w:rsid w:val="002843CE"/>
    <w:rsid w:val="0028444C"/>
    <w:rsid w:val="0028454F"/>
    <w:rsid w:val="00284690"/>
    <w:rsid w:val="00284A1B"/>
    <w:rsid w:val="00284A6C"/>
    <w:rsid w:val="00284FB2"/>
    <w:rsid w:val="00285046"/>
    <w:rsid w:val="002853D8"/>
    <w:rsid w:val="002854B7"/>
    <w:rsid w:val="002856E3"/>
    <w:rsid w:val="002859D9"/>
    <w:rsid w:val="00285BD1"/>
    <w:rsid w:val="00285BFE"/>
    <w:rsid w:val="00285C14"/>
    <w:rsid w:val="00285C78"/>
    <w:rsid w:val="0028605D"/>
    <w:rsid w:val="00286148"/>
    <w:rsid w:val="00286205"/>
    <w:rsid w:val="00286697"/>
    <w:rsid w:val="00286A43"/>
    <w:rsid w:val="00286B95"/>
    <w:rsid w:val="00286BEC"/>
    <w:rsid w:val="00286D5E"/>
    <w:rsid w:val="00286E4A"/>
    <w:rsid w:val="00287008"/>
    <w:rsid w:val="002872BF"/>
    <w:rsid w:val="00287337"/>
    <w:rsid w:val="0028783F"/>
    <w:rsid w:val="00287B7E"/>
    <w:rsid w:val="00287BB2"/>
    <w:rsid w:val="00287C16"/>
    <w:rsid w:val="00287C86"/>
    <w:rsid w:val="00287D28"/>
    <w:rsid w:val="0029010E"/>
    <w:rsid w:val="0029032F"/>
    <w:rsid w:val="0029055B"/>
    <w:rsid w:val="0029068F"/>
    <w:rsid w:val="002908F4"/>
    <w:rsid w:val="00290972"/>
    <w:rsid w:val="002911D3"/>
    <w:rsid w:val="00291711"/>
    <w:rsid w:val="00291876"/>
    <w:rsid w:val="0029193C"/>
    <w:rsid w:val="00291C8C"/>
    <w:rsid w:val="002920F4"/>
    <w:rsid w:val="002923C8"/>
    <w:rsid w:val="0029244C"/>
    <w:rsid w:val="002925D3"/>
    <w:rsid w:val="00292719"/>
    <w:rsid w:val="00292DB5"/>
    <w:rsid w:val="00292EDF"/>
    <w:rsid w:val="00292EE6"/>
    <w:rsid w:val="00292FCD"/>
    <w:rsid w:val="002930B2"/>
    <w:rsid w:val="002930D5"/>
    <w:rsid w:val="0029372F"/>
    <w:rsid w:val="0029396B"/>
    <w:rsid w:val="00293DFD"/>
    <w:rsid w:val="00293EB0"/>
    <w:rsid w:val="00294153"/>
    <w:rsid w:val="0029422D"/>
    <w:rsid w:val="00294346"/>
    <w:rsid w:val="0029456A"/>
    <w:rsid w:val="002948FC"/>
    <w:rsid w:val="002949BD"/>
    <w:rsid w:val="00294B69"/>
    <w:rsid w:val="00294BBA"/>
    <w:rsid w:val="00294E47"/>
    <w:rsid w:val="002952A4"/>
    <w:rsid w:val="002953C2"/>
    <w:rsid w:val="002954FC"/>
    <w:rsid w:val="002955B8"/>
    <w:rsid w:val="002955C0"/>
    <w:rsid w:val="00295666"/>
    <w:rsid w:val="0029574E"/>
    <w:rsid w:val="0029598F"/>
    <w:rsid w:val="00295AB1"/>
    <w:rsid w:val="00295AC7"/>
    <w:rsid w:val="00295B52"/>
    <w:rsid w:val="00295BE6"/>
    <w:rsid w:val="00295BF9"/>
    <w:rsid w:val="00295C63"/>
    <w:rsid w:val="00295CFD"/>
    <w:rsid w:val="00295D45"/>
    <w:rsid w:val="00295E7C"/>
    <w:rsid w:val="002960BE"/>
    <w:rsid w:val="00296178"/>
    <w:rsid w:val="00296524"/>
    <w:rsid w:val="002965D8"/>
    <w:rsid w:val="002965F2"/>
    <w:rsid w:val="00296674"/>
    <w:rsid w:val="0029675A"/>
    <w:rsid w:val="00296C1E"/>
    <w:rsid w:val="00296D5A"/>
    <w:rsid w:val="00297092"/>
    <w:rsid w:val="00297214"/>
    <w:rsid w:val="00297A4E"/>
    <w:rsid w:val="00297A8A"/>
    <w:rsid w:val="00297BCC"/>
    <w:rsid w:val="00297C0A"/>
    <w:rsid w:val="002A00E2"/>
    <w:rsid w:val="002A01B7"/>
    <w:rsid w:val="002A02CE"/>
    <w:rsid w:val="002A064A"/>
    <w:rsid w:val="002A06F1"/>
    <w:rsid w:val="002A0A0E"/>
    <w:rsid w:val="002A0AC1"/>
    <w:rsid w:val="002A0AC9"/>
    <w:rsid w:val="002A0B27"/>
    <w:rsid w:val="002A0BE5"/>
    <w:rsid w:val="002A10B0"/>
    <w:rsid w:val="002A11E6"/>
    <w:rsid w:val="002A1206"/>
    <w:rsid w:val="002A18F2"/>
    <w:rsid w:val="002A192F"/>
    <w:rsid w:val="002A193D"/>
    <w:rsid w:val="002A199A"/>
    <w:rsid w:val="002A1C57"/>
    <w:rsid w:val="002A1D4A"/>
    <w:rsid w:val="002A1DA9"/>
    <w:rsid w:val="002A20D5"/>
    <w:rsid w:val="002A2241"/>
    <w:rsid w:val="002A2362"/>
    <w:rsid w:val="002A2459"/>
    <w:rsid w:val="002A2651"/>
    <w:rsid w:val="002A2678"/>
    <w:rsid w:val="002A2CDD"/>
    <w:rsid w:val="002A2E06"/>
    <w:rsid w:val="002A2E8D"/>
    <w:rsid w:val="002A3008"/>
    <w:rsid w:val="002A31CB"/>
    <w:rsid w:val="002A3353"/>
    <w:rsid w:val="002A337A"/>
    <w:rsid w:val="002A3975"/>
    <w:rsid w:val="002A398F"/>
    <w:rsid w:val="002A39E4"/>
    <w:rsid w:val="002A3A6A"/>
    <w:rsid w:val="002A3D3C"/>
    <w:rsid w:val="002A3E45"/>
    <w:rsid w:val="002A4123"/>
    <w:rsid w:val="002A4324"/>
    <w:rsid w:val="002A43D3"/>
    <w:rsid w:val="002A449D"/>
    <w:rsid w:val="002A460E"/>
    <w:rsid w:val="002A4789"/>
    <w:rsid w:val="002A4945"/>
    <w:rsid w:val="002A4BEB"/>
    <w:rsid w:val="002A4C7E"/>
    <w:rsid w:val="002A5025"/>
    <w:rsid w:val="002A5216"/>
    <w:rsid w:val="002A5304"/>
    <w:rsid w:val="002A5358"/>
    <w:rsid w:val="002A541A"/>
    <w:rsid w:val="002A5546"/>
    <w:rsid w:val="002A55D3"/>
    <w:rsid w:val="002A565A"/>
    <w:rsid w:val="002A5996"/>
    <w:rsid w:val="002A5BA4"/>
    <w:rsid w:val="002A5BF0"/>
    <w:rsid w:val="002A5BF7"/>
    <w:rsid w:val="002A6045"/>
    <w:rsid w:val="002A611F"/>
    <w:rsid w:val="002A6195"/>
    <w:rsid w:val="002A61AF"/>
    <w:rsid w:val="002A6205"/>
    <w:rsid w:val="002A692A"/>
    <w:rsid w:val="002A6F04"/>
    <w:rsid w:val="002A6F0B"/>
    <w:rsid w:val="002A6F1D"/>
    <w:rsid w:val="002A701A"/>
    <w:rsid w:val="002A7403"/>
    <w:rsid w:val="002A7665"/>
    <w:rsid w:val="002A76BB"/>
    <w:rsid w:val="002A7BD7"/>
    <w:rsid w:val="002A7D40"/>
    <w:rsid w:val="002A7E5C"/>
    <w:rsid w:val="002A7E8A"/>
    <w:rsid w:val="002A7FBD"/>
    <w:rsid w:val="002B0119"/>
    <w:rsid w:val="002B0515"/>
    <w:rsid w:val="002B06B1"/>
    <w:rsid w:val="002B06DD"/>
    <w:rsid w:val="002B0806"/>
    <w:rsid w:val="002B0A4D"/>
    <w:rsid w:val="002B0EE0"/>
    <w:rsid w:val="002B0F3B"/>
    <w:rsid w:val="002B1343"/>
    <w:rsid w:val="002B1929"/>
    <w:rsid w:val="002B192E"/>
    <w:rsid w:val="002B1D48"/>
    <w:rsid w:val="002B1FB5"/>
    <w:rsid w:val="002B20A0"/>
    <w:rsid w:val="002B20FF"/>
    <w:rsid w:val="002B2376"/>
    <w:rsid w:val="002B258A"/>
    <w:rsid w:val="002B258C"/>
    <w:rsid w:val="002B2696"/>
    <w:rsid w:val="002B280E"/>
    <w:rsid w:val="002B29B8"/>
    <w:rsid w:val="002B29FC"/>
    <w:rsid w:val="002B2A74"/>
    <w:rsid w:val="002B2A9B"/>
    <w:rsid w:val="002B2CA6"/>
    <w:rsid w:val="002B2DFB"/>
    <w:rsid w:val="002B2E25"/>
    <w:rsid w:val="002B2FC0"/>
    <w:rsid w:val="002B3225"/>
    <w:rsid w:val="002B3433"/>
    <w:rsid w:val="002B34AF"/>
    <w:rsid w:val="002B3B2E"/>
    <w:rsid w:val="002B3D45"/>
    <w:rsid w:val="002B3D49"/>
    <w:rsid w:val="002B3E07"/>
    <w:rsid w:val="002B4054"/>
    <w:rsid w:val="002B41AF"/>
    <w:rsid w:val="002B445C"/>
    <w:rsid w:val="002B44DD"/>
    <w:rsid w:val="002B44EC"/>
    <w:rsid w:val="002B49AE"/>
    <w:rsid w:val="002B4C71"/>
    <w:rsid w:val="002B4D02"/>
    <w:rsid w:val="002B4D43"/>
    <w:rsid w:val="002B4D45"/>
    <w:rsid w:val="002B4E91"/>
    <w:rsid w:val="002B508D"/>
    <w:rsid w:val="002B512B"/>
    <w:rsid w:val="002B5135"/>
    <w:rsid w:val="002B54C1"/>
    <w:rsid w:val="002B54DA"/>
    <w:rsid w:val="002B55EF"/>
    <w:rsid w:val="002B566C"/>
    <w:rsid w:val="002B574C"/>
    <w:rsid w:val="002B5754"/>
    <w:rsid w:val="002B57E5"/>
    <w:rsid w:val="002B5966"/>
    <w:rsid w:val="002B59F7"/>
    <w:rsid w:val="002B5C90"/>
    <w:rsid w:val="002B5DC6"/>
    <w:rsid w:val="002B5DC7"/>
    <w:rsid w:val="002B6020"/>
    <w:rsid w:val="002B60BB"/>
    <w:rsid w:val="002B64D5"/>
    <w:rsid w:val="002B65F9"/>
    <w:rsid w:val="002B6600"/>
    <w:rsid w:val="002B6637"/>
    <w:rsid w:val="002B667E"/>
    <w:rsid w:val="002B6740"/>
    <w:rsid w:val="002B685E"/>
    <w:rsid w:val="002B6948"/>
    <w:rsid w:val="002B6A22"/>
    <w:rsid w:val="002B6B56"/>
    <w:rsid w:val="002B6D29"/>
    <w:rsid w:val="002B6D2E"/>
    <w:rsid w:val="002B6F62"/>
    <w:rsid w:val="002B718A"/>
    <w:rsid w:val="002B722A"/>
    <w:rsid w:val="002B740F"/>
    <w:rsid w:val="002B7452"/>
    <w:rsid w:val="002B7850"/>
    <w:rsid w:val="002B7A09"/>
    <w:rsid w:val="002B7AA2"/>
    <w:rsid w:val="002B7AF8"/>
    <w:rsid w:val="002C044E"/>
    <w:rsid w:val="002C06DD"/>
    <w:rsid w:val="002C0889"/>
    <w:rsid w:val="002C09A3"/>
    <w:rsid w:val="002C0B79"/>
    <w:rsid w:val="002C0BBE"/>
    <w:rsid w:val="002C0CF4"/>
    <w:rsid w:val="002C0D0E"/>
    <w:rsid w:val="002C0D7B"/>
    <w:rsid w:val="002C0ECB"/>
    <w:rsid w:val="002C10BC"/>
    <w:rsid w:val="002C1129"/>
    <w:rsid w:val="002C1231"/>
    <w:rsid w:val="002C1242"/>
    <w:rsid w:val="002C1608"/>
    <w:rsid w:val="002C1643"/>
    <w:rsid w:val="002C16FE"/>
    <w:rsid w:val="002C1B30"/>
    <w:rsid w:val="002C1B48"/>
    <w:rsid w:val="002C1B50"/>
    <w:rsid w:val="002C1EB0"/>
    <w:rsid w:val="002C2089"/>
    <w:rsid w:val="002C20CB"/>
    <w:rsid w:val="002C23D6"/>
    <w:rsid w:val="002C2471"/>
    <w:rsid w:val="002C24A9"/>
    <w:rsid w:val="002C2613"/>
    <w:rsid w:val="002C2765"/>
    <w:rsid w:val="002C2A91"/>
    <w:rsid w:val="002C2E99"/>
    <w:rsid w:val="002C2E9E"/>
    <w:rsid w:val="002C30CB"/>
    <w:rsid w:val="002C34C3"/>
    <w:rsid w:val="002C3559"/>
    <w:rsid w:val="002C3676"/>
    <w:rsid w:val="002C36A9"/>
    <w:rsid w:val="002C3882"/>
    <w:rsid w:val="002C3CA7"/>
    <w:rsid w:val="002C3E09"/>
    <w:rsid w:val="002C3F28"/>
    <w:rsid w:val="002C3FD0"/>
    <w:rsid w:val="002C4299"/>
    <w:rsid w:val="002C42CB"/>
    <w:rsid w:val="002C453E"/>
    <w:rsid w:val="002C4654"/>
    <w:rsid w:val="002C4AE6"/>
    <w:rsid w:val="002C503D"/>
    <w:rsid w:val="002C570F"/>
    <w:rsid w:val="002C5980"/>
    <w:rsid w:val="002C5A9F"/>
    <w:rsid w:val="002C5ADD"/>
    <w:rsid w:val="002C5AE2"/>
    <w:rsid w:val="002C5E46"/>
    <w:rsid w:val="002C5F68"/>
    <w:rsid w:val="002C5FEA"/>
    <w:rsid w:val="002C6066"/>
    <w:rsid w:val="002C607B"/>
    <w:rsid w:val="002C623E"/>
    <w:rsid w:val="002C6374"/>
    <w:rsid w:val="002C63D6"/>
    <w:rsid w:val="002C6788"/>
    <w:rsid w:val="002C687E"/>
    <w:rsid w:val="002C68CF"/>
    <w:rsid w:val="002C68E2"/>
    <w:rsid w:val="002C690A"/>
    <w:rsid w:val="002C6AD1"/>
    <w:rsid w:val="002C6F50"/>
    <w:rsid w:val="002C7149"/>
    <w:rsid w:val="002C74A8"/>
    <w:rsid w:val="002C753F"/>
    <w:rsid w:val="002C7824"/>
    <w:rsid w:val="002C7A63"/>
    <w:rsid w:val="002C7B75"/>
    <w:rsid w:val="002C7E2E"/>
    <w:rsid w:val="002D00AD"/>
    <w:rsid w:val="002D052D"/>
    <w:rsid w:val="002D0710"/>
    <w:rsid w:val="002D0821"/>
    <w:rsid w:val="002D0B02"/>
    <w:rsid w:val="002D0BCB"/>
    <w:rsid w:val="002D0D76"/>
    <w:rsid w:val="002D0FC2"/>
    <w:rsid w:val="002D10DD"/>
    <w:rsid w:val="002D1645"/>
    <w:rsid w:val="002D1AD8"/>
    <w:rsid w:val="002D1BA8"/>
    <w:rsid w:val="002D1D07"/>
    <w:rsid w:val="002D1D2E"/>
    <w:rsid w:val="002D1D6D"/>
    <w:rsid w:val="002D1FC2"/>
    <w:rsid w:val="002D23F9"/>
    <w:rsid w:val="002D271C"/>
    <w:rsid w:val="002D2FBE"/>
    <w:rsid w:val="002D2FDA"/>
    <w:rsid w:val="002D30B8"/>
    <w:rsid w:val="002D30FB"/>
    <w:rsid w:val="002D32AB"/>
    <w:rsid w:val="002D3351"/>
    <w:rsid w:val="002D341D"/>
    <w:rsid w:val="002D3526"/>
    <w:rsid w:val="002D3629"/>
    <w:rsid w:val="002D365D"/>
    <w:rsid w:val="002D39C3"/>
    <w:rsid w:val="002D3BF5"/>
    <w:rsid w:val="002D3FC5"/>
    <w:rsid w:val="002D4007"/>
    <w:rsid w:val="002D400D"/>
    <w:rsid w:val="002D40CE"/>
    <w:rsid w:val="002D41F7"/>
    <w:rsid w:val="002D428E"/>
    <w:rsid w:val="002D42CD"/>
    <w:rsid w:val="002D444F"/>
    <w:rsid w:val="002D445E"/>
    <w:rsid w:val="002D4659"/>
    <w:rsid w:val="002D49E7"/>
    <w:rsid w:val="002D4A5E"/>
    <w:rsid w:val="002D4C6C"/>
    <w:rsid w:val="002D4D92"/>
    <w:rsid w:val="002D4FD0"/>
    <w:rsid w:val="002D5304"/>
    <w:rsid w:val="002D5339"/>
    <w:rsid w:val="002D57E6"/>
    <w:rsid w:val="002D5BEE"/>
    <w:rsid w:val="002D5C53"/>
    <w:rsid w:val="002D5DE2"/>
    <w:rsid w:val="002D5E83"/>
    <w:rsid w:val="002D5EE9"/>
    <w:rsid w:val="002D6296"/>
    <w:rsid w:val="002D63EB"/>
    <w:rsid w:val="002D651E"/>
    <w:rsid w:val="002D66A2"/>
    <w:rsid w:val="002D67A9"/>
    <w:rsid w:val="002D685C"/>
    <w:rsid w:val="002D694D"/>
    <w:rsid w:val="002D6DBA"/>
    <w:rsid w:val="002D6DE1"/>
    <w:rsid w:val="002D6E5B"/>
    <w:rsid w:val="002D7060"/>
    <w:rsid w:val="002D7069"/>
    <w:rsid w:val="002D716D"/>
    <w:rsid w:val="002D72DB"/>
    <w:rsid w:val="002D72FC"/>
    <w:rsid w:val="002D7AD6"/>
    <w:rsid w:val="002D7D48"/>
    <w:rsid w:val="002D7D74"/>
    <w:rsid w:val="002D7D80"/>
    <w:rsid w:val="002E00A1"/>
    <w:rsid w:val="002E0272"/>
    <w:rsid w:val="002E0494"/>
    <w:rsid w:val="002E05C8"/>
    <w:rsid w:val="002E064F"/>
    <w:rsid w:val="002E065F"/>
    <w:rsid w:val="002E06C0"/>
    <w:rsid w:val="002E07BB"/>
    <w:rsid w:val="002E0A2D"/>
    <w:rsid w:val="002E0AA9"/>
    <w:rsid w:val="002E0DF9"/>
    <w:rsid w:val="002E0F9F"/>
    <w:rsid w:val="002E1053"/>
    <w:rsid w:val="002E10E9"/>
    <w:rsid w:val="002E11F7"/>
    <w:rsid w:val="002E126E"/>
    <w:rsid w:val="002E12BD"/>
    <w:rsid w:val="002E13E0"/>
    <w:rsid w:val="002E1457"/>
    <w:rsid w:val="002E145E"/>
    <w:rsid w:val="002E18A6"/>
    <w:rsid w:val="002E18E0"/>
    <w:rsid w:val="002E1C00"/>
    <w:rsid w:val="002E23B0"/>
    <w:rsid w:val="002E23BB"/>
    <w:rsid w:val="002E24F6"/>
    <w:rsid w:val="002E2665"/>
    <w:rsid w:val="002E2DA6"/>
    <w:rsid w:val="002E30A6"/>
    <w:rsid w:val="002E320B"/>
    <w:rsid w:val="002E3356"/>
    <w:rsid w:val="002E34D0"/>
    <w:rsid w:val="002E358D"/>
    <w:rsid w:val="002E36A8"/>
    <w:rsid w:val="002E3796"/>
    <w:rsid w:val="002E3889"/>
    <w:rsid w:val="002E38F4"/>
    <w:rsid w:val="002E3954"/>
    <w:rsid w:val="002E39E2"/>
    <w:rsid w:val="002E3AB4"/>
    <w:rsid w:val="002E3D45"/>
    <w:rsid w:val="002E3DA8"/>
    <w:rsid w:val="002E3E98"/>
    <w:rsid w:val="002E4062"/>
    <w:rsid w:val="002E44FB"/>
    <w:rsid w:val="002E459E"/>
    <w:rsid w:val="002E46E2"/>
    <w:rsid w:val="002E4806"/>
    <w:rsid w:val="002E490E"/>
    <w:rsid w:val="002E4ED7"/>
    <w:rsid w:val="002E4F53"/>
    <w:rsid w:val="002E4F9D"/>
    <w:rsid w:val="002E5244"/>
    <w:rsid w:val="002E531C"/>
    <w:rsid w:val="002E5480"/>
    <w:rsid w:val="002E5822"/>
    <w:rsid w:val="002E58AC"/>
    <w:rsid w:val="002E58EA"/>
    <w:rsid w:val="002E5958"/>
    <w:rsid w:val="002E5B62"/>
    <w:rsid w:val="002E5C10"/>
    <w:rsid w:val="002E5CF2"/>
    <w:rsid w:val="002E5DFB"/>
    <w:rsid w:val="002E5EF6"/>
    <w:rsid w:val="002E6106"/>
    <w:rsid w:val="002E656A"/>
    <w:rsid w:val="002E6776"/>
    <w:rsid w:val="002E6829"/>
    <w:rsid w:val="002E683B"/>
    <w:rsid w:val="002E6867"/>
    <w:rsid w:val="002E6C0A"/>
    <w:rsid w:val="002E6F7C"/>
    <w:rsid w:val="002E7099"/>
    <w:rsid w:val="002E72E7"/>
    <w:rsid w:val="002E7374"/>
    <w:rsid w:val="002E74E6"/>
    <w:rsid w:val="002E74F6"/>
    <w:rsid w:val="002E7633"/>
    <w:rsid w:val="002E77EE"/>
    <w:rsid w:val="002E78C1"/>
    <w:rsid w:val="002E7AE9"/>
    <w:rsid w:val="002E7C99"/>
    <w:rsid w:val="002E7C9A"/>
    <w:rsid w:val="002E7CCC"/>
    <w:rsid w:val="002E7EC9"/>
    <w:rsid w:val="002E7F66"/>
    <w:rsid w:val="002F00BB"/>
    <w:rsid w:val="002F00F8"/>
    <w:rsid w:val="002F0176"/>
    <w:rsid w:val="002F0457"/>
    <w:rsid w:val="002F048E"/>
    <w:rsid w:val="002F0566"/>
    <w:rsid w:val="002F0678"/>
    <w:rsid w:val="002F06C1"/>
    <w:rsid w:val="002F0B44"/>
    <w:rsid w:val="002F0C7F"/>
    <w:rsid w:val="002F0CB9"/>
    <w:rsid w:val="002F0D3F"/>
    <w:rsid w:val="002F0DF4"/>
    <w:rsid w:val="002F0F36"/>
    <w:rsid w:val="002F0F7B"/>
    <w:rsid w:val="002F127A"/>
    <w:rsid w:val="002F13BD"/>
    <w:rsid w:val="002F1884"/>
    <w:rsid w:val="002F18D3"/>
    <w:rsid w:val="002F1AC9"/>
    <w:rsid w:val="002F1CD0"/>
    <w:rsid w:val="002F1E60"/>
    <w:rsid w:val="002F1E94"/>
    <w:rsid w:val="002F1EF5"/>
    <w:rsid w:val="002F1F00"/>
    <w:rsid w:val="002F207E"/>
    <w:rsid w:val="002F2159"/>
    <w:rsid w:val="002F21F2"/>
    <w:rsid w:val="002F2260"/>
    <w:rsid w:val="002F2471"/>
    <w:rsid w:val="002F2771"/>
    <w:rsid w:val="002F2777"/>
    <w:rsid w:val="002F2825"/>
    <w:rsid w:val="002F297A"/>
    <w:rsid w:val="002F2B75"/>
    <w:rsid w:val="002F2FA7"/>
    <w:rsid w:val="002F30BA"/>
    <w:rsid w:val="002F30CC"/>
    <w:rsid w:val="002F30E4"/>
    <w:rsid w:val="002F315C"/>
    <w:rsid w:val="002F3208"/>
    <w:rsid w:val="002F3372"/>
    <w:rsid w:val="002F3394"/>
    <w:rsid w:val="002F3545"/>
    <w:rsid w:val="002F36A1"/>
    <w:rsid w:val="002F38B5"/>
    <w:rsid w:val="002F3934"/>
    <w:rsid w:val="002F3958"/>
    <w:rsid w:val="002F39AF"/>
    <w:rsid w:val="002F3B4C"/>
    <w:rsid w:val="002F3CB3"/>
    <w:rsid w:val="002F3EB6"/>
    <w:rsid w:val="002F3F65"/>
    <w:rsid w:val="002F4243"/>
    <w:rsid w:val="002F4354"/>
    <w:rsid w:val="002F43ED"/>
    <w:rsid w:val="002F43FF"/>
    <w:rsid w:val="002F44FA"/>
    <w:rsid w:val="002F4587"/>
    <w:rsid w:val="002F45E5"/>
    <w:rsid w:val="002F47BB"/>
    <w:rsid w:val="002F4977"/>
    <w:rsid w:val="002F4A80"/>
    <w:rsid w:val="002F4B5C"/>
    <w:rsid w:val="002F4B9C"/>
    <w:rsid w:val="002F5042"/>
    <w:rsid w:val="002F536D"/>
    <w:rsid w:val="002F56A7"/>
    <w:rsid w:val="002F5A0F"/>
    <w:rsid w:val="002F5B99"/>
    <w:rsid w:val="002F5C0D"/>
    <w:rsid w:val="002F5CB9"/>
    <w:rsid w:val="002F5D59"/>
    <w:rsid w:val="002F5E65"/>
    <w:rsid w:val="002F5EAA"/>
    <w:rsid w:val="002F5F79"/>
    <w:rsid w:val="002F5F96"/>
    <w:rsid w:val="002F602F"/>
    <w:rsid w:val="002F6065"/>
    <w:rsid w:val="002F60D7"/>
    <w:rsid w:val="002F6521"/>
    <w:rsid w:val="002F658A"/>
    <w:rsid w:val="002F65C8"/>
    <w:rsid w:val="002F68FD"/>
    <w:rsid w:val="002F6AF8"/>
    <w:rsid w:val="002F6B4C"/>
    <w:rsid w:val="002F6E4F"/>
    <w:rsid w:val="002F6F14"/>
    <w:rsid w:val="002F6FE1"/>
    <w:rsid w:val="002F7385"/>
    <w:rsid w:val="002F738D"/>
    <w:rsid w:val="002F73FE"/>
    <w:rsid w:val="002F7589"/>
    <w:rsid w:val="002F760F"/>
    <w:rsid w:val="002F761E"/>
    <w:rsid w:val="002F76CE"/>
    <w:rsid w:val="002F778F"/>
    <w:rsid w:val="002F79DB"/>
    <w:rsid w:val="002F7D23"/>
    <w:rsid w:val="002F7D43"/>
    <w:rsid w:val="002F7EAC"/>
    <w:rsid w:val="003001FE"/>
    <w:rsid w:val="00300695"/>
    <w:rsid w:val="003006EE"/>
    <w:rsid w:val="00300867"/>
    <w:rsid w:val="00300B19"/>
    <w:rsid w:val="00300B4B"/>
    <w:rsid w:val="00300C42"/>
    <w:rsid w:val="00300F5C"/>
    <w:rsid w:val="003010AC"/>
    <w:rsid w:val="003010CE"/>
    <w:rsid w:val="003013BC"/>
    <w:rsid w:val="003015F9"/>
    <w:rsid w:val="003016DC"/>
    <w:rsid w:val="0030199F"/>
    <w:rsid w:val="003019BA"/>
    <w:rsid w:val="00301AE8"/>
    <w:rsid w:val="00301B59"/>
    <w:rsid w:val="00301B6E"/>
    <w:rsid w:val="00301C36"/>
    <w:rsid w:val="00301EA1"/>
    <w:rsid w:val="00301EDF"/>
    <w:rsid w:val="0030209F"/>
    <w:rsid w:val="003023D9"/>
    <w:rsid w:val="003026B2"/>
    <w:rsid w:val="003026F8"/>
    <w:rsid w:val="003027C9"/>
    <w:rsid w:val="003028DD"/>
    <w:rsid w:val="00302916"/>
    <w:rsid w:val="00302A18"/>
    <w:rsid w:val="00302DC3"/>
    <w:rsid w:val="0030300D"/>
    <w:rsid w:val="00303055"/>
    <w:rsid w:val="003030D1"/>
    <w:rsid w:val="0030317B"/>
    <w:rsid w:val="0030320E"/>
    <w:rsid w:val="00303340"/>
    <w:rsid w:val="0030367C"/>
    <w:rsid w:val="003037C0"/>
    <w:rsid w:val="003037D5"/>
    <w:rsid w:val="00303AE2"/>
    <w:rsid w:val="00303F08"/>
    <w:rsid w:val="003040D8"/>
    <w:rsid w:val="0030414B"/>
    <w:rsid w:val="003043B8"/>
    <w:rsid w:val="00304591"/>
    <w:rsid w:val="0030464E"/>
    <w:rsid w:val="003047FF"/>
    <w:rsid w:val="003049A2"/>
    <w:rsid w:val="00304A0B"/>
    <w:rsid w:val="00304C4B"/>
    <w:rsid w:val="00304E6F"/>
    <w:rsid w:val="003050C5"/>
    <w:rsid w:val="00305216"/>
    <w:rsid w:val="00305401"/>
    <w:rsid w:val="0030592F"/>
    <w:rsid w:val="003059B7"/>
    <w:rsid w:val="00305AB9"/>
    <w:rsid w:val="00305BF7"/>
    <w:rsid w:val="00305CD3"/>
    <w:rsid w:val="00305D3F"/>
    <w:rsid w:val="00305E6F"/>
    <w:rsid w:val="00305E95"/>
    <w:rsid w:val="00306032"/>
    <w:rsid w:val="003065CD"/>
    <w:rsid w:val="00306786"/>
    <w:rsid w:val="003067EA"/>
    <w:rsid w:val="00306807"/>
    <w:rsid w:val="00306B16"/>
    <w:rsid w:val="003070C1"/>
    <w:rsid w:val="0030721E"/>
    <w:rsid w:val="00307447"/>
    <w:rsid w:val="003074D5"/>
    <w:rsid w:val="00307528"/>
    <w:rsid w:val="0030788D"/>
    <w:rsid w:val="0030788F"/>
    <w:rsid w:val="00307896"/>
    <w:rsid w:val="00307B48"/>
    <w:rsid w:val="00307B9D"/>
    <w:rsid w:val="00307C32"/>
    <w:rsid w:val="00307CE4"/>
    <w:rsid w:val="00307D03"/>
    <w:rsid w:val="00307E06"/>
    <w:rsid w:val="00310220"/>
    <w:rsid w:val="00310299"/>
    <w:rsid w:val="0031029B"/>
    <w:rsid w:val="003105B4"/>
    <w:rsid w:val="00310663"/>
    <w:rsid w:val="00310665"/>
    <w:rsid w:val="00310AB5"/>
    <w:rsid w:val="00310CE4"/>
    <w:rsid w:val="00310D36"/>
    <w:rsid w:val="00311033"/>
    <w:rsid w:val="003112A3"/>
    <w:rsid w:val="003112AE"/>
    <w:rsid w:val="00311447"/>
    <w:rsid w:val="0031175A"/>
    <w:rsid w:val="00311770"/>
    <w:rsid w:val="00311787"/>
    <w:rsid w:val="00311B05"/>
    <w:rsid w:val="00311B7E"/>
    <w:rsid w:val="00311C49"/>
    <w:rsid w:val="00311F55"/>
    <w:rsid w:val="00311FF8"/>
    <w:rsid w:val="003121C1"/>
    <w:rsid w:val="003122D0"/>
    <w:rsid w:val="003123F5"/>
    <w:rsid w:val="00312415"/>
    <w:rsid w:val="0031255D"/>
    <w:rsid w:val="0031265F"/>
    <w:rsid w:val="003128A6"/>
    <w:rsid w:val="003128BF"/>
    <w:rsid w:val="00312A86"/>
    <w:rsid w:val="00312A89"/>
    <w:rsid w:val="00312B69"/>
    <w:rsid w:val="00312C2B"/>
    <w:rsid w:val="00312F16"/>
    <w:rsid w:val="003132A3"/>
    <w:rsid w:val="003132AB"/>
    <w:rsid w:val="003132AE"/>
    <w:rsid w:val="00313329"/>
    <w:rsid w:val="00313557"/>
    <w:rsid w:val="0031396E"/>
    <w:rsid w:val="003139C1"/>
    <w:rsid w:val="003139DB"/>
    <w:rsid w:val="00313DD0"/>
    <w:rsid w:val="00313F70"/>
    <w:rsid w:val="00313F8B"/>
    <w:rsid w:val="00313FAA"/>
    <w:rsid w:val="00313FD1"/>
    <w:rsid w:val="003142DA"/>
    <w:rsid w:val="0031430F"/>
    <w:rsid w:val="003144A9"/>
    <w:rsid w:val="00314579"/>
    <w:rsid w:val="003145CC"/>
    <w:rsid w:val="00314B05"/>
    <w:rsid w:val="00314BDF"/>
    <w:rsid w:val="00314E12"/>
    <w:rsid w:val="003150DA"/>
    <w:rsid w:val="003151A5"/>
    <w:rsid w:val="0031538F"/>
    <w:rsid w:val="003153F5"/>
    <w:rsid w:val="003154A7"/>
    <w:rsid w:val="00315578"/>
    <w:rsid w:val="003156F4"/>
    <w:rsid w:val="003156FD"/>
    <w:rsid w:val="00315836"/>
    <w:rsid w:val="00315B59"/>
    <w:rsid w:val="00315EB9"/>
    <w:rsid w:val="00316045"/>
    <w:rsid w:val="0031638E"/>
    <w:rsid w:val="003163E4"/>
    <w:rsid w:val="0031673C"/>
    <w:rsid w:val="003168A0"/>
    <w:rsid w:val="00316D15"/>
    <w:rsid w:val="00316E3C"/>
    <w:rsid w:val="00316E87"/>
    <w:rsid w:val="00316ED3"/>
    <w:rsid w:val="003170B0"/>
    <w:rsid w:val="003170F4"/>
    <w:rsid w:val="003172B0"/>
    <w:rsid w:val="003172ED"/>
    <w:rsid w:val="00317376"/>
    <w:rsid w:val="003173E8"/>
    <w:rsid w:val="0031780F"/>
    <w:rsid w:val="0031784F"/>
    <w:rsid w:val="003178EA"/>
    <w:rsid w:val="00317904"/>
    <w:rsid w:val="00317929"/>
    <w:rsid w:val="003203EF"/>
    <w:rsid w:val="0032046C"/>
    <w:rsid w:val="00320A2B"/>
    <w:rsid w:val="00320CBC"/>
    <w:rsid w:val="00320F02"/>
    <w:rsid w:val="00320F27"/>
    <w:rsid w:val="00320FE3"/>
    <w:rsid w:val="003210A0"/>
    <w:rsid w:val="003215B1"/>
    <w:rsid w:val="00321768"/>
    <w:rsid w:val="003218D7"/>
    <w:rsid w:val="00321B98"/>
    <w:rsid w:val="00321BF8"/>
    <w:rsid w:val="00321D53"/>
    <w:rsid w:val="003221B3"/>
    <w:rsid w:val="003224B1"/>
    <w:rsid w:val="003225EA"/>
    <w:rsid w:val="003229C2"/>
    <w:rsid w:val="00322BAA"/>
    <w:rsid w:val="00322BE8"/>
    <w:rsid w:val="003230CC"/>
    <w:rsid w:val="003230EE"/>
    <w:rsid w:val="0032335F"/>
    <w:rsid w:val="0032355C"/>
    <w:rsid w:val="00323675"/>
    <w:rsid w:val="003236FD"/>
    <w:rsid w:val="003236FE"/>
    <w:rsid w:val="0032373B"/>
    <w:rsid w:val="003237ED"/>
    <w:rsid w:val="00323AE6"/>
    <w:rsid w:val="00323B07"/>
    <w:rsid w:val="00323FAE"/>
    <w:rsid w:val="00324053"/>
    <w:rsid w:val="003241E7"/>
    <w:rsid w:val="00324339"/>
    <w:rsid w:val="0032438F"/>
    <w:rsid w:val="00324777"/>
    <w:rsid w:val="0032492E"/>
    <w:rsid w:val="00324938"/>
    <w:rsid w:val="00324FCA"/>
    <w:rsid w:val="00325216"/>
    <w:rsid w:val="00325441"/>
    <w:rsid w:val="00325AD6"/>
    <w:rsid w:val="00325E8C"/>
    <w:rsid w:val="00326059"/>
    <w:rsid w:val="00326103"/>
    <w:rsid w:val="00326167"/>
    <w:rsid w:val="003262F8"/>
    <w:rsid w:val="003265F0"/>
    <w:rsid w:val="00326801"/>
    <w:rsid w:val="0032688D"/>
    <w:rsid w:val="0032689C"/>
    <w:rsid w:val="00326C62"/>
    <w:rsid w:val="00326D04"/>
    <w:rsid w:val="00326D10"/>
    <w:rsid w:val="00326D7E"/>
    <w:rsid w:val="00326F32"/>
    <w:rsid w:val="00327001"/>
    <w:rsid w:val="0032741C"/>
    <w:rsid w:val="00327537"/>
    <w:rsid w:val="003275F6"/>
    <w:rsid w:val="0032796F"/>
    <w:rsid w:val="00327A69"/>
    <w:rsid w:val="00327AA1"/>
    <w:rsid w:val="00327AD8"/>
    <w:rsid w:val="00327B55"/>
    <w:rsid w:val="00327DEE"/>
    <w:rsid w:val="00327E05"/>
    <w:rsid w:val="00327FE8"/>
    <w:rsid w:val="0033030C"/>
    <w:rsid w:val="00330420"/>
    <w:rsid w:val="00330445"/>
    <w:rsid w:val="00330528"/>
    <w:rsid w:val="00330773"/>
    <w:rsid w:val="00330784"/>
    <w:rsid w:val="0033086C"/>
    <w:rsid w:val="00330889"/>
    <w:rsid w:val="00330932"/>
    <w:rsid w:val="00330E83"/>
    <w:rsid w:val="003310DC"/>
    <w:rsid w:val="00331127"/>
    <w:rsid w:val="00331275"/>
    <w:rsid w:val="003312DE"/>
    <w:rsid w:val="00331352"/>
    <w:rsid w:val="0033145A"/>
    <w:rsid w:val="00331CA5"/>
    <w:rsid w:val="00331D1F"/>
    <w:rsid w:val="00332718"/>
    <w:rsid w:val="00332769"/>
    <w:rsid w:val="00332865"/>
    <w:rsid w:val="003328A5"/>
    <w:rsid w:val="00332A40"/>
    <w:rsid w:val="00332B51"/>
    <w:rsid w:val="00332D2F"/>
    <w:rsid w:val="0033321F"/>
    <w:rsid w:val="00333363"/>
    <w:rsid w:val="003337B7"/>
    <w:rsid w:val="003338CB"/>
    <w:rsid w:val="003338D4"/>
    <w:rsid w:val="00333933"/>
    <w:rsid w:val="003339D6"/>
    <w:rsid w:val="003339DE"/>
    <w:rsid w:val="00333A40"/>
    <w:rsid w:val="00333C8E"/>
    <w:rsid w:val="00333FE5"/>
    <w:rsid w:val="00333FF4"/>
    <w:rsid w:val="003342C4"/>
    <w:rsid w:val="00334873"/>
    <w:rsid w:val="003348C1"/>
    <w:rsid w:val="003348DC"/>
    <w:rsid w:val="0033497F"/>
    <w:rsid w:val="00334A32"/>
    <w:rsid w:val="00334AE9"/>
    <w:rsid w:val="00334CAC"/>
    <w:rsid w:val="00334E69"/>
    <w:rsid w:val="00334FC4"/>
    <w:rsid w:val="00334FDB"/>
    <w:rsid w:val="00335152"/>
    <w:rsid w:val="003352BE"/>
    <w:rsid w:val="00335320"/>
    <w:rsid w:val="00335576"/>
    <w:rsid w:val="003356A6"/>
    <w:rsid w:val="003356E4"/>
    <w:rsid w:val="00335903"/>
    <w:rsid w:val="00335AEC"/>
    <w:rsid w:val="00335C22"/>
    <w:rsid w:val="00336066"/>
    <w:rsid w:val="003360D3"/>
    <w:rsid w:val="0033613A"/>
    <w:rsid w:val="003361CB"/>
    <w:rsid w:val="003361F7"/>
    <w:rsid w:val="00336357"/>
    <w:rsid w:val="00336359"/>
    <w:rsid w:val="00336413"/>
    <w:rsid w:val="0033645A"/>
    <w:rsid w:val="0033656B"/>
    <w:rsid w:val="00336577"/>
    <w:rsid w:val="00336830"/>
    <w:rsid w:val="003368A4"/>
    <w:rsid w:val="003369B1"/>
    <w:rsid w:val="003369C2"/>
    <w:rsid w:val="00336B7A"/>
    <w:rsid w:val="00336B8F"/>
    <w:rsid w:val="00337100"/>
    <w:rsid w:val="00337299"/>
    <w:rsid w:val="00337473"/>
    <w:rsid w:val="003374BA"/>
    <w:rsid w:val="00337680"/>
    <w:rsid w:val="00337759"/>
    <w:rsid w:val="00337898"/>
    <w:rsid w:val="00337A56"/>
    <w:rsid w:val="00337B02"/>
    <w:rsid w:val="00337D7D"/>
    <w:rsid w:val="00337F3F"/>
    <w:rsid w:val="00337F6F"/>
    <w:rsid w:val="003400B7"/>
    <w:rsid w:val="0034012C"/>
    <w:rsid w:val="003401FA"/>
    <w:rsid w:val="003402C5"/>
    <w:rsid w:val="0034038E"/>
    <w:rsid w:val="00340668"/>
    <w:rsid w:val="00340826"/>
    <w:rsid w:val="00340A5A"/>
    <w:rsid w:val="00340A62"/>
    <w:rsid w:val="00340A9D"/>
    <w:rsid w:val="003413F4"/>
    <w:rsid w:val="00341AE2"/>
    <w:rsid w:val="00341BEF"/>
    <w:rsid w:val="00341D5F"/>
    <w:rsid w:val="00341E91"/>
    <w:rsid w:val="00341FAE"/>
    <w:rsid w:val="003420A9"/>
    <w:rsid w:val="00342397"/>
    <w:rsid w:val="00342435"/>
    <w:rsid w:val="0034252F"/>
    <w:rsid w:val="003425F5"/>
    <w:rsid w:val="00342641"/>
    <w:rsid w:val="00342816"/>
    <w:rsid w:val="00342841"/>
    <w:rsid w:val="00342929"/>
    <w:rsid w:val="00342BCB"/>
    <w:rsid w:val="00342CD4"/>
    <w:rsid w:val="00342F1D"/>
    <w:rsid w:val="00342F37"/>
    <w:rsid w:val="0034317C"/>
    <w:rsid w:val="0034325E"/>
    <w:rsid w:val="003434DF"/>
    <w:rsid w:val="0034359B"/>
    <w:rsid w:val="003439E0"/>
    <w:rsid w:val="00343A3A"/>
    <w:rsid w:val="00343CA4"/>
    <w:rsid w:val="00343D08"/>
    <w:rsid w:val="00343F3E"/>
    <w:rsid w:val="0034421B"/>
    <w:rsid w:val="0034422C"/>
    <w:rsid w:val="0034438E"/>
    <w:rsid w:val="00344419"/>
    <w:rsid w:val="00344581"/>
    <w:rsid w:val="003445D2"/>
    <w:rsid w:val="003446BA"/>
    <w:rsid w:val="00344876"/>
    <w:rsid w:val="003448EC"/>
    <w:rsid w:val="003449C0"/>
    <w:rsid w:val="00344AC2"/>
    <w:rsid w:val="00344F4A"/>
    <w:rsid w:val="00345344"/>
    <w:rsid w:val="003455C1"/>
    <w:rsid w:val="003457A9"/>
    <w:rsid w:val="003458D5"/>
    <w:rsid w:val="0034599D"/>
    <w:rsid w:val="003459D2"/>
    <w:rsid w:val="00345A6B"/>
    <w:rsid w:val="00345A82"/>
    <w:rsid w:val="00345AC1"/>
    <w:rsid w:val="00345ADF"/>
    <w:rsid w:val="00345B22"/>
    <w:rsid w:val="00345B9B"/>
    <w:rsid w:val="00345EB3"/>
    <w:rsid w:val="00345ED4"/>
    <w:rsid w:val="0034619C"/>
    <w:rsid w:val="003461A1"/>
    <w:rsid w:val="0034666D"/>
    <w:rsid w:val="00346AE5"/>
    <w:rsid w:val="00347126"/>
    <w:rsid w:val="00347198"/>
    <w:rsid w:val="00347278"/>
    <w:rsid w:val="00347379"/>
    <w:rsid w:val="00347517"/>
    <w:rsid w:val="00347679"/>
    <w:rsid w:val="003479AB"/>
    <w:rsid w:val="00347E0D"/>
    <w:rsid w:val="00347F78"/>
    <w:rsid w:val="00347FD2"/>
    <w:rsid w:val="00350083"/>
    <w:rsid w:val="0035013B"/>
    <w:rsid w:val="003504AC"/>
    <w:rsid w:val="00350524"/>
    <w:rsid w:val="00350706"/>
    <w:rsid w:val="00350828"/>
    <w:rsid w:val="00350850"/>
    <w:rsid w:val="00350E50"/>
    <w:rsid w:val="00351120"/>
    <w:rsid w:val="00351185"/>
    <w:rsid w:val="003511FE"/>
    <w:rsid w:val="00351367"/>
    <w:rsid w:val="003516EB"/>
    <w:rsid w:val="003517B7"/>
    <w:rsid w:val="00351C3A"/>
    <w:rsid w:val="00351E9B"/>
    <w:rsid w:val="00351FA5"/>
    <w:rsid w:val="00351FD8"/>
    <w:rsid w:val="00352176"/>
    <w:rsid w:val="003522AC"/>
    <w:rsid w:val="0035238A"/>
    <w:rsid w:val="0035248B"/>
    <w:rsid w:val="00352766"/>
    <w:rsid w:val="003527B6"/>
    <w:rsid w:val="00352BE9"/>
    <w:rsid w:val="00352F6E"/>
    <w:rsid w:val="00353662"/>
    <w:rsid w:val="0035385E"/>
    <w:rsid w:val="0035391A"/>
    <w:rsid w:val="00353A22"/>
    <w:rsid w:val="00353B39"/>
    <w:rsid w:val="00353C25"/>
    <w:rsid w:val="00353C30"/>
    <w:rsid w:val="00353D9D"/>
    <w:rsid w:val="0035416F"/>
    <w:rsid w:val="003544F7"/>
    <w:rsid w:val="0035450B"/>
    <w:rsid w:val="003545FA"/>
    <w:rsid w:val="0035486B"/>
    <w:rsid w:val="0035494C"/>
    <w:rsid w:val="00354ABF"/>
    <w:rsid w:val="00354B32"/>
    <w:rsid w:val="00354BA1"/>
    <w:rsid w:val="00354C32"/>
    <w:rsid w:val="00354D94"/>
    <w:rsid w:val="00354DC9"/>
    <w:rsid w:val="00355218"/>
    <w:rsid w:val="003558F6"/>
    <w:rsid w:val="00355A1C"/>
    <w:rsid w:val="00355A4E"/>
    <w:rsid w:val="00355A5D"/>
    <w:rsid w:val="00355BF5"/>
    <w:rsid w:val="00355EDB"/>
    <w:rsid w:val="00355FEF"/>
    <w:rsid w:val="0035605B"/>
    <w:rsid w:val="00356262"/>
    <w:rsid w:val="003563E5"/>
    <w:rsid w:val="0035671E"/>
    <w:rsid w:val="00356918"/>
    <w:rsid w:val="00356A9E"/>
    <w:rsid w:val="00356CC9"/>
    <w:rsid w:val="00356DB3"/>
    <w:rsid w:val="00356E52"/>
    <w:rsid w:val="003570BB"/>
    <w:rsid w:val="00357176"/>
    <w:rsid w:val="003571AB"/>
    <w:rsid w:val="0035754E"/>
    <w:rsid w:val="0035758D"/>
    <w:rsid w:val="0035777C"/>
    <w:rsid w:val="00357796"/>
    <w:rsid w:val="00357A1D"/>
    <w:rsid w:val="00357E4F"/>
    <w:rsid w:val="003600A7"/>
    <w:rsid w:val="00360152"/>
    <w:rsid w:val="0036015F"/>
    <w:rsid w:val="00360379"/>
    <w:rsid w:val="0036048F"/>
    <w:rsid w:val="0036097A"/>
    <w:rsid w:val="00360A48"/>
    <w:rsid w:val="00360B78"/>
    <w:rsid w:val="00360BB8"/>
    <w:rsid w:val="00360DBC"/>
    <w:rsid w:val="003610D6"/>
    <w:rsid w:val="003612B4"/>
    <w:rsid w:val="003613AC"/>
    <w:rsid w:val="0036149B"/>
    <w:rsid w:val="0036151E"/>
    <w:rsid w:val="0036173E"/>
    <w:rsid w:val="00361A73"/>
    <w:rsid w:val="00361D89"/>
    <w:rsid w:val="00361FCD"/>
    <w:rsid w:val="00362119"/>
    <w:rsid w:val="00362195"/>
    <w:rsid w:val="0036231F"/>
    <w:rsid w:val="003624A6"/>
    <w:rsid w:val="003624A7"/>
    <w:rsid w:val="003624D7"/>
    <w:rsid w:val="00362627"/>
    <w:rsid w:val="0036262D"/>
    <w:rsid w:val="003627B8"/>
    <w:rsid w:val="00362895"/>
    <w:rsid w:val="00362931"/>
    <w:rsid w:val="003630DE"/>
    <w:rsid w:val="003634F6"/>
    <w:rsid w:val="003636D9"/>
    <w:rsid w:val="00363847"/>
    <w:rsid w:val="00363C63"/>
    <w:rsid w:val="00364051"/>
    <w:rsid w:val="00364121"/>
    <w:rsid w:val="003641EC"/>
    <w:rsid w:val="00364262"/>
    <w:rsid w:val="003642CB"/>
    <w:rsid w:val="00364390"/>
    <w:rsid w:val="00364508"/>
    <w:rsid w:val="00364883"/>
    <w:rsid w:val="003648E7"/>
    <w:rsid w:val="0036505B"/>
    <w:rsid w:val="0036507C"/>
    <w:rsid w:val="00365674"/>
    <w:rsid w:val="0036577B"/>
    <w:rsid w:val="003658CD"/>
    <w:rsid w:val="00365975"/>
    <w:rsid w:val="003659C5"/>
    <w:rsid w:val="003659CB"/>
    <w:rsid w:val="003659FE"/>
    <w:rsid w:val="00365B96"/>
    <w:rsid w:val="00365CFA"/>
    <w:rsid w:val="00365F03"/>
    <w:rsid w:val="00366081"/>
    <w:rsid w:val="003662EB"/>
    <w:rsid w:val="0036636E"/>
    <w:rsid w:val="003665A3"/>
    <w:rsid w:val="003667BB"/>
    <w:rsid w:val="003668CF"/>
    <w:rsid w:val="00366CCE"/>
    <w:rsid w:val="00366E5C"/>
    <w:rsid w:val="00366FB3"/>
    <w:rsid w:val="00367110"/>
    <w:rsid w:val="00367160"/>
    <w:rsid w:val="003671BC"/>
    <w:rsid w:val="003674BC"/>
    <w:rsid w:val="00367527"/>
    <w:rsid w:val="0036754D"/>
    <w:rsid w:val="00367582"/>
    <w:rsid w:val="003675EB"/>
    <w:rsid w:val="00367797"/>
    <w:rsid w:val="0036779B"/>
    <w:rsid w:val="00367BA4"/>
    <w:rsid w:val="00367C0B"/>
    <w:rsid w:val="00367DBB"/>
    <w:rsid w:val="00367E3F"/>
    <w:rsid w:val="00370220"/>
    <w:rsid w:val="003702CA"/>
    <w:rsid w:val="00370475"/>
    <w:rsid w:val="003706C2"/>
    <w:rsid w:val="003707E8"/>
    <w:rsid w:val="00370867"/>
    <w:rsid w:val="00370A00"/>
    <w:rsid w:val="00371076"/>
    <w:rsid w:val="00371234"/>
    <w:rsid w:val="0037125B"/>
    <w:rsid w:val="00371473"/>
    <w:rsid w:val="0037154A"/>
    <w:rsid w:val="00371585"/>
    <w:rsid w:val="00371A8D"/>
    <w:rsid w:val="00371D4F"/>
    <w:rsid w:val="00371FE1"/>
    <w:rsid w:val="00372068"/>
    <w:rsid w:val="0037238C"/>
    <w:rsid w:val="003728F1"/>
    <w:rsid w:val="003728F4"/>
    <w:rsid w:val="00372A38"/>
    <w:rsid w:val="00373169"/>
    <w:rsid w:val="003732B1"/>
    <w:rsid w:val="0037350C"/>
    <w:rsid w:val="00373577"/>
    <w:rsid w:val="0037360E"/>
    <w:rsid w:val="003739E1"/>
    <w:rsid w:val="00373AE2"/>
    <w:rsid w:val="00373B5B"/>
    <w:rsid w:val="00373C23"/>
    <w:rsid w:val="00373C25"/>
    <w:rsid w:val="00373E35"/>
    <w:rsid w:val="00373E65"/>
    <w:rsid w:val="00373ED5"/>
    <w:rsid w:val="00374371"/>
    <w:rsid w:val="003743B6"/>
    <w:rsid w:val="0037445E"/>
    <w:rsid w:val="0037447D"/>
    <w:rsid w:val="00374513"/>
    <w:rsid w:val="00374533"/>
    <w:rsid w:val="003746AB"/>
    <w:rsid w:val="003746E4"/>
    <w:rsid w:val="00374718"/>
    <w:rsid w:val="00374B3B"/>
    <w:rsid w:val="00374BBE"/>
    <w:rsid w:val="00374CC5"/>
    <w:rsid w:val="00374CF3"/>
    <w:rsid w:val="00375094"/>
    <w:rsid w:val="003750AD"/>
    <w:rsid w:val="003750EF"/>
    <w:rsid w:val="003751CF"/>
    <w:rsid w:val="003753E5"/>
    <w:rsid w:val="003754D7"/>
    <w:rsid w:val="003757D2"/>
    <w:rsid w:val="00375813"/>
    <w:rsid w:val="003758E0"/>
    <w:rsid w:val="00375D35"/>
    <w:rsid w:val="00375DF3"/>
    <w:rsid w:val="00375E8B"/>
    <w:rsid w:val="00375EB8"/>
    <w:rsid w:val="00375EC2"/>
    <w:rsid w:val="00376014"/>
    <w:rsid w:val="003760A5"/>
    <w:rsid w:val="0037625F"/>
    <w:rsid w:val="003763CA"/>
    <w:rsid w:val="003764E2"/>
    <w:rsid w:val="003765A3"/>
    <w:rsid w:val="003765C7"/>
    <w:rsid w:val="003766AD"/>
    <w:rsid w:val="00376972"/>
    <w:rsid w:val="003769C7"/>
    <w:rsid w:val="00376AC2"/>
    <w:rsid w:val="00376C24"/>
    <w:rsid w:val="00376C26"/>
    <w:rsid w:val="00376D1B"/>
    <w:rsid w:val="0037709C"/>
    <w:rsid w:val="003770E0"/>
    <w:rsid w:val="00377184"/>
    <w:rsid w:val="003774AE"/>
    <w:rsid w:val="00377554"/>
    <w:rsid w:val="00377754"/>
    <w:rsid w:val="00377802"/>
    <w:rsid w:val="003778F6"/>
    <w:rsid w:val="00377A6A"/>
    <w:rsid w:val="00377AE4"/>
    <w:rsid w:val="0038005F"/>
    <w:rsid w:val="003800E0"/>
    <w:rsid w:val="003805E4"/>
    <w:rsid w:val="003805F7"/>
    <w:rsid w:val="0038064B"/>
    <w:rsid w:val="00380681"/>
    <w:rsid w:val="003806B2"/>
    <w:rsid w:val="003807DA"/>
    <w:rsid w:val="0038080F"/>
    <w:rsid w:val="0038092C"/>
    <w:rsid w:val="003809C1"/>
    <w:rsid w:val="00380B62"/>
    <w:rsid w:val="00380D6A"/>
    <w:rsid w:val="00380F25"/>
    <w:rsid w:val="00380FED"/>
    <w:rsid w:val="003812B1"/>
    <w:rsid w:val="00381329"/>
    <w:rsid w:val="003813B9"/>
    <w:rsid w:val="003813FA"/>
    <w:rsid w:val="003814FE"/>
    <w:rsid w:val="00381612"/>
    <w:rsid w:val="003816EA"/>
    <w:rsid w:val="00381707"/>
    <w:rsid w:val="00381926"/>
    <w:rsid w:val="0038192A"/>
    <w:rsid w:val="0038193D"/>
    <w:rsid w:val="00381B3D"/>
    <w:rsid w:val="00381BA0"/>
    <w:rsid w:val="00381C98"/>
    <w:rsid w:val="00381D61"/>
    <w:rsid w:val="003820C0"/>
    <w:rsid w:val="0038222F"/>
    <w:rsid w:val="003822FD"/>
    <w:rsid w:val="0038241E"/>
    <w:rsid w:val="0038246B"/>
    <w:rsid w:val="0038254A"/>
    <w:rsid w:val="00382B9E"/>
    <w:rsid w:val="00382D89"/>
    <w:rsid w:val="00382EB4"/>
    <w:rsid w:val="00383224"/>
    <w:rsid w:val="003832F2"/>
    <w:rsid w:val="003833B2"/>
    <w:rsid w:val="00383430"/>
    <w:rsid w:val="0038359F"/>
    <w:rsid w:val="003835A5"/>
    <w:rsid w:val="00383885"/>
    <w:rsid w:val="003838A2"/>
    <w:rsid w:val="00383BAE"/>
    <w:rsid w:val="00383C25"/>
    <w:rsid w:val="00383DC8"/>
    <w:rsid w:val="00383F3C"/>
    <w:rsid w:val="00384029"/>
    <w:rsid w:val="0038418B"/>
    <w:rsid w:val="0038437E"/>
    <w:rsid w:val="003844D6"/>
    <w:rsid w:val="00384524"/>
    <w:rsid w:val="00384556"/>
    <w:rsid w:val="0038456B"/>
    <w:rsid w:val="003847BC"/>
    <w:rsid w:val="00384DD1"/>
    <w:rsid w:val="003858BD"/>
    <w:rsid w:val="00385AB3"/>
    <w:rsid w:val="00385AD8"/>
    <w:rsid w:val="00385AFB"/>
    <w:rsid w:val="00385C1A"/>
    <w:rsid w:val="00385DDF"/>
    <w:rsid w:val="00385E34"/>
    <w:rsid w:val="00385E48"/>
    <w:rsid w:val="00385F34"/>
    <w:rsid w:val="00386319"/>
    <w:rsid w:val="003863C7"/>
    <w:rsid w:val="003864C2"/>
    <w:rsid w:val="003866EC"/>
    <w:rsid w:val="00386BC5"/>
    <w:rsid w:val="00386C29"/>
    <w:rsid w:val="00386D6B"/>
    <w:rsid w:val="00386E54"/>
    <w:rsid w:val="00386E7F"/>
    <w:rsid w:val="003871D6"/>
    <w:rsid w:val="003871FD"/>
    <w:rsid w:val="003876C4"/>
    <w:rsid w:val="00387870"/>
    <w:rsid w:val="003878A5"/>
    <w:rsid w:val="00387979"/>
    <w:rsid w:val="00387E48"/>
    <w:rsid w:val="00387ECA"/>
    <w:rsid w:val="00387FB2"/>
    <w:rsid w:val="00390367"/>
    <w:rsid w:val="003903A6"/>
    <w:rsid w:val="003904AF"/>
    <w:rsid w:val="003906A2"/>
    <w:rsid w:val="003907DA"/>
    <w:rsid w:val="00390AA4"/>
    <w:rsid w:val="00390D78"/>
    <w:rsid w:val="00390E31"/>
    <w:rsid w:val="00390FED"/>
    <w:rsid w:val="00391031"/>
    <w:rsid w:val="003910FD"/>
    <w:rsid w:val="003911D4"/>
    <w:rsid w:val="003911DE"/>
    <w:rsid w:val="003915C1"/>
    <w:rsid w:val="003917BB"/>
    <w:rsid w:val="003917F7"/>
    <w:rsid w:val="0039181B"/>
    <w:rsid w:val="003918E9"/>
    <w:rsid w:val="00391BCB"/>
    <w:rsid w:val="003920C3"/>
    <w:rsid w:val="003923FD"/>
    <w:rsid w:val="00392469"/>
    <w:rsid w:val="003924BD"/>
    <w:rsid w:val="00392500"/>
    <w:rsid w:val="0039253C"/>
    <w:rsid w:val="00392741"/>
    <w:rsid w:val="00392915"/>
    <w:rsid w:val="0039292B"/>
    <w:rsid w:val="00392BFE"/>
    <w:rsid w:val="00392D8B"/>
    <w:rsid w:val="0039323E"/>
    <w:rsid w:val="0039345D"/>
    <w:rsid w:val="003934A1"/>
    <w:rsid w:val="003935B2"/>
    <w:rsid w:val="00393633"/>
    <w:rsid w:val="00393746"/>
    <w:rsid w:val="00393A75"/>
    <w:rsid w:val="00393C1E"/>
    <w:rsid w:val="00393E50"/>
    <w:rsid w:val="00393E62"/>
    <w:rsid w:val="00393F4A"/>
    <w:rsid w:val="00393F57"/>
    <w:rsid w:val="00394054"/>
    <w:rsid w:val="00394528"/>
    <w:rsid w:val="00394597"/>
    <w:rsid w:val="003945F2"/>
    <w:rsid w:val="00394617"/>
    <w:rsid w:val="003946E0"/>
    <w:rsid w:val="0039480F"/>
    <w:rsid w:val="00394A70"/>
    <w:rsid w:val="00394AE5"/>
    <w:rsid w:val="00394BC6"/>
    <w:rsid w:val="00394D1E"/>
    <w:rsid w:val="00394E38"/>
    <w:rsid w:val="00394EB1"/>
    <w:rsid w:val="00394F3E"/>
    <w:rsid w:val="0039510F"/>
    <w:rsid w:val="0039532B"/>
    <w:rsid w:val="00395349"/>
    <w:rsid w:val="003953B2"/>
    <w:rsid w:val="003953F7"/>
    <w:rsid w:val="00395573"/>
    <w:rsid w:val="00395665"/>
    <w:rsid w:val="0039581C"/>
    <w:rsid w:val="0039588F"/>
    <w:rsid w:val="003958DD"/>
    <w:rsid w:val="003959DE"/>
    <w:rsid w:val="00395EE5"/>
    <w:rsid w:val="00395F2D"/>
    <w:rsid w:val="0039626D"/>
    <w:rsid w:val="003964CE"/>
    <w:rsid w:val="0039653A"/>
    <w:rsid w:val="003966DD"/>
    <w:rsid w:val="00396A35"/>
    <w:rsid w:val="00396A61"/>
    <w:rsid w:val="00396B58"/>
    <w:rsid w:val="00396BBE"/>
    <w:rsid w:val="00396C40"/>
    <w:rsid w:val="00396F4A"/>
    <w:rsid w:val="003971FE"/>
    <w:rsid w:val="003972A6"/>
    <w:rsid w:val="0039794C"/>
    <w:rsid w:val="003979C7"/>
    <w:rsid w:val="00397AD0"/>
    <w:rsid w:val="00397D10"/>
    <w:rsid w:val="00397D30"/>
    <w:rsid w:val="00397DA2"/>
    <w:rsid w:val="00397EB7"/>
    <w:rsid w:val="00397ECA"/>
    <w:rsid w:val="00397F61"/>
    <w:rsid w:val="003A008B"/>
    <w:rsid w:val="003A01BF"/>
    <w:rsid w:val="003A0357"/>
    <w:rsid w:val="003A03A9"/>
    <w:rsid w:val="003A0656"/>
    <w:rsid w:val="003A06A1"/>
    <w:rsid w:val="003A0715"/>
    <w:rsid w:val="003A0738"/>
    <w:rsid w:val="003A0786"/>
    <w:rsid w:val="003A09C3"/>
    <w:rsid w:val="003A0A02"/>
    <w:rsid w:val="003A0DE1"/>
    <w:rsid w:val="003A0E8E"/>
    <w:rsid w:val="003A107B"/>
    <w:rsid w:val="003A13B5"/>
    <w:rsid w:val="003A1468"/>
    <w:rsid w:val="003A1497"/>
    <w:rsid w:val="003A1678"/>
    <w:rsid w:val="003A19CC"/>
    <w:rsid w:val="003A1A10"/>
    <w:rsid w:val="003A1CDA"/>
    <w:rsid w:val="003A1D2B"/>
    <w:rsid w:val="003A1F9C"/>
    <w:rsid w:val="003A2032"/>
    <w:rsid w:val="003A211F"/>
    <w:rsid w:val="003A2159"/>
    <w:rsid w:val="003A221A"/>
    <w:rsid w:val="003A2337"/>
    <w:rsid w:val="003A2A1A"/>
    <w:rsid w:val="003A2B32"/>
    <w:rsid w:val="003A2C60"/>
    <w:rsid w:val="003A3041"/>
    <w:rsid w:val="003A30F1"/>
    <w:rsid w:val="003A314E"/>
    <w:rsid w:val="003A324B"/>
    <w:rsid w:val="003A3524"/>
    <w:rsid w:val="003A3568"/>
    <w:rsid w:val="003A3922"/>
    <w:rsid w:val="003A3A27"/>
    <w:rsid w:val="003A3C00"/>
    <w:rsid w:val="003A3DA5"/>
    <w:rsid w:val="003A3E9D"/>
    <w:rsid w:val="003A3FCF"/>
    <w:rsid w:val="003A4454"/>
    <w:rsid w:val="003A449D"/>
    <w:rsid w:val="003A46ED"/>
    <w:rsid w:val="003A46FD"/>
    <w:rsid w:val="003A494E"/>
    <w:rsid w:val="003A4A6C"/>
    <w:rsid w:val="003A4B25"/>
    <w:rsid w:val="003A4F95"/>
    <w:rsid w:val="003A5570"/>
    <w:rsid w:val="003A5610"/>
    <w:rsid w:val="003A5658"/>
    <w:rsid w:val="003A56DF"/>
    <w:rsid w:val="003A59FB"/>
    <w:rsid w:val="003A5A12"/>
    <w:rsid w:val="003A5ABC"/>
    <w:rsid w:val="003A5C36"/>
    <w:rsid w:val="003A5C38"/>
    <w:rsid w:val="003A5D62"/>
    <w:rsid w:val="003A5DE3"/>
    <w:rsid w:val="003A5E19"/>
    <w:rsid w:val="003A5F64"/>
    <w:rsid w:val="003A5F6D"/>
    <w:rsid w:val="003A5FBA"/>
    <w:rsid w:val="003A6263"/>
    <w:rsid w:val="003A631D"/>
    <w:rsid w:val="003A67B4"/>
    <w:rsid w:val="003A697A"/>
    <w:rsid w:val="003A6A03"/>
    <w:rsid w:val="003A6D49"/>
    <w:rsid w:val="003A7035"/>
    <w:rsid w:val="003A728E"/>
    <w:rsid w:val="003A72FC"/>
    <w:rsid w:val="003A7388"/>
    <w:rsid w:val="003A7498"/>
    <w:rsid w:val="003A74B4"/>
    <w:rsid w:val="003A752D"/>
    <w:rsid w:val="003A7697"/>
    <w:rsid w:val="003A7BED"/>
    <w:rsid w:val="003A7DDD"/>
    <w:rsid w:val="003A7F13"/>
    <w:rsid w:val="003A7F62"/>
    <w:rsid w:val="003B0414"/>
    <w:rsid w:val="003B04E8"/>
    <w:rsid w:val="003B0911"/>
    <w:rsid w:val="003B09E6"/>
    <w:rsid w:val="003B0A32"/>
    <w:rsid w:val="003B0A84"/>
    <w:rsid w:val="003B0B54"/>
    <w:rsid w:val="003B0F06"/>
    <w:rsid w:val="003B1115"/>
    <w:rsid w:val="003B14AB"/>
    <w:rsid w:val="003B159A"/>
    <w:rsid w:val="003B168F"/>
    <w:rsid w:val="003B1727"/>
    <w:rsid w:val="003B1928"/>
    <w:rsid w:val="003B19CE"/>
    <w:rsid w:val="003B19F9"/>
    <w:rsid w:val="003B1D1C"/>
    <w:rsid w:val="003B1D5A"/>
    <w:rsid w:val="003B1E26"/>
    <w:rsid w:val="003B200B"/>
    <w:rsid w:val="003B20AB"/>
    <w:rsid w:val="003B2248"/>
    <w:rsid w:val="003B259D"/>
    <w:rsid w:val="003B265B"/>
    <w:rsid w:val="003B2889"/>
    <w:rsid w:val="003B2AF7"/>
    <w:rsid w:val="003B2C7D"/>
    <w:rsid w:val="003B2C9B"/>
    <w:rsid w:val="003B2E24"/>
    <w:rsid w:val="003B2F6C"/>
    <w:rsid w:val="003B32E9"/>
    <w:rsid w:val="003B3379"/>
    <w:rsid w:val="003B35B0"/>
    <w:rsid w:val="003B3694"/>
    <w:rsid w:val="003B36E2"/>
    <w:rsid w:val="003B3B08"/>
    <w:rsid w:val="003B3B66"/>
    <w:rsid w:val="003B3C47"/>
    <w:rsid w:val="003B3D1D"/>
    <w:rsid w:val="003B3E85"/>
    <w:rsid w:val="003B3EAB"/>
    <w:rsid w:val="003B3F96"/>
    <w:rsid w:val="003B3FBF"/>
    <w:rsid w:val="003B3FCB"/>
    <w:rsid w:val="003B4005"/>
    <w:rsid w:val="003B423B"/>
    <w:rsid w:val="003B4242"/>
    <w:rsid w:val="003B4294"/>
    <w:rsid w:val="003B4B63"/>
    <w:rsid w:val="003B4BF7"/>
    <w:rsid w:val="003B4CC9"/>
    <w:rsid w:val="003B4D00"/>
    <w:rsid w:val="003B4D3D"/>
    <w:rsid w:val="003B4E18"/>
    <w:rsid w:val="003B5210"/>
    <w:rsid w:val="003B52A9"/>
    <w:rsid w:val="003B5427"/>
    <w:rsid w:val="003B550E"/>
    <w:rsid w:val="003B5564"/>
    <w:rsid w:val="003B5A5E"/>
    <w:rsid w:val="003B5B37"/>
    <w:rsid w:val="003B5B6A"/>
    <w:rsid w:val="003B5BBE"/>
    <w:rsid w:val="003B5BC4"/>
    <w:rsid w:val="003B5C0C"/>
    <w:rsid w:val="003B5C15"/>
    <w:rsid w:val="003B5DB8"/>
    <w:rsid w:val="003B5DDC"/>
    <w:rsid w:val="003B5E15"/>
    <w:rsid w:val="003B60F0"/>
    <w:rsid w:val="003B6255"/>
    <w:rsid w:val="003B630B"/>
    <w:rsid w:val="003B637E"/>
    <w:rsid w:val="003B6419"/>
    <w:rsid w:val="003B6440"/>
    <w:rsid w:val="003B6452"/>
    <w:rsid w:val="003B645A"/>
    <w:rsid w:val="003B646B"/>
    <w:rsid w:val="003B65A0"/>
    <w:rsid w:val="003B65DC"/>
    <w:rsid w:val="003B6618"/>
    <w:rsid w:val="003B6A31"/>
    <w:rsid w:val="003B6E44"/>
    <w:rsid w:val="003B7199"/>
    <w:rsid w:val="003B73AA"/>
    <w:rsid w:val="003B744C"/>
    <w:rsid w:val="003B7D93"/>
    <w:rsid w:val="003B7E00"/>
    <w:rsid w:val="003C0101"/>
    <w:rsid w:val="003C016A"/>
    <w:rsid w:val="003C020C"/>
    <w:rsid w:val="003C0287"/>
    <w:rsid w:val="003C03A6"/>
    <w:rsid w:val="003C0479"/>
    <w:rsid w:val="003C0690"/>
    <w:rsid w:val="003C0696"/>
    <w:rsid w:val="003C07D5"/>
    <w:rsid w:val="003C081C"/>
    <w:rsid w:val="003C0911"/>
    <w:rsid w:val="003C0C44"/>
    <w:rsid w:val="003C0D80"/>
    <w:rsid w:val="003C0E50"/>
    <w:rsid w:val="003C1164"/>
    <w:rsid w:val="003C12AF"/>
    <w:rsid w:val="003C14D2"/>
    <w:rsid w:val="003C1575"/>
    <w:rsid w:val="003C1717"/>
    <w:rsid w:val="003C1719"/>
    <w:rsid w:val="003C1915"/>
    <w:rsid w:val="003C1920"/>
    <w:rsid w:val="003C1BEB"/>
    <w:rsid w:val="003C1F1F"/>
    <w:rsid w:val="003C1FA7"/>
    <w:rsid w:val="003C21A1"/>
    <w:rsid w:val="003C226E"/>
    <w:rsid w:val="003C23F7"/>
    <w:rsid w:val="003C25C5"/>
    <w:rsid w:val="003C2735"/>
    <w:rsid w:val="003C290E"/>
    <w:rsid w:val="003C2AA0"/>
    <w:rsid w:val="003C2AF8"/>
    <w:rsid w:val="003C2B12"/>
    <w:rsid w:val="003C2B73"/>
    <w:rsid w:val="003C30FA"/>
    <w:rsid w:val="003C313B"/>
    <w:rsid w:val="003C3215"/>
    <w:rsid w:val="003C340E"/>
    <w:rsid w:val="003C34DA"/>
    <w:rsid w:val="003C35DF"/>
    <w:rsid w:val="003C3899"/>
    <w:rsid w:val="003C4018"/>
    <w:rsid w:val="003C4120"/>
    <w:rsid w:val="003C425B"/>
    <w:rsid w:val="003C42ED"/>
    <w:rsid w:val="003C4311"/>
    <w:rsid w:val="003C47EB"/>
    <w:rsid w:val="003C4AC2"/>
    <w:rsid w:val="003C4B42"/>
    <w:rsid w:val="003C4B96"/>
    <w:rsid w:val="003C4BE4"/>
    <w:rsid w:val="003C4C71"/>
    <w:rsid w:val="003C4DE4"/>
    <w:rsid w:val="003C4DF3"/>
    <w:rsid w:val="003C4FB4"/>
    <w:rsid w:val="003C5791"/>
    <w:rsid w:val="003C57E5"/>
    <w:rsid w:val="003C5B6C"/>
    <w:rsid w:val="003C5E05"/>
    <w:rsid w:val="003C5EA2"/>
    <w:rsid w:val="003C5EB2"/>
    <w:rsid w:val="003C5F07"/>
    <w:rsid w:val="003C60E0"/>
    <w:rsid w:val="003C621C"/>
    <w:rsid w:val="003C6273"/>
    <w:rsid w:val="003C6410"/>
    <w:rsid w:val="003C64B5"/>
    <w:rsid w:val="003C65C6"/>
    <w:rsid w:val="003C692B"/>
    <w:rsid w:val="003C7063"/>
    <w:rsid w:val="003C70FD"/>
    <w:rsid w:val="003C7189"/>
    <w:rsid w:val="003C732A"/>
    <w:rsid w:val="003C7723"/>
    <w:rsid w:val="003C7739"/>
    <w:rsid w:val="003C7C2F"/>
    <w:rsid w:val="003C7CA6"/>
    <w:rsid w:val="003D0008"/>
    <w:rsid w:val="003D00C1"/>
    <w:rsid w:val="003D0179"/>
    <w:rsid w:val="003D0180"/>
    <w:rsid w:val="003D025D"/>
    <w:rsid w:val="003D0269"/>
    <w:rsid w:val="003D02A4"/>
    <w:rsid w:val="003D0356"/>
    <w:rsid w:val="003D036B"/>
    <w:rsid w:val="003D051E"/>
    <w:rsid w:val="003D06CC"/>
    <w:rsid w:val="003D07C5"/>
    <w:rsid w:val="003D07C9"/>
    <w:rsid w:val="003D0854"/>
    <w:rsid w:val="003D0947"/>
    <w:rsid w:val="003D0984"/>
    <w:rsid w:val="003D0B1B"/>
    <w:rsid w:val="003D0B40"/>
    <w:rsid w:val="003D0D2F"/>
    <w:rsid w:val="003D0E73"/>
    <w:rsid w:val="003D0F59"/>
    <w:rsid w:val="003D0F75"/>
    <w:rsid w:val="003D1053"/>
    <w:rsid w:val="003D119F"/>
    <w:rsid w:val="003D14AF"/>
    <w:rsid w:val="003D167D"/>
    <w:rsid w:val="003D169C"/>
    <w:rsid w:val="003D1810"/>
    <w:rsid w:val="003D1845"/>
    <w:rsid w:val="003D1A80"/>
    <w:rsid w:val="003D1A87"/>
    <w:rsid w:val="003D1B12"/>
    <w:rsid w:val="003D1D38"/>
    <w:rsid w:val="003D1F2A"/>
    <w:rsid w:val="003D2126"/>
    <w:rsid w:val="003D24CB"/>
    <w:rsid w:val="003D28A0"/>
    <w:rsid w:val="003D2AA7"/>
    <w:rsid w:val="003D2BAC"/>
    <w:rsid w:val="003D2BB7"/>
    <w:rsid w:val="003D2D62"/>
    <w:rsid w:val="003D30E5"/>
    <w:rsid w:val="003D3257"/>
    <w:rsid w:val="003D327D"/>
    <w:rsid w:val="003D32B6"/>
    <w:rsid w:val="003D32C4"/>
    <w:rsid w:val="003D34D8"/>
    <w:rsid w:val="003D37FF"/>
    <w:rsid w:val="003D3C80"/>
    <w:rsid w:val="003D3D24"/>
    <w:rsid w:val="003D3D58"/>
    <w:rsid w:val="003D3DE5"/>
    <w:rsid w:val="003D3FEE"/>
    <w:rsid w:val="003D41F7"/>
    <w:rsid w:val="003D4229"/>
    <w:rsid w:val="003D4237"/>
    <w:rsid w:val="003D4281"/>
    <w:rsid w:val="003D42C5"/>
    <w:rsid w:val="003D440B"/>
    <w:rsid w:val="003D44A0"/>
    <w:rsid w:val="003D4820"/>
    <w:rsid w:val="003D48AC"/>
    <w:rsid w:val="003D48E5"/>
    <w:rsid w:val="003D4AED"/>
    <w:rsid w:val="003D4B11"/>
    <w:rsid w:val="003D4B5F"/>
    <w:rsid w:val="003D51C2"/>
    <w:rsid w:val="003D52E7"/>
    <w:rsid w:val="003D5430"/>
    <w:rsid w:val="003D5505"/>
    <w:rsid w:val="003D555B"/>
    <w:rsid w:val="003D56D6"/>
    <w:rsid w:val="003D56F6"/>
    <w:rsid w:val="003D5ACB"/>
    <w:rsid w:val="003D5B81"/>
    <w:rsid w:val="003D5C4C"/>
    <w:rsid w:val="003D5E2A"/>
    <w:rsid w:val="003D5ED2"/>
    <w:rsid w:val="003D5EF5"/>
    <w:rsid w:val="003D604B"/>
    <w:rsid w:val="003D6235"/>
    <w:rsid w:val="003D6267"/>
    <w:rsid w:val="003D6636"/>
    <w:rsid w:val="003D696C"/>
    <w:rsid w:val="003D6EF4"/>
    <w:rsid w:val="003D7083"/>
    <w:rsid w:val="003D715B"/>
    <w:rsid w:val="003D7180"/>
    <w:rsid w:val="003D7613"/>
    <w:rsid w:val="003D773B"/>
    <w:rsid w:val="003D785A"/>
    <w:rsid w:val="003D7A08"/>
    <w:rsid w:val="003D7A46"/>
    <w:rsid w:val="003D7B7A"/>
    <w:rsid w:val="003D7BA1"/>
    <w:rsid w:val="003D7EB9"/>
    <w:rsid w:val="003E008A"/>
    <w:rsid w:val="003E00D9"/>
    <w:rsid w:val="003E012E"/>
    <w:rsid w:val="003E0585"/>
    <w:rsid w:val="003E05E4"/>
    <w:rsid w:val="003E09D9"/>
    <w:rsid w:val="003E0CBA"/>
    <w:rsid w:val="003E0DEF"/>
    <w:rsid w:val="003E0E06"/>
    <w:rsid w:val="003E0E18"/>
    <w:rsid w:val="003E0FAE"/>
    <w:rsid w:val="003E0FBD"/>
    <w:rsid w:val="003E1023"/>
    <w:rsid w:val="003E1180"/>
    <w:rsid w:val="003E138D"/>
    <w:rsid w:val="003E145B"/>
    <w:rsid w:val="003E14C4"/>
    <w:rsid w:val="003E15DA"/>
    <w:rsid w:val="003E1661"/>
    <w:rsid w:val="003E1820"/>
    <w:rsid w:val="003E18AD"/>
    <w:rsid w:val="003E1961"/>
    <w:rsid w:val="003E1969"/>
    <w:rsid w:val="003E19DF"/>
    <w:rsid w:val="003E1B46"/>
    <w:rsid w:val="003E1E81"/>
    <w:rsid w:val="003E1EA1"/>
    <w:rsid w:val="003E20BA"/>
    <w:rsid w:val="003E23D9"/>
    <w:rsid w:val="003E23E6"/>
    <w:rsid w:val="003E281D"/>
    <w:rsid w:val="003E2948"/>
    <w:rsid w:val="003E299E"/>
    <w:rsid w:val="003E3124"/>
    <w:rsid w:val="003E313C"/>
    <w:rsid w:val="003E36A8"/>
    <w:rsid w:val="003E38E7"/>
    <w:rsid w:val="003E3997"/>
    <w:rsid w:val="003E39DB"/>
    <w:rsid w:val="003E3C56"/>
    <w:rsid w:val="003E404E"/>
    <w:rsid w:val="003E442A"/>
    <w:rsid w:val="003E4498"/>
    <w:rsid w:val="003E4798"/>
    <w:rsid w:val="003E4805"/>
    <w:rsid w:val="003E4964"/>
    <w:rsid w:val="003E496B"/>
    <w:rsid w:val="003E49BA"/>
    <w:rsid w:val="003E49E7"/>
    <w:rsid w:val="003E4ABD"/>
    <w:rsid w:val="003E4AF6"/>
    <w:rsid w:val="003E4D6B"/>
    <w:rsid w:val="003E4D8F"/>
    <w:rsid w:val="003E4F2F"/>
    <w:rsid w:val="003E4FD4"/>
    <w:rsid w:val="003E50DB"/>
    <w:rsid w:val="003E5176"/>
    <w:rsid w:val="003E51FB"/>
    <w:rsid w:val="003E5221"/>
    <w:rsid w:val="003E53DE"/>
    <w:rsid w:val="003E54BF"/>
    <w:rsid w:val="003E5675"/>
    <w:rsid w:val="003E597C"/>
    <w:rsid w:val="003E59EE"/>
    <w:rsid w:val="003E5CDA"/>
    <w:rsid w:val="003E5E55"/>
    <w:rsid w:val="003E6160"/>
    <w:rsid w:val="003E6182"/>
    <w:rsid w:val="003E6445"/>
    <w:rsid w:val="003E6801"/>
    <w:rsid w:val="003E68D0"/>
    <w:rsid w:val="003E6967"/>
    <w:rsid w:val="003E69CF"/>
    <w:rsid w:val="003E6ADF"/>
    <w:rsid w:val="003E6AE9"/>
    <w:rsid w:val="003E6E27"/>
    <w:rsid w:val="003E6E46"/>
    <w:rsid w:val="003E6F31"/>
    <w:rsid w:val="003E70DE"/>
    <w:rsid w:val="003E75EF"/>
    <w:rsid w:val="003E7777"/>
    <w:rsid w:val="003E7898"/>
    <w:rsid w:val="003E7B18"/>
    <w:rsid w:val="003E7B54"/>
    <w:rsid w:val="003F0550"/>
    <w:rsid w:val="003F0590"/>
    <w:rsid w:val="003F0669"/>
    <w:rsid w:val="003F0698"/>
    <w:rsid w:val="003F07A5"/>
    <w:rsid w:val="003F07AB"/>
    <w:rsid w:val="003F09DB"/>
    <w:rsid w:val="003F0BEC"/>
    <w:rsid w:val="003F0C78"/>
    <w:rsid w:val="003F0FDC"/>
    <w:rsid w:val="003F1022"/>
    <w:rsid w:val="003F1293"/>
    <w:rsid w:val="003F1834"/>
    <w:rsid w:val="003F191E"/>
    <w:rsid w:val="003F1CF6"/>
    <w:rsid w:val="003F1EC8"/>
    <w:rsid w:val="003F1F0D"/>
    <w:rsid w:val="003F1F6F"/>
    <w:rsid w:val="003F2045"/>
    <w:rsid w:val="003F21EB"/>
    <w:rsid w:val="003F2224"/>
    <w:rsid w:val="003F2734"/>
    <w:rsid w:val="003F28C0"/>
    <w:rsid w:val="003F2964"/>
    <w:rsid w:val="003F2B47"/>
    <w:rsid w:val="003F2E94"/>
    <w:rsid w:val="003F2F73"/>
    <w:rsid w:val="003F2FE1"/>
    <w:rsid w:val="003F3076"/>
    <w:rsid w:val="003F33C1"/>
    <w:rsid w:val="003F350A"/>
    <w:rsid w:val="003F35D6"/>
    <w:rsid w:val="003F3CFA"/>
    <w:rsid w:val="003F3D3A"/>
    <w:rsid w:val="003F3F03"/>
    <w:rsid w:val="003F3F61"/>
    <w:rsid w:val="003F40A7"/>
    <w:rsid w:val="003F40FD"/>
    <w:rsid w:val="003F421A"/>
    <w:rsid w:val="003F430C"/>
    <w:rsid w:val="003F4328"/>
    <w:rsid w:val="003F432B"/>
    <w:rsid w:val="003F4505"/>
    <w:rsid w:val="003F45F7"/>
    <w:rsid w:val="003F4AA3"/>
    <w:rsid w:val="003F4D72"/>
    <w:rsid w:val="003F5253"/>
    <w:rsid w:val="003F5341"/>
    <w:rsid w:val="003F5490"/>
    <w:rsid w:val="003F55C5"/>
    <w:rsid w:val="003F5879"/>
    <w:rsid w:val="003F58DD"/>
    <w:rsid w:val="003F61D1"/>
    <w:rsid w:val="003F6265"/>
    <w:rsid w:val="003F64C5"/>
    <w:rsid w:val="003F6749"/>
    <w:rsid w:val="003F6B5E"/>
    <w:rsid w:val="003F6DC0"/>
    <w:rsid w:val="003F71C2"/>
    <w:rsid w:val="003F71F1"/>
    <w:rsid w:val="003F74A4"/>
    <w:rsid w:val="003F7620"/>
    <w:rsid w:val="003F7661"/>
    <w:rsid w:val="003F7776"/>
    <w:rsid w:val="003F77CF"/>
    <w:rsid w:val="003F7841"/>
    <w:rsid w:val="003F7875"/>
    <w:rsid w:val="003F7ADF"/>
    <w:rsid w:val="003F7BEC"/>
    <w:rsid w:val="003F7DDC"/>
    <w:rsid w:val="003F7FBC"/>
    <w:rsid w:val="003F7FEA"/>
    <w:rsid w:val="00400018"/>
    <w:rsid w:val="00400397"/>
    <w:rsid w:val="004003C9"/>
    <w:rsid w:val="004004E1"/>
    <w:rsid w:val="0040050D"/>
    <w:rsid w:val="00400549"/>
    <w:rsid w:val="00400576"/>
    <w:rsid w:val="00400604"/>
    <w:rsid w:val="004009E5"/>
    <w:rsid w:val="00400C26"/>
    <w:rsid w:val="00400FA9"/>
    <w:rsid w:val="004010EE"/>
    <w:rsid w:val="00401234"/>
    <w:rsid w:val="0040133A"/>
    <w:rsid w:val="0040138C"/>
    <w:rsid w:val="00401576"/>
    <w:rsid w:val="004016B8"/>
    <w:rsid w:val="0040171D"/>
    <w:rsid w:val="004017AD"/>
    <w:rsid w:val="0040182E"/>
    <w:rsid w:val="004018C0"/>
    <w:rsid w:val="00401BAC"/>
    <w:rsid w:val="00401C08"/>
    <w:rsid w:val="00401C7A"/>
    <w:rsid w:val="00401FE1"/>
    <w:rsid w:val="004020D7"/>
    <w:rsid w:val="004022AD"/>
    <w:rsid w:val="0040234E"/>
    <w:rsid w:val="004023F0"/>
    <w:rsid w:val="004027C3"/>
    <w:rsid w:val="004028F0"/>
    <w:rsid w:val="00402A8D"/>
    <w:rsid w:val="00402E24"/>
    <w:rsid w:val="0040309A"/>
    <w:rsid w:val="004031B7"/>
    <w:rsid w:val="00403514"/>
    <w:rsid w:val="004036FC"/>
    <w:rsid w:val="00403773"/>
    <w:rsid w:val="00403A20"/>
    <w:rsid w:val="00403AB3"/>
    <w:rsid w:val="00403F59"/>
    <w:rsid w:val="00403FEA"/>
    <w:rsid w:val="00404052"/>
    <w:rsid w:val="00404297"/>
    <w:rsid w:val="004043C6"/>
    <w:rsid w:val="00404523"/>
    <w:rsid w:val="004045AB"/>
    <w:rsid w:val="004046C1"/>
    <w:rsid w:val="0040471D"/>
    <w:rsid w:val="00404720"/>
    <w:rsid w:val="00404796"/>
    <w:rsid w:val="004049A2"/>
    <w:rsid w:val="00404B64"/>
    <w:rsid w:val="00404CC3"/>
    <w:rsid w:val="00404DAF"/>
    <w:rsid w:val="00404E53"/>
    <w:rsid w:val="0040520F"/>
    <w:rsid w:val="0040524F"/>
    <w:rsid w:val="004052BC"/>
    <w:rsid w:val="004054C5"/>
    <w:rsid w:val="00405631"/>
    <w:rsid w:val="004056A7"/>
    <w:rsid w:val="004056C3"/>
    <w:rsid w:val="00405797"/>
    <w:rsid w:val="0040628F"/>
    <w:rsid w:val="004063BA"/>
    <w:rsid w:val="00406499"/>
    <w:rsid w:val="004066C3"/>
    <w:rsid w:val="004066F2"/>
    <w:rsid w:val="00406822"/>
    <w:rsid w:val="00406AED"/>
    <w:rsid w:val="00406D88"/>
    <w:rsid w:val="00406F28"/>
    <w:rsid w:val="00406F46"/>
    <w:rsid w:val="00407534"/>
    <w:rsid w:val="0040780D"/>
    <w:rsid w:val="004078F2"/>
    <w:rsid w:val="00407E46"/>
    <w:rsid w:val="00407E5E"/>
    <w:rsid w:val="00407F5A"/>
    <w:rsid w:val="004100E3"/>
    <w:rsid w:val="0041059E"/>
    <w:rsid w:val="0041086A"/>
    <w:rsid w:val="004108C2"/>
    <w:rsid w:val="004109A2"/>
    <w:rsid w:val="00410B8E"/>
    <w:rsid w:val="00410F84"/>
    <w:rsid w:val="00410FE3"/>
    <w:rsid w:val="0041108A"/>
    <w:rsid w:val="00411137"/>
    <w:rsid w:val="0041153A"/>
    <w:rsid w:val="004116DD"/>
    <w:rsid w:val="004117F0"/>
    <w:rsid w:val="00411DE7"/>
    <w:rsid w:val="00411E5E"/>
    <w:rsid w:val="00411E89"/>
    <w:rsid w:val="00411FAD"/>
    <w:rsid w:val="0041221C"/>
    <w:rsid w:val="004123FB"/>
    <w:rsid w:val="00412502"/>
    <w:rsid w:val="004125A5"/>
    <w:rsid w:val="004127A9"/>
    <w:rsid w:val="0041294E"/>
    <w:rsid w:val="00412AE4"/>
    <w:rsid w:val="00412D6E"/>
    <w:rsid w:val="00412EA0"/>
    <w:rsid w:val="00412F27"/>
    <w:rsid w:val="00412F48"/>
    <w:rsid w:val="004132CC"/>
    <w:rsid w:val="004133D3"/>
    <w:rsid w:val="0041345C"/>
    <w:rsid w:val="0041392D"/>
    <w:rsid w:val="00413957"/>
    <w:rsid w:val="00413970"/>
    <w:rsid w:val="00413992"/>
    <w:rsid w:val="004139E7"/>
    <w:rsid w:val="00413B73"/>
    <w:rsid w:val="00413C39"/>
    <w:rsid w:val="00413D3B"/>
    <w:rsid w:val="00413E49"/>
    <w:rsid w:val="00413F7F"/>
    <w:rsid w:val="00413F97"/>
    <w:rsid w:val="00414124"/>
    <w:rsid w:val="0041426B"/>
    <w:rsid w:val="00414324"/>
    <w:rsid w:val="00414433"/>
    <w:rsid w:val="004144F5"/>
    <w:rsid w:val="00414581"/>
    <w:rsid w:val="00414A6C"/>
    <w:rsid w:val="00414B52"/>
    <w:rsid w:val="00414BA7"/>
    <w:rsid w:val="00414D64"/>
    <w:rsid w:val="00414E61"/>
    <w:rsid w:val="00414F12"/>
    <w:rsid w:val="0041509B"/>
    <w:rsid w:val="004152A4"/>
    <w:rsid w:val="004152BF"/>
    <w:rsid w:val="004152DD"/>
    <w:rsid w:val="0041532C"/>
    <w:rsid w:val="004153B7"/>
    <w:rsid w:val="0041543F"/>
    <w:rsid w:val="0041559B"/>
    <w:rsid w:val="004156A4"/>
    <w:rsid w:val="00415A68"/>
    <w:rsid w:val="00415AAF"/>
    <w:rsid w:val="00415C78"/>
    <w:rsid w:val="00415D58"/>
    <w:rsid w:val="00415E54"/>
    <w:rsid w:val="00415E85"/>
    <w:rsid w:val="00415E8A"/>
    <w:rsid w:val="00415EAF"/>
    <w:rsid w:val="00415F60"/>
    <w:rsid w:val="00416263"/>
    <w:rsid w:val="004166A8"/>
    <w:rsid w:val="0041679C"/>
    <w:rsid w:val="00416D00"/>
    <w:rsid w:val="00416D93"/>
    <w:rsid w:val="00416F3C"/>
    <w:rsid w:val="00416FA6"/>
    <w:rsid w:val="00417340"/>
    <w:rsid w:val="00417390"/>
    <w:rsid w:val="004174EE"/>
    <w:rsid w:val="00417A9C"/>
    <w:rsid w:val="00417DD8"/>
    <w:rsid w:val="00417FED"/>
    <w:rsid w:val="0042086C"/>
    <w:rsid w:val="00420872"/>
    <w:rsid w:val="004208A3"/>
    <w:rsid w:val="004208FC"/>
    <w:rsid w:val="0042095D"/>
    <w:rsid w:val="004209C9"/>
    <w:rsid w:val="00420D04"/>
    <w:rsid w:val="00420EAC"/>
    <w:rsid w:val="00420EF3"/>
    <w:rsid w:val="00421023"/>
    <w:rsid w:val="004210AB"/>
    <w:rsid w:val="004211DA"/>
    <w:rsid w:val="0042151E"/>
    <w:rsid w:val="004216CB"/>
    <w:rsid w:val="004216D3"/>
    <w:rsid w:val="00421718"/>
    <w:rsid w:val="00421782"/>
    <w:rsid w:val="004217DE"/>
    <w:rsid w:val="0042185A"/>
    <w:rsid w:val="00421875"/>
    <w:rsid w:val="00421C3E"/>
    <w:rsid w:val="00421CDE"/>
    <w:rsid w:val="0042204A"/>
    <w:rsid w:val="00422166"/>
    <w:rsid w:val="004221E1"/>
    <w:rsid w:val="004223F4"/>
    <w:rsid w:val="0042250C"/>
    <w:rsid w:val="00422558"/>
    <w:rsid w:val="004228BF"/>
    <w:rsid w:val="00422B3C"/>
    <w:rsid w:val="00422C48"/>
    <w:rsid w:val="00423129"/>
    <w:rsid w:val="0042334F"/>
    <w:rsid w:val="00423575"/>
    <w:rsid w:val="004236AE"/>
    <w:rsid w:val="00423838"/>
    <w:rsid w:val="00423996"/>
    <w:rsid w:val="00423BF0"/>
    <w:rsid w:val="00423C3F"/>
    <w:rsid w:val="00423CAC"/>
    <w:rsid w:val="00423CC2"/>
    <w:rsid w:val="00423F2D"/>
    <w:rsid w:val="00423FFC"/>
    <w:rsid w:val="00424366"/>
    <w:rsid w:val="004243AA"/>
    <w:rsid w:val="00424692"/>
    <w:rsid w:val="004248C7"/>
    <w:rsid w:val="0042490C"/>
    <w:rsid w:val="00424B0E"/>
    <w:rsid w:val="00424B1A"/>
    <w:rsid w:val="00424B5A"/>
    <w:rsid w:val="00424E87"/>
    <w:rsid w:val="004251FD"/>
    <w:rsid w:val="00425523"/>
    <w:rsid w:val="0042566C"/>
    <w:rsid w:val="00425799"/>
    <w:rsid w:val="00425954"/>
    <w:rsid w:val="00425D59"/>
    <w:rsid w:val="00425DE2"/>
    <w:rsid w:val="00425E1E"/>
    <w:rsid w:val="0042622E"/>
    <w:rsid w:val="00426254"/>
    <w:rsid w:val="004264C7"/>
    <w:rsid w:val="00426659"/>
    <w:rsid w:val="00426774"/>
    <w:rsid w:val="00426886"/>
    <w:rsid w:val="00426A43"/>
    <w:rsid w:val="00426DAB"/>
    <w:rsid w:val="00426E4A"/>
    <w:rsid w:val="00426E55"/>
    <w:rsid w:val="00426ECF"/>
    <w:rsid w:val="00426ED5"/>
    <w:rsid w:val="00426FC5"/>
    <w:rsid w:val="00427044"/>
    <w:rsid w:val="0042708B"/>
    <w:rsid w:val="00427504"/>
    <w:rsid w:val="004275B8"/>
    <w:rsid w:val="004277A5"/>
    <w:rsid w:val="0042792D"/>
    <w:rsid w:val="00427B15"/>
    <w:rsid w:val="00427C44"/>
    <w:rsid w:val="00427D59"/>
    <w:rsid w:val="00427E6A"/>
    <w:rsid w:val="00427EF2"/>
    <w:rsid w:val="00430206"/>
    <w:rsid w:val="00430236"/>
    <w:rsid w:val="00430307"/>
    <w:rsid w:val="00430323"/>
    <w:rsid w:val="00430563"/>
    <w:rsid w:val="00430A74"/>
    <w:rsid w:val="00430B3D"/>
    <w:rsid w:val="00430B4B"/>
    <w:rsid w:val="00430B8B"/>
    <w:rsid w:val="00430C30"/>
    <w:rsid w:val="004310E0"/>
    <w:rsid w:val="0043139C"/>
    <w:rsid w:val="00431482"/>
    <w:rsid w:val="004314E1"/>
    <w:rsid w:val="00431533"/>
    <w:rsid w:val="004316B7"/>
    <w:rsid w:val="004318A1"/>
    <w:rsid w:val="00431DDB"/>
    <w:rsid w:val="00431E20"/>
    <w:rsid w:val="00431F73"/>
    <w:rsid w:val="00432002"/>
    <w:rsid w:val="00432095"/>
    <w:rsid w:val="004321D3"/>
    <w:rsid w:val="004322DA"/>
    <w:rsid w:val="0043232A"/>
    <w:rsid w:val="00432585"/>
    <w:rsid w:val="004325A5"/>
    <w:rsid w:val="00432C79"/>
    <w:rsid w:val="004332C3"/>
    <w:rsid w:val="004334D1"/>
    <w:rsid w:val="00433520"/>
    <w:rsid w:val="004335A5"/>
    <w:rsid w:val="004335D3"/>
    <w:rsid w:val="004336F6"/>
    <w:rsid w:val="004338EE"/>
    <w:rsid w:val="0043391C"/>
    <w:rsid w:val="00433EF5"/>
    <w:rsid w:val="00434103"/>
    <w:rsid w:val="00434450"/>
    <w:rsid w:val="004345E2"/>
    <w:rsid w:val="004345EC"/>
    <w:rsid w:val="00434726"/>
    <w:rsid w:val="00434AD6"/>
    <w:rsid w:val="00434AFA"/>
    <w:rsid w:val="00434CAF"/>
    <w:rsid w:val="00434FAA"/>
    <w:rsid w:val="004350D7"/>
    <w:rsid w:val="00435481"/>
    <w:rsid w:val="004358F7"/>
    <w:rsid w:val="004360E7"/>
    <w:rsid w:val="00436262"/>
    <w:rsid w:val="004363C7"/>
    <w:rsid w:val="0043656A"/>
    <w:rsid w:val="00436672"/>
    <w:rsid w:val="004367E4"/>
    <w:rsid w:val="004368F1"/>
    <w:rsid w:val="004369A7"/>
    <w:rsid w:val="00436B8D"/>
    <w:rsid w:val="00436D1F"/>
    <w:rsid w:val="00436DF7"/>
    <w:rsid w:val="00436E31"/>
    <w:rsid w:val="0043736E"/>
    <w:rsid w:val="00437768"/>
    <w:rsid w:val="0043777E"/>
    <w:rsid w:val="00437A59"/>
    <w:rsid w:val="00437A60"/>
    <w:rsid w:val="00437AD1"/>
    <w:rsid w:val="00437B6C"/>
    <w:rsid w:val="00437DCA"/>
    <w:rsid w:val="00437F57"/>
    <w:rsid w:val="004401BA"/>
    <w:rsid w:val="004403D4"/>
    <w:rsid w:val="004406CC"/>
    <w:rsid w:val="004407B0"/>
    <w:rsid w:val="00440815"/>
    <w:rsid w:val="00440BB6"/>
    <w:rsid w:val="00441101"/>
    <w:rsid w:val="00441141"/>
    <w:rsid w:val="0044117C"/>
    <w:rsid w:val="004415C2"/>
    <w:rsid w:val="004419C5"/>
    <w:rsid w:val="00441A2E"/>
    <w:rsid w:val="00441BE0"/>
    <w:rsid w:val="00441CAA"/>
    <w:rsid w:val="00442186"/>
    <w:rsid w:val="004423DB"/>
    <w:rsid w:val="00442442"/>
    <w:rsid w:val="0044251A"/>
    <w:rsid w:val="00442525"/>
    <w:rsid w:val="0044258A"/>
    <w:rsid w:val="00442664"/>
    <w:rsid w:val="004428E7"/>
    <w:rsid w:val="004429E0"/>
    <w:rsid w:val="00442A8E"/>
    <w:rsid w:val="00442CE9"/>
    <w:rsid w:val="00442D02"/>
    <w:rsid w:val="00443168"/>
    <w:rsid w:val="004433B0"/>
    <w:rsid w:val="004435AF"/>
    <w:rsid w:val="0044386F"/>
    <w:rsid w:val="00443937"/>
    <w:rsid w:val="004439AA"/>
    <w:rsid w:val="004442D7"/>
    <w:rsid w:val="0044432D"/>
    <w:rsid w:val="00444341"/>
    <w:rsid w:val="00444388"/>
    <w:rsid w:val="0044439A"/>
    <w:rsid w:val="00444826"/>
    <w:rsid w:val="00444A1B"/>
    <w:rsid w:val="00444A21"/>
    <w:rsid w:val="00444A35"/>
    <w:rsid w:val="00444D25"/>
    <w:rsid w:val="00444DB7"/>
    <w:rsid w:val="00444EE4"/>
    <w:rsid w:val="0044527C"/>
    <w:rsid w:val="00445382"/>
    <w:rsid w:val="004453AE"/>
    <w:rsid w:val="0044558B"/>
    <w:rsid w:val="0044591B"/>
    <w:rsid w:val="0044595C"/>
    <w:rsid w:val="004459AB"/>
    <w:rsid w:val="004459BC"/>
    <w:rsid w:val="00445BD5"/>
    <w:rsid w:val="00445CD0"/>
    <w:rsid w:val="00445D5D"/>
    <w:rsid w:val="004465D1"/>
    <w:rsid w:val="004466A8"/>
    <w:rsid w:val="004466C0"/>
    <w:rsid w:val="0044673C"/>
    <w:rsid w:val="00446758"/>
    <w:rsid w:val="00446AC8"/>
    <w:rsid w:val="00446B4C"/>
    <w:rsid w:val="00446B7C"/>
    <w:rsid w:val="00446D30"/>
    <w:rsid w:val="00446D9A"/>
    <w:rsid w:val="00447000"/>
    <w:rsid w:val="0044726D"/>
    <w:rsid w:val="00447773"/>
    <w:rsid w:val="0044783A"/>
    <w:rsid w:val="00447F3B"/>
    <w:rsid w:val="00450088"/>
    <w:rsid w:val="0045038F"/>
    <w:rsid w:val="004505D2"/>
    <w:rsid w:val="00450715"/>
    <w:rsid w:val="004508D6"/>
    <w:rsid w:val="004509E3"/>
    <w:rsid w:val="00450F10"/>
    <w:rsid w:val="004511E5"/>
    <w:rsid w:val="0045121C"/>
    <w:rsid w:val="004512B0"/>
    <w:rsid w:val="004513B8"/>
    <w:rsid w:val="004514B3"/>
    <w:rsid w:val="004514C8"/>
    <w:rsid w:val="00451690"/>
    <w:rsid w:val="00451A1C"/>
    <w:rsid w:val="00451AD9"/>
    <w:rsid w:val="00451BBB"/>
    <w:rsid w:val="00451C65"/>
    <w:rsid w:val="00451CD4"/>
    <w:rsid w:val="0045201C"/>
    <w:rsid w:val="00452111"/>
    <w:rsid w:val="00452286"/>
    <w:rsid w:val="00452344"/>
    <w:rsid w:val="00452676"/>
    <w:rsid w:val="0045275C"/>
    <w:rsid w:val="004528F7"/>
    <w:rsid w:val="004529E1"/>
    <w:rsid w:val="00452A35"/>
    <w:rsid w:val="00452B46"/>
    <w:rsid w:val="00452E58"/>
    <w:rsid w:val="004532ED"/>
    <w:rsid w:val="0045387B"/>
    <w:rsid w:val="00453A57"/>
    <w:rsid w:val="00453AE7"/>
    <w:rsid w:val="00453B1E"/>
    <w:rsid w:val="00453C12"/>
    <w:rsid w:val="00453D44"/>
    <w:rsid w:val="00453DF0"/>
    <w:rsid w:val="00453E3B"/>
    <w:rsid w:val="004540FE"/>
    <w:rsid w:val="00454309"/>
    <w:rsid w:val="00454853"/>
    <w:rsid w:val="00454D76"/>
    <w:rsid w:val="00455676"/>
    <w:rsid w:val="00455783"/>
    <w:rsid w:val="00455838"/>
    <w:rsid w:val="00455855"/>
    <w:rsid w:val="00455875"/>
    <w:rsid w:val="00455C39"/>
    <w:rsid w:val="00455CCA"/>
    <w:rsid w:val="00455F51"/>
    <w:rsid w:val="004560F2"/>
    <w:rsid w:val="004561A0"/>
    <w:rsid w:val="004561D5"/>
    <w:rsid w:val="0045650A"/>
    <w:rsid w:val="004565B2"/>
    <w:rsid w:val="0045699E"/>
    <w:rsid w:val="004569B9"/>
    <w:rsid w:val="00456A5A"/>
    <w:rsid w:val="00456D3A"/>
    <w:rsid w:val="0045738F"/>
    <w:rsid w:val="004573A4"/>
    <w:rsid w:val="004575CD"/>
    <w:rsid w:val="00457798"/>
    <w:rsid w:val="0045789E"/>
    <w:rsid w:val="004579DE"/>
    <w:rsid w:val="00457A3C"/>
    <w:rsid w:val="00460229"/>
    <w:rsid w:val="0046085D"/>
    <w:rsid w:val="00460876"/>
    <w:rsid w:val="0046093C"/>
    <w:rsid w:val="00460DBF"/>
    <w:rsid w:val="00460F16"/>
    <w:rsid w:val="004611A3"/>
    <w:rsid w:val="004611B0"/>
    <w:rsid w:val="00461281"/>
    <w:rsid w:val="004614D5"/>
    <w:rsid w:val="00461574"/>
    <w:rsid w:val="0046195A"/>
    <w:rsid w:val="004619BE"/>
    <w:rsid w:val="00461C2C"/>
    <w:rsid w:val="00461CAC"/>
    <w:rsid w:val="00461EDA"/>
    <w:rsid w:val="00462103"/>
    <w:rsid w:val="00462686"/>
    <w:rsid w:val="00462729"/>
    <w:rsid w:val="0046273D"/>
    <w:rsid w:val="00462749"/>
    <w:rsid w:val="00462776"/>
    <w:rsid w:val="00462A04"/>
    <w:rsid w:val="00462AE6"/>
    <w:rsid w:val="00462B8D"/>
    <w:rsid w:val="00462BEB"/>
    <w:rsid w:val="00462ED2"/>
    <w:rsid w:val="00462EEE"/>
    <w:rsid w:val="00462F8D"/>
    <w:rsid w:val="0046319F"/>
    <w:rsid w:val="0046331B"/>
    <w:rsid w:val="00463695"/>
    <w:rsid w:val="00463718"/>
    <w:rsid w:val="0046404A"/>
    <w:rsid w:val="0046433D"/>
    <w:rsid w:val="00464426"/>
    <w:rsid w:val="0046443D"/>
    <w:rsid w:val="00464750"/>
    <w:rsid w:val="004649CD"/>
    <w:rsid w:val="00464A07"/>
    <w:rsid w:val="00464D21"/>
    <w:rsid w:val="00464E34"/>
    <w:rsid w:val="00465087"/>
    <w:rsid w:val="00465424"/>
    <w:rsid w:val="00465741"/>
    <w:rsid w:val="00465AB7"/>
    <w:rsid w:val="00465EAB"/>
    <w:rsid w:val="00465F17"/>
    <w:rsid w:val="00465F23"/>
    <w:rsid w:val="00466143"/>
    <w:rsid w:val="004662C9"/>
    <w:rsid w:val="0046662A"/>
    <w:rsid w:val="00466700"/>
    <w:rsid w:val="00466C05"/>
    <w:rsid w:val="00466DE7"/>
    <w:rsid w:val="00467069"/>
    <w:rsid w:val="004673FD"/>
    <w:rsid w:val="004675F5"/>
    <w:rsid w:val="00467B36"/>
    <w:rsid w:val="00467C48"/>
    <w:rsid w:val="0047044A"/>
    <w:rsid w:val="004705D5"/>
    <w:rsid w:val="0047067B"/>
    <w:rsid w:val="00470742"/>
    <w:rsid w:val="00470855"/>
    <w:rsid w:val="004708A1"/>
    <w:rsid w:val="00470AF2"/>
    <w:rsid w:val="00470C09"/>
    <w:rsid w:val="00470CDB"/>
    <w:rsid w:val="00470D83"/>
    <w:rsid w:val="00471007"/>
    <w:rsid w:val="0047111D"/>
    <w:rsid w:val="0047162C"/>
    <w:rsid w:val="00471834"/>
    <w:rsid w:val="0047193B"/>
    <w:rsid w:val="00471AAC"/>
    <w:rsid w:val="00471DBD"/>
    <w:rsid w:val="00471FF3"/>
    <w:rsid w:val="004721F0"/>
    <w:rsid w:val="0047226A"/>
    <w:rsid w:val="004722E0"/>
    <w:rsid w:val="0047246E"/>
    <w:rsid w:val="004725A1"/>
    <w:rsid w:val="004726A4"/>
    <w:rsid w:val="004727A7"/>
    <w:rsid w:val="00472B7D"/>
    <w:rsid w:val="00472DF4"/>
    <w:rsid w:val="00472F3A"/>
    <w:rsid w:val="00473087"/>
    <w:rsid w:val="00473300"/>
    <w:rsid w:val="00473416"/>
    <w:rsid w:val="00473482"/>
    <w:rsid w:val="004735A6"/>
    <w:rsid w:val="00473614"/>
    <w:rsid w:val="00473A8C"/>
    <w:rsid w:val="00473B7B"/>
    <w:rsid w:val="00473CDF"/>
    <w:rsid w:val="00473EFF"/>
    <w:rsid w:val="00473F20"/>
    <w:rsid w:val="00473FAD"/>
    <w:rsid w:val="00473FCB"/>
    <w:rsid w:val="0047411B"/>
    <w:rsid w:val="00474275"/>
    <w:rsid w:val="00474278"/>
    <w:rsid w:val="004744A4"/>
    <w:rsid w:val="004749CA"/>
    <w:rsid w:val="00474A90"/>
    <w:rsid w:val="00474AFB"/>
    <w:rsid w:val="00474DE6"/>
    <w:rsid w:val="00474E15"/>
    <w:rsid w:val="00474E61"/>
    <w:rsid w:val="00474EAD"/>
    <w:rsid w:val="004750CD"/>
    <w:rsid w:val="004756B3"/>
    <w:rsid w:val="004757B1"/>
    <w:rsid w:val="00475801"/>
    <w:rsid w:val="004759CD"/>
    <w:rsid w:val="00475A51"/>
    <w:rsid w:val="00475B37"/>
    <w:rsid w:val="00475BF3"/>
    <w:rsid w:val="00475CD3"/>
    <w:rsid w:val="00475DDA"/>
    <w:rsid w:val="00475ED2"/>
    <w:rsid w:val="00475F27"/>
    <w:rsid w:val="00475F6E"/>
    <w:rsid w:val="00476020"/>
    <w:rsid w:val="00476056"/>
    <w:rsid w:val="0047630A"/>
    <w:rsid w:val="00476364"/>
    <w:rsid w:val="0047673E"/>
    <w:rsid w:val="004768B6"/>
    <w:rsid w:val="00476A08"/>
    <w:rsid w:val="00476DF0"/>
    <w:rsid w:val="00476E47"/>
    <w:rsid w:val="00476E49"/>
    <w:rsid w:val="00476E86"/>
    <w:rsid w:val="00476FE3"/>
    <w:rsid w:val="00476FE9"/>
    <w:rsid w:val="00477271"/>
    <w:rsid w:val="00477623"/>
    <w:rsid w:val="00477C46"/>
    <w:rsid w:val="00477D02"/>
    <w:rsid w:val="00477D20"/>
    <w:rsid w:val="00477E12"/>
    <w:rsid w:val="00480010"/>
    <w:rsid w:val="0048011E"/>
    <w:rsid w:val="00480173"/>
    <w:rsid w:val="004801A8"/>
    <w:rsid w:val="00480435"/>
    <w:rsid w:val="00480723"/>
    <w:rsid w:val="00480821"/>
    <w:rsid w:val="00480876"/>
    <w:rsid w:val="00480887"/>
    <w:rsid w:val="004808C3"/>
    <w:rsid w:val="00480993"/>
    <w:rsid w:val="00480AFF"/>
    <w:rsid w:val="00480FAB"/>
    <w:rsid w:val="00481004"/>
    <w:rsid w:val="0048113F"/>
    <w:rsid w:val="00481ACF"/>
    <w:rsid w:val="00481BAD"/>
    <w:rsid w:val="00481C05"/>
    <w:rsid w:val="00481E5B"/>
    <w:rsid w:val="00481F0C"/>
    <w:rsid w:val="00481F2F"/>
    <w:rsid w:val="00482035"/>
    <w:rsid w:val="004822B0"/>
    <w:rsid w:val="0048238F"/>
    <w:rsid w:val="00482416"/>
    <w:rsid w:val="00482488"/>
    <w:rsid w:val="00482492"/>
    <w:rsid w:val="004825A5"/>
    <w:rsid w:val="00482617"/>
    <w:rsid w:val="004827E9"/>
    <w:rsid w:val="00482CDB"/>
    <w:rsid w:val="00482D8D"/>
    <w:rsid w:val="00482DFB"/>
    <w:rsid w:val="00482F92"/>
    <w:rsid w:val="004833C1"/>
    <w:rsid w:val="00483493"/>
    <w:rsid w:val="0048351A"/>
    <w:rsid w:val="004835E5"/>
    <w:rsid w:val="00483A0D"/>
    <w:rsid w:val="00483A94"/>
    <w:rsid w:val="0048416B"/>
    <w:rsid w:val="0048437A"/>
    <w:rsid w:val="004843E4"/>
    <w:rsid w:val="0048445C"/>
    <w:rsid w:val="00484547"/>
    <w:rsid w:val="004849F2"/>
    <w:rsid w:val="00484B8A"/>
    <w:rsid w:val="00484BF9"/>
    <w:rsid w:val="00484D8F"/>
    <w:rsid w:val="00484DED"/>
    <w:rsid w:val="00484E45"/>
    <w:rsid w:val="00484F4B"/>
    <w:rsid w:val="004853EC"/>
    <w:rsid w:val="004854EF"/>
    <w:rsid w:val="004854F7"/>
    <w:rsid w:val="004856E4"/>
    <w:rsid w:val="004857EF"/>
    <w:rsid w:val="00485E4D"/>
    <w:rsid w:val="004860A3"/>
    <w:rsid w:val="004862A1"/>
    <w:rsid w:val="00486736"/>
    <w:rsid w:val="00486A52"/>
    <w:rsid w:val="00486C61"/>
    <w:rsid w:val="00486EB1"/>
    <w:rsid w:val="00486EB3"/>
    <w:rsid w:val="004871A5"/>
    <w:rsid w:val="004871F8"/>
    <w:rsid w:val="0048738A"/>
    <w:rsid w:val="004873F1"/>
    <w:rsid w:val="004873FA"/>
    <w:rsid w:val="00487409"/>
    <w:rsid w:val="00487550"/>
    <w:rsid w:val="00487739"/>
    <w:rsid w:val="00487A57"/>
    <w:rsid w:val="00487AB0"/>
    <w:rsid w:val="00487C44"/>
    <w:rsid w:val="00487EA6"/>
    <w:rsid w:val="004900A7"/>
    <w:rsid w:val="0049028C"/>
    <w:rsid w:val="004905D4"/>
    <w:rsid w:val="00490646"/>
    <w:rsid w:val="0049068B"/>
    <w:rsid w:val="004909DF"/>
    <w:rsid w:val="00490BA9"/>
    <w:rsid w:val="00490CD8"/>
    <w:rsid w:val="0049104A"/>
    <w:rsid w:val="0049127C"/>
    <w:rsid w:val="004913F7"/>
    <w:rsid w:val="004913FA"/>
    <w:rsid w:val="00491408"/>
    <w:rsid w:val="0049144A"/>
    <w:rsid w:val="004915D0"/>
    <w:rsid w:val="00491768"/>
    <w:rsid w:val="004918F9"/>
    <w:rsid w:val="00491983"/>
    <w:rsid w:val="00491AD7"/>
    <w:rsid w:val="00491D08"/>
    <w:rsid w:val="00491D1B"/>
    <w:rsid w:val="00491E2B"/>
    <w:rsid w:val="004925FA"/>
    <w:rsid w:val="004928F5"/>
    <w:rsid w:val="0049292C"/>
    <w:rsid w:val="00492EE8"/>
    <w:rsid w:val="004932C1"/>
    <w:rsid w:val="004936D1"/>
    <w:rsid w:val="004937D4"/>
    <w:rsid w:val="00493987"/>
    <w:rsid w:val="00493C08"/>
    <w:rsid w:val="00493DDA"/>
    <w:rsid w:val="00494104"/>
    <w:rsid w:val="0049422F"/>
    <w:rsid w:val="004945E6"/>
    <w:rsid w:val="004948CB"/>
    <w:rsid w:val="004949EE"/>
    <w:rsid w:val="00494B8B"/>
    <w:rsid w:val="004952B3"/>
    <w:rsid w:val="00495733"/>
    <w:rsid w:val="0049591F"/>
    <w:rsid w:val="00495A35"/>
    <w:rsid w:val="00495B42"/>
    <w:rsid w:val="00495D62"/>
    <w:rsid w:val="00495DC8"/>
    <w:rsid w:val="00496085"/>
    <w:rsid w:val="004963E3"/>
    <w:rsid w:val="00496622"/>
    <w:rsid w:val="004966A7"/>
    <w:rsid w:val="004966DC"/>
    <w:rsid w:val="004967BB"/>
    <w:rsid w:val="0049682C"/>
    <w:rsid w:val="00496962"/>
    <w:rsid w:val="00496AA6"/>
    <w:rsid w:val="00496B77"/>
    <w:rsid w:val="00496B7E"/>
    <w:rsid w:val="00496E9C"/>
    <w:rsid w:val="00496EA4"/>
    <w:rsid w:val="004971B4"/>
    <w:rsid w:val="004972C2"/>
    <w:rsid w:val="004976B8"/>
    <w:rsid w:val="00497929"/>
    <w:rsid w:val="00497DA7"/>
    <w:rsid w:val="00497EB0"/>
    <w:rsid w:val="00497EBF"/>
    <w:rsid w:val="00497FAD"/>
    <w:rsid w:val="004A00E0"/>
    <w:rsid w:val="004A02A9"/>
    <w:rsid w:val="004A0781"/>
    <w:rsid w:val="004A0ABE"/>
    <w:rsid w:val="004A0B0E"/>
    <w:rsid w:val="004A0D7D"/>
    <w:rsid w:val="004A0DCC"/>
    <w:rsid w:val="004A100B"/>
    <w:rsid w:val="004A1248"/>
    <w:rsid w:val="004A1293"/>
    <w:rsid w:val="004A138F"/>
    <w:rsid w:val="004A1410"/>
    <w:rsid w:val="004A15DE"/>
    <w:rsid w:val="004A181C"/>
    <w:rsid w:val="004A18BF"/>
    <w:rsid w:val="004A1B4D"/>
    <w:rsid w:val="004A1BD7"/>
    <w:rsid w:val="004A1C62"/>
    <w:rsid w:val="004A1F98"/>
    <w:rsid w:val="004A2320"/>
    <w:rsid w:val="004A2392"/>
    <w:rsid w:val="004A23D4"/>
    <w:rsid w:val="004A23D9"/>
    <w:rsid w:val="004A2641"/>
    <w:rsid w:val="004A2A84"/>
    <w:rsid w:val="004A2B80"/>
    <w:rsid w:val="004A2C40"/>
    <w:rsid w:val="004A2C71"/>
    <w:rsid w:val="004A30FE"/>
    <w:rsid w:val="004A31C9"/>
    <w:rsid w:val="004A32E4"/>
    <w:rsid w:val="004A32F5"/>
    <w:rsid w:val="004A344D"/>
    <w:rsid w:val="004A3544"/>
    <w:rsid w:val="004A37EF"/>
    <w:rsid w:val="004A3949"/>
    <w:rsid w:val="004A3973"/>
    <w:rsid w:val="004A3A10"/>
    <w:rsid w:val="004A3D61"/>
    <w:rsid w:val="004A436B"/>
    <w:rsid w:val="004A4767"/>
    <w:rsid w:val="004A478E"/>
    <w:rsid w:val="004A48C6"/>
    <w:rsid w:val="004A4957"/>
    <w:rsid w:val="004A4A7C"/>
    <w:rsid w:val="004A4ACA"/>
    <w:rsid w:val="004A4C04"/>
    <w:rsid w:val="004A4F06"/>
    <w:rsid w:val="004A4FC1"/>
    <w:rsid w:val="004A5051"/>
    <w:rsid w:val="004A51C0"/>
    <w:rsid w:val="004A56A5"/>
    <w:rsid w:val="004A5762"/>
    <w:rsid w:val="004A5E1B"/>
    <w:rsid w:val="004A6013"/>
    <w:rsid w:val="004A62B9"/>
    <w:rsid w:val="004A641D"/>
    <w:rsid w:val="004A6832"/>
    <w:rsid w:val="004A69A3"/>
    <w:rsid w:val="004A6C6D"/>
    <w:rsid w:val="004A6D1F"/>
    <w:rsid w:val="004A6DE3"/>
    <w:rsid w:val="004A71CA"/>
    <w:rsid w:val="004A727A"/>
    <w:rsid w:val="004A73A2"/>
    <w:rsid w:val="004A749A"/>
    <w:rsid w:val="004A7592"/>
    <w:rsid w:val="004A7C34"/>
    <w:rsid w:val="004A7C3B"/>
    <w:rsid w:val="004A7E87"/>
    <w:rsid w:val="004A7F01"/>
    <w:rsid w:val="004A7F50"/>
    <w:rsid w:val="004B022F"/>
    <w:rsid w:val="004B0323"/>
    <w:rsid w:val="004B0375"/>
    <w:rsid w:val="004B04B8"/>
    <w:rsid w:val="004B05C5"/>
    <w:rsid w:val="004B05FE"/>
    <w:rsid w:val="004B0899"/>
    <w:rsid w:val="004B08E9"/>
    <w:rsid w:val="004B0B0B"/>
    <w:rsid w:val="004B0B65"/>
    <w:rsid w:val="004B0D38"/>
    <w:rsid w:val="004B0EF5"/>
    <w:rsid w:val="004B1020"/>
    <w:rsid w:val="004B107E"/>
    <w:rsid w:val="004B11A2"/>
    <w:rsid w:val="004B12B1"/>
    <w:rsid w:val="004B1333"/>
    <w:rsid w:val="004B14AC"/>
    <w:rsid w:val="004B17C1"/>
    <w:rsid w:val="004B18BE"/>
    <w:rsid w:val="004B1952"/>
    <w:rsid w:val="004B1B16"/>
    <w:rsid w:val="004B1BD4"/>
    <w:rsid w:val="004B1C3E"/>
    <w:rsid w:val="004B1EBE"/>
    <w:rsid w:val="004B20CB"/>
    <w:rsid w:val="004B21BC"/>
    <w:rsid w:val="004B24D5"/>
    <w:rsid w:val="004B29B8"/>
    <w:rsid w:val="004B2B61"/>
    <w:rsid w:val="004B350E"/>
    <w:rsid w:val="004B356C"/>
    <w:rsid w:val="004B39AF"/>
    <w:rsid w:val="004B4005"/>
    <w:rsid w:val="004B4305"/>
    <w:rsid w:val="004B4497"/>
    <w:rsid w:val="004B4743"/>
    <w:rsid w:val="004B4749"/>
    <w:rsid w:val="004B474E"/>
    <w:rsid w:val="004B47D0"/>
    <w:rsid w:val="004B4980"/>
    <w:rsid w:val="004B4994"/>
    <w:rsid w:val="004B4C37"/>
    <w:rsid w:val="004B4DB3"/>
    <w:rsid w:val="004B4E11"/>
    <w:rsid w:val="004B4F93"/>
    <w:rsid w:val="004B500E"/>
    <w:rsid w:val="004B50A5"/>
    <w:rsid w:val="004B50D4"/>
    <w:rsid w:val="004B52E6"/>
    <w:rsid w:val="004B56D6"/>
    <w:rsid w:val="004B5899"/>
    <w:rsid w:val="004B5945"/>
    <w:rsid w:val="004B5B29"/>
    <w:rsid w:val="004B5C6D"/>
    <w:rsid w:val="004B5D06"/>
    <w:rsid w:val="004B5FE5"/>
    <w:rsid w:val="004B60C9"/>
    <w:rsid w:val="004B60F1"/>
    <w:rsid w:val="004B613C"/>
    <w:rsid w:val="004B6148"/>
    <w:rsid w:val="004B6374"/>
    <w:rsid w:val="004B652B"/>
    <w:rsid w:val="004B6B82"/>
    <w:rsid w:val="004B6B8F"/>
    <w:rsid w:val="004B6CBD"/>
    <w:rsid w:val="004B6D5D"/>
    <w:rsid w:val="004B6E3D"/>
    <w:rsid w:val="004B705F"/>
    <w:rsid w:val="004B72CD"/>
    <w:rsid w:val="004B7854"/>
    <w:rsid w:val="004B78D1"/>
    <w:rsid w:val="004B7B15"/>
    <w:rsid w:val="004B7C63"/>
    <w:rsid w:val="004B7F12"/>
    <w:rsid w:val="004C00A1"/>
    <w:rsid w:val="004C0199"/>
    <w:rsid w:val="004C01AF"/>
    <w:rsid w:val="004C0633"/>
    <w:rsid w:val="004C068C"/>
    <w:rsid w:val="004C0A1F"/>
    <w:rsid w:val="004C0AE5"/>
    <w:rsid w:val="004C0D10"/>
    <w:rsid w:val="004C0F29"/>
    <w:rsid w:val="004C169D"/>
    <w:rsid w:val="004C1735"/>
    <w:rsid w:val="004C1750"/>
    <w:rsid w:val="004C198A"/>
    <w:rsid w:val="004C1AF1"/>
    <w:rsid w:val="004C1B14"/>
    <w:rsid w:val="004C1B38"/>
    <w:rsid w:val="004C1CD4"/>
    <w:rsid w:val="004C1F59"/>
    <w:rsid w:val="004C1F99"/>
    <w:rsid w:val="004C1FCC"/>
    <w:rsid w:val="004C22C1"/>
    <w:rsid w:val="004C2558"/>
    <w:rsid w:val="004C2616"/>
    <w:rsid w:val="004C2681"/>
    <w:rsid w:val="004C27BE"/>
    <w:rsid w:val="004C29D1"/>
    <w:rsid w:val="004C2A5D"/>
    <w:rsid w:val="004C2A7D"/>
    <w:rsid w:val="004C2C06"/>
    <w:rsid w:val="004C2C45"/>
    <w:rsid w:val="004C2DB5"/>
    <w:rsid w:val="004C2E66"/>
    <w:rsid w:val="004C31CB"/>
    <w:rsid w:val="004C334A"/>
    <w:rsid w:val="004C35B1"/>
    <w:rsid w:val="004C36DF"/>
    <w:rsid w:val="004C37B1"/>
    <w:rsid w:val="004C37BC"/>
    <w:rsid w:val="004C3913"/>
    <w:rsid w:val="004C3B15"/>
    <w:rsid w:val="004C3C8F"/>
    <w:rsid w:val="004C3D1C"/>
    <w:rsid w:val="004C3F5D"/>
    <w:rsid w:val="004C4004"/>
    <w:rsid w:val="004C4402"/>
    <w:rsid w:val="004C44E9"/>
    <w:rsid w:val="004C45BF"/>
    <w:rsid w:val="004C463F"/>
    <w:rsid w:val="004C478D"/>
    <w:rsid w:val="004C48C2"/>
    <w:rsid w:val="004C49EE"/>
    <w:rsid w:val="004C4A93"/>
    <w:rsid w:val="004C4CC0"/>
    <w:rsid w:val="004C4D3B"/>
    <w:rsid w:val="004C4D7C"/>
    <w:rsid w:val="004C4DE3"/>
    <w:rsid w:val="004C51F1"/>
    <w:rsid w:val="004C5224"/>
    <w:rsid w:val="004C52C2"/>
    <w:rsid w:val="004C5393"/>
    <w:rsid w:val="004C5597"/>
    <w:rsid w:val="004C5605"/>
    <w:rsid w:val="004C59F8"/>
    <w:rsid w:val="004C5D94"/>
    <w:rsid w:val="004C611D"/>
    <w:rsid w:val="004C6287"/>
    <w:rsid w:val="004C656E"/>
    <w:rsid w:val="004C65A4"/>
    <w:rsid w:val="004C6759"/>
    <w:rsid w:val="004C6901"/>
    <w:rsid w:val="004C6BE4"/>
    <w:rsid w:val="004C6DAF"/>
    <w:rsid w:val="004C6E2B"/>
    <w:rsid w:val="004C6E42"/>
    <w:rsid w:val="004C6F8B"/>
    <w:rsid w:val="004C6F97"/>
    <w:rsid w:val="004C6FBC"/>
    <w:rsid w:val="004C7602"/>
    <w:rsid w:val="004C76DD"/>
    <w:rsid w:val="004C77AE"/>
    <w:rsid w:val="004C7A23"/>
    <w:rsid w:val="004C7B71"/>
    <w:rsid w:val="004C7B90"/>
    <w:rsid w:val="004C7DDA"/>
    <w:rsid w:val="004D0313"/>
    <w:rsid w:val="004D047D"/>
    <w:rsid w:val="004D0484"/>
    <w:rsid w:val="004D0815"/>
    <w:rsid w:val="004D0D04"/>
    <w:rsid w:val="004D0E43"/>
    <w:rsid w:val="004D10C1"/>
    <w:rsid w:val="004D126C"/>
    <w:rsid w:val="004D14B5"/>
    <w:rsid w:val="004D159E"/>
    <w:rsid w:val="004D185F"/>
    <w:rsid w:val="004D1A95"/>
    <w:rsid w:val="004D1B06"/>
    <w:rsid w:val="004D1B22"/>
    <w:rsid w:val="004D1CCD"/>
    <w:rsid w:val="004D1D6A"/>
    <w:rsid w:val="004D1DFA"/>
    <w:rsid w:val="004D1F57"/>
    <w:rsid w:val="004D1F6E"/>
    <w:rsid w:val="004D21C0"/>
    <w:rsid w:val="004D224F"/>
    <w:rsid w:val="004D230E"/>
    <w:rsid w:val="004D2641"/>
    <w:rsid w:val="004D27E8"/>
    <w:rsid w:val="004D2818"/>
    <w:rsid w:val="004D29B5"/>
    <w:rsid w:val="004D2BAC"/>
    <w:rsid w:val="004D2D27"/>
    <w:rsid w:val="004D3123"/>
    <w:rsid w:val="004D3A11"/>
    <w:rsid w:val="004D3D16"/>
    <w:rsid w:val="004D3D4D"/>
    <w:rsid w:val="004D4043"/>
    <w:rsid w:val="004D418A"/>
    <w:rsid w:val="004D41F4"/>
    <w:rsid w:val="004D4287"/>
    <w:rsid w:val="004D43FC"/>
    <w:rsid w:val="004D4400"/>
    <w:rsid w:val="004D46A7"/>
    <w:rsid w:val="004D4704"/>
    <w:rsid w:val="004D4878"/>
    <w:rsid w:val="004D49FC"/>
    <w:rsid w:val="004D4BC1"/>
    <w:rsid w:val="004D4D6B"/>
    <w:rsid w:val="004D4E1F"/>
    <w:rsid w:val="004D4F3C"/>
    <w:rsid w:val="004D4FA1"/>
    <w:rsid w:val="004D5090"/>
    <w:rsid w:val="004D52BD"/>
    <w:rsid w:val="004D583E"/>
    <w:rsid w:val="004D5933"/>
    <w:rsid w:val="004D5E7A"/>
    <w:rsid w:val="004D5F19"/>
    <w:rsid w:val="004D6126"/>
    <w:rsid w:val="004D631C"/>
    <w:rsid w:val="004D65D6"/>
    <w:rsid w:val="004D66BA"/>
    <w:rsid w:val="004D67B8"/>
    <w:rsid w:val="004D6A25"/>
    <w:rsid w:val="004D6B0B"/>
    <w:rsid w:val="004D6D15"/>
    <w:rsid w:val="004D6E55"/>
    <w:rsid w:val="004D6E7D"/>
    <w:rsid w:val="004D6FBC"/>
    <w:rsid w:val="004D6FFF"/>
    <w:rsid w:val="004D7094"/>
    <w:rsid w:val="004D70AD"/>
    <w:rsid w:val="004D714A"/>
    <w:rsid w:val="004D716C"/>
    <w:rsid w:val="004D76D5"/>
    <w:rsid w:val="004D7935"/>
    <w:rsid w:val="004D7D01"/>
    <w:rsid w:val="004E0136"/>
    <w:rsid w:val="004E04EC"/>
    <w:rsid w:val="004E080D"/>
    <w:rsid w:val="004E0AD5"/>
    <w:rsid w:val="004E0E54"/>
    <w:rsid w:val="004E0EEE"/>
    <w:rsid w:val="004E10CE"/>
    <w:rsid w:val="004E117E"/>
    <w:rsid w:val="004E1267"/>
    <w:rsid w:val="004E152D"/>
    <w:rsid w:val="004E1575"/>
    <w:rsid w:val="004E15FF"/>
    <w:rsid w:val="004E16A0"/>
    <w:rsid w:val="004E1984"/>
    <w:rsid w:val="004E19E6"/>
    <w:rsid w:val="004E1ACB"/>
    <w:rsid w:val="004E1F2E"/>
    <w:rsid w:val="004E1F60"/>
    <w:rsid w:val="004E22AF"/>
    <w:rsid w:val="004E262E"/>
    <w:rsid w:val="004E2771"/>
    <w:rsid w:val="004E27CF"/>
    <w:rsid w:val="004E2929"/>
    <w:rsid w:val="004E29F8"/>
    <w:rsid w:val="004E2BD9"/>
    <w:rsid w:val="004E2C9E"/>
    <w:rsid w:val="004E2D52"/>
    <w:rsid w:val="004E2F2C"/>
    <w:rsid w:val="004E323D"/>
    <w:rsid w:val="004E32F7"/>
    <w:rsid w:val="004E337E"/>
    <w:rsid w:val="004E342A"/>
    <w:rsid w:val="004E3565"/>
    <w:rsid w:val="004E35C9"/>
    <w:rsid w:val="004E3716"/>
    <w:rsid w:val="004E37DD"/>
    <w:rsid w:val="004E382F"/>
    <w:rsid w:val="004E3863"/>
    <w:rsid w:val="004E3894"/>
    <w:rsid w:val="004E3C0D"/>
    <w:rsid w:val="004E3F37"/>
    <w:rsid w:val="004E3FB7"/>
    <w:rsid w:val="004E407E"/>
    <w:rsid w:val="004E43A0"/>
    <w:rsid w:val="004E47EA"/>
    <w:rsid w:val="004E487E"/>
    <w:rsid w:val="004E4C0E"/>
    <w:rsid w:val="004E4E5A"/>
    <w:rsid w:val="004E4E7D"/>
    <w:rsid w:val="004E5185"/>
    <w:rsid w:val="004E51B2"/>
    <w:rsid w:val="004E5731"/>
    <w:rsid w:val="004E59AA"/>
    <w:rsid w:val="004E59E8"/>
    <w:rsid w:val="004E5C39"/>
    <w:rsid w:val="004E5CBF"/>
    <w:rsid w:val="004E5CE9"/>
    <w:rsid w:val="004E5FCC"/>
    <w:rsid w:val="004E61BF"/>
    <w:rsid w:val="004E6347"/>
    <w:rsid w:val="004E6503"/>
    <w:rsid w:val="004E6B50"/>
    <w:rsid w:val="004E6BE7"/>
    <w:rsid w:val="004E6CEE"/>
    <w:rsid w:val="004E6D0C"/>
    <w:rsid w:val="004E6F06"/>
    <w:rsid w:val="004E6F19"/>
    <w:rsid w:val="004E7060"/>
    <w:rsid w:val="004E72D6"/>
    <w:rsid w:val="004E76DF"/>
    <w:rsid w:val="004E778F"/>
    <w:rsid w:val="004E7ACF"/>
    <w:rsid w:val="004E7F27"/>
    <w:rsid w:val="004F01F2"/>
    <w:rsid w:val="004F0249"/>
    <w:rsid w:val="004F0415"/>
    <w:rsid w:val="004F05ED"/>
    <w:rsid w:val="004F068F"/>
    <w:rsid w:val="004F0B10"/>
    <w:rsid w:val="004F0BE1"/>
    <w:rsid w:val="004F0DFE"/>
    <w:rsid w:val="004F0EF9"/>
    <w:rsid w:val="004F1128"/>
    <w:rsid w:val="004F147C"/>
    <w:rsid w:val="004F1560"/>
    <w:rsid w:val="004F181F"/>
    <w:rsid w:val="004F1B6F"/>
    <w:rsid w:val="004F1C18"/>
    <w:rsid w:val="004F1CD2"/>
    <w:rsid w:val="004F1D54"/>
    <w:rsid w:val="004F1E5D"/>
    <w:rsid w:val="004F1EF4"/>
    <w:rsid w:val="004F1F89"/>
    <w:rsid w:val="004F1F9F"/>
    <w:rsid w:val="004F2001"/>
    <w:rsid w:val="004F2518"/>
    <w:rsid w:val="004F26ED"/>
    <w:rsid w:val="004F2C4A"/>
    <w:rsid w:val="004F2CFA"/>
    <w:rsid w:val="004F2D4A"/>
    <w:rsid w:val="004F2DDE"/>
    <w:rsid w:val="004F2F58"/>
    <w:rsid w:val="004F2F71"/>
    <w:rsid w:val="004F30A6"/>
    <w:rsid w:val="004F3425"/>
    <w:rsid w:val="004F3537"/>
    <w:rsid w:val="004F3BE0"/>
    <w:rsid w:val="004F3E5E"/>
    <w:rsid w:val="004F42DD"/>
    <w:rsid w:val="004F45C7"/>
    <w:rsid w:val="004F4783"/>
    <w:rsid w:val="004F47B4"/>
    <w:rsid w:val="004F4936"/>
    <w:rsid w:val="004F4A4B"/>
    <w:rsid w:val="004F4B4C"/>
    <w:rsid w:val="004F4E41"/>
    <w:rsid w:val="004F50DA"/>
    <w:rsid w:val="004F52EA"/>
    <w:rsid w:val="004F5324"/>
    <w:rsid w:val="004F5393"/>
    <w:rsid w:val="004F5D90"/>
    <w:rsid w:val="004F613D"/>
    <w:rsid w:val="004F63C2"/>
    <w:rsid w:val="004F65E3"/>
    <w:rsid w:val="004F682B"/>
    <w:rsid w:val="004F6937"/>
    <w:rsid w:val="004F6995"/>
    <w:rsid w:val="004F6D71"/>
    <w:rsid w:val="004F6F6F"/>
    <w:rsid w:val="004F6F71"/>
    <w:rsid w:val="004F7085"/>
    <w:rsid w:val="004F7284"/>
    <w:rsid w:val="004F7314"/>
    <w:rsid w:val="004F739B"/>
    <w:rsid w:val="004F75B1"/>
    <w:rsid w:val="004F792D"/>
    <w:rsid w:val="004F7C3E"/>
    <w:rsid w:val="004F7D26"/>
    <w:rsid w:val="004F7E86"/>
    <w:rsid w:val="004F7FB5"/>
    <w:rsid w:val="005003AA"/>
    <w:rsid w:val="00500550"/>
    <w:rsid w:val="005005BF"/>
    <w:rsid w:val="00500A3B"/>
    <w:rsid w:val="00500A65"/>
    <w:rsid w:val="00500AC3"/>
    <w:rsid w:val="00500D53"/>
    <w:rsid w:val="00500D72"/>
    <w:rsid w:val="00500E0D"/>
    <w:rsid w:val="00500EEB"/>
    <w:rsid w:val="00500FA4"/>
    <w:rsid w:val="00500FEF"/>
    <w:rsid w:val="0050101B"/>
    <w:rsid w:val="00501030"/>
    <w:rsid w:val="005010E7"/>
    <w:rsid w:val="005014AD"/>
    <w:rsid w:val="00501552"/>
    <w:rsid w:val="005015D4"/>
    <w:rsid w:val="0050166A"/>
    <w:rsid w:val="0050169F"/>
    <w:rsid w:val="0050174A"/>
    <w:rsid w:val="005017C7"/>
    <w:rsid w:val="005018D7"/>
    <w:rsid w:val="005019DD"/>
    <w:rsid w:val="00501CB1"/>
    <w:rsid w:val="00501EFF"/>
    <w:rsid w:val="005020CE"/>
    <w:rsid w:val="005020D3"/>
    <w:rsid w:val="005020F8"/>
    <w:rsid w:val="00502105"/>
    <w:rsid w:val="0050217B"/>
    <w:rsid w:val="00502233"/>
    <w:rsid w:val="00502257"/>
    <w:rsid w:val="00502348"/>
    <w:rsid w:val="005025C0"/>
    <w:rsid w:val="005026F2"/>
    <w:rsid w:val="00502A84"/>
    <w:rsid w:val="00502A9A"/>
    <w:rsid w:val="00502ADD"/>
    <w:rsid w:val="00502B03"/>
    <w:rsid w:val="00502B79"/>
    <w:rsid w:val="00502C5F"/>
    <w:rsid w:val="00502D08"/>
    <w:rsid w:val="00502D0E"/>
    <w:rsid w:val="00503049"/>
    <w:rsid w:val="00503086"/>
    <w:rsid w:val="0050318D"/>
    <w:rsid w:val="005037E6"/>
    <w:rsid w:val="005038FC"/>
    <w:rsid w:val="00503975"/>
    <w:rsid w:val="00503D3D"/>
    <w:rsid w:val="00504105"/>
    <w:rsid w:val="00504108"/>
    <w:rsid w:val="00504283"/>
    <w:rsid w:val="005042E1"/>
    <w:rsid w:val="0050458A"/>
    <w:rsid w:val="005046A4"/>
    <w:rsid w:val="005047E1"/>
    <w:rsid w:val="00504EBC"/>
    <w:rsid w:val="00504F8C"/>
    <w:rsid w:val="00504FCF"/>
    <w:rsid w:val="00505358"/>
    <w:rsid w:val="00505481"/>
    <w:rsid w:val="0050548C"/>
    <w:rsid w:val="0050597C"/>
    <w:rsid w:val="00505A72"/>
    <w:rsid w:val="00505D36"/>
    <w:rsid w:val="00505EC8"/>
    <w:rsid w:val="00506791"/>
    <w:rsid w:val="0050689F"/>
    <w:rsid w:val="00506C66"/>
    <w:rsid w:val="00506D2B"/>
    <w:rsid w:val="00506DE2"/>
    <w:rsid w:val="00506F28"/>
    <w:rsid w:val="0050720F"/>
    <w:rsid w:val="0050726C"/>
    <w:rsid w:val="00507326"/>
    <w:rsid w:val="00507334"/>
    <w:rsid w:val="0050765B"/>
    <w:rsid w:val="00507ACA"/>
    <w:rsid w:val="00507B49"/>
    <w:rsid w:val="00507CB9"/>
    <w:rsid w:val="00507CE3"/>
    <w:rsid w:val="00510489"/>
    <w:rsid w:val="005104DD"/>
    <w:rsid w:val="00510D6D"/>
    <w:rsid w:val="00510E29"/>
    <w:rsid w:val="0051135A"/>
    <w:rsid w:val="00511474"/>
    <w:rsid w:val="005115FD"/>
    <w:rsid w:val="005116E1"/>
    <w:rsid w:val="0051179D"/>
    <w:rsid w:val="005117C4"/>
    <w:rsid w:val="00511850"/>
    <w:rsid w:val="0051185D"/>
    <w:rsid w:val="00511945"/>
    <w:rsid w:val="00511995"/>
    <w:rsid w:val="00511A21"/>
    <w:rsid w:val="00511C71"/>
    <w:rsid w:val="00512053"/>
    <w:rsid w:val="00512297"/>
    <w:rsid w:val="005123E9"/>
    <w:rsid w:val="005123FA"/>
    <w:rsid w:val="005125B0"/>
    <w:rsid w:val="00512F23"/>
    <w:rsid w:val="00512FF5"/>
    <w:rsid w:val="00513067"/>
    <w:rsid w:val="005130FF"/>
    <w:rsid w:val="00513117"/>
    <w:rsid w:val="005132D0"/>
    <w:rsid w:val="005135CF"/>
    <w:rsid w:val="00513606"/>
    <w:rsid w:val="0051365B"/>
    <w:rsid w:val="00513A5F"/>
    <w:rsid w:val="00513B80"/>
    <w:rsid w:val="00513CA3"/>
    <w:rsid w:val="00513D42"/>
    <w:rsid w:val="005144AC"/>
    <w:rsid w:val="0051463B"/>
    <w:rsid w:val="00514652"/>
    <w:rsid w:val="00514B50"/>
    <w:rsid w:val="00514F7E"/>
    <w:rsid w:val="00514F9C"/>
    <w:rsid w:val="00514FFB"/>
    <w:rsid w:val="00515017"/>
    <w:rsid w:val="00515071"/>
    <w:rsid w:val="005152AA"/>
    <w:rsid w:val="005154EE"/>
    <w:rsid w:val="0051590E"/>
    <w:rsid w:val="00515DAE"/>
    <w:rsid w:val="00515FF6"/>
    <w:rsid w:val="00516165"/>
    <w:rsid w:val="005161FE"/>
    <w:rsid w:val="0051636F"/>
    <w:rsid w:val="0051647B"/>
    <w:rsid w:val="00516632"/>
    <w:rsid w:val="0051671C"/>
    <w:rsid w:val="005168AC"/>
    <w:rsid w:val="00516BAB"/>
    <w:rsid w:val="00516BDC"/>
    <w:rsid w:val="005170D4"/>
    <w:rsid w:val="00517207"/>
    <w:rsid w:val="005174F0"/>
    <w:rsid w:val="00517A72"/>
    <w:rsid w:val="00517AF6"/>
    <w:rsid w:val="00517AFD"/>
    <w:rsid w:val="00517D32"/>
    <w:rsid w:val="00517D46"/>
    <w:rsid w:val="00517DF2"/>
    <w:rsid w:val="00517FBE"/>
    <w:rsid w:val="0052026A"/>
    <w:rsid w:val="005203C3"/>
    <w:rsid w:val="00520A12"/>
    <w:rsid w:val="00520B8B"/>
    <w:rsid w:val="00520E2D"/>
    <w:rsid w:val="005210C4"/>
    <w:rsid w:val="00521353"/>
    <w:rsid w:val="005217DB"/>
    <w:rsid w:val="00521BC4"/>
    <w:rsid w:val="00521C89"/>
    <w:rsid w:val="00521CBB"/>
    <w:rsid w:val="005226F6"/>
    <w:rsid w:val="00522719"/>
    <w:rsid w:val="00522BCC"/>
    <w:rsid w:val="005230BA"/>
    <w:rsid w:val="00523124"/>
    <w:rsid w:val="0052326E"/>
    <w:rsid w:val="00523286"/>
    <w:rsid w:val="0052342E"/>
    <w:rsid w:val="00523493"/>
    <w:rsid w:val="005236C2"/>
    <w:rsid w:val="00523785"/>
    <w:rsid w:val="005238AC"/>
    <w:rsid w:val="00523A14"/>
    <w:rsid w:val="00523D8C"/>
    <w:rsid w:val="00523F4C"/>
    <w:rsid w:val="00524095"/>
    <w:rsid w:val="00524253"/>
    <w:rsid w:val="00524364"/>
    <w:rsid w:val="0052443E"/>
    <w:rsid w:val="00524799"/>
    <w:rsid w:val="005247DD"/>
    <w:rsid w:val="0052496E"/>
    <w:rsid w:val="00524DA1"/>
    <w:rsid w:val="0052517B"/>
    <w:rsid w:val="00525231"/>
    <w:rsid w:val="005252D1"/>
    <w:rsid w:val="0052532F"/>
    <w:rsid w:val="0052545F"/>
    <w:rsid w:val="00525475"/>
    <w:rsid w:val="00525498"/>
    <w:rsid w:val="0052594E"/>
    <w:rsid w:val="005259C2"/>
    <w:rsid w:val="00525C7A"/>
    <w:rsid w:val="00526035"/>
    <w:rsid w:val="0052613A"/>
    <w:rsid w:val="005261A0"/>
    <w:rsid w:val="0052625B"/>
    <w:rsid w:val="00526477"/>
    <w:rsid w:val="00526579"/>
    <w:rsid w:val="00526742"/>
    <w:rsid w:val="00526817"/>
    <w:rsid w:val="00526863"/>
    <w:rsid w:val="00526A4E"/>
    <w:rsid w:val="00526FE0"/>
    <w:rsid w:val="00526FE5"/>
    <w:rsid w:val="00526FF7"/>
    <w:rsid w:val="0052704C"/>
    <w:rsid w:val="005270F9"/>
    <w:rsid w:val="005272BC"/>
    <w:rsid w:val="0052736D"/>
    <w:rsid w:val="00527787"/>
    <w:rsid w:val="0052785A"/>
    <w:rsid w:val="00527976"/>
    <w:rsid w:val="00527ACC"/>
    <w:rsid w:val="00527C02"/>
    <w:rsid w:val="00527D62"/>
    <w:rsid w:val="00527F44"/>
    <w:rsid w:val="00530388"/>
    <w:rsid w:val="00530476"/>
    <w:rsid w:val="00530AB2"/>
    <w:rsid w:val="00531014"/>
    <w:rsid w:val="00531040"/>
    <w:rsid w:val="005310FC"/>
    <w:rsid w:val="00531130"/>
    <w:rsid w:val="00531292"/>
    <w:rsid w:val="0053136E"/>
    <w:rsid w:val="00531479"/>
    <w:rsid w:val="005316C1"/>
    <w:rsid w:val="0053186C"/>
    <w:rsid w:val="005318B2"/>
    <w:rsid w:val="0053196F"/>
    <w:rsid w:val="00531AFB"/>
    <w:rsid w:val="00531BCD"/>
    <w:rsid w:val="00531D55"/>
    <w:rsid w:val="005320F0"/>
    <w:rsid w:val="00532259"/>
    <w:rsid w:val="005322FB"/>
    <w:rsid w:val="0053233B"/>
    <w:rsid w:val="0053250D"/>
    <w:rsid w:val="00532BFF"/>
    <w:rsid w:val="00532CBE"/>
    <w:rsid w:val="00532D44"/>
    <w:rsid w:val="00532E6A"/>
    <w:rsid w:val="00533002"/>
    <w:rsid w:val="0053320B"/>
    <w:rsid w:val="005332F9"/>
    <w:rsid w:val="005334EF"/>
    <w:rsid w:val="00533748"/>
    <w:rsid w:val="00533959"/>
    <w:rsid w:val="00533EFC"/>
    <w:rsid w:val="00533F97"/>
    <w:rsid w:val="0053441E"/>
    <w:rsid w:val="005345DF"/>
    <w:rsid w:val="0053480E"/>
    <w:rsid w:val="00534888"/>
    <w:rsid w:val="00534B64"/>
    <w:rsid w:val="00534B8A"/>
    <w:rsid w:val="00534B99"/>
    <w:rsid w:val="00534DA2"/>
    <w:rsid w:val="00534E5D"/>
    <w:rsid w:val="00534E5E"/>
    <w:rsid w:val="00534EF7"/>
    <w:rsid w:val="005350C1"/>
    <w:rsid w:val="0053527C"/>
    <w:rsid w:val="005354CB"/>
    <w:rsid w:val="005358B6"/>
    <w:rsid w:val="00535910"/>
    <w:rsid w:val="00535943"/>
    <w:rsid w:val="00535994"/>
    <w:rsid w:val="005359E2"/>
    <w:rsid w:val="00535BCB"/>
    <w:rsid w:val="00535CC9"/>
    <w:rsid w:val="00535D46"/>
    <w:rsid w:val="00535DF5"/>
    <w:rsid w:val="00535E11"/>
    <w:rsid w:val="00535E3A"/>
    <w:rsid w:val="00535FAB"/>
    <w:rsid w:val="005361BD"/>
    <w:rsid w:val="0053621E"/>
    <w:rsid w:val="00536304"/>
    <w:rsid w:val="005363E1"/>
    <w:rsid w:val="005366F5"/>
    <w:rsid w:val="00536A2F"/>
    <w:rsid w:val="00536DDF"/>
    <w:rsid w:val="00536E09"/>
    <w:rsid w:val="00536E40"/>
    <w:rsid w:val="00536FD2"/>
    <w:rsid w:val="005370B8"/>
    <w:rsid w:val="00537352"/>
    <w:rsid w:val="00537547"/>
    <w:rsid w:val="0053767F"/>
    <w:rsid w:val="005376E2"/>
    <w:rsid w:val="005378CC"/>
    <w:rsid w:val="00537918"/>
    <w:rsid w:val="00537A52"/>
    <w:rsid w:val="00537B39"/>
    <w:rsid w:val="0054003E"/>
    <w:rsid w:val="00540089"/>
    <w:rsid w:val="005400C1"/>
    <w:rsid w:val="0054018F"/>
    <w:rsid w:val="00540210"/>
    <w:rsid w:val="00540258"/>
    <w:rsid w:val="00540276"/>
    <w:rsid w:val="005404A3"/>
    <w:rsid w:val="005405BD"/>
    <w:rsid w:val="00540767"/>
    <w:rsid w:val="005407E4"/>
    <w:rsid w:val="005407F2"/>
    <w:rsid w:val="00540812"/>
    <w:rsid w:val="005409D2"/>
    <w:rsid w:val="00540AF5"/>
    <w:rsid w:val="00540B9A"/>
    <w:rsid w:val="00540D2E"/>
    <w:rsid w:val="00540F77"/>
    <w:rsid w:val="00540FC6"/>
    <w:rsid w:val="00540FCF"/>
    <w:rsid w:val="0054153C"/>
    <w:rsid w:val="00541B1C"/>
    <w:rsid w:val="00541C58"/>
    <w:rsid w:val="00541C5B"/>
    <w:rsid w:val="00541F38"/>
    <w:rsid w:val="0054233E"/>
    <w:rsid w:val="00542419"/>
    <w:rsid w:val="0054243F"/>
    <w:rsid w:val="00542505"/>
    <w:rsid w:val="00542560"/>
    <w:rsid w:val="005428DD"/>
    <w:rsid w:val="005428E7"/>
    <w:rsid w:val="005428EA"/>
    <w:rsid w:val="00542A3F"/>
    <w:rsid w:val="00542C78"/>
    <w:rsid w:val="00542E95"/>
    <w:rsid w:val="0054318C"/>
    <w:rsid w:val="005432AE"/>
    <w:rsid w:val="0054336E"/>
    <w:rsid w:val="005433BF"/>
    <w:rsid w:val="0054346D"/>
    <w:rsid w:val="005434F8"/>
    <w:rsid w:val="005435C1"/>
    <w:rsid w:val="00543932"/>
    <w:rsid w:val="005439FF"/>
    <w:rsid w:val="00543A6A"/>
    <w:rsid w:val="00543BA8"/>
    <w:rsid w:val="00543E81"/>
    <w:rsid w:val="005440B9"/>
    <w:rsid w:val="005442E7"/>
    <w:rsid w:val="00544397"/>
    <w:rsid w:val="005444FF"/>
    <w:rsid w:val="00544635"/>
    <w:rsid w:val="0054468A"/>
    <w:rsid w:val="0054489F"/>
    <w:rsid w:val="00544903"/>
    <w:rsid w:val="005449A0"/>
    <w:rsid w:val="00544B45"/>
    <w:rsid w:val="00544C45"/>
    <w:rsid w:val="00544D24"/>
    <w:rsid w:val="00545574"/>
    <w:rsid w:val="00545644"/>
    <w:rsid w:val="0054578C"/>
    <w:rsid w:val="0054581D"/>
    <w:rsid w:val="00545861"/>
    <w:rsid w:val="00545C02"/>
    <w:rsid w:val="00545E15"/>
    <w:rsid w:val="00545E77"/>
    <w:rsid w:val="00545ED4"/>
    <w:rsid w:val="00546272"/>
    <w:rsid w:val="00546375"/>
    <w:rsid w:val="00546860"/>
    <w:rsid w:val="005468B7"/>
    <w:rsid w:val="005469BE"/>
    <w:rsid w:val="00546C8C"/>
    <w:rsid w:val="00546CCB"/>
    <w:rsid w:val="00546D11"/>
    <w:rsid w:val="00546DC4"/>
    <w:rsid w:val="00546E2A"/>
    <w:rsid w:val="00546EDF"/>
    <w:rsid w:val="00546FAD"/>
    <w:rsid w:val="00547123"/>
    <w:rsid w:val="005472CB"/>
    <w:rsid w:val="0054735F"/>
    <w:rsid w:val="00547431"/>
    <w:rsid w:val="00547731"/>
    <w:rsid w:val="00547DC6"/>
    <w:rsid w:val="00547EBF"/>
    <w:rsid w:val="005502B6"/>
    <w:rsid w:val="00550582"/>
    <w:rsid w:val="00550584"/>
    <w:rsid w:val="005506C3"/>
    <w:rsid w:val="005508E4"/>
    <w:rsid w:val="005509E5"/>
    <w:rsid w:val="00550BDB"/>
    <w:rsid w:val="00550D76"/>
    <w:rsid w:val="00550D97"/>
    <w:rsid w:val="00550E3B"/>
    <w:rsid w:val="00550EAE"/>
    <w:rsid w:val="00551000"/>
    <w:rsid w:val="005510F6"/>
    <w:rsid w:val="00551142"/>
    <w:rsid w:val="00551190"/>
    <w:rsid w:val="00551214"/>
    <w:rsid w:val="00551547"/>
    <w:rsid w:val="005517C1"/>
    <w:rsid w:val="00551D3E"/>
    <w:rsid w:val="00551E2D"/>
    <w:rsid w:val="00551E34"/>
    <w:rsid w:val="00551E74"/>
    <w:rsid w:val="00551EC9"/>
    <w:rsid w:val="00551F0A"/>
    <w:rsid w:val="00552211"/>
    <w:rsid w:val="0055241B"/>
    <w:rsid w:val="005524FA"/>
    <w:rsid w:val="00552795"/>
    <w:rsid w:val="00552F4D"/>
    <w:rsid w:val="00553020"/>
    <w:rsid w:val="005532BB"/>
    <w:rsid w:val="0055336B"/>
    <w:rsid w:val="00553476"/>
    <w:rsid w:val="005534FF"/>
    <w:rsid w:val="00553659"/>
    <w:rsid w:val="00553937"/>
    <w:rsid w:val="005539A3"/>
    <w:rsid w:val="005539B5"/>
    <w:rsid w:val="00553B0A"/>
    <w:rsid w:val="00553B9B"/>
    <w:rsid w:val="00553C15"/>
    <w:rsid w:val="00553C89"/>
    <w:rsid w:val="00553DAE"/>
    <w:rsid w:val="0055403B"/>
    <w:rsid w:val="005541A5"/>
    <w:rsid w:val="005546D3"/>
    <w:rsid w:val="00554832"/>
    <w:rsid w:val="00554C09"/>
    <w:rsid w:val="00554EA5"/>
    <w:rsid w:val="00554EE9"/>
    <w:rsid w:val="00554FAC"/>
    <w:rsid w:val="005552AB"/>
    <w:rsid w:val="005552E5"/>
    <w:rsid w:val="00555377"/>
    <w:rsid w:val="00555402"/>
    <w:rsid w:val="005554A3"/>
    <w:rsid w:val="0055555D"/>
    <w:rsid w:val="00556109"/>
    <w:rsid w:val="005563F1"/>
    <w:rsid w:val="0055646C"/>
    <w:rsid w:val="00556471"/>
    <w:rsid w:val="005564C4"/>
    <w:rsid w:val="005566D1"/>
    <w:rsid w:val="00556A5B"/>
    <w:rsid w:val="00556D4E"/>
    <w:rsid w:val="00556D70"/>
    <w:rsid w:val="00556D8B"/>
    <w:rsid w:val="00556E2C"/>
    <w:rsid w:val="00556F5C"/>
    <w:rsid w:val="00556FDB"/>
    <w:rsid w:val="00557227"/>
    <w:rsid w:val="0055743F"/>
    <w:rsid w:val="00557774"/>
    <w:rsid w:val="00557A9D"/>
    <w:rsid w:val="00557CA8"/>
    <w:rsid w:val="00557FD4"/>
    <w:rsid w:val="005608AE"/>
    <w:rsid w:val="005609D2"/>
    <w:rsid w:val="00560BFB"/>
    <w:rsid w:val="00560F9B"/>
    <w:rsid w:val="005611BE"/>
    <w:rsid w:val="0056124C"/>
    <w:rsid w:val="0056131D"/>
    <w:rsid w:val="005613D5"/>
    <w:rsid w:val="00561452"/>
    <w:rsid w:val="0056157D"/>
    <w:rsid w:val="0056159F"/>
    <w:rsid w:val="0056162A"/>
    <w:rsid w:val="005616BE"/>
    <w:rsid w:val="00561E89"/>
    <w:rsid w:val="0056244D"/>
    <w:rsid w:val="00562517"/>
    <w:rsid w:val="0056262B"/>
    <w:rsid w:val="00562931"/>
    <w:rsid w:val="00562E11"/>
    <w:rsid w:val="00562F13"/>
    <w:rsid w:val="005632AE"/>
    <w:rsid w:val="005632EC"/>
    <w:rsid w:val="005639B2"/>
    <w:rsid w:val="00563AB7"/>
    <w:rsid w:val="00563C26"/>
    <w:rsid w:val="00563C6F"/>
    <w:rsid w:val="00563C9D"/>
    <w:rsid w:val="00563F5A"/>
    <w:rsid w:val="00563F93"/>
    <w:rsid w:val="00564085"/>
    <w:rsid w:val="0056417C"/>
    <w:rsid w:val="00564443"/>
    <w:rsid w:val="0056451C"/>
    <w:rsid w:val="005648DB"/>
    <w:rsid w:val="00564959"/>
    <w:rsid w:val="00564AD0"/>
    <w:rsid w:val="00564BDE"/>
    <w:rsid w:val="00564C69"/>
    <w:rsid w:val="00564D3B"/>
    <w:rsid w:val="00564DAB"/>
    <w:rsid w:val="00564F21"/>
    <w:rsid w:val="005655D9"/>
    <w:rsid w:val="00565863"/>
    <w:rsid w:val="00565882"/>
    <w:rsid w:val="00565AD2"/>
    <w:rsid w:val="00565AF3"/>
    <w:rsid w:val="00565CEA"/>
    <w:rsid w:val="0056627C"/>
    <w:rsid w:val="0056629E"/>
    <w:rsid w:val="005666B5"/>
    <w:rsid w:val="005667B1"/>
    <w:rsid w:val="005667C6"/>
    <w:rsid w:val="00566806"/>
    <w:rsid w:val="00566BC8"/>
    <w:rsid w:val="00566D1C"/>
    <w:rsid w:val="00566D77"/>
    <w:rsid w:val="00566D80"/>
    <w:rsid w:val="00566E22"/>
    <w:rsid w:val="00566ED5"/>
    <w:rsid w:val="00566F0A"/>
    <w:rsid w:val="00567164"/>
    <w:rsid w:val="00567555"/>
    <w:rsid w:val="005676AC"/>
    <w:rsid w:val="00567797"/>
    <w:rsid w:val="00567BA8"/>
    <w:rsid w:val="00567C15"/>
    <w:rsid w:val="00567E93"/>
    <w:rsid w:val="00567F60"/>
    <w:rsid w:val="00567F94"/>
    <w:rsid w:val="00570221"/>
    <w:rsid w:val="00570240"/>
    <w:rsid w:val="00570498"/>
    <w:rsid w:val="005704B8"/>
    <w:rsid w:val="0057063D"/>
    <w:rsid w:val="00570676"/>
    <w:rsid w:val="005707EA"/>
    <w:rsid w:val="005709B8"/>
    <w:rsid w:val="00570A1C"/>
    <w:rsid w:val="00570ACF"/>
    <w:rsid w:val="00570B24"/>
    <w:rsid w:val="00570CA6"/>
    <w:rsid w:val="00570DC6"/>
    <w:rsid w:val="00570FF8"/>
    <w:rsid w:val="005713EE"/>
    <w:rsid w:val="0057200A"/>
    <w:rsid w:val="00572077"/>
    <w:rsid w:val="00572799"/>
    <w:rsid w:val="005728AC"/>
    <w:rsid w:val="005729AF"/>
    <w:rsid w:val="00572B34"/>
    <w:rsid w:val="00572B9F"/>
    <w:rsid w:val="00572F6C"/>
    <w:rsid w:val="00573170"/>
    <w:rsid w:val="0057342C"/>
    <w:rsid w:val="00573556"/>
    <w:rsid w:val="00573560"/>
    <w:rsid w:val="0057358E"/>
    <w:rsid w:val="00573744"/>
    <w:rsid w:val="005738AA"/>
    <w:rsid w:val="005738FD"/>
    <w:rsid w:val="00573A9F"/>
    <w:rsid w:val="00573D2F"/>
    <w:rsid w:val="00573FA1"/>
    <w:rsid w:val="005740E5"/>
    <w:rsid w:val="0057425C"/>
    <w:rsid w:val="005746F4"/>
    <w:rsid w:val="005747C7"/>
    <w:rsid w:val="005747E5"/>
    <w:rsid w:val="005748D4"/>
    <w:rsid w:val="00574953"/>
    <w:rsid w:val="00574B6C"/>
    <w:rsid w:val="00574E54"/>
    <w:rsid w:val="00575155"/>
    <w:rsid w:val="00575187"/>
    <w:rsid w:val="0057526C"/>
    <w:rsid w:val="0057532D"/>
    <w:rsid w:val="005753C0"/>
    <w:rsid w:val="0057561D"/>
    <w:rsid w:val="0057580B"/>
    <w:rsid w:val="00575856"/>
    <w:rsid w:val="005758B4"/>
    <w:rsid w:val="00575A4C"/>
    <w:rsid w:val="005760E1"/>
    <w:rsid w:val="005761F2"/>
    <w:rsid w:val="00576262"/>
    <w:rsid w:val="005763AC"/>
    <w:rsid w:val="00576405"/>
    <w:rsid w:val="0057647B"/>
    <w:rsid w:val="005767C3"/>
    <w:rsid w:val="005768FA"/>
    <w:rsid w:val="00576A49"/>
    <w:rsid w:val="00576AFE"/>
    <w:rsid w:val="00576B48"/>
    <w:rsid w:val="00576EC7"/>
    <w:rsid w:val="00576F40"/>
    <w:rsid w:val="00577244"/>
    <w:rsid w:val="00577422"/>
    <w:rsid w:val="00577A30"/>
    <w:rsid w:val="00577AF2"/>
    <w:rsid w:val="00577B9D"/>
    <w:rsid w:val="00577BC9"/>
    <w:rsid w:val="00577E51"/>
    <w:rsid w:val="00577EA0"/>
    <w:rsid w:val="00577EC8"/>
    <w:rsid w:val="00577FBB"/>
    <w:rsid w:val="0058000F"/>
    <w:rsid w:val="00580078"/>
    <w:rsid w:val="00580164"/>
    <w:rsid w:val="005801A2"/>
    <w:rsid w:val="005805C0"/>
    <w:rsid w:val="0058099F"/>
    <w:rsid w:val="005809A8"/>
    <w:rsid w:val="00580A76"/>
    <w:rsid w:val="00580DF2"/>
    <w:rsid w:val="00580E69"/>
    <w:rsid w:val="00580EB7"/>
    <w:rsid w:val="00580FFA"/>
    <w:rsid w:val="00581269"/>
    <w:rsid w:val="005812A1"/>
    <w:rsid w:val="005813A6"/>
    <w:rsid w:val="005815E5"/>
    <w:rsid w:val="00581627"/>
    <w:rsid w:val="0058165B"/>
    <w:rsid w:val="005817E9"/>
    <w:rsid w:val="00581C80"/>
    <w:rsid w:val="00581D87"/>
    <w:rsid w:val="00581F1C"/>
    <w:rsid w:val="00582096"/>
    <w:rsid w:val="00582683"/>
    <w:rsid w:val="0058272F"/>
    <w:rsid w:val="00582AFE"/>
    <w:rsid w:val="00582E15"/>
    <w:rsid w:val="00582E68"/>
    <w:rsid w:val="00582E9D"/>
    <w:rsid w:val="00582F57"/>
    <w:rsid w:val="00582F7E"/>
    <w:rsid w:val="005831AC"/>
    <w:rsid w:val="005831C5"/>
    <w:rsid w:val="00583695"/>
    <w:rsid w:val="0058389A"/>
    <w:rsid w:val="00583A24"/>
    <w:rsid w:val="00583CDE"/>
    <w:rsid w:val="00583DC8"/>
    <w:rsid w:val="00583F6E"/>
    <w:rsid w:val="0058402C"/>
    <w:rsid w:val="0058421E"/>
    <w:rsid w:val="0058428B"/>
    <w:rsid w:val="005843DE"/>
    <w:rsid w:val="005844FA"/>
    <w:rsid w:val="00584543"/>
    <w:rsid w:val="00584BE9"/>
    <w:rsid w:val="00584D10"/>
    <w:rsid w:val="00584F5D"/>
    <w:rsid w:val="005852C7"/>
    <w:rsid w:val="00585580"/>
    <w:rsid w:val="00585706"/>
    <w:rsid w:val="00585CF6"/>
    <w:rsid w:val="00585E79"/>
    <w:rsid w:val="00585E8D"/>
    <w:rsid w:val="005861AA"/>
    <w:rsid w:val="00586231"/>
    <w:rsid w:val="00586453"/>
    <w:rsid w:val="005865F2"/>
    <w:rsid w:val="00586639"/>
    <w:rsid w:val="005866BA"/>
    <w:rsid w:val="00586715"/>
    <w:rsid w:val="00586873"/>
    <w:rsid w:val="00586AC6"/>
    <w:rsid w:val="00586B04"/>
    <w:rsid w:val="00586B66"/>
    <w:rsid w:val="00586C25"/>
    <w:rsid w:val="00586FFC"/>
    <w:rsid w:val="005871FE"/>
    <w:rsid w:val="0058745E"/>
    <w:rsid w:val="0058750B"/>
    <w:rsid w:val="005876DC"/>
    <w:rsid w:val="005876F8"/>
    <w:rsid w:val="00587C82"/>
    <w:rsid w:val="00590220"/>
    <w:rsid w:val="00590687"/>
    <w:rsid w:val="00590C9C"/>
    <w:rsid w:val="00590EA7"/>
    <w:rsid w:val="00590F16"/>
    <w:rsid w:val="00591013"/>
    <w:rsid w:val="00591060"/>
    <w:rsid w:val="00591077"/>
    <w:rsid w:val="00591086"/>
    <w:rsid w:val="00591402"/>
    <w:rsid w:val="0059151B"/>
    <w:rsid w:val="00591549"/>
    <w:rsid w:val="005915D9"/>
    <w:rsid w:val="0059183D"/>
    <w:rsid w:val="00591867"/>
    <w:rsid w:val="00591A5B"/>
    <w:rsid w:val="00591AD3"/>
    <w:rsid w:val="00591B0F"/>
    <w:rsid w:val="00591BC6"/>
    <w:rsid w:val="00591ECC"/>
    <w:rsid w:val="00592775"/>
    <w:rsid w:val="00592835"/>
    <w:rsid w:val="00592AAF"/>
    <w:rsid w:val="00592E0E"/>
    <w:rsid w:val="00592EFC"/>
    <w:rsid w:val="00593058"/>
    <w:rsid w:val="005930CA"/>
    <w:rsid w:val="00593100"/>
    <w:rsid w:val="00593174"/>
    <w:rsid w:val="0059330F"/>
    <w:rsid w:val="00593348"/>
    <w:rsid w:val="0059341C"/>
    <w:rsid w:val="00593808"/>
    <w:rsid w:val="005938EB"/>
    <w:rsid w:val="0059394B"/>
    <w:rsid w:val="00593AD5"/>
    <w:rsid w:val="00593BF7"/>
    <w:rsid w:val="00593CBE"/>
    <w:rsid w:val="00593E30"/>
    <w:rsid w:val="00593F42"/>
    <w:rsid w:val="00594274"/>
    <w:rsid w:val="00594460"/>
    <w:rsid w:val="005944D3"/>
    <w:rsid w:val="005946AA"/>
    <w:rsid w:val="0059477F"/>
    <w:rsid w:val="00594850"/>
    <w:rsid w:val="0059486D"/>
    <w:rsid w:val="0059495A"/>
    <w:rsid w:val="00594A3F"/>
    <w:rsid w:val="00594CCC"/>
    <w:rsid w:val="00594D95"/>
    <w:rsid w:val="00594F2D"/>
    <w:rsid w:val="0059503F"/>
    <w:rsid w:val="0059567A"/>
    <w:rsid w:val="005956A8"/>
    <w:rsid w:val="005958B2"/>
    <w:rsid w:val="00595BC6"/>
    <w:rsid w:val="00595CE4"/>
    <w:rsid w:val="00595D1A"/>
    <w:rsid w:val="0059627E"/>
    <w:rsid w:val="005962E6"/>
    <w:rsid w:val="005963F5"/>
    <w:rsid w:val="00596506"/>
    <w:rsid w:val="00596727"/>
    <w:rsid w:val="005967A8"/>
    <w:rsid w:val="005967D7"/>
    <w:rsid w:val="0059682F"/>
    <w:rsid w:val="00596850"/>
    <w:rsid w:val="005969FB"/>
    <w:rsid w:val="00596B46"/>
    <w:rsid w:val="00596D0D"/>
    <w:rsid w:val="00596F17"/>
    <w:rsid w:val="00596F88"/>
    <w:rsid w:val="00596FA5"/>
    <w:rsid w:val="00596FB6"/>
    <w:rsid w:val="00596FEF"/>
    <w:rsid w:val="005970F2"/>
    <w:rsid w:val="00597565"/>
    <w:rsid w:val="005979E2"/>
    <w:rsid w:val="00597DDE"/>
    <w:rsid w:val="00597F98"/>
    <w:rsid w:val="00597FC6"/>
    <w:rsid w:val="005A0462"/>
    <w:rsid w:val="005A05DA"/>
    <w:rsid w:val="005A0672"/>
    <w:rsid w:val="005A0679"/>
    <w:rsid w:val="005A07A1"/>
    <w:rsid w:val="005A0930"/>
    <w:rsid w:val="005A0A46"/>
    <w:rsid w:val="005A0A7E"/>
    <w:rsid w:val="005A0AA1"/>
    <w:rsid w:val="005A0AD3"/>
    <w:rsid w:val="005A0CB2"/>
    <w:rsid w:val="005A1131"/>
    <w:rsid w:val="005A130B"/>
    <w:rsid w:val="005A13DE"/>
    <w:rsid w:val="005A178E"/>
    <w:rsid w:val="005A1900"/>
    <w:rsid w:val="005A1D61"/>
    <w:rsid w:val="005A1DCF"/>
    <w:rsid w:val="005A228F"/>
    <w:rsid w:val="005A2588"/>
    <w:rsid w:val="005A2985"/>
    <w:rsid w:val="005A2C2C"/>
    <w:rsid w:val="005A2C96"/>
    <w:rsid w:val="005A2E53"/>
    <w:rsid w:val="005A2FBD"/>
    <w:rsid w:val="005A3139"/>
    <w:rsid w:val="005A31BC"/>
    <w:rsid w:val="005A340A"/>
    <w:rsid w:val="005A3672"/>
    <w:rsid w:val="005A36B8"/>
    <w:rsid w:val="005A3740"/>
    <w:rsid w:val="005A38E5"/>
    <w:rsid w:val="005A3B82"/>
    <w:rsid w:val="005A3D3D"/>
    <w:rsid w:val="005A41B9"/>
    <w:rsid w:val="005A47A4"/>
    <w:rsid w:val="005A492E"/>
    <w:rsid w:val="005A4D0E"/>
    <w:rsid w:val="005A4E98"/>
    <w:rsid w:val="005A4F3D"/>
    <w:rsid w:val="005A5057"/>
    <w:rsid w:val="005A52BB"/>
    <w:rsid w:val="005A542F"/>
    <w:rsid w:val="005A5475"/>
    <w:rsid w:val="005A54DF"/>
    <w:rsid w:val="005A5662"/>
    <w:rsid w:val="005A5CA8"/>
    <w:rsid w:val="005A5DA8"/>
    <w:rsid w:val="005A5E51"/>
    <w:rsid w:val="005A5F12"/>
    <w:rsid w:val="005A5FF7"/>
    <w:rsid w:val="005A64E6"/>
    <w:rsid w:val="005A6574"/>
    <w:rsid w:val="005A6666"/>
    <w:rsid w:val="005A6690"/>
    <w:rsid w:val="005A6706"/>
    <w:rsid w:val="005A6759"/>
    <w:rsid w:val="005A69CA"/>
    <w:rsid w:val="005A69D3"/>
    <w:rsid w:val="005A6A96"/>
    <w:rsid w:val="005A6B56"/>
    <w:rsid w:val="005A6B8E"/>
    <w:rsid w:val="005A6E30"/>
    <w:rsid w:val="005A6FB0"/>
    <w:rsid w:val="005A6FDE"/>
    <w:rsid w:val="005A7462"/>
    <w:rsid w:val="005A7517"/>
    <w:rsid w:val="005A7D72"/>
    <w:rsid w:val="005A7E4D"/>
    <w:rsid w:val="005A7FBB"/>
    <w:rsid w:val="005B0487"/>
    <w:rsid w:val="005B0792"/>
    <w:rsid w:val="005B086E"/>
    <w:rsid w:val="005B0957"/>
    <w:rsid w:val="005B0A6F"/>
    <w:rsid w:val="005B0B5A"/>
    <w:rsid w:val="005B0D5B"/>
    <w:rsid w:val="005B0D8F"/>
    <w:rsid w:val="005B107B"/>
    <w:rsid w:val="005B157E"/>
    <w:rsid w:val="005B15E6"/>
    <w:rsid w:val="005B177B"/>
    <w:rsid w:val="005B18C7"/>
    <w:rsid w:val="005B1925"/>
    <w:rsid w:val="005B1AC2"/>
    <w:rsid w:val="005B1DB3"/>
    <w:rsid w:val="005B1E7F"/>
    <w:rsid w:val="005B1F67"/>
    <w:rsid w:val="005B20F3"/>
    <w:rsid w:val="005B229C"/>
    <w:rsid w:val="005B22CB"/>
    <w:rsid w:val="005B2474"/>
    <w:rsid w:val="005B278B"/>
    <w:rsid w:val="005B2916"/>
    <w:rsid w:val="005B2C0F"/>
    <w:rsid w:val="005B2D64"/>
    <w:rsid w:val="005B2E10"/>
    <w:rsid w:val="005B2F4A"/>
    <w:rsid w:val="005B2FB6"/>
    <w:rsid w:val="005B34B4"/>
    <w:rsid w:val="005B3693"/>
    <w:rsid w:val="005B36FB"/>
    <w:rsid w:val="005B3762"/>
    <w:rsid w:val="005B37D2"/>
    <w:rsid w:val="005B3955"/>
    <w:rsid w:val="005B39A0"/>
    <w:rsid w:val="005B3BAF"/>
    <w:rsid w:val="005B3CC6"/>
    <w:rsid w:val="005B3DD4"/>
    <w:rsid w:val="005B3DE4"/>
    <w:rsid w:val="005B3EDC"/>
    <w:rsid w:val="005B3F70"/>
    <w:rsid w:val="005B413B"/>
    <w:rsid w:val="005B4389"/>
    <w:rsid w:val="005B46B9"/>
    <w:rsid w:val="005B489C"/>
    <w:rsid w:val="005B4D3D"/>
    <w:rsid w:val="005B4E76"/>
    <w:rsid w:val="005B4FFD"/>
    <w:rsid w:val="005B507E"/>
    <w:rsid w:val="005B5532"/>
    <w:rsid w:val="005B588E"/>
    <w:rsid w:val="005B5B0D"/>
    <w:rsid w:val="005B5CDA"/>
    <w:rsid w:val="005B5F47"/>
    <w:rsid w:val="005B618C"/>
    <w:rsid w:val="005B6536"/>
    <w:rsid w:val="005B65F4"/>
    <w:rsid w:val="005B66C8"/>
    <w:rsid w:val="005B6896"/>
    <w:rsid w:val="005B696D"/>
    <w:rsid w:val="005B69BA"/>
    <w:rsid w:val="005B6B53"/>
    <w:rsid w:val="005B6E26"/>
    <w:rsid w:val="005B6F70"/>
    <w:rsid w:val="005B7353"/>
    <w:rsid w:val="005B73A4"/>
    <w:rsid w:val="005B75C2"/>
    <w:rsid w:val="005B75E0"/>
    <w:rsid w:val="005B7628"/>
    <w:rsid w:val="005B77AF"/>
    <w:rsid w:val="005B7AC4"/>
    <w:rsid w:val="005B7F8D"/>
    <w:rsid w:val="005C01F6"/>
    <w:rsid w:val="005C04EA"/>
    <w:rsid w:val="005C075C"/>
    <w:rsid w:val="005C0771"/>
    <w:rsid w:val="005C0929"/>
    <w:rsid w:val="005C0ACD"/>
    <w:rsid w:val="005C0CA1"/>
    <w:rsid w:val="005C0D46"/>
    <w:rsid w:val="005C0EB3"/>
    <w:rsid w:val="005C102B"/>
    <w:rsid w:val="005C1127"/>
    <w:rsid w:val="005C12EB"/>
    <w:rsid w:val="005C1305"/>
    <w:rsid w:val="005C133B"/>
    <w:rsid w:val="005C14B5"/>
    <w:rsid w:val="005C14E2"/>
    <w:rsid w:val="005C14FE"/>
    <w:rsid w:val="005C1519"/>
    <w:rsid w:val="005C1718"/>
    <w:rsid w:val="005C196E"/>
    <w:rsid w:val="005C1A05"/>
    <w:rsid w:val="005C1A0F"/>
    <w:rsid w:val="005C1B29"/>
    <w:rsid w:val="005C1B65"/>
    <w:rsid w:val="005C1BE1"/>
    <w:rsid w:val="005C1CC3"/>
    <w:rsid w:val="005C1CE3"/>
    <w:rsid w:val="005C1F5D"/>
    <w:rsid w:val="005C20F5"/>
    <w:rsid w:val="005C21BB"/>
    <w:rsid w:val="005C227B"/>
    <w:rsid w:val="005C2295"/>
    <w:rsid w:val="005C22B3"/>
    <w:rsid w:val="005C2336"/>
    <w:rsid w:val="005C28DF"/>
    <w:rsid w:val="005C2BF9"/>
    <w:rsid w:val="005C2E25"/>
    <w:rsid w:val="005C2E89"/>
    <w:rsid w:val="005C3017"/>
    <w:rsid w:val="005C335B"/>
    <w:rsid w:val="005C353D"/>
    <w:rsid w:val="005C35E3"/>
    <w:rsid w:val="005C3755"/>
    <w:rsid w:val="005C37F6"/>
    <w:rsid w:val="005C3867"/>
    <w:rsid w:val="005C3877"/>
    <w:rsid w:val="005C3915"/>
    <w:rsid w:val="005C3989"/>
    <w:rsid w:val="005C3AF5"/>
    <w:rsid w:val="005C3BA9"/>
    <w:rsid w:val="005C3C14"/>
    <w:rsid w:val="005C3F0A"/>
    <w:rsid w:val="005C3F34"/>
    <w:rsid w:val="005C41D5"/>
    <w:rsid w:val="005C41E0"/>
    <w:rsid w:val="005C4251"/>
    <w:rsid w:val="005C4253"/>
    <w:rsid w:val="005C43C3"/>
    <w:rsid w:val="005C4500"/>
    <w:rsid w:val="005C4660"/>
    <w:rsid w:val="005C49D0"/>
    <w:rsid w:val="005C4AEF"/>
    <w:rsid w:val="005C4C4B"/>
    <w:rsid w:val="005C4C5E"/>
    <w:rsid w:val="005C4E46"/>
    <w:rsid w:val="005C50B6"/>
    <w:rsid w:val="005C5231"/>
    <w:rsid w:val="005C52CC"/>
    <w:rsid w:val="005C5419"/>
    <w:rsid w:val="005C5613"/>
    <w:rsid w:val="005C56B4"/>
    <w:rsid w:val="005C5765"/>
    <w:rsid w:val="005C58AD"/>
    <w:rsid w:val="005C5979"/>
    <w:rsid w:val="005C5CE2"/>
    <w:rsid w:val="005C5D95"/>
    <w:rsid w:val="005C5E43"/>
    <w:rsid w:val="005C618B"/>
    <w:rsid w:val="005C6319"/>
    <w:rsid w:val="005C646B"/>
    <w:rsid w:val="005C675F"/>
    <w:rsid w:val="005C6866"/>
    <w:rsid w:val="005C69E4"/>
    <w:rsid w:val="005C6A06"/>
    <w:rsid w:val="005C6AD5"/>
    <w:rsid w:val="005C6D5C"/>
    <w:rsid w:val="005C6D73"/>
    <w:rsid w:val="005C6D82"/>
    <w:rsid w:val="005C7057"/>
    <w:rsid w:val="005C74FC"/>
    <w:rsid w:val="005C7501"/>
    <w:rsid w:val="005C79B2"/>
    <w:rsid w:val="005C7AB1"/>
    <w:rsid w:val="005C7BE4"/>
    <w:rsid w:val="005C7DCF"/>
    <w:rsid w:val="005C7DD7"/>
    <w:rsid w:val="005C7E06"/>
    <w:rsid w:val="005D002F"/>
    <w:rsid w:val="005D01FB"/>
    <w:rsid w:val="005D0203"/>
    <w:rsid w:val="005D0250"/>
    <w:rsid w:val="005D02AA"/>
    <w:rsid w:val="005D03FD"/>
    <w:rsid w:val="005D0443"/>
    <w:rsid w:val="005D0526"/>
    <w:rsid w:val="005D0866"/>
    <w:rsid w:val="005D0AF4"/>
    <w:rsid w:val="005D0DAB"/>
    <w:rsid w:val="005D0EEE"/>
    <w:rsid w:val="005D0F95"/>
    <w:rsid w:val="005D1211"/>
    <w:rsid w:val="005D17F2"/>
    <w:rsid w:val="005D185D"/>
    <w:rsid w:val="005D18E7"/>
    <w:rsid w:val="005D1956"/>
    <w:rsid w:val="005D1D85"/>
    <w:rsid w:val="005D1DE9"/>
    <w:rsid w:val="005D1F59"/>
    <w:rsid w:val="005D1FE9"/>
    <w:rsid w:val="005D205B"/>
    <w:rsid w:val="005D2245"/>
    <w:rsid w:val="005D2258"/>
    <w:rsid w:val="005D22E3"/>
    <w:rsid w:val="005D2307"/>
    <w:rsid w:val="005D2605"/>
    <w:rsid w:val="005D2628"/>
    <w:rsid w:val="005D2637"/>
    <w:rsid w:val="005D2B24"/>
    <w:rsid w:val="005D2B43"/>
    <w:rsid w:val="005D2D04"/>
    <w:rsid w:val="005D2DD6"/>
    <w:rsid w:val="005D2E0C"/>
    <w:rsid w:val="005D2F16"/>
    <w:rsid w:val="005D2FF1"/>
    <w:rsid w:val="005D301F"/>
    <w:rsid w:val="005D3078"/>
    <w:rsid w:val="005D317D"/>
    <w:rsid w:val="005D3508"/>
    <w:rsid w:val="005D356C"/>
    <w:rsid w:val="005D37DD"/>
    <w:rsid w:val="005D3B84"/>
    <w:rsid w:val="005D3C31"/>
    <w:rsid w:val="005D4023"/>
    <w:rsid w:val="005D40C3"/>
    <w:rsid w:val="005D40E0"/>
    <w:rsid w:val="005D41C5"/>
    <w:rsid w:val="005D4227"/>
    <w:rsid w:val="005D426A"/>
    <w:rsid w:val="005D4429"/>
    <w:rsid w:val="005D45F2"/>
    <w:rsid w:val="005D4655"/>
    <w:rsid w:val="005D4686"/>
    <w:rsid w:val="005D4716"/>
    <w:rsid w:val="005D48D9"/>
    <w:rsid w:val="005D4B8D"/>
    <w:rsid w:val="005D4BFA"/>
    <w:rsid w:val="005D4D83"/>
    <w:rsid w:val="005D4E5C"/>
    <w:rsid w:val="005D4F5E"/>
    <w:rsid w:val="005D5037"/>
    <w:rsid w:val="005D5203"/>
    <w:rsid w:val="005D5512"/>
    <w:rsid w:val="005D56E3"/>
    <w:rsid w:val="005D57DE"/>
    <w:rsid w:val="005D5D8E"/>
    <w:rsid w:val="005D5F13"/>
    <w:rsid w:val="005D5F83"/>
    <w:rsid w:val="005D603F"/>
    <w:rsid w:val="005D62E5"/>
    <w:rsid w:val="005D686E"/>
    <w:rsid w:val="005D6B44"/>
    <w:rsid w:val="005D6D00"/>
    <w:rsid w:val="005D6D85"/>
    <w:rsid w:val="005D716E"/>
    <w:rsid w:val="005D72CA"/>
    <w:rsid w:val="005D7362"/>
    <w:rsid w:val="005D759F"/>
    <w:rsid w:val="005D7A5A"/>
    <w:rsid w:val="005D7BED"/>
    <w:rsid w:val="005D7CFC"/>
    <w:rsid w:val="005D7F86"/>
    <w:rsid w:val="005E0261"/>
    <w:rsid w:val="005E0520"/>
    <w:rsid w:val="005E0533"/>
    <w:rsid w:val="005E07CC"/>
    <w:rsid w:val="005E08EE"/>
    <w:rsid w:val="005E0976"/>
    <w:rsid w:val="005E0991"/>
    <w:rsid w:val="005E09EF"/>
    <w:rsid w:val="005E0F1D"/>
    <w:rsid w:val="005E0F3E"/>
    <w:rsid w:val="005E15A3"/>
    <w:rsid w:val="005E15C1"/>
    <w:rsid w:val="005E17DE"/>
    <w:rsid w:val="005E19E9"/>
    <w:rsid w:val="005E1B28"/>
    <w:rsid w:val="005E1B66"/>
    <w:rsid w:val="005E1EC2"/>
    <w:rsid w:val="005E2076"/>
    <w:rsid w:val="005E2271"/>
    <w:rsid w:val="005E26BB"/>
    <w:rsid w:val="005E2745"/>
    <w:rsid w:val="005E2768"/>
    <w:rsid w:val="005E29C1"/>
    <w:rsid w:val="005E2B5B"/>
    <w:rsid w:val="005E2BB9"/>
    <w:rsid w:val="005E2D87"/>
    <w:rsid w:val="005E2DE5"/>
    <w:rsid w:val="005E2E88"/>
    <w:rsid w:val="005E348F"/>
    <w:rsid w:val="005E3501"/>
    <w:rsid w:val="005E3736"/>
    <w:rsid w:val="005E389A"/>
    <w:rsid w:val="005E38D8"/>
    <w:rsid w:val="005E3910"/>
    <w:rsid w:val="005E3976"/>
    <w:rsid w:val="005E3DC2"/>
    <w:rsid w:val="005E3E4C"/>
    <w:rsid w:val="005E3FEC"/>
    <w:rsid w:val="005E4010"/>
    <w:rsid w:val="005E42D1"/>
    <w:rsid w:val="005E4449"/>
    <w:rsid w:val="005E4490"/>
    <w:rsid w:val="005E44CA"/>
    <w:rsid w:val="005E4549"/>
    <w:rsid w:val="005E46D4"/>
    <w:rsid w:val="005E47EA"/>
    <w:rsid w:val="005E488E"/>
    <w:rsid w:val="005E4989"/>
    <w:rsid w:val="005E4E50"/>
    <w:rsid w:val="005E4E6B"/>
    <w:rsid w:val="005E506B"/>
    <w:rsid w:val="005E512F"/>
    <w:rsid w:val="005E5168"/>
    <w:rsid w:val="005E51C1"/>
    <w:rsid w:val="005E5264"/>
    <w:rsid w:val="005E53C9"/>
    <w:rsid w:val="005E54AF"/>
    <w:rsid w:val="005E55DB"/>
    <w:rsid w:val="005E5650"/>
    <w:rsid w:val="005E5DB3"/>
    <w:rsid w:val="005E5DF3"/>
    <w:rsid w:val="005E6122"/>
    <w:rsid w:val="005E628F"/>
    <w:rsid w:val="005E63B9"/>
    <w:rsid w:val="005E64C6"/>
    <w:rsid w:val="005E658F"/>
    <w:rsid w:val="005E665E"/>
    <w:rsid w:val="005E6985"/>
    <w:rsid w:val="005E6A02"/>
    <w:rsid w:val="005E6B8C"/>
    <w:rsid w:val="005E6B8E"/>
    <w:rsid w:val="005E6CA2"/>
    <w:rsid w:val="005E6E9B"/>
    <w:rsid w:val="005E6EAA"/>
    <w:rsid w:val="005E6EDE"/>
    <w:rsid w:val="005E7209"/>
    <w:rsid w:val="005E7247"/>
    <w:rsid w:val="005E76BC"/>
    <w:rsid w:val="005E7AE3"/>
    <w:rsid w:val="005E7AF9"/>
    <w:rsid w:val="005E7B99"/>
    <w:rsid w:val="005E7DD7"/>
    <w:rsid w:val="005E7E60"/>
    <w:rsid w:val="005F02C4"/>
    <w:rsid w:val="005F036A"/>
    <w:rsid w:val="005F073D"/>
    <w:rsid w:val="005F0747"/>
    <w:rsid w:val="005F0782"/>
    <w:rsid w:val="005F0970"/>
    <w:rsid w:val="005F0B71"/>
    <w:rsid w:val="005F0B76"/>
    <w:rsid w:val="005F0CAC"/>
    <w:rsid w:val="005F0EEB"/>
    <w:rsid w:val="005F0F14"/>
    <w:rsid w:val="005F0F79"/>
    <w:rsid w:val="005F1089"/>
    <w:rsid w:val="005F121D"/>
    <w:rsid w:val="005F151E"/>
    <w:rsid w:val="005F1635"/>
    <w:rsid w:val="005F17FC"/>
    <w:rsid w:val="005F1832"/>
    <w:rsid w:val="005F19D6"/>
    <w:rsid w:val="005F1BEA"/>
    <w:rsid w:val="005F1E77"/>
    <w:rsid w:val="005F1F1E"/>
    <w:rsid w:val="005F1F55"/>
    <w:rsid w:val="005F246F"/>
    <w:rsid w:val="005F285A"/>
    <w:rsid w:val="005F30A6"/>
    <w:rsid w:val="005F3147"/>
    <w:rsid w:val="005F3262"/>
    <w:rsid w:val="005F3291"/>
    <w:rsid w:val="005F369F"/>
    <w:rsid w:val="005F3702"/>
    <w:rsid w:val="005F371E"/>
    <w:rsid w:val="005F3807"/>
    <w:rsid w:val="005F3BF6"/>
    <w:rsid w:val="005F3D7B"/>
    <w:rsid w:val="005F3DC0"/>
    <w:rsid w:val="005F4130"/>
    <w:rsid w:val="005F420A"/>
    <w:rsid w:val="005F43A2"/>
    <w:rsid w:val="005F469F"/>
    <w:rsid w:val="005F49CE"/>
    <w:rsid w:val="005F4BB3"/>
    <w:rsid w:val="005F4C03"/>
    <w:rsid w:val="005F4DF7"/>
    <w:rsid w:val="005F4E28"/>
    <w:rsid w:val="005F4F53"/>
    <w:rsid w:val="005F5116"/>
    <w:rsid w:val="005F51E9"/>
    <w:rsid w:val="005F525A"/>
    <w:rsid w:val="005F54DA"/>
    <w:rsid w:val="005F54DB"/>
    <w:rsid w:val="005F54F5"/>
    <w:rsid w:val="005F564B"/>
    <w:rsid w:val="005F597F"/>
    <w:rsid w:val="005F5A8A"/>
    <w:rsid w:val="005F5F69"/>
    <w:rsid w:val="005F6019"/>
    <w:rsid w:val="005F62C3"/>
    <w:rsid w:val="005F64F4"/>
    <w:rsid w:val="005F68FD"/>
    <w:rsid w:val="005F6D46"/>
    <w:rsid w:val="005F6E7F"/>
    <w:rsid w:val="005F721B"/>
    <w:rsid w:val="005F72A5"/>
    <w:rsid w:val="005F73B5"/>
    <w:rsid w:val="005F74C0"/>
    <w:rsid w:val="005F74D3"/>
    <w:rsid w:val="005F75EC"/>
    <w:rsid w:val="005F76CB"/>
    <w:rsid w:val="005F76F4"/>
    <w:rsid w:val="005F782C"/>
    <w:rsid w:val="005F7D1E"/>
    <w:rsid w:val="005F7DDD"/>
    <w:rsid w:val="00600046"/>
    <w:rsid w:val="0060016F"/>
    <w:rsid w:val="006001F6"/>
    <w:rsid w:val="00600413"/>
    <w:rsid w:val="00600548"/>
    <w:rsid w:val="00600681"/>
    <w:rsid w:val="00600795"/>
    <w:rsid w:val="0060081E"/>
    <w:rsid w:val="00600A55"/>
    <w:rsid w:val="00600AC3"/>
    <w:rsid w:val="00600B17"/>
    <w:rsid w:val="00600B92"/>
    <w:rsid w:val="00600D79"/>
    <w:rsid w:val="00600DDD"/>
    <w:rsid w:val="00601115"/>
    <w:rsid w:val="006014F2"/>
    <w:rsid w:val="00601510"/>
    <w:rsid w:val="00601708"/>
    <w:rsid w:val="00601875"/>
    <w:rsid w:val="006018AC"/>
    <w:rsid w:val="00601A04"/>
    <w:rsid w:val="00601ACB"/>
    <w:rsid w:val="00601B6C"/>
    <w:rsid w:val="00601C04"/>
    <w:rsid w:val="00601C7B"/>
    <w:rsid w:val="00601D67"/>
    <w:rsid w:val="00601DFF"/>
    <w:rsid w:val="00602009"/>
    <w:rsid w:val="0060219E"/>
    <w:rsid w:val="00602214"/>
    <w:rsid w:val="006022A5"/>
    <w:rsid w:val="006022FF"/>
    <w:rsid w:val="00602839"/>
    <w:rsid w:val="00602859"/>
    <w:rsid w:val="00602B54"/>
    <w:rsid w:val="00602D85"/>
    <w:rsid w:val="00602F0F"/>
    <w:rsid w:val="00602FE4"/>
    <w:rsid w:val="0060305C"/>
    <w:rsid w:val="006031EA"/>
    <w:rsid w:val="006033B0"/>
    <w:rsid w:val="0060366D"/>
    <w:rsid w:val="006036C6"/>
    <w:rsid w:val="00603965"/>
    <w:rsid w:val="00603A7B"/>
    <w:rsid w:val="00603ACB"/>
    <w:rsid w:val="00603CEF"/>
    <w:rsid w:val="006043B0"/>
    <w:rsid w:val="00604628"/>
    <w:rsid w:val="0060485C"/>
    <w:rsid w:val="00604906"/>
    <w:rsid w:val="006049A5"/>
    <w:rsid w:val="00604C1E"/>
    <w:rsid w:val="00604C32"/>
    <w:rsid w:val="00604C6A"/>
    <w:rsid w:val="00604EE3"/>
    <w:rsid w:val="006050CD"/>
    <w:rsid w:val="0060510B"/>
    <w:rsid w:val="0060511A"/>
    <w:rsid w:val="0060512C"/>
    <w:rsid w:val="00605199"/>
    <w:rsid w:val="00605272"/>
    <w:rsid w:val="0060534D"/>
    <w:rsid w:val="00605615"/>
    <w:rsid w:val="0060573A"/>
    <w:rsid w:val="00605AAF"/>
    <w:rsid w:val="00605AF1"/>
    <w:rsid w:val="00605BFD"/>
    <w:rsid w:val="00605CA3"/>
    <w:rsid w:val="00605E27"/>
    <w:rsid w:val="00605F5A"/>
    <w:rsid w:val="0060647F"/>
    <w:rsid w:val="00606492"/>
    <w:rsid w:val="006064CD"/>
    <w:rsid w:val="0060672A"/>
    <w:rsid w:val="00606868"/>
    <w:rsid w:val="0060699E"/>
    <w:rsid w:val="00606B8D"/>
    <w:rsid w:val="00606B97"/>
    <w:rsid w:val="00606E89"/>
    <w:rsid w:val="00606E9B"/>
    <w:rsid w:val="00606FA3"/>
    <w:rsid w:val="00607113"/>
    <w:rsid w:val="00607534"/>
    <w:rsid w:val="006076AB"/>
    <w:rsid w:val="006077EA"/>
    <w:rsid w:val="00607897"/>
    <w:rsid w:val="0060797F"/>
    <w:rsid w:val="00607A49"/>
    <w:rsid w:val="00607D08"/>
    <w:rsid w:val="00607F07"/>
    <w:rsid w:val="00610345"/>
    <w:rsid w:val="0061084D"/>
    <w:rsid w:val="00610858"/>
    <w:rsid w:val="00610E17"/>
    <w:rsid w:val="00610F2B"/>
    <w:rsid w:val="00611093"/>
    <w:rsid w:val="00611177"/>
    <w:rsid w:val="006113DB"/>
    <w:rsid w:val="0061152D"/>
    <w:rsid w:val="00611567"/>
    <w:rsid w:val="006115EF"/>
    <w:rsid w:val="00611759"/>
    <w:rsid w:val="00611CC3"/>
    <w:rsid w:val="00611D5B"/>
    <w:rsid w:val="00611DA7"/>
    <w:rsid w:val="00611E09"/>
    <w:rsid w:val="0061207B"/>
    <w:rsid w:val="00612342"/>
    <w:rsid w:val="0061244F"/>
    <w:rsid w:val="00612551"/>
    <w:rsid w:val="0061264A"/>
    <w:rsid w:val="0061267B"/>
    <w:rsid w:val="00612B4A"/>
    <w:rsid w:val="00612C31"/>
    <w:rsid w:val="00612DB4"/>
    <w:rsid w:val="006132F3"/>
    <w:rsid w:val="00613899"/>
    <w:rsid w:val="006139E5"/>
    <w:rsid w:val="00613A67"/>
    <w:rsid w:val="00613EAB"/>
    <w:rsid w:val="006140F5"/>
    <w:rsid w:val="006141A9"/>
    <w:rsid w:val="006148D5"/>
    <w:rsid w:val="00614963"/>
    <w:rsid w:val="00614C28"/>
    <w:rsid w:val="00615028"/>
    <w:rsid w:val="0061504B"/>
    <w:rsid w:val="006152D7"/>
    <w:rsid w:val="00615897"/>
    <w:rsid w:val="00615AF0"/>
    <w:rsid w:val="00615CC6"/>
    <w:rsid w:val="00615E52"/>
    <w:rsid w:val="00616066"/>
    <w:rsid w:val="0061627F"/>
    <w:rsid w:val="006162A2"/>
    <w:rsid w:val="00616591"/>
    <w:rsid w:val="00616605"/>
    <w:rsid w:val="006166DD"/>
    <w:rsid w:val="006169C4"/>
    <w:rsid w:val="00616A45"/>
    <w:rsid w:val="00616C39"/>
    <w:rsid w:val="00616DF1"/>
    <w:rsid w:val="0061715C"/>
    <w:rsid w:val="006172B0"/>
    <w:rsid w:val="0061747B"/>
    <w:rsid w:val="00617536"/>
    <w:rsid w:val="0061774A"/>
    <w:rsid w:val="00617805"/>
    <w:rsid w:val="00617961"/>
    <w:rsid w:val="00617974"/>
    <w:rsid w:val="00617985"/>
    <w:rsid w:val="00617B1C"/>
    <w:rsid w:val="00620112"/>
    <w:rsid w:val="006205AC"/>
    <w:rsid w:val="006208FA"/>
    <w:rsid w:val="00620A0F"/>
    <w:rsid w:val="00620A99"/>
    <w:rsid w:val="00620C12"/>
    <w:rsid w:val="00620CCF"/>
    <w:rsid w:val="00620E14"/>
    <w:rsid w:val="00620E61"/>
    <w:rsid w:val="006210EB"/>
    <w:rsid w:val="0062111B"/>
    <w:rsid w:val="006211B8"/>
    <w:rsid w:val="00621442"/>
    <w:rsid w:val="00621718"/>
    <w:rsid w:val="0062172F"/>
    <w:rsid w:val="0062185D"/>
    <w:rsid w:val="00621867"/>
    <w:rsid w:val="00621974"/>
    <w:rsid w:val="006219CB"/>
    <w:rsid w:val="006219D9"/>
    <w:rsid w:val="00621EC0"/>
    <w:rsid w:val="00622113"/>
    <w:rsid w:val="0062241E"/>
    <w:rsid w:val="00622438"/>
    <w:rsid w:val="00622487"/>
    <w:rsid w:val="0062293F"/>
    <w:rsid w:val="0062294C"/>
    <w:rsid w:val="006229B8"/>
    <w:rsid w:val="006229CA"/>
    <w:rsid w:val="00622F41"/>
    <w:rsid w:val="0062314B"/>
    <w:rsid w:val="00623272"/>
    <w:rsid w:val="006237A7"/>
    <w:rsid w:val="00623830"/>
    <w:rsid w:val="00623940"/>
    <w:rsid w:val="00623A22"/>
    <w:rsid w:val="00623D08"/>
    <w:rsid w:val="00623DE0"/>
    <w:rsid w:val="00624168"/>
    <w:rsid w:val="006241DB"/>
    <w:rsid w:val="0062426A"/>
    <w:rsid w:val="006243B2"/>
    <w:rsid w:val="006244DC"/>
    <w:rsid w:val="006246F6"/>
    <w:rsid w:val="0062497D"/>
    <w:rsid w:val="00624BC6"/>
    <w:rsid w:val="00624C5E"/>
    <w:rsid w:val="00624D37"/>
    <w:rsid w:val="00624D7D"/>
    <w:rsid w:val="00624DB7"/>
    <w:rsid w:val="00624E51"/>
    <w:rsid w:val="00624EEB"/>
    <w:rsid w:val="00624FA0"/>
    <w:rsid w:val="0062514E"/>
    <w:rsid w:val="0062520C"/>
    <w:rsid w:val="00625241"/>
    <w:rsid w:val="006252BE"/>
    <w:rsid w:val="00625308"/>
    <w:rsid w:val="00625372"/>
    <w:rsid w:val="006253A2"/>
    <w:rsid w:val="00625403"/>
    <w:rsid w:val="00625466"/>
    <w:rsid w:val="006256D0"/>
    <w:rsid w:val="006257B2"/>
    <w:rsid w:val="00625BDA"/>
    <w:rsid w:val="00625C17"/>
    <w:rsid w:val="00625D24"/>
    <w:rsid w:val="00625D64"/>
    <w:rsid w:val="006260CC"/>
    <w:rsid w:val="006261D7"/>
    <w:rsid w:val="006262F4"/>
    <w:rsid w:val="0062639D"/>
    <w:rsid w:val="00626690"/>
    <w:rsid w:val="006266E6"/>
    <w:rsid w:val="0062676A"/>
    <w:rsid w:val="00626C92"/>
    <w:rsid w:val="00626FD8"/>
    <w:rsid w:val="0062745F"/>
    <w:rsid w:val="006274CA"/>
    <w:rsid w:val="006276D8"/>
    <w:rsid w:val="00627999"/>
    <w:rsid w:val="00627BA4"/>
    <w:rsid w:val="00630588"/>
    <w:rsid w:val="00630602"/>
    <w:rsid w:val="00630606"/>
    <w:rsid w:val="0063063F"/>
    <w:rsid w:val="0063075F"/>
    <w:rsid w:val="00630C31"/>
    <w:rsid w:val="00630ED3"/>
    <w:rsid w:val="00631081"/>
    <w:rsid w:val="006311AC"/>
    <w:rsid w:val="006312F7"/>
    <w:rsid w:val="00631339"/>
    <w:rsid w:val="00631579"/>
    <w:rsid w:val="0063164F"/>
    <w:rsid w:val="00631677"/>
    <w:rsid w:val="00631840"/>
    <w:rsid w:val="00631A11"/>
    <w:rsid w:val="00631DC4"/>
    <w:rsid w:val="00632088"/>
    <w:rsid w:val="006320A2"/>
    <w:rsid w:val="00632243"/>
    <w:rsid w:val="006323F1"/>
    <w:rsid w:val="006324E8"/>
    <w:rsid w:val="0063256B"/>
    <w:rsid w:val="006326C0"/>
    <w:rsid w:val="006327A8"/>
    <w:rsid w:val="006327FF"/>
    <w:rsid w:val="00632803"/>
    <w:rsid w:val="00632CA3"/>
    <w:rsid w:val="00632EB2"/>
    <w:rsid w:val="00632F97"/>
    <w:rsid w:val="006332EE"/>
    <w:rsid w:val="0063332C"/>
    <w:rsid w:val="00633545"/>
    <w:rsid w:val="006337DB"/>
    <w:rsid w:val="0063381E"/>
    <w:rsid w:val="00633A1F"/>
    <w:rsid w:val="00633A42"/>
    <w:rsid w:val="00633D5E"/>
    <w:rsid w:val="00633F8B"/>
    <w:rsid w:val="00634013"/>
    <w:rsid w:val="006342ED"/>
    <w:rsid w:val="00634670"/>
    <w:rsid w:val="0063470D"/>
    <w:rsid w:val="0063472A"/>
    <w:rsid w:val="00634C2A"/>
    <w:rsid w:val="00634D5B"/>
    <w:rsid w:val="00635127"/>
    <w:rsid w:val="00635235"/>
    <w:rsid w:val="0063536D"/>
    <w:rsid w:val="006353D6"/>
    <w:rsid w:val="00635834"/>
    <w:rsid w:val="006359CF"/>
    <w:rsid w:val="00635A4B"/>
    <w:rsid w:val="00635A92"/>
    <w:rsid w:val="00635D1A"/>
    <w:rsid w:val="00635ECC"/>
    <w:rsid w:val="00635F56"/>
    <w:rsid w:val="00636030"/>
    <w:rsid w:val="006360A3"/>
    <w:rsid w:val="00636525"/>
    <w:rsid w:val="00636C15"/>
    <w:rsid w:val="00636E60"/>
    <w:rsid w:val="00636F4C"/>
    <w:rsid w:val="006374BE"/>
    <w:rsid w:val="00637619"/>
    <w:rsid w:val="00637706"/>
    <w:rsid w:val="00637754"/>
    <w:rsid w:val="00637C17"/>
    <w:rsid w:val="00637CC4"/>
    <w:rsid w:val="00637E75"/>
    <w:rsid w:val="00637E86"/>
    <w:rsid w:val="00637E8D"/>
    <w:rsid w:val="00637F93"/>
    <w:rsid w:val="00640312"/>
    <w:rsid w:val="00640450"/>
    <w:rsid w:val="006404B8"/>
    <w:rsid w:val="0064095F"/>
    <w:rsid w:val="00640BE1"/>
    <w:rsid w:val="00641086"/>
    <w:rsid w:val="006414F0"/>
    <w:rsid w:val="00641585"/>
    <w:rsid w:val="00641690"/>
    <w:rsid w:val="00641C8D"/>
    <w:rsid w:val="0064202F"/>
    <w:rsid w:val="00642043"/>
    <w:rsid w:val="00642388"/>
    <w:rsid w:val="00642463"/>
    <w:rsid w:val="00642464"/>
    <w:rsid w:val="00642784"/>
    <w:rsid w:val="006428CE"/>
    <w:rsid w:val="00642901"/>
    <w:rsid w:val="0064295B"/>
    <w:rsid w:val="006429EE"/>
    <w:rsid w:val="00642B68"/>
    <w:rsid w:val="00642E4D"/>
    <w:rsid w:val="00642E9A"/>
    <w:rsid w:val="006430B1"/>
    <w:rsid w:val="00643207"/>
    <w:rsid w:val="00643236"/>
    <w:rsid w:val="00643308"/>
    <w:rsid w:val="0064366C"/>
    <w:rsid w:val="00643678"/>
    <w:rsid w:val="006437BC"/>
    <w:rsid w:val="00643AD8"/>
    <w:rsid w:val="00643B9B"/>
    <w:rsid w:val="00643C33"/>
    <w:rsid w:val="00643E9F"/>
    <w:rsid w:val="00643F34"/>
    <w:rsid w:val="006442EB"/>
    <w:rsid w:val="00644337"/>
    <w:rsid w:val="00644383"/>
    <w:rsid w:val="00644750"/>
    <w:rsid w:val="00644C93"/>
    <w:rsid w:val="00645244"/>
    <w:rsid w:val="00645288"/>
    <w:rsid w:val="006453C6"/>
    <w:rsid w:val="006454F8"/>
    <w:rsid w:val="006455F5"/>
    <w:rsid w:val="00645B46"/>
    <w:rsid w:val="006461B7"/>
    <w:rsid w:val="00646435"/>
    <w:rsid w:val="006464CD"/>
    <w:rsid w:val="00646683"/>
    <w:rsid w:val="006466A7"/>
    <w:rsid w:val="0064681A"/>
    <w:rsid w:val="006469AD"/>
    <w:rsid w:val="006469BB"/>
    <w:rsid w:val="006469F7"/>
    <w:rsid w:val="00646B10"/>
    <w:rsid w:val="00646B99"/>
    <w:rsid w:val="00646BE4"/>
    <w:rsid w:val="00646E56"/>
    <w:rsid w:val="00647263"/>
    <w:rsid w:val="00647342"/>
    <w:rsid w:val="006474C2"/>
    <w:rsid w:val="00647597"/>
    <w:rsid w:val="00647809"/>
    <w:rsid w:val="006479F8"/>
    <w:rsid w:val="00647D44"/>
    <w:rsid w:val="00647F5E"/>
    <w:rsid w:val="00650190"/>
    <w:rsid w:val="006501D1"/>
    <w:rsid w:val="00650282"/>
    <w:rsid w:val="0065033B"/>
    <w:rsid w:val="00650537"/>
    <w:rsid w:val="00650750"/>
    <w:rsid w:val="00650802"/>
    <w:rsid w:val="00650A74"/>
    <w:rsid w:val="00650B15"/>
    <w:rsid w:val="00650BD0"/>
    <w:rsid w:val="00650D0F"/>
    <w:rsid w:val="00650D85"/>
    <w:rsid w:val="00650DB8"/>
    <w:rsid w:val="00650DEE"/>
    <w:rsid w:val="00650E8C"/>
    <w:rsid w:val="00651142"/>
    <w:rsid w:val="00651263"/>
    <w:rsid w:val="00651358"/>
    <w:rsid w:val="0065157E"/>
    <w:rsid w:val="00651669"/>
    <w:rsid w:val="006516B9"/>
    <w:rsid w:val="00651836"/>
    <w:rsid w:val="0065183E"/>
    <w:rsid w:val="00651B0D"/>
    <w:rsid w:val="00651EF4"/>
    <w:rsid w:val="00651F71"/>
    <w:rsid w:val="0065213B"/>
    <w:rsid w:val="00652185"/>
    <w:rsid w:val="006522EB"/>
    <w:rsid w:val="00652534"/>
    <w:rsid w:val="0065255F"/>
    <w:rsid w:val="00652598"/>
    <w:rsid w:val="006525FD"/>
    <w:rsid w:val="00652657"/>
    <w:rsid w:val="006528C9"/>
    <w:rsid w:val="00652B71"/>
    <w:rsid w:val="00652C7D"/>
    <w:rsid w:val="00652FA2"/>
    <w:rsid w:val="00653032"/>
    <w:rsid w:val="006531D1"/>
    <w:rsid w:val="006532A9"/>
    <w:rsid w:val="00653483"/>
    <w:rsid w:val="00653508"/>
    <w:rsid w:val="0065373A"/>
    <w:rsid w:val="006538E9"/>
    <w:rsid w:val="00653BB3"/>
    <w:rsid w:val="00653CCF"/>
    <w:rsid w:val="00653EC5"/>
    <w:rsid w:val="00653FDD"/>
    <w:rsid w:val="00654261"/>
    <w:rsid w:val="00654264"/>
    <w:rsid w:val="006544DB"/>
    <w:rsid w:val="00654601"/>
    <w:rsid w:val="006546AF"/>
    <w:rsid w:val="006546FE"/>
    <w:rsid w:val="00654AB3"/>
    <w:rsid w:val="00654D2F"/>
    <w:rsid w:val="00654D6C"/>
    <w:rsid w:val="00654DE2"/>
    <w:rsid w:val="00654E3A"/>
    <w:rsid w:val="00654E7D"/>
    <w:rsid w:val="00655034"/>
    <w:rsid w:val="00655204"/>
    <w:rsid w:val="00655667"/>
    <w:rsid w:val="00655904"/>
    <w:rsid w:val="006559B9"/>
    <w:rsid w:val="00655A95"/>
    <w:rsid w:val="00655B4E"/>
    <w:rsid w:val="00655CFE"/>
    <w:rsid w:val="00655F44"/>
    <w:rsid w:val="00655FC2"/>
    <w:rsid w:val="006560E7"/>
    <w:rsid w:val="006561A1"/>
    <w:rsid w:val="006564D2"/>
    <w:rsid w:val="006565E1"/>
    <w:rsid w:val="006566F4"/>
    <w:rsid w:val="0065689C"/>
    <w:rsid w:val="00657164"/>
    <w:rsid w:val="006576CC"/>
    <w:rsid w:val="006577FB"/>
    <w:rsid w:val="00657802"/>
    <w:rsid w:val="00657846"/>
    <w:rsid w:val="0065786C"/>
    <w:rsid w:val="00657AAD"/>
    <w:rsid w:val="00657D77"/>
    <w:rsid w:val="00657D7B"/>
    <w:rsid w:val="00657D89"/>
    <w:rsid w:val="0066022E"/>
    <w:rsid w:val="006602F7"/>
    <w:rsid w:val="006605FB"/>
    <w:rsid w:val="0066079D"/>
    <w:rsid w:val="006609E9"/>
    <w:rsid w:val="00660CB6"/>
    <w:rsid w:val="00660D63"/>
    <w:rsid w:val="00660E0B"/>
    <w:rsid w:val="00660F65"/>
    <w:rsid w:val="0066107D"/>
    <w:rsid w:val="00661360"/>
    <w:rsid w:val="00661436"/>
    <w:rsid w:val="006616BC"/>
    <w:rsid w:val="006616D3"/>
    <w:rsid w:val="0066186A"/>
    <w:rsid w:val="006618A2"/>
    <w:rsid w:val="00661B64"/>
    <w:rsid w:val="00661B8B"/>
    <w:rsid w:val="00661DC4"/>
    <w:rsid w:val="00661E23"/>
    <w:rsid w:val="00661E2A"/>
    <w:rsid w:val="00661E37"/>
    <w:rsid w:val="00661E4F"/>
    <w:rsid w:val="00661F50"/>
    <w:rsid w:val="006621C6"/>
    <w:rsid w:val="00662430"/>
    <w:rsid w:val="006625F7"/>
    <w:rsid w:val="006626A1"/>
    <w:rsid w:val="0066285D"/>
    <w:rsid w:val="006628A0"/>
    <w:rsid w:val="00662A2B"/>
    <w:rsid w:val="00662CF5"/>
    <w:rsid w:val="00662D14"/>
    <w:rsid w:val="00663031"/>
    <w:rsid w:val="006633E3"/>
    <w:rsid w:val="0066353C"/>
    <w:rsid w:val="0066370C"/>
    <w:rsid w:val="0066378F"/>
    <w:rsid w:val="006639F1"/>
    <w:rsid w:val="00663AA6"/>
    <w:rsid w:val="00663EF6"/>
    <w:rsid w:val="0066407B"/>
    <w:rsid w:val="0066411A"/>
    <w:rsid w:val="00664158"/>
    <w:rsid w:val="0066415D"/>
    <w:rsid w:val="0066437F"/>
    <w:rsid w:val="006646A4"/>
    <w:rsid w:val="00664701"/>
    <w:rsid w:val="00664816"/>
    <w:rsid w:val="0066491E"/>
    <w:rsid w:val="006649B4"/>
    <w:rsid w:val="00665112"/>
    <w:rsid w:val="00665221"/>
    <w:rsid w:val="006652F2"/>
    <w:rsid w:val="0066545E"/>
    <w:rsid w:val="00665696"/>
    <w:rsid w:val="00665968"/>
    <w:rsid w:val="00665D20"/>
    <w:rsid w:val="00666082"/>
    <w:rsid w:val="006662A2"/>
    <w:rsid w:val="00666375"/>
    <w:rsid w:val="00666379"/>
    <w:rsid w:val="00666579"/>
    <w:rsid w:val="006668C4"/>
    <w:rsid w:val="00666BB6"/>
    <w:rsid w:val="0066703C"/>
    <w:rsid w:val="006670A2"/>
    <w:rsid w:val="006670A7"/>
    <w:rsid w:val="00667275"/>
    <w:rsid w:val="0066727B"/>
    <w:rsid w:val="0066729C"/>
    <w:rsid w:val="006673E8"/>
    <w:rsid w:val="0066751F"/>
    <w:rsid w:val="006676AF"/>
    <w:rsid w:val="006677A6"/>
    <w:rsid w:val="00667A39"/>
    <w:rsid w:val="00667AAB"/>
    <w:rsid w:val="00670232"/>
    <w:rsid w:val="006703E0"/>
    <w:rsid w:val="006704B7"/>
    <w:rsid w:val="006705AD"/>
    <w:rsid w:val="006706C4"/>
    <w:rsid w:val="00670995"/>
    <w:rsid w:val="00670D30"/>
    <w:rsid w:val="00670F0C"/>
    <w:rsid w:val="00670F44"/>
    <w:rsid w:val="0067121F"/>
    <w:rsid w:val="0067124E"/>
    <w:rsid w:val="006715EC"/>
    <w:rsid w:val="00671651"/>
    <w:rsid w:val="0067171A"/>
    <w:rsid w:val="0067186B"/>
    <w:rsid w:val="00671A69"/>
    <w:rsid w:val="00671B16"/>
    <w:rsid w:val="00671B7F"/>
    <w:rsid w:val="00671C2B"/>
    <w:rsid w:val="00671D6B"/>
    <w:rsid w:val="00671E28"/>
    <w:rsid w:val="00671E5F"/>
    <w:rsid w:val="00671EC0"/>
    <w:rsid w:val="0067200B"/>
    <w:rsid w:val="0067217A"/>
    <w:rsid w:val="00672323"/>
    <w:rsid w:val="006724B4"/>
    <w:rsid w:val="006724D6"/>
    <w:rsid w:val="006725DF"/>
    <w:rsid w:val="00672662"/>
    <w:rsid w:val="00672760"/>
    <w:rsid w:val="00672824"/>
    <w:rsid w:val="00672B9F"/>
    <w:rsid w:val="00672CB9"/>
    <w:rsid w:val="006730E5"/>
    <w:rsid w:val="00673169"/>
    <w:rsid w:val="0067348D"/>
    <w:rsid w:val="0067363E"/>
    <w:rsid w:val="00673789"/>
    <w:rsid w:val="00673879"/>
    <w:rsid w:val="006738D4"/>
    <w:rsid w:val="0067390D"/>
    <w:rsid w:val="00673BF2"/>
    <w:rsid w:val="00673C42"/>
    <w:rsid w:val="00673E35"/>
    <w:rsid w:val="00673F80"/>
    <w:rsid w:val="006740EE"/>
    <w:rsid w:val="006741E1"/>
    <w:rsid w:val="00674216"/>
    <w:rsid w:val="00674374"/>
    <w:rsid w:val="006744D3"/>
    <w:rsid w:val="00674566"/>
    <w:rsid w:val="006747CC"/>
    <w:rsid w:val="006749F2"/>
    <w:rsid w:val="00674BA8"/>
    <w:rsid w:val="00674DAF"/>
    <w:rsid w:val="00674F15"/>
    <w:rsid w:val="0067502E"/>
    <w:rsid w:val="00675131"/>
    <w:rsid w:val="00675505"/>
    <w:rsid w:val="00675DDE"/>
    <w:rsid w:val="00675E0F"/>
    <w:rsid w:val="0067604E"/>
    <w:rsid w:val="0067616C"/>
    <w:rsid w:val="006763C2"/>
    <w:rsid w:val="006763D3"/>
    <w:rsid w:val="0067665F"/>
    <w:rsid w:val="006768C1"/>
    <w:rsid w:val="00676998"/>
    <w:rsid w:val="00676B12"/>
    <w:rsid w:val="00676CFE"/>
    <w:rsid w:val="00676E05"/>
    <w:rsid w:val="00676F48"/>
    <w:rsid w:val="0067704A"/>
    <w:rsid w:val="006771D7"/>
    <w:rsid w:val="00677228"/>
    <w:rsid w:val="00677658"/>
    <w:rsid w:val="0067770B"/>
    <w:rsid w:val="00677899"/>
    <w:rsid w:val="00677AAA"/>
    <w:rsid w:val="00677AAF"/>
    <w:rsid w:val="00677B0B"/>
    <w:rsid w:val="00677CDC"/>
    <w:rsid w:val="00677DA6"/>
    <w:rsid w:val="00677F81"/>
    <w:rsid w:val="0068005D"/>
    <w:rsid w:val="0068013E"/>
    <w:rsid w:val="0068020E"/>
    <w:rsid w:val="0068064B"/>
    <w:rsid w:val="006807B1"/>
    <w:rsid w:val="00680CFE"/>
    <w:rsid w:val="00680D05"/>
    <w:rsid w:val="00680D8E"/>
    <w:rsid w:val="00681004"/>
    <w:rsid w:val="00681035"/>
    <w:rsid w:val="00681089"/>
    <w:rsid w:val="006811BF"/>
    <w:rsid w:val="006813EE"/>
    <w:rsid w:val="006819B9"/>
    <w:rsid w:val="00681C72"/>
    <w:rsid w:val="00681D59"/>
    <w:rsid w:val="00681FC0"/>
    <w:rsid w:val="006820D7"/>
    <w:rsid w:val="006827C3"/>
    <w:rsid w:val="00682946"/>
    <w:rsid w:val="006829A9"/>
    <w:rsid w:val="006829FB"/>
    <w:rsid w:val="00682A44"/>
    <w:rsid w:val="00683026"/>
    <w:rsid w:val="0068302B"/>
    <w:rsid w:val="006833DB"/>
    <w:rsid w:val="006833F6"/>
    <w:rsid w:val="0068388A"/>
    <w:rsid w:val="00683932"/>
    <w:rsid w:val="00683C9C"/>
    <w:rsid w:val="00683DC9"/>
    <w:rsid w:val="00683F7D"/>
    <w:rsid w:val="0068435F"/>
    <w:rsid w:val="00684663"/>
    <w:rsid w:val="00684A24"/>
    <w:rsid w:val="00684ACE"/>
    <w:rsid w:val="00684CAA"/>
    <w:rsid w:val="00684D71"/>
    <w:rsid w:val="006851DC"/>
    <w:rsid w:val="006852CD"/>
    <w:rsid w:val="00685366"/>
    <w:rsid w:val="006853B4"/>
    <w:rsid w:val="00685477"/>
    <w:rsid w:val="00685F28"/>
    <w:rsid w:val="00685F64"/>
    <w:rsid w:val="00686056"/>
    <w:rsid w:val="00686080"/>
    <w:rsid w:val="006861A5"/>
    <w:rsid w:val="006861F0"/>
    <w:rsid w:val="0068621F"/>
    <w:rsid w:val="00686299"/>
    <w:rsid w:val="006862F2"/>
    <w:rsid w:val="0068659A"/>
    <w:rsid w:val="00686602"/>
    <w:rsid w:val="0068677C"/>
    <w:rsid w:val="00686881"/>
    <w:rsid w:val="00686BEE"/>
    <w:rsid w:val="006870D8"/>
    <w:rsid w:val="006874C4"/>
    <w:rsid w:val="0068753D"/>
    <w:rsid w:val="00687664"/>
    <w:rsid w:val="006877BF"/>
    <w:rsid w:val="00687B02"/>
    <w:rsid w:val="00687C5D"/>
    <w:rsid w:val="00687CDB"/>
    <w:rsid w:val="00687D0B"/>
    <w:rsid w:val="00687D10"/>
    <w:rsid w:val="00687D7D"/>
    <w:rsid w:val="00687E23"/>
    <w:rsid w:val="00687F9A"/>
    <w:rsid w:val="0069005B"/>
    <w:rsid w:val="006901EA"/>
    <w:rsid w:val="006903F4"/>
    <w:rsid w:val="00690A2C"/>
    <w:rsid w:val="00690A92"/>
    <w:rsid w:val="00690F31"/>
    <w:rsid w:val="006911A2"/>
    <w:rsid w:val="006911D3"/>
    <w:rsid w:val="00691348"/>
    <w:rsid w:val="006913E6"/>
    <w:rsid w:val="0069181B"/>
    <w:rsid w:val="00691901"/>
    <w:rsid w:val="00691A22"/>
    <w:rsid w:val="00691A58"/>
    <w:rsid w:val="00691AB5"/>
    <w:rsid w:val="00691C32"/>
    <w:rsid w:val="00691EF5"/>
    <w:rsid w:val="00691F04"/>
    <w:rsid w:val="00691F4E"/>
    <w:rsid w:val="00691F9C"/>
    <w:rsid w:val="00691FB9"/>
    <w:rsid w:val="006924CA"/>
    <w:rsid w:val="006926CF"/>
    <w:rsid w:val="00692803"/>
    <w:rsid w:val="00692A08"/>
    <w:rsid w:val="00692C87"/>
    <w:rsid w:val="00692CA1"/>
    <w:rsid w:val="00692D1F"/>
    <w:rsid w:val="00692D95"/>
    <w:rsid w:val="00692DF2"/>
    <w:rsid w:val="00692E07"/>
    <w:rsid w:val="00692EF2"/>
    <w:rsid w:val="006930EF"/>
    <w:rsid w:val="00693274"/>
    <w:rsid w:val="00693510"/>
    <w:rsid w:val="00693664"/>
    <w:rsid w:val="006936DC"/>
    <w:rsid w:val="00693BC2"/>
    <w:rsid w:val="00693DDE"/>
    <w:rsid w:val="00693DEE"/>
    <w:rsid w:val="00694069"/>
    <w:rsid w:val="006941E6"/>
    <w:rsid w:val="00694465"/>
    <w:rsid w:val="006944FB"/>
    <w:rsid w:val="0069456F"/>
    <w:rsid w:val="006946E6"/>
    <w:rsid w:val="00694720"/>
    <w:rsid w:val="006947D3"/>
    <w:rsid w:val="00694B10"/>
    <w:rsid w:val="00694B1B"/>
    <w:rsid w:val="00694BF1"/>
    <w:rsid w:val="00694D51"/>
    <w:rsid w:val="006951B6"/>
    <w:rsid w:val="006951D3"/>
    <w:rsid w:val="00695479"/>
    <w:rsid w:val="00695589"/>
    <w:rsid w:val="006957CC"/>
    <w:rsid w:val="006958CD"/>
    <w:rsid w:val="00695BAC"/>
    <w:rsid w:val="00695D45"/>
    <w:rsid w:val="00695D82"/>
    <w:rsid w:val="00695DC3"/>
    <w:rsid w:val="006963F4"/>
    <w:rsid w:val="0069670D"/>
    <w:rsid w:val="00696A5C"/>
    <w:rsid w:val="00696B4C"/>
    <w:rsid w:val="00696C01"/>
    <w:rsid w:val="00696C58"/>
    <w:rsid w:val="00696E8F"/>
    <w:rsid w:val="00696F24"/>
    <w:rsid w:val="00697198"/>
    <w:rsid w:val="00697220"/>
    <w:rsid w:val="0069741C"/>
    <w:rsid w:val="006975A6"/>
    <w:rsid w:val="006979EB"/>
    <w:rsid w:val="00697E7A"/>
    <w:rsid w:val="006A01F0"/>
    <w:rsid w:val="006A020D"/>
    <w:rsid w:val="006A0226"/>
    <w:rsid w:val="006A03D6"/>
    <w:rsid w:val="006A06E9"/>
    <w:rsid w:val="006A0792"/>
    <w:rsid w:val="006A0813"/>
    <w:rsid w:val="006A088A"/>
    <w:rsid w:val="006A0BEE"/>
    <w:rsid w:val="006A0D84"/>
    <w:rsid w:val="006A0E9E"/>
    <w:rsid w:val="006A1230"/>
    <w:rsid w:val="006A1331"/>
    <w:rsid w:val="006A1463"/>
    <w:rsid w:val="006A160E"/>
    <w:rsid w:val="006A1880"/>
    <w:rsid w:val="006A1947"/>
    <w:rsid w:val="006A1BC9"/>
    <w:rsid w:val="006A1D3C"/>
    <w:rsid w:val="006A1EEB"/>
    <w:rsid w:val="006A1F41"/>
    <w:rsid w:val="006A1F87"/>
    <w:rsid w:val="006A2142"/>
    <w:rsid w:val="006A22A4"/>
    <w:rsid w:val="006A22B8"/>
    <w:rsid w:val="006A2352"/>
    <w:rsid w:val="006A2366"/>
    <w:rsid w:val="006A26E2"/>
    <w:rsid w:val="006A2791"/>
    <w:rsid w:val="006A2870"/>
    <w:rsid w:val="006A2934"/>
    <w:rsid w:val="006A2A00"/>
    <w:rsid w:val="006A2A9B"/>
    <w:rsid w:val="006A2B53"/>
    <w:rsid w:val="006A2FBB"/>
    <w:rsid w:val="006A2FD0"/>
    <w:rsid w:val="006A3456"/>
    <w:rsid w:val="006A35AF"/>
    <w:rsid w:val="006A3AA7"/>
    <w:rsid w:val="006A3F29"/>
    <w:rsid w:val="006A406F"/>
    <w:rsid w:val="006A4093"/>
    <w:rsid w:val="006A45A6"/>
    <w:rsid w:val="006A468D"/>
    <w:rsid w:val="006A473D"/>
    <w:rsid w:val="006A47AC"/>
    <w:rsid w:val="006A48F5"/>
    <w:rsid w:val="006A4E2A"/>
    <w:rsid w:val="006A4F3E"/>
    <w:rsid w:val="006A5085"/>
    <w:rsid w:val="006A517A"/>
    <w:rsid w:val="006A5559"/>
    <w:rsid w:val="006A55DB"/>
    <w:rsid w:val="006A55F1"/>
    <w:rsid w:val="006A570F"/>
    <w:rsid w:val="006A57AF"/>
    <w:rsid w:val="006A5828"/>
    <w:rsid w:val="006A5BC3"/>
    <w:rsid w:val="006A5C2E"/>
    <w:rsid w:val="006A602B"/>
    <w:rsid w:val="006A6097"/>
    <w:rsid w:val="006A60B7"/>
    <w:rsid w:val="006A6309"/>
    <w:rsid w:val="006A6311"/>
    <w:rsid w:val="006A64ED"/>
    <w:rsid w:val="006A6557"/>
    <w:rsid w:val="006A6560"/>
    <w:rsid w:val="006A662F"/>
    <w:rsid w:val="006A6845"/>
    <w:rsid w:val="006A68B9"/>
    <w:rsid w:val="006A6B99"/>
    <w:rsid w:val="006A7258"/>
    <w:rsid w:val="006A7287"/>
    <w:rsid w:val="006A746D"/>
    <w:rsid w:val="006A7875"/>
    <w:rsid w:val="006A789F"/>
    <w:rsid w:val="006A7A56"/>
    <w:rsid w:val="006A7B1B"/>
    <w:rsid w:val="006A7F03"/>
    <w:rsid w:val="006A7FC7"/>
    <w:rsid w:val="006B0303"/>
    <w:rsid w:val="006B0513"/>
    <w:rsid w:val="006B052D"/>
    <w:rsid w:val="006B06CC"/>
    <w:rsid w:val="006B0959"/>
    <w:rsid w:val="006B0BDE"/>
    <w:rsid w:val="006B0E07"/>
    <w:rsid w:val="006B0E9D"/>
    <w:rsid w:val="006B101E"/>
    <w:rsid w:val="006B11E1"/>
    <w:rsid w:val="006B121B"/>
    <w:rsid w:val="006B12FA"/>
    <w:rsid w:val="006B133E"/>
    <w:rsid w:val="006B145C"/>
    <w:rsid w:val="006B162C"/>
    <w:rsid w:val="006B16E0"/>
    <w:rsid w:val="006B18A8"/>
    <w:rsid w:val="006B1A48"/>
    <w:rsid w:val="006B1D09"/>
    <w:rsid w:val="006B1D67"/>
    <w:rsid w:val="006B1DB6"/>
    <w:rsid w:val="006B1EB4"/>
    <w:rsid w:val="006B20B9"/>
    <w:rsid w:val="006B210E"/>
    <w:rsid w:val="006B22E0"/>
    <w:rsid w:val="006B24B3"/>
    <w:rsid w:val="006B24BB"/>
    <w:rsid w:val="006B254D"/>
    <w:rsid w:val="006B2791"/>
    <w:rsid w:val="006B27A5"/>
    <w:rsid w:val="006B28B2"/>
    <w:rsid w:val="006B2D18"/>
    <w:rsid w:val="006B2D7C"/>
    <w:rsid w:val="006B2F0E"/>
    <w:rsid w:val="006B2F59"/>
    <w:rsid w:val="006B30D1"/>
    <w:rsid w:val="006B320B"/>
    <w:rsid w:val="006B34B7"/>
    <w:rsid w:val="006B3503"/>
    <w:rsid w:val="006B36E0"/>
    <w:rsid w:val="006B3725"/>
    <w:rsid w:val="006B3975"/>
    <w:rsid w:val="006B39B6"/>
    <w:rsid w:val="006B3BE4"/>
    <w:rsid w:val="006B3C58"/>
    <w:rsid w:val="006B3CE4"/>
    <w:rsid w:val="006B4065"/>
    <w:rsid w:val="006B4494"/>
    <w:rsid w:val="006B4526"/>
    <w:rsid w:val="006B464B"/>
    <w:rsid w:val="006B4774"/>
    <w:rsid w:val="006B4816"/>
    <w:rsid w:val="006B4822"/>
    <w:rsid w:val="006B49CD"/>
    <w:rsid w:val="006B4E34"/>
    <w:rsid w:val="006B4E89"/>
    <w:rsid w:val="006B525E"/>
    <w:rsid w:val="006B532E"/>
    <w:rsid w:val="006B5411"/>
    <w:rsid w:val="006B55E5"/>
    <w:rsid w:val="006B5810"/>
    <w:rsid w:val="006B5950"/>
    <w:rsid w:val="006B5C86"/>
    <w:rsid w:val="006B5CA5"/>
    <w:rsid w:val="006B5D44"/>
    <w:rsid w:val="006B5DF4"/>
    <w:rsid w:val="006B6029"/>
    <w:rsid w:val="006B6185"/>
    <w:rsid w:val="006B62A3"/>
    <w:rsid w:val="006B6452"/>
    <w:rsid w:val="006B64D7"/>
    <w:rsid w:val="006B6947"/>
    <w:rsid w:val="006B6A0E"/>
    <w:rsid w:val="006B6C25"/>
    <w:rsid w:val="006B6CB2"/>
    <w:rsid w:val="006B714E"/>
    <w:rsid w:val="006B717C"/>
    <w:rsid w:val="006B7191"/>
    <w:rsid w:val="006B71FF"/>
    <w:rsid w:val="006B7211"/>
    <w:rsid w:val="006B7266"/>
    <w:rsid w:val="006B72EC"/>
    <w:rsid w:val="006B7319"/>
    <w:rsid w:val="006B7421"/>
    <w:rsid w:val="006B761D"/>
    <w:rsid w:val="006B79FA"/>
    <w:rsid w:val="006B7A94"/>
    <w:rsid w:val="006B7F61"/>
    <w:rsid w:val="006C01FC"/>
    <w:rsid w:val="006C0210"/>
    <w:rsid w:val="006C0211"/>
    <w:rsid w:val="006C026E"/>
    <w:rsid w:val="006C042B"/>
    <w:rsid w:val="006C075F"/>
    <w:rsid w:val="006C085F"/>
    <w:rsid w:val="006C08CC"/>
    <w:rsid w:val="006C0B90"/>
    <w:rsid w:val="006C0DC8"/>
    <w:rsid w:val="006C0EE6"/>
    <w:rsid w:val="006C0F7F"/>
    <w:rsid w:val="006C11E0"/>
    <w:rsid w:val="006C137B"/>
    <w:rsid w:val="006C15F3"/>
    <w:rsid w:val="006C195A"/>
    <w:rsid w:val="006C19AB"/>
    <w:rsid w:val="006C1C12"/>
    <w:rsid w:val="006C1D27"/>
    <w:rsid w:val="006C2447"/>
    <w:rsid w:val="006C25E6"/>
    <w:rsid w:val="006C2607"/>
    <w:rsid w:val="006C2629"/>
    <w:rsid w:val="006C2658"/>
    <w:rsid w:val="006C26C2"/>
    <w:rsid w:val="006C27F8"/>
    <w:rsid w:val="006C2AD7"/>
    <w:rsid w:val="006C2B47"/>
    <w:rsid w:val="006C2EE8"/>
    <w:rsid w:val="006C3038"/>
    <w:rsid w:val="006C337B"/>
    <w:rsid w:val="006C38AC"/>
    <w:rsid w:val="006C39AB"/>
    <w:rsid w:val="006C3AC1"/>
    <w:rsid w:val="006C3C3B"/>
    <w:rsid w:val="006C4063"/>
    <w:rsid w:val="006C428C"/>
    <w:rsid w:val="006C428D"/>
    <w:rsid w:val="006C4611"/>
    <w:rsid w:val="006C479D"/>
    <w:rsid w:val="006C48AD"/>
    <w:rsid w:val="006C4D26"/>
    <w:rsid w:val="006C4E02"/>
    <w:rsid w:val="006C4F6D"/>
    <w:rsid w:val="006C5043"/>
    <w:rsid w:val="006C50F8"/>
    <w:rsid w:val="006C532C"/>
    <w:rsid w:val="006C5359"/>
    <w:rsid w:val="006C5428"/>
    <w:rsid w:val="006C5435"/>
    <w:rsid w:val="006C5608"/>
    <w:rsid w:val="006C58AB"/>
    <w:rsid w:val="006C5AD3"/>
    <w:rsid w:val="006C5ADF"/>
    <w:rsid w:val="006C5BA4"/>
    <w:rsid w:val="006C5CBA"/>
    <w:rsid w:val="006C5FEA"/>
    <w:rsid w:val="006C617F"/>
    <w:rsid w:val="006C6210"/>
    <w:rsid w:val="006C62E6"/>
    <w:rsid w:val="006C6668"/>
    <w:rsid w:val="006C678F"/>
    <w:rsid w:val="006C6AB8"/>
    <w:rsid w:val="006C6BB2"/>
    <w:rsid w:val="006C6C5D"/>
    <w:rsid w:val="006C6E5B"/>
    <w:rsid w:val="006C707E"/>
    <w:rsid w:val="006C72E5"/>
    <w:rsid w:val="006C74B5"/>
    <w:rsid w:val="006C74F1"/>
    <w:rsid w:val="006C7795"/>
    <w:rsid w:val="006C7902"/>
    <w:rsid w:val="006C7A95"/>
    <w:rsid w:val="006C7AB3"/>
    <w:rsid w:val="006C7B04"/>
    <w:rsid w:val="006C7E67"/>
    <w:rsid w:val="006C7EB5"/>
    <w:rsid w:val="006C7F85"/>
    <w:rsid w:val="006D01C9"/>
    <w:rsid w:val="006D02E8"/>
    <w:rsid w:val="006D02EC"/>
    <w:rsid w:val="006D03B3"/>
    <w:rsid w:val="006D059C"/>
    <w:rsid w:val="006D0821"/>
    <w:rsid w:val="006D08F2"/>
    <w:rsid w:val="006D09EF"/>
    <w:rsid w:val="006D0B4B"/>
    <w:rsid w:val="006D0BC7"/>
    <w:rsid w:val="006D0FDB"/>
    <w:rsid w:val="006D1069"/>
    <w:rsid w:val="006D1268"/>
    <w:rsid w:val="006D12CB"/>
    <w:rsid w:val="006D14AE"/>
    <w:rsid w:val="006D18B5"/>
    <w:rsid w:val="006D1AC4"/>
    <w:rsid w:val="006D1D61"/>
    <w:rsid w:val="006D1FEC"/>
    <w:rsid w:val="006D215F"/>
    <w:rsid w:val="006D24F8"/>
    <w:rsid w:val="006D2661"/>
    <w:rsid w:val="006D2980"/>
    <w:rsid w:val="006D2C75"/>
    <w:rsid w:val="006D2D80"/>
    <w:rsid w:val="006D2DC3"/>
    <w:rsid w:val="006D2EEE"/>
    <w:rsid w:val="006D313A"/>
    <w:rsid w:val="006D313D"/>
    <w:rsid w:val="006D3171"/>
    <w:rsid w:val="006D326D"/>
    <w:rsid w:val="006D3378"/>
    <w:rsid w:val="006D3429"/>
    <w:rsid w:val="006D36C9"/>
    <w:rsid w:val="006D379A"/>
    <w:rsid w:val="006D38B3"/>
    <w:rsid w:val="006D3946"/>
    <w:rsid w:val="006D3C6F"/>
    <w:rsid w:val="006D3F2D"/>
    <w:rsid w:val="006D3FD4"/>
    <w:rsid w:val="006D4293"/>
    <w:rsid w:val="006D42E4"/>
    <w:rsid w:val="006D4A93"/>
    <w:rsid w:val="006D4CA3"/>
    <w:rsid w:val="006D4D60"/>
    <w:rsid w:val="006D4F09"/>
    <w:rsid w:val="006D5250"/>
    <w:rsid w:val="006D52FE"/>
    <w:rsid w:val="006D53D0"/>
    <w:rsid w:val="006D548A"/>
    <w:rsid w:val="006D5587"/>
    <w:rsid w:val="006D5588"/>
    <w:rsid w:val="006D5604"/>
    <w:rsid w:val="006D56C0"/>
    <w:rsid w:val="006D57ED"/>
    <w:rsid w:val="006D5C3B"/>
    <w:rsid w:val="006D5ED5"/>
    <w:rsid w:val="006D64A0"/>
    <w:rsid w:val="006D6553"/>
    <w:rsid w:val="006D657C"/>
    <w:rsid w:val="006D65CE"/>
    <w:rsid w:val="006D661F"/>
    <w:rsid w:val="006D6A17"/>
    <w:rsid w:val="006D6CF6"/>
    <w:rsid w:val="006D6DC3"/>
    <w:rsid w:val="006D6DD2"/>
    <w:rsid w:val="006D6DDA"/>
    <w:rsid w:val="006D6DFA"/>
    <w:rsid w:val="006D6EB1"/>
    <w:rsid w:val="006D6F0B"/>
    <w:rsid w:val="006D7003"/>
    <w:rsid w:val="006D703B"/>
    <w:rsid w:val="006D70D8"/>
    <w:rsid w:val="006D7625"/>
    <w:rsid w:val="006D771A"/>
    <w:rsid w:val="006D7AFC"/>
    <w:rsid w:val="006D7C1F"/>
    <w:rsid w:val="006D7C87"/>
    <w:rsid w:val="006D7CCE"/>
    <w:rsid w:val="006D7D21"/>
    <w:rsid w:val="006D7E2D"/>
    <w:rsid w:val="006D7E8B"/>
    <w:rsid w:val="006D7F83"/>
    <w:rsid w:val="006D7FF9"/>
    <w:rsid w:val="006E01F5"/>
    <w:rsid w:val="006E02EC"/>
    <w:rsid w:val="006E032F"/>
    <w:rsid w:val="006E0991"/>
    <w:rsid w:val="006E0FC4"/>
    <w:rsid w:val="006E107B"/>
    <w:rsid w:val="006E11D3"/>
    <w:rsid w:val="006E1215"/>
    <w:rsid w:val="006E129F"/>
    <w:rsid w:val="006E1304"/>
    <w:rsid w:val="006E13E3"/>
    <w:rsid w:val="006E1461"/>
    <w:rsid w:val="006E1790"/>
    <w:rsid w:val="006E1D09"/>
    <w:rsid w:val="006E20EC"/>
    <w:rsid w:val="006E2117"/>
    <w:rsid w:val="006E219F"/>
    <w:rsid w:val="006E22A9"/>
    <w:rsid w:val="006E2337"/>
    <w:rsid w:val="006E23DA"/>
    <w:rsid w:val="006E2573"/>
    <w:rsid w:val="006E2594"/>
    <w:rsid w:val="006E25FB"/>
    <w:rsid w:val="006E286E"/>
    <w:rsid w:val="006E2C89"/>
    <w:rsid w:val="006E2D88"/>
    <w:rsid w:val="006E300B"/>
    <w:rsid w:val="006E31EF"/>
    <w:rsid w:val="006E336F"/>
    <w:rsid w:val="006E350E"/>
    <w:rsid w:val="006E3552"/>
    <w:rsid w:val="006E367A"/>
    <w:rsid w:val="006E3776"/>
    <w:rsid w:val="006E38FE"/>
    <w:rsid w:val="006E3931"/>
    <w:rsid w:val="006E3BCB"/>
    <w:rsid w:val="006E3CBE"/>
    <w:rsid w:val="006E408C"/>
    <w:rsid w:val="006E42CE"/>
    <w:rsid w:val="006E43D4"/>
    <w:rsid w:val="006E43D9"/>
    <w:rsid w:val="006E4458"/>
    <w:rsid w:val="006E4514"/>
    <w:rsid w:val="006E46CC"/>
    <w:rsid w:val="006E482F"/>
    <w:rsid w:val="006E49A2"/>
    <w:rsid w:val="006E4DCA"/>
    <w:rsid w:val="006E4EDE"/>
    <w:rsid w:val="006E4F26"/>
    <w:rsid w:val="006E5016"/>
    <w:rsid w:val="006E51E7"/>
    <w:rsid w:val="006E568F"/>
    <w:rsid w:val="006E596B"/>
    <w:rsid w:val="006E5C45"/>
    <w:rsid w:val="006E5CF2"/>
    <w:rsid w:val="006E62C8"/>
    <w:rsid w:val="006E644C"/>
    <w:rsid w:val="006E64AD"/>
    <w:rsid w:val="006E6692"/>
    <w:rsid w:val="006E67CF"/>
    <w:rsid w:val="006E6809"/>
    <w:rsid w:val="006E6A6A"/>
    <w:rsid w:val="006E6BBB"/>
    <w:rsid w:val="006E6C35"/>
    <w:rsid w:val="006E6DD2"/>
    <w:rsid w:val="006E7242"/>
    <w:rsid w:val="006E72F7"/>
    <w:rsid w:val="006E758F"/>
    <w:rsid w:val="006E759A"/>
    <w:rsid w:val="006E766A"/>
    <w:rsid w:val="006E768E"/>
    <w:rsid w:val="006E76FA"/>
    <w:rsid w:val="006E798D"/>
    <w:rsid w:val="006E7A78"/>
    <w:rsid w:val="006E7CE4"/>
    <w:rsid w:val="006E7E40"/>
    <w:rsid w:val="006F003E"/>
    <w:rsid w:val="006F0364"/>
    <w:rsid w:val="006F0577"/>
    <w:rsid w:val="006F095B"/>
    <w:rsid w:val="006F0D31"/>
    <w:rsid w:val="006F0D55"/>
    <w:rsid w:val="006F0ED7"/>
    <w:rsid w:val="006F1105"/>
    <w:rsid w:val="006F1165"/>
    <w:rsid w:val="006F11E8"/>
    <w:rsid w:val="006F128A"/>
    <w:rsid w:val="006F1292"/>
    <w:rsid w:val="006F12F6"/>
    <w:rsid w:val="006F1504"/>
    <w:rsid w:val="006F1682"/>
    <w:rsid w:val="006F1840"/>
    <w:rsid w:val="006F18CD"/>
    <w:rsid w:val="006F1ACA"/>
    <w:rsid w:val="006F1BD3"/>
    <w:rsid w:val="006F1C27"/>
    <w:rsid w:val="006F1C35"/>
    <w:rsid w:val="006F1C56"/>
    <w:rsid w:val="006F1DEF"/>
    <w:rsid w:val="006F1E99"/>
    <w:rsid w:val="006F20F4"/>
    <w:rsid w:val="006F21D7"/>
    <w:rsid w:val="006F23E4"/>
    <w:rsid w:val="006F25BD"/>
    <w:rsid w:val="006F25F2"/>
    <w:rsid w:val="006F27A0"/>
    <w:rsid w:val="006F27BC"/>
    <w:rsid w:val="006F2853"/>
    <w:rsid w:val="006F2962"/>
    <w:rsid w:val="006F2A19"/>
    <w:rsid w:val="006F2D1E"/>
    <w:rsid w:val="006F2DD6"/>
    <w:rsid w:val="006F2E32"/>
    <w:rsid w:val="006F3342"/>
    <w:rsid w:val="006F34C9"/>
    <w:rsid w:val="006F37DB"/>
    <w:rsid w:val="006F3972"/>
    <w:rsid w:val="006F3A1E"/>
    <w:rsid w:val="006F3B02"/>
    <w:rsid w:val="006F3B7B"/>
    <w:rsid w:val="006F3D84"/>
    <w:rsid w:val="006F3F9F"/>
    <w:rsid w:val="006F40BC"/>
    <w:rsid w:val="006F418E"/>
    <w:rsid w:val="006F4250"/>
    <w:rsid w:val="006F42C8"/>
    <w:rsid w:val="006F44F0"/>
    <w:rsid w:val="006F47C2"/>
    <w:rsid w:val="006F4806"/>
    <w:rsid w:val="006F4953"/>
    <w:rsid w:val="006F49AE"/>
    <w:rsid w:val="006F4A9B"/>
    <w:rsid w:val="006F4B70"/>
    <w:rsid w:val="006F4D27"/>
    <w:rsid w:val="006F4D64"/>
    <w:rsid w:val="006F50AB"/>
    <w:rsid w:val="006F540F"/>
    <w:rsid w:val="006F54AB"/>
    <w:rsid w:val="006F5764"/>
    <w:rsid w:val="006F5905"/>
    <w:rsid w:val="006F5997"/>
    <w:rsid w:val="006F5C37"/>
    <w:rsid w:val="006F5D4C"/>
    <w:rsid w:val="006F5FB2"/>
    <w:rsid w:val="006F6238"/>
    <w:rsid w:val="006F625F"/>
    <w:rsid w:val="006F6323"/>
    <w:rsid w:val="006F651C"/>
    <w:rsid w:val="006F6A7D"/>
    <w:rsid w:val="006F6B12"/>
    <w:rsid w:val="006F6BB4"/>
    <w:rsid w:val="006F6DF7"/>
    <w:rsid w:val="006F6E1D"/>
    <w:rsid w:val="006F6FE9"/>
    <w:rsid w:val="006F70C8"/>
    <w:rsid w:val="006F773A"/>
    <w:rsid w:val="006F78EE"/>
    <w:rsid w:val="006F7970"/>
    <w:rsid w:val="006F7CE0"/>
    <w:rsid w:val="00700079"/>
    <w:rsid w:val="007007AE"/>
    <w:rsid w:val="007009AC"/>
    <w:rsid w:val="00700A55"/>
    <w:rsid w:val="00701348"/>
    <w:rsid w:val="00701455"/>
    <w:rsid w:val="00701771"/>
    <w:rsid w:val="007017E0"/>
    <w:rsid w:val="00701891"/>
    <w:rsid w:val="00701C01"/>
    <w:rsid w:val="00701C72"/>
    <w:rsid w:val="00701D19"/>
    <w:rsid w:val="00701FB2"/>
    <w:rsid w:val="00702244"/>
    <w:rsid w:val="0070228A"/>
    <w:rsid w:val="007024B1"/>
    <w:rsid w:val="00702760"/>
    <w:rsid w:val="00702917"/>
    <w:rsid w:val="00702D67"/>
    <w:rsid w:val="00702EB3"/>
    <w:rsid w:val="00703023"/>
    <w:rsid w:val="007031A3"/>
    <w:rsid w:val="007031A9"/>
    <w:rsid w:val="007035FF"/>
    <w:rsid w:val="00703718"/>
    <w:rsid w:val="0070373F"/>
    <w:rsid w:val="007038E0"/>
    <w:rsid w:val="007038EA"/>
    <w:rsid w:val="007038F2"/>
    <w:rsid w:val="0070391A"/>
    <w:rsid w:val="00703965"/>
    <w:rsid w:val="007039C4"/>
    <w:rsid w:val="007039E9"/>
    <w:rsid w:val="00703BE5"/>
    <w:rsid w:val="00703F1D"/>
    <w:rsid w:val="00704076"/>
    <w:rsid w:val="0070427E"/>
    <w:rsid w:val="007043BC"/>
    <w:rsid w:val="00704631"/>
    <w:rsid w:val="0070463E"/>
    <w:rsid w:val="007046E3"/>
    <w:rsid w:val="00704785"/>
    <w:rsid w:val="007047DC"/>
    <w:rsid w:val="007047E9"/>
    <w:rsid w:val="00704883"/>
    <w:rsid w:val="007049CE"/>
    <w:rsid w:val="0070504C"/>
    <w:rsid w:val="007053F4"/>
    <w:rsid w:val="007055B7"/>
    <w:rsid w:val="00705766"/>
    <w:rsid w:val="00705847"/>
    <w:rsid w:val="00705AD6"/>
    <w:rsid w:val="00705BBC"/>
    <w:rsid w:val="00705EC8"/>
    <w:rsid w:val="0070636B"/>
    <w:rsid w:val="00706438"/>
    <w:rsid w:val="00706530"/>
    <w:rsid w:val="0070671A"/>
    <w:rsid w:val="007067BD"/>
    <w:rsid w:val="00706967"/>
    <w:rsid w:val="00706C43"/>
    <w:rsid w:val="00706F49"/>
    <w:rsid w:val="00707070"/>
    <w:rsid w:val="0070738B"/>
    <w:rsid w:val="00707856"/>
    <w:rsid w:val="00707A94"/>
    <w:rsid w:val="0071001F"/>
    <w:rsid w:val="00710027"/>
    <w:rsid w:val="0071004C"/>
    <w:rsid w:val="00710074"/>
    <w:rsid w:val="00710133"/>
    <w:rsid w:val="007102ED"/>
    <w:rsid w:val="00710377"/>
    <w:rsid w:val="00710AE0"/>
    <w:rsid w:val="00710C82"/>
    <w:rsid w:val="00711113"/>
    <w:rsid w:val="0071118A"/>
    <w:rsid w:val="007116C3"/>
    <w:rsid w:val="00711B3C"/>
    <w:rsid w:val="00711E13"/>
    <w:rsid w:val="0071207B"/>
    <w:rsid w:val="0071221A"/>
    <w:rsid w:val="00712463"/>
    <w:rsid w:val="007124AB"/>
    <w:rsid w:val="00712536"/>
    <w:rsid w:val="00712686"/>
    <w:rsid w:val="0071284E"/>
    <w:rsid w:val="00712A47"/>
    <w:rsid w:val="00712A96"/>
    <w:rsid w:val="00712B64"/>
    <w:rsid w:val="00712D61"/>
    <w:rsid w:val="00712DE0"/>
    <w:rsid w:val="00712E10"/>
    <w:rsid w:val="00712E6F"/>
    <w:rsid w:val="00712F38"/>
    <w:rsid w:val="00712FE8"/>
    <w:rsid w:val="0071325A"/>
    <w:rsid w:val="0071327B"/>
    <w:rsid w:val="00713298"/>
    <w:rsid w:val="00713402"/>
    <w:rsid w:val="007135C6"/>
    <w:rsid w:val="007137DA"/>
    <w:rsid w:val="007139EB"/>
    <w:rsid w:val="00713B88"/>
    <w:rsid w:val="00713C8C"/>
    <w:rsid w:val="00713E29"/>
    <w:rsid w:val="00713E43"/>
    <w:rsid w:val="00714091"/>
    <w:rsid w:val="0071425C"/>
    <w:rsid w:val="00714390"/>
    <w:rsid w:val="007147E3"/>
    <w:rsid w:val="007152A0"/>
    <w:rsid w:val="00715A06"/>
    <w:rsid w:val="00715BF0"/>
    <w:rsid w:val="00715E2F"/>
    <w:rsid w:val="0071607D"/>
    <w:rsid w:val="00716151"/>
    <w:rsid w:val="00716205"/>
    <w:rsid w:val="007162A4"/>
    <w:rsid w:val="007162FF"/>
    <w:rsid w:val="0071639C"/>
    <w:rsid w:val="00716544"/>
    <w:rsid w:val="00716548"/>
    <w:rsid w:val="007168AB"/>
    <w:rsid w:val="00716B4A"/>
    <w:rsid w:val="00716CFB"/>
    <w:rsid w:val="00716E35"/>
    <w:rsid w:val="00716FAA"/>
    <w:rsid w:val="0071712E"/>
    <w:rsid w:val="007172AF"/>
    <w:rsid w:val="007172D9"/>
    <w:rsid w:val="00717701"/>
    <w:rsid w:val="007177EB"/>
    <w:rsid w:val="00717B76"/>
    <w:rsid w:val="00717BF1"/>
    <w:rsid w:val="00717E0B"/>
    <w:rsid w:val="00717F00"/>
    <w:rsid w:val="00717F02"/>
    <w:rsid w:val="00720068"/>
    <w:rsid w:val="007201C8"/>
    <w:rsid w:val="00720316"/>
    <w:rsid w:val="007204F7"/>
    <w:rsid w:val="00720888"/>
    <w:rsid w:val="00720B4F"/>
    <w:rsid w:val="00720D97"/>
    <w:rsid w:val="00720F4E"/>
    <w:rsid w:val="00720F75"/>
    <w:rsid w:val="0072126F"/>
    <w:rsid w:val="0072138D"/>
    <w:rsid w:val="0072149D"/>
    <w:rsid w:val="0072187E"/>
    <w:rsid w:val="007219BD"/>
    <w:rsid w:val="00721C85"/>
    <w:rsid w:val="00721CDC"/>
    <w:rsid w:val="00722200"/>
    <w:rsid w:val="00722377"/>
    <w:rsid w:val="00722935"/>
    <w:rsid w:val="007229D0"/>
    <w:rsid w:val="00722E91"/>
    <w:rsid w:val="0072309D"/>
    <w:rsid w:val="0072318F"/>
    <w:rsid w:val="0072320C"/>
    <w:rsid w:val="007233E0"/>
    <w:rsid w:val="007238E0"/>
    <w:rsid w:val="0072398C"/>
    <w:rsid w:val="00723B87"/>
    <w:rsid w:val="00723E88"/>
    <w:rsid w:val="00724329"/>
    <w:rsid w:val="00724713"/>
    <w:rsid w:val="00724807"/>
    <w:rsid w:val="00724841"/>
    <w:rsid w:val="007248BD"/>
    <w:rsid w:val="007248EF"/>
    <w:rsid w:val="00724A44"/>
    <w:rsid w:val="00724A87"/>
    <w:rsid w:val="00724B09"/>
    <w:rsid w:val="00724C2A"/>
    <w:rsid w:val="00724E31"/>
    <w:rsid w:val="00724E72"/>
    <w:rsid w:val="00724E91"/>
    <w:rsid w:val="00724F2A"/>
    <w:rsid w:val="00725291"/>
    <w:rsid w:val="00725341"/>
    <w:rsid w:val="0072547D"/>
    <w:rsid w:val="0072562A"/>
    <w:rsid w:val="007256FC"/>
    <w:rsid w:val="00725997"/>
    <w:rsid w:val="007259B2"/>
    <w:rsid w:val="00725BE3"/>
    <w:rsid w:val="00725CE7"/>
    <w:rsid w:val="00725FA8"/>
    <w:rsid w:val="00726413"/>
    <w:rsid w:val="007264F9"/>
    <w:rsid w:val="0072652E"/>
    <w:rsid w:val="007265BC"/>
    <w:rsid w:val="00726976"/>
    <w:rsid w:val="007269E7"/>
    <w:rsid w:val="00726D98"/>
    <w:rsid w:val="00726EA4"/>
    <w:rsid w:val="007271F6"/>
    <w:rsid w:val="0072725C"/>
    <w:rsid w:val="0072746D"/>
    <w:rsid w:val="00727685"/>
    <w:rsid w:val="00727786"/>
    <w:rsid w:val="00727B84"/>
    <w:rsid w:val="00730045"/>
    <w:rsid w:val="00730563"/>
    <w:rsid w:val="00730636"/>
    <w:rsid w:val="007307B6"/>
    <w:rsid w:val="0073086D"/>
    <w:rsid w:val="00730877"/>
    <w:rsid w:val="00730904"/>
    <w:rsid w:val="00730A50"/>
    <w:rsid w:val="00730BF1"/>
    <w:rsid w:val="00730C60"/>
    <w:rsid w:val="00730D29"/>
    <w:rsid w:val="00731000"/>
    <w:rsid w:val="007310DE"/>
    <w:rsid w:val="0073118B"/>
    <w:rsid w:val="007311C4"/>
    <w:rsid w:val="0073125B"/>
    <w:rsid w:val="007312AA"/>
    <w:rsid w:val="00731393"/>
    <w:rsid w:val="00731426"/>
    <w:rsid w:val="00731436"/>
    <w:rsid w:val="0073161D"/>
    <w:rsid w:val="00731701"/>
    <w:rsid w:val="007317F8"/>
    <w:rsid w:val="00731A47"/>
    <w:rsid w:val="00731A7E"/>
    <w:rsid w:val="00731D28"/>
    <w:rsid w:val="00732096"/>
    <w:rsid w:val="00732204"/>
    <w:rsid w:val="0073235B"/>
    <w:rsid w:val="0073243B"/>
    <w:rsid w:val="0073246D"/>
    <w:rsid w:val="007324AE"/>
    <w:rsid w:val="0073260F"/>
    <w:rsid w:val="0073282A"/>
    <w:rsid w:val="00732AAB"/>
    <w:rsid w:val="00732C48"/>
    <w:rsid w:val="00732D81"/>
    <w:rsid w:val="00732FD1"/>
    <w:rsid w:val="0073305C"/>
    <w:rsid w:val="00733107"/>
    <w:rsid w:val="0073318F"/>
    <w:rsid w:val="007332C5"/>
    <w:rsid w:val="007332CD"/>
    <w:rsid w:val="00733413"/>
    <w:rsid w:val="0073369D"/>
    <w:rsid w:val="0073383D"/>
    <w:rsid w:val="00733995"/>
    <w:rsid w:val="00733B3E"/>
    <w:rsid w:val="00733CED"/>
    <w:rsid w:val="007340F7"/>
    <w:rsid w:val="007341B8"/>
    <w:rsid w:val="007342AA"/>
    <w:rsid w:val="00734448"/>
    <w:rsid w:val="00734496"/>
    <w:rsid w:val="007344DB"/>
    <w:rsid w:val="0073469A"/>
    <w:rsid w:val="007347B1"/>
    <w:rsid w:val="007347D5"/>
    <w:rsid w:val="007349D3"/>
    <w:rsid w:val="00734A86"/>
    <w:rsid w:val="00734C1B"/>
    <w:rsid w:val="00734EB3"/>
    <w:rsid w:val="00734F1A"/>
    <w:rsid w:val="00735078"/>
    <w:rsid w:val="007350D4"/>
    <w:rsid w:val="007350DB"/>
    <w:rsid w:val="007350E0"/>
    <w:rsid w:val="00735146"/>
    <w:rsid w:val="00735382"/>
    <w:rsid w:val="00735850"/>
    <w:rsid w:val="00735AC9"/>
    <w:rsid w:val="00735C68"/>
    <w:rsid w:val="00735D3F"/>
    <w:rsid w:val="00735D9A"/>
    <w:rsid w:val="00735DBF"/>
    <w:rsid w:val="00735F19"/>
    <w:rsid w:val="00736048"/>
    <w:rsid w:val="0073658B"/>
    <w:rsid w:val="00736A7D"/>
    <w:rsid w:val="00736C2E"/>
    <w:rsid w:val="00736C49"/>
    <w:rsid w:val="00736F78"/>
    <w:rsid w:val="00737051"/>
    <w:rsid w:val="0073775F"/>
    <w:rsid w:val="00737C19"/>
    <w:rsid w:val="00737E9E"/>
    <w:rsid w:val="00740051"/>
    <w:rsid w:val="00740082"/>
    <w:rsid w:val="007401F6"/>
    <w:rsid w:val="00740487"/>
    <w:rsid w:val="007406E6"/>
    <w:rsid w:val="00740704"/>
    <w:rsid w:val="007407E6"/>
    <w:rsid w:val="00740929"/>
    <w:rsid w:val="0074095B"/>
    <w:rsid w:val="00740A75"/>
    <w:rsid w:val="00740A7C"/>
    <w:rsid w:val="00740B2D"/>
    <w:rsid w:val="00740C23"/>
    <w:rsid w:val="00740D42"/>
    <w:rsid w:val="00740F77"/>
    <w:rsid w:val="00741041"/>
    <w:rsid w:val="0074108A"/>
    <w:rsid w:val="00741251"/>
    <w:rsid w:val="007413D7"/>
    <w:rsid w:val="00741485"/>
    <w:rsid w:val="00741618"/>
    <w:rsid w:val="00741822"/>
    <w:rsid w:val="007419BF"/>
    <w:rsid w:val="007419FB"/>
    <w:rsid w:val="00741A4B"/>
    <w:rsid w:val="00741AFA"/>
    <w:rsid w:val="00741BD0"/>
    <w:rsid w:val="00741E42"/>
    <w:rsid w:val="00741E7B"/>
    <w:rsid w:val="00741FB8"/>
    <w:rsid w:val="0074200C"/>
    <w:rsid w:val="0074226B"/>
    <w:rsid w:val="0074229D"/>
    <w:rsid w:val="00742332"/>
    <w:rsid w:val="00742724"/>
    <w:rsid w:val="00742788"/>
    <w:rsid w:val="0074278B"/>
    <w:rsid w:val="00742CC1"/>
    <w:rsid w:val="00743160"/>
    <w:rsid w:val="00743455"/>
    <w:rsid w:val="00743964"/>
    <w:rsid w:val="007439A8"/>
    <w:rsid w:val="00743AA6"/>
    <w:rsid w:val="0074429C"/>
    <w:rsid w:val="00744514"/>
    <w:rsid w:val="00744601"/>
    <w:rsid w:val="00744B52"/>
    <w:rsid w:val="00744DE3"/>
    <w:rsid w:val="00745022"/>
    <w:rsid w:val="007450BF"/>
    <w:rsid w:val="00745360"/>
    <w:rsid w:val="00745451"/>
    <w:rsid w:val="00745500"/>
    <w:rsid w:val="00745574"/>
    <w:rsid w:val="00745756"/>
    <w:rsid w:val="00745800"/>
    <w:rsid w:val="00745913"/>
    <w:rsid w:val="00745C4C"/>
    <w:rsid w:val="00745C4F"/>
    <w:rsid w:val="00745D73"/>
    <w:rsid w:val="00745DB2"/>
    <w:rsid w:val="00745FE2"/>
    <w:rsid w:val="007460A4"/>
    <w:rsid w:val="0074626E"/>
    <w:rsid w:val="007462A3"/>
    <w:rsid w:val="007462D2"/>
    <w:rsid w:val="00746434"/>
    <w:rsid w:val="00746442"/>
    <w:rsid w:val="007464DE"/>
    <w:rsid w:val="00746C59"/>
    <w:rsid w:val="00746CAC"/>
    <w:rsid w:val="00746CB5"/>
    <w:rsid w:val="00746D2D"/>
    <w:rsid w:val="00746D6B"/>
    <w:rsid w:val="00746EEC"/>
    <w:rsid w:val="0074715B"/>
    <w:rsid w:val="00747318"/>
    <w:rsid w:val="00747739"/>
    <w:rsid w:val="00747B4E"/>
    <w:rsid w:val="00747C81"/>
    <w:rsid w:val="00747DFF"/>
    <w:rsid w:val="00747FED"/>
    <w:rsid w:val="00750105"/>
    <w:rsid w:val="007503A7"/>
    <w:rsid w:val="0075046C"/>
    <w:rsid w:val="007504E1"/>
    <w:rsid w:val="00750788"/>
    <w:rsid w:val="007507B6"/>
    <w:rsid w:val="007509A3"/>
    <w:rsid w:val="00750C54"/>
    <w:rsid w:val="00750D3B"/>
    <w:rsid w:val="00750D8E"/>
    <w:rsid w:val="00750F41"/>
    <w:rsid w:val="00750F91"/>
    <w:rsid w:val="00750FD4"/>
    <w:rsid w:val="00751244"/>
    <w:rsid w:val="0075142A"/>
    <w:rsid w:val="0075147E"/>
    <w:rsid w:val="007514D3"/>
    <w:rsid w:val="007515A8"/>
    <w:rsid w:val="007515B1"/>
    <w:rsid w:val="007516F0"/>
    <w:rsid w:val="007518B8"/>
    <w:rsid w:val="007518F9"/>
    <w:rsid w:val="00751908"/>
    <w:rsid w:val="0075197C"/>
    <w:rsid w:val="00751A40"/>
    <w:rsid w:val="00751AEB"/>
    <w:rsid w:val="00751BCD"/>
    <w:rsid w:val="00751CF2"/>
    <w:rsid w:val="00751D04"/>
    <w:rsid w:val="00751D6A"/>
    <w:rsid w:val="00751D7F"/>
    <w:rsid w:val="00751EE3"/>
    <w:rsid w:val="00751EEB"/>
    <w:rsid w:val="0075217D"/>
    <w:rsid w:val="00752650"/>
    <w:rsid w:val="007526F0"/>
    <w:rsid w:val="0075286D"/>
    <w:rsid w:val="0075289B"/>
    <w:rsid w:val="00752B76"/>
    <w:rsid w:val="00752C73"/>
    <w:rsid w:val="00752C91"/>
    <w:rsid w:val="00753096"/>
    <w:rsid w:val="00753164"/>
    <w:rsid w:val="007532CC"/>
    <w:rsid w:val="00753710"/>
    <w:rsid w:val="007537F1"/>
    <w:rsid w:val="00753891"/>
    <w:rsid w:val="00753A99"/>
    <w:rsid w:val="00753DE5"/>
    <w:rsid w:val="00753E2A"/>
    <w:rsid w:val="00753EB5"/>
    <w:rsid w:val="00754005"/>
    <w:rsid w:val="007540AE"/>
    <w:rsid w:val="0075415D"/>
    <w:rsid w:val="00754383"/>
    <w:rsid w:val="00754393"/>
    <w:rsid w:val="007546E0"/>
    <w:rsid w:val="007547EF"/>
    <w:rsid w:val="00754860"/>
    <w:rsid w:val="007548CB"/>
    <w:rsid w:val="00754A86"/>
    <w:rsid w:val="00754C10"/>
    <w:rsid w:val="00754C31"/>
    <w:rsid w:val="00754E54"/>
    <w:rsid w:val="007550AB"/>
    <w:rsid w:val="007555FB"/>
    <w:rsid w:val="00755760"/>
    <w:rsid w:val="007558DA"/>
    <w:rsid w:val="00755ADB"/>
    <w:rsid w:val="00755CC8"/>
    <w:rsid w:val="00755D60"/>
    <w:rsid w:val="007560B4"/>
    <w:rsid w:val="007561BC"/>
    <w:rsid w:val="007561C6"/>
    <w:rsid w:val="00756263"/>
    <w:rsid w:val="00756544"/>
    <w:rsid w:val="0075681A"/>
    <w:rsid w:val="00756A91"/>
    <w:rsid w:val="00756B3D"/>
    <w:rsid w:val="0075714E"/>
    <w:rsid w:val="007571C8"/>
    <w:rsid w:val="00757587"/>
    <w:rsid w:val="007575D2"/>
    <w:rsid w:val="0075768C"/>
    <w:rsid w:val="00757790"/>
    <w:rsid w:val="00757850"/>
    <w:rsid w:val="00757901"/>
    <w:rsid w:val="00757D63"/>
    <w:rsid w:val="00757D76"/>
    <w:rsid w:val="0076011B"/>
    <w:rsid w:val="00760303"/>
    <w:rsid w:val="007603D8"/>
    <w:rsid w:val="007604FB"/>
    <w:rsid w:val="007606EF"/>
    <w:rsid w:val="00760735"/>
    <w:rsid w:val="0076098F"/>
    <w:rsid w:val="00760CDC"/>
    <w:rsid w:val="00760E6F"/>
    <w:rsid w:val="00760ECD"/>
    <w:rsid w:val="0076106B"/>
    <w:rsid w:val="007611E6"/>
    <w:rsid w:val="007613F5"/>
    <w:rsid w:val="007615F8"/>
    <w:rsid w:val="0076161E"/>
    <w:rsid w:val="0076172C"/>
    <w:rsid w:val="007618BA"/>
    <w:rsid w:val="007618BB"/>
    <w:rsid w:val="007618DE"/>
    <w:rsid w:val="00761C85"/>
    <w:rsid w:val="00761D16"/>
    <w:rsid w:val="00761D97"/>
    <w:rsid w:val="00761E1B"/>
    <w:rsid w:val="00761E64"/>
    <w:rsid w:val="00761F7E"/>
    <w:rsid w:val="007622AC"/>
    <w:rsid w:val="007624C9"/>
    <w:rsid w:val="007626CA"/>
    <w:rsid w:val="00762C0A"/>
    <w:rsid w:val="00762E15"/>
    <w:rsid w:val="007631CF"/>
    <w:rsid w:val="0076347C"/>
    <w:rsid w:val="007635F3"/>
    <w:rsid w:val="0076378C"/>
    <w:rsid w:val="00763919"/>
    <w:rsid w:val="00763BDB"/>
    <w:rsid w:val="00764061"/>
    <w:rsid w:val="0076410D"/>
    <w:rsid w:val="00764542"/>
    <w:rsid w:val="00764544"/>
    <w:rsid w:val="00764618"/>
    <w:rsid w:val="0076461B"/>
    <w:rsid w:val="00764894"/>
    <w:rsid w:val="00764A99"/>
    <w:rsid w:val="0076517E"/>
    <w:rsid w:val="007653DA"/>
    <w:rsid w:val="0076545C"/>
    <w:rsid w:val="0076597D"/>
    <w:rsid w:val="00765ACB"/>
    <w:rsid w:val="00765B08"/>
    <w:rsid w:val="00765BC7"/>
    <w:rsid w:val="00765BE8"/>
    <w:rsid w:val="00765C9C"/>
    <w:rsid w:val="00765EC0"/>
    <w:rsid w:val="00765EC1"/>
    <w:rsid w:val="00765FBF"/>
    <w:rsid w:val="007660C4"/>
    <w:rsid w:val="0076614E"/>
    <w:rsid w:val="007662DA"/>
    <w:rsid w:val="007665DE"/>
    <w:rsid w:val="0076667D"/>
    <w:rsid w:val="007666AA"/>
    <w:rsid w:val="0076689B"/>
    <w:rsid w:val="007668CE"/>
    <w:rsid w:val="00766952"/>
    <w:rsid w:val="00766B2A"/>
    <w:rsid w:val="00766BB9"/>
    <w:rsid w:val="00766C74"/>
    <w:rsid w:val="00766CFD"/>
    <w:rsid w:val="00766DA0"/>
    <w:rsid w:val="007672FC"/>
    <w:rsid w:val="007674AB"/>
    <w:rsid w:val="007678F9"/>
    <w:rsid w:val="00767CD9"/>
    <w:rsid w:val="00767D3C"/>
    <w:rsid w:val="00767E9A"/>
    <w:rsid w:val="00767F5F"/>
    <w:rsid w:val="00770128"/>
    <w:rsid w:val="00770198"/>
    <w:rsid w:val="0077031F"/>
    <w:rsid w:val="007704B1"/>
    <w:rsid w:val="007708AB"/>
    <w:rsid w:val="0077092E"/>
    <w:rsid w:val="007709AD"/>
    <w:rsid w:val="00770BC4"/>
    <w:rsid w:val="00770BCC"/>
    <w:rsid w:val="00770DFB"/>
    <w:rsid w:val="00770F25"/>
    <w:rsid w:val="00771004"/>
    <w:rsid w:val="0077112E"/>
    <w:rsid w:val="00771225"/>
    <w:rsid w:val="007712B0"/>
    <w:rsid w:val="0077135E"/>
    <w:rsid w:val="00771573"/>
    <w:rsid w:val="00771587"/>
    <w:rsid w:val="00771AEF"/>
    <w:rsid w:val="00771BF2"/>
    <w:rsid w:val="00771F04"/>
    <w:rsid w:val="00771F50"/>
    <w:rsid w:val="00771F7A"/>
    <w:rsid w:val="00772687"/>
    <w:rsid w:val="00772719"/>
    <w:rsid w:val="0077280D"/>
    <w:rsid w:val="0077320E"/>
    <w:rsid w:val="0077344C"/>
    <w:rsid w:val="007734AF"/>
    <w:rsid w:val="00773626"/>
    <w:rsid w:val="0077364B"/>
    <w:rsid w:val="00773725"/>
    <w:rsid w:val="007737A6"/>
    <w:rsid w:val="00773964"/>
    <w:rsid w:val="00773ABF"/>
    <w:rsid w:val="00773BC8"/>
    <w:rsid w:val="00773CED"/>
    <w:rsid w:val="00773D20"/>
    <w:rsid w:val="0077439A"/>
    <w:rsid w:val="0077477C"/>
    <w:rsid w:val="00774786"/>
    <w:rsid w:val="00774A63"/>
    <w:rsid w:val="00774BD6"/>
    <w:rsid w:val="00774C78"/>
    <w:rsid w:val="00774E3C"/>
    <w:rsid w:val="00775305"/>
    <w:rsid w:val="0077551C"/>
    <w:rsid w:val="007755BD"/>
    <w:rsid w:val="007755D6"/>
    <w:rsid w:val="007756D3"/>
    <w:rsid w:val="007756D4"/>
    <w:rsid w:val="007756F2"/>
    <w:rsid w:val="00775987"/>
    <w:rsid w:val="00775A2C"/>
    <w:rsid w:val="00775AF1"/>
    <w:rsid w:val="00775B19"/>
    <w:rsid w:val="00775B4C"/>
    <w:rsid w:val="00775CCB"/>
    <w:rsid w:val="00775D26"/>
    <w:rsid w:val="00775D60"/>
    <w:rsid w:val="00775E29"/>
    <w:rsid w:val="00775EB7"/>
    <w:rsid w:val="00775F2D"/>
    <w:rsid w:val="00776040"/>
    <w:rsid w:val="007760D1"/>
    <w:rsid w:val="00776147"/>
    <w:rsid w:val="007761A2"/>
    <w:rsid w:val="007761BD"/>
    <w:rsid w:val="007761C5"/>
    <w:rsid w:val="007762CC"/>
    <w:rsid w:val="00776327"/>
    <w:rsid w:val="0077632A"/>
    <w:rsid w:val="00776364"/>
    <w:rsid w:val="00776470"/>
    <w:rsid w:val="007765E0"/>
    <w:rsid w:val="0077676B"/>
    <w:rsid w:val="00776874"/>
    <w:rsid w:val="00776B1B"/>
    <w:rsid w:val="00776C04"/>
    <w:rsid w:val="00776DAF"/>
    <w:rsid w:val="00776F5A"/>
    <w:rsid w:val="007773A5"/>
    <w:rsid w:val="00777419"/>
    <w:rsid w:val="007774F2"/>
    <w:rsid w:val="00777548"/>
    <w:rsid w:val="00777884"/>
    <w:rsid w:val="007779EF"/>
    <w:rsid w:val="00777AEB"/>
    <w:rsid w:val="00777C84"/>
    <w:rsid w:val="00777D8E"/>
    <w:rsid w:val="00777E18"/>
    <w:rsid w:val="00777FE3"/>
    <w:rsid w:val="00780169"/>
    <w:rsid w:val="00780837"/>
    <w:rsid w:val="007808A3"/>
    <w:rsid w:val="00780C97"/>
    <w:rsid w:val="00780D31"/>
    <w:rsid w:val="00780DA6"/>
    <w:rsid w:val="00780DC6"/>
    <w:rsid w:val="00781190"/>
    <w:rsid w:val="007812BF"/>
    <w:rsid w:val="007813BE"/>
    <w:rsid w:val="0078152B"/>
    <w:rsid w:val="0078152D"/>
    <w:rsid w:val="0078171E"/>
    <w:rsid w:val="007817E6"/>
    <w:rsid w:val="00781A5B"/>
    <w:rsid w:val="00781E7E"/>
    <w:rsid w:val="00781F1D"/>
    <w:rsid w:val="0078233D"/>
    <w:rsid w:val="00782984"/>
    <w:rsid w:val="00782E51"/>
    <w:rsid w:val="00783263"/>
    <w:rsid w:val="007835C6"/>
    <w:rsid w:val="00783817"/>
    <w:rsid w:val="00783AD5"/>
    <w:rsid w:val="00783B53"/>
    <w:rsid w:val="00783B79"/>
    <w:rsid w:val="00783BB0"/>
    <w:rsid w:val="00784088"/>
    <w:rsid w:val="00784108"/>
    <w:rsid w:val="00784279"/>
    <w:rsid w:val="007843D9"/>
    <w:rsid w:val="0078445F"/>
    <w:rsid w:val="00784521"/>
    <w:rsid w:val="0078455E"/>
    <w:rsid w:val="007845E1"/>
    <w:rsid w:val="007845FC"/>
    <w:rsid w:val="007848AC"/>
    <w:rsid w:val="007849F5"/>
    <w:rsid w:val="00784A8E"/>
    <w:rsid w:val="00784C3E"/>
    <w:rsid w:val="00784D32"/>
    <w:rsid w:val="00784D4E"/>
    <w:rsid w:val="00784EB7"/>
    <w:rsid w:val="00784FBA"/>
    <w:rsid w:val="0078505A"/>
    <w:rsid w:val="007851B2"/>
    <w:rsid w:val="00785D30"/>
    <w:rsid w:val="00785EC2"/>
    <w:rsid w:val="0078605C"/>
    <w:rsid w:val="00786177"/>
    <w:rsid w:val="0078628D"/>
    <w:rsid w:val="007866CA"/>
    <w:rsid w:val="007866E0"/>
    <w:rsid w:val="007867C6"/>
    <w:rsid w:val="007867E0"/>
    <w:rsid w:val="00786A2F"/>
    <w:rsid w:val="00786D68"/>
    <w:rsid w:val="00786E23"/>
    <w:rsid w:val="00786ED4"/>
    <w:rsid w:val="00786FBC"/>
    <w:rsid w:val="00787000"/>
    <w:rsid w:val="0078718F"/>
    <w:rsid w:val="00787360"/>
    <w:rsid w:val="00787397"/>
    <w:rsid w:val="007874CE"/>
    <w:rsid w:val="00787565"/>
    <w:rsid w:val="00787F7B"/>
    <w:rsid w:val="007901BC"/>
    <w:rsid w:val="00790339"/>
    <w:rsid w:val="00790733"/>
    <w:rsid w:val="00790840"/>
    <w:rsid w:val="0079086C"/>
    <w:rsid w:val="0079091D"/>
    <w:rsid w:val="007909ED"/>
    <w:rsid w:val="007909F4"/>
    <w:rsid w:val="00790B64"/>
    <w:rsid w:val="00790D0D"/>
    <w:rsid w:val="00790E2C"/>
    <w:rsid w:val="00790F90"/>
    <w:rsid w:val="0079125C"/>
    <w:rsid w:val="007912DE"/>
    <w:rsid w:val="007913E2"/>
    <w:rsid w:val="007918C9"/>
    <w:rsid w:val="00791999"/>
    <w:rsid w:val="00791A1D"/>
    <w:rsid w:val="00791A62"/>
    <w:rsid w:val="00791AC8"/>
    <w:rsid w:val="00791ADD"/>
    <w:rsid w:val="00791AE5"/>
    <w:rsid w:val="00791B1C"/>
    <w:rsid w:val="00791CC2"/>
    <w:rsid w:val="00791DE1"/>
    <w:rsid w:val="00792204"/>
    <w:rsid w:val="007922DE"/>
    <w:rsid w:val="0079230E"/>
    <w:rsid w:val="00792336"/>
    <w:rsid w:val="00792411"/>
    <w:rsid w:val="0079263B"/>
    <w:rsid w:val="007926ED"/>
    <w:rsid w:val="00792795"/>
    <w:rsid w:val="00792846"/>
    <w:rsid w:val="00792957"/>
    <w:rsid w:val="007929BE"/>
    <w:rsid w:val="00792A28"/>
    <w:rsid w:val="00792A32"/>
    <w:rsid w:val="00792ADC"/>
    <w:rsid w:val="00792D66"/>
    <w:rsid w:val="00792E3C"/>
    <w:rsid w:val="00792FF6"/>
    <w:rsid w:val="0079305A"/>
    <w:rsid w:val="007932DE"/>
    <w:rsid w:val="007937D1"/>
    <w:rsid w:val="007939C8"/>
    <w:rsid w:val="00793C26"/>
    <w:rsid w:val="0079401F"/>
    <w:rsid w:val="00794323"/>
    <w:rsid w:val="00794766"/>
    <w:rsid w:val="00794783"/>
    <w:rsid w:val="00794893"/>
    <w:rsid w:val="00794A42"/>
    <w:rsid w:val="00794E62"/>
    <w:rsid w:val="00794EC5"/>
    <w:rsid w:val="00795032"/>
    <w:rsid w:val="0079509F"/>
    <w:rsid w:val="0079513B"/>
    <w:rsid w:val="0079535B"/>
    <w:rsid w:val="007954BD"/>
    <w:rsid w:val="007954E4"/>
    <w:rsid w:val="00795513"/>
    <w:rsid w:val="00795528"/>
    <w:rsid w:val="00795546"/>
    <w:rsid w:val="0079555F"/>
    <w:rsid w:val="00795771"/>
    <w:rsid w:val="007957B5"/>
    <w:rsid w:val="007957C1"/>
    <w:rsid w:val="00795949"/>
    <w:rsid w:val="00795A6B"/>
    <w:rsid w:val="00795BAD"/>
    <w:rsid w:val="00795BF7"/>
    <w:rsid w:val="00795D29"/>
    <w:rsid w:val="00795D4D"/>
    <w:rsid w:val="0079620C"/>
    <w:rsid w:val="00796321"/>
    <w:rsid w:val="0079663B"/>
    <w:rsid w:val="0079668F"/>
    <w:rsid w:val="00796A92"/>
    <w:rsid w:val="00796D23"/>
    <w:rsid w:val="00796E03"/>
    <w:rsid w:val="00796E24"/>
    <w:rsid w:val="00796FF5"/>
    <w:rsid w:val="007970AA"/>
    <w:rsid w:val="00797284"/>
    <w:rsid w:val="00797438"/>
    <w:rsid w:val="00797523"/>
    <w:rsid w:val="00797625"/>
    <w:rsid w:val="00797A6A"/>
    <w:rsid w:val="00797CE6"/>
    <w:rsid w:val="007A0418"/>
    <w:rsid w:val="007A073B"/>
    <w:rsid w:val="007A0965"/>
    <w:rsid w:val="007A0A1A"/>
    <w:rsid w:val="007A0A7B"/>
    <w:rsid w:val="007A0B65"/>
    <w:rsid w:val="007A0C0A"/>
    <w:rsid w:val="007A0F43"/>
    <w:rsid w:val="007A105F"/>
    <w:rsid w:val="007A12ED"/>
    <w:rsid w:val="007A1421"/>
    <w:rsid w:val="007A1536"/>
    <w:rsid w:val="007A1AAF"/>
    <w:rsid w:val="007A1C66"/>
    <w:rsid w:val="007A1C99"/>
    <w:rsid w:val="007A1DE5"/>
    <w:rsid w:val="007A1EE3"/>
    <w:rsid w:val="007A1F10"/>
    <w:rsid w:val="007A1F4D"/>
    <w:rsid w:val="007A2235"/>
    <w:rsid w:val="007A249E"/>
    <w:rsid w:val="007A2507"/>
    <w:rsid w:val="007A25A6"/>
    <w:rsid w:val="007A2601"/>
    <w:rsid w:val="007A2845"/>
    <w:rsid w:val="007A2AB6"/>
    <w:rsid w:val="007A2C1E"/>
    <w:rsid w:val="007A2C58"/>
    <w:rsid w:val="007A2E31"/>
    <w:rsid w:val="007A3347"/>
    <w:rsid w:val="007A3446"/>
    <w:rsid w:val="007A3593"/>
    <w:rsid w:val="007A3715"/>
    <w:rsid w:val="007A3758"/>
    <w:rsid w:val="007A3949"/>
    <w:rsid w:val="007A3B58"/>
    <w:rsid w:val="007A3D84"/>
    <w:rsid w:val="007A3F39"/>
    <w:rsid w:val="007A3F75"/>
    <w:rsid w:val="007A4171"/>
    <w:rsid w:val="007A417C"/>
    <w:rsid w:val="007A46B8"/>
    <w:rsid w:val="007A47FD"/>
    <w:rsid w:val="007A4A2F"/>
    <w:rsid w:val="007A4DA1"/>
    <w:rsid w:val="007A4E8D"/>
    <w:rsid w:val="007A4ED6"/>
    <w:rsid w:val="007A4F34"/>
    <w:rsid w:val="007A502E"/>
    <w:rsid w:val="007A54F2"/>
    <w:rsid w:val="007A5989"/>
    <w:rsid w:val="007A599E"/>
    <w:rsid w:val="007A5B54"/>
    <w:rsid w:val="007A5C0C"/>
    <w:rsid w:val="007A5CAF"/>
    <w:rsid w:val="007A5FB8"/>
    <w:rsid w:val="007A6418"/>
    <w:rsid w:val="007A6600"/>
    <w:rsid w:val="007A66AC"/>
    <w:rsid w:val="007A6857"/>
    <w:rsid w:val="007A698E"/>
    <w:rsid w:val="007A6B0A"/>
    <w:rsid w:val="007A6B55"/>
    <w:rsid w:val="007A6BB6"/>
    <w:rsid w:val="007A6CFA"/>
    <w:rsid w:val="007A6DD8"/>
    <w:rsid w:val="007A733D"/>
    <w:rsid w:val="007A74E7"/>
    <w:rsid w:val="007A7597"/>
    <w:rsid w:val="007A765C"/>
    <w:rsid w:val="007A77AF"/>
    <w:rsid w:val="007A77F3"/>
    <w:rsid w:val="007A79A2"/>
    <w:rsid w:val="007A7A20"/>
    <w:rsid w:val="007A7D7D"/>
    <w:rsid w:val="007A7E5E"/>
    <w:rsid w:val="007B0597"/>
    <w:rsid w:val="007B05F9"/>
    <w:rsid w:val="007B0A73"/>
    <w:rsid w:val="007B0ABE"/>
    <w:rsid w:val="007B0D54"/>
    <w:rsid w:val="007B0DAD"/>
    <w:rsid w:val="007B0E5D"/>
    <w:rsid w:val="007B0EDA"/>
    <w:rsid w:val="007B1041"/>
    <w:rsid w:val="007B1707"/>
    <w:rsid w:val="007B1884"/>
    <w:rsid w:val="007B18FB"/>
    <w:rsid w:val="007B19DD"/>
    <w:rsid w:val="007B1A6F"/>
    <w:rsid w:val="007B1E35"/>
    <w:rsid w:val="007B1FD9"/>
    <w:rsid w:val="007B283E"/>
    <w:rsid w:val="007B2985"/>
    <w:rsid w:val="007B29C4"/>
    <w:rsid w:val="007B29D6"/>
    <w:rsid w:val="007B2C1D"/>
    <w:rsid w:val="007B2CD4"/>
    <w:rsid w:val="007B2D5A"/>
    <w:rsid w:val="007B2D92"/>
    <w:rsid w:val="007B2E81"/>
    <w:rsid w:val="007B2F9A"/>
    <w:rsid w:val="007B2FB1"/>
    <w:rsid w:val="007B3427"/>
    <w:rsid w:val="007B3850"/>
    <w:rsid w:val="007B38D7"/>
    <w:rsid w:val="007B3DE5"/>
    <w:rsid w:val="007B40F1"/>
    <w:rsid w:val="007B4684"/>
    <w:rsid w:val="007B4807"/>
    <w:rsid w:val="007B4854"/>
    <w:rsid w:val="007B4865"/>
    <w:rsid w:val="007B4CCA"/>
    <w:rsid w:val="007B4DA8"/>
    <w:rsid w:val="007B4E5C"/>
    <w:rsid w:val="007B50B7"/>
    <w:rsid w:val="007B50EE"/>
    <w:rsid w:val="007B520A"/>
    <w:rsid w:val="007B5317"/>
    <w:rsid w:val="007B53B6"/>
    <w:rsid w:val="007B5581"/>
    <w:rsid w:val="007B55E7"/>
    <w:rsid w:val="007B572C"/>
    <w:rsid w:val="007B5872"/>
    <w:rsid w:val="007B58B9"/>
    <w:rsid w:val="007B5B79"/>
    <w:rsid w:val="007B5D05"/>
    <w:rsid w:val="007B5E53"/>
    <w:rsid w:val="007B623C"/>
    <w:rsid w:val="007B6307"/>
    <w:rsid w:val="007B63AB"/>
    <w:rsid w:val="007B6B5B"/>
    <w:rsid w:val="007B6D79"/>
    <w:rsid w:val="007B6D9E"/>
    <w:rsid w:val="007B6DC3"/>
    <w:rsid w:val="007B6F5E"/>
    <w:rsid w:val="007B7041"/>
    <w:rsid w:val="007B720E"/>
    <w:rsid w:val="007B7281"/>
    <w:rsid w:val="007B740E"/>
    <w:rsid w:val="007B7440"/>
    <w:rsid w:val="007B7BCE"/>
    <w:rsid w:val="007B7BD6"/>
    <w:rsid w:val="007B7C97"/>
    <w:rsid w:val="007B7CDE"/>
    <w:rsid w:val="007B7DC4"/>
    <w:rsid w:val="007B7E78"/>
    <w:rsid w:val="007C008A"/>
    <w:rsid w:val="007C00B6"/>
    <w:rsid w:val="007C04B8"/>
    <w:rsid w:val="007C0660"/>
    <w:rsid w:val="007C0678"/>
    <w:rsid w:val="007C0A10"/>
    <w:rsid w:val="007C0C20"/>
    <w:rsid w:val="007C0CB7"/>
    <w:rsid w:val="007C0CCB"/>
    <w:rsid w:val="007C0DBE"/>
    <w:rsid w:val="007C0DC3"/>
    <w:rsid w:val="007C0F5D"/>
    <w:rsid w:val="007C1436"/>
    <w:rsid w:val="007C1575"/>
    <w:rsid w:val="007C1653"/>
    <w:rsid w:val="007C19C5"/>
    <w:rsid w:val="007C1CC8"/>
    <w:rsid w:val="007C1FB2"/>
    <w:rsid w:val="007C206B"/>
    <w:rsid w:val="007C2435"/>
    <w:rsid w:val="007C24C1"/>
    <w:rsid w:val="007C2534"/>
    <w:rsid w:val="007C25D5"/>
    <w:rsid w:val="007C280F"/>
    <w:rsid w:val="007C2985"/>
    <w:rsid w:val="007C29DD"/>
    <w:rsid w:val="007C2DA8"/>
    <w:rsid w:val="007C2E84"/>
    <w:rsid w:val="007C2EDF"/>
    <w:rsid w:val="007C3304"/>
    <w:rsid w:val="007C3488"/>
    <w:rsid w:val="007C34FF"/>
    <w:rsid w:val="007C3593"/>
    <w:rsid w:val="007C3822"/>
    <w:rsid w:val="007C39A3"/>
    <w:rsid w:val="007C3CBD"/>
    <w:rsid w:val="007C3DE4"/>
    <w:rsid w:val="007C3EE9"/>
    <w:rsid w:val="007C416E"/>
    <w:rsid w:val="007C4245"/>
    <w:rsid w:val="007C4611"/>
    <w:rsid w:val="007C469D"/>
    <w:rsid w:val="007C4805"/>
    <w:rsid w:val="007C48D6"/>
    <w:rsid w:val="007C4C72"/>
    <w:rsid w:val="007C4C95"/>
    <w:rsid w:val="007C4CDD"/>
    <w:rsid w:val="007C4D69"/>
    <w:rsid w:val="007C4FEE"/>
    <w:rsid w:val="007C5227"/>
    <w:rsid w:val="007C529B"/>
    <w:rsid w:val="007C52A7"/>
    <w:rsid w:val="007C52F4"/>
    <w:rsid w:val="007C54C1"/>
    <w:rsid w:val="007C5509"/>
    <w:rsid w:val="007C559B"/>
    <w:rsid w:val="007C55AB"/>
    <w:rsid w:val="007C57A9"/>
    <w:rsid w:val="007C58E6"/>
    <w:rsid w:val="007C59C6"/>
    <w:rsid w:val="007C5F29"/>
    <w:rsid w:val="007C5F6B"/>
    <w:rsid w:val="007C5FFF"/>
    <w:rsid w:val="007C63EB"/>
    <w:rsid w:val="007C63EC"/>
    <w:rsid w:val="007C63F9"/>
    <w:rsid w:val="007C68D1"/>
    <w:rsid w:val="007C68D9"/>
    <w:rsid w:val="007C6A5A"/>
    <w:rsid w:val="007C6C75"/>
    <w:rsid w:val="007C6EC8"/>
    <w:rsid w:val="007C6F89"/>
    <w:rsid w:val="007C6FE8"/>
    <w:rsid w:val="007C7268"/>
    <w:rsid w:val="007C735F"/>
    <w:rsid w:val="007C7439"/>
    <w:rsid w:val="007C7710"/>
    <w:rsid w:val="007C7944"/>
    <w:rsid w:val="007C7948"/>
    <w:rsid w:val="007C7A03"/>
    <w:rsid w:val="007C7C55"/>
    <w:rsid w:val="007C7D80"/>
    <w:rsid w:val="007D00FE"/>
    <w:rsid w:val="007D018D"/>
    <w:rsid w:val="007D04EC"/>
    <w:rsid w:val="007D0534"/>
    <w:rsid w:val="007D071C"/>
    <w:rsid w:val="007D0743"/>
    <w:rsid w:val="007D0899"/>
    <w:rsid w:val="007D0B92"/>
    <w:rsid w:val="007D0FD0"/>
    <w:rsid w:val="007D138D"/>
    <w:rsid w:val="007D15C5"/>
    <w:rsid w:val="007D15D8"/>
    <w:rsid w:val="007D1703"/>
    <w:rsid w:val="007D1713"/>
    <w:rsid w:val="007D1815"/>
    <w:rsid w:val="007D1845"/>
    <w:rsid w:val="007D18A4"/>
    <w:rsid w:val="007D19FF"/>
    <w:rsid w:val="007D1A48"/>
    <w:rsid w:val="007D1A5C"/>
    <w:rsid w:val="007D1ABB"/>
    <w:rsid w:val="007D1FBB"/>
    <w:rsid w:val="007D238F"/>
    <w:rsid w:val="007D2594"/>
    <w:rsid w:val="007D2D17"/>
    <w:rsid w:val="007D2D6D"/>
    <w:rsid w:val="007D2EDC"/>
    <w:rsid w:val="007D3236"/>
    <w:rsid w:val="007D3555"/>
    <w:rsid w:val="007D35AE"/>
    <w:rsid w:val="007D369E"/>
    <w:rsid w:val="007D3CDF"/>
    <w:rsid w:val="007D3D5A"/>
    <w:rsid w:val="007D3DAE"/>
    <w:rsid w:val="007D3DB1"/>
    <w:rsid w:val="007D3EC5"/>
    <w:rsid w:val="007D4150"/>
    <w:rsid w:val="007D41E4"/>
    <w:rsid w:val="007D46B0"/>
    <w:rsid w:val="007D475B"/>
    <w:rsid w:val="007D480F"/>
    <w:rsid w:val="007D49A1"/>
    <w:rsid w:val="007D4EF2"/>
    <w:rsid w:val="007D50A7"/>
    <w:rsid w:val="007D51D2"/>
    <w:rsid w:val="007D5431"/>
    <w:rsid w:val="007D5546"/>
    <w:rsid w:val="007D58D2"/>
    <w:rsid w:val="007D5A6F"/>
    <w:rsid w:val="007D5B0E"/>
    <w:rsid w:val="007D5FA4"/>
    <w:rsid w:val="007D5FC4"/>
    <w:rsid w:val="007D603C"/>
    <w:rsid w:val="007D610E"/>
    <w:rsid w:val="007D6210"/>
    <w:rsid w:val="007D6290"/>
    <w:rsid w:val="007D62F9"/>
    <w:rsid w:val="007D63DF"/>
    <w:rsid w:val="007D6567"/>
    <w:rsid w:val="007D66EE"/>
    <w:rsid w:val="007D6825"/>
    <w:rsid w:val="007D6A32"/>
    <w:rsid w:val="007D6AC1"/>
    <w:rsid w:val="007D6C84"/>
    <w:rsid w:val="007D6D41"/>
    <w:rsid w:val="007D7022"/>
    <w:rsid w:val="007D75D1"/>
    <w:rsid w:val="007D76B1"/>
    <w:rsid w:val="007D7A53"/>
    <w:rsid w:val="007D7A7F"/>
    <w:rsid w:val="007D7B42"/>
    <w:rsid w:val="007D7C24"/>
    <w:rsid w:val="007D7EE2"/>
    <w:rsid w:val="007D7F0F"/>
    <w:rsid w:val="007D7F64"/>
    <w:rsid w:val="007D7FFA"/>
    <w:rsid w:val="007E02F2"/>
    <w:rsid w:val="007E03BC"/>
    <w:rsid w:val="007E03C0"/>
    <w:rsid w:val="007E05A1"/>
    <w:rsid w:val="007E0B35"/>
    <w:rsid w:val="007E0DA7"/>
    <w:rsid w:val="007E11D9"/>
    <w:rsid w:val="007E1397"/>
    <w:rsid w:val="007E16C9"/>
    <w:rsid w:val="007E17D8"/>
    <w:rsid w:val="007E1A3C"/>
    <w:rsid w:val="007E1B65"/>
    <w:rsid w:val="007E1DB8"/>
    <w:rsid w:val="007E1F55"/>
    <w:rsid w:val="007E2034"/>
    <w:rsid w:val="007E22DF"/>
    <w:rsid w:val="007E247C"/>
    <w:rsid w:val="007E2610"/>
    <w:rsid w:val="007E268E"/>
    <w:rsid w:val="007E275B"/>
    <w:rsid w:val="007E2836"/>
    <w:rsid w:val="007E285B"/>
    <w:rsid w:val="007E2A2D"/>
    <w:rsid w:val="007E2D87"/>
    <w:rsid w:val="007E2E86"/>
    <w:rsid w:val="007E2ECC"/>
    <w:rsid w:val="007E2F3C"/>
    <w:rsid w:val="007E2F98"/>
    <w:rsid w:val="007E31A9"/>
    <w:rsid w:val="007E332C"/>
    <w:rsid w:val="007E34BF"/>
    <w:rsid w:val="007E3524"/>
    <w:rsid w:val="007E35AA"/>
    <w:rsid w:val="007E38C0"/>
    <w:rsid w:val="007E3B36"/>
    <w:rsid w:val="007E4063"/>
    <w:rsid w:val="007E4076"/>
    <w:rsid w:val="007E41D1"/>
    <w:rsid w:val="007E4326"/>
    <w:rsid w:val="007E435D"/>
    <w:rsid w:val="007E44CA"/>
    <w:rsid w:val="007E4511"/>
    <w:rsid w:val="007E458F"/>
    <w:rsid w:val="007E46B5"/>
    <w:rsid w:val="007E47E8"/>
    <w:rsid w:val="007E4C9E"/>
    <w:rsid w:val="007E4CAD"/>
    <w:rsid w:val="007E4DC6"/>
    <w:rsid w:val="007E4FEC"/>
    <w:rsid w:val="007E50BA"/>
    <w:rsid w:val="007E5120"/>
    <w:rsid w:val="007E568A"/>
    <w:rsid w:val="007E579F"/>
    <w:rsid w:val="007E58D8"/>
    <w:rsid w:val="007E5A14"/>
    <w:rsid w:val="007E5A32"/>
    <w:rsid w:val="007E5CF3"/>
    <w:rsid w:val="007E60CD"/>
    <w:rsid w:val="007E60E7"/>
    <w:rsid w:val="007E61D4"/>
    <w:rsid w:val="007E61DE"/>
    <w:rsid w:val="007E61EE"/>
    <w:rsid w:val="007E6620"/>
    <w:rsid w:val="007E694C"/>
    <w:rsid w:val="007E69FB"/>
    <w:rsid w:val="007E6C8A"/>
    <w:rsid w:val="007E6D6A"/>
    <w:rsid w:val="007E6E5A"/>
    <w:rsid w:val="007E6F0D"/>
    <w:rsid w:val="007E6F7E"/>
    <w:rsid w:val="007E6F9B"/>
    <w:rsid w:val="007E7189"/>
    <w:rsid w:val="007E71B1"/>
    <w:rsid w:val="007E7212"/>
    <w:rsid w:val="007E7237"/>
    <w:rsid w:val="007E723C"/>
    <w:rsid w:val="007E77B6"/>
    <w:rsid w:val="007E78A6"/>
    <w:rsid w:val="007E7A9C"/>
    <w:rsid w:val="007E7C72"/>
    <w:rsid w:val="007F0026"/>
    <w:rsid w:val="007F008D"/>
    <w:rsid w:val="007F0597"/>
    <w:rsid w:val="007F0611"/>
    <w:rsid w:val="007F079B"/>
    <w:rsid w:val="007F092E"/>
    <w:rsid w:val="007F09D6"/>
    <w:rsid w:val="007F0A2B"/>
    <w:rsid w:val="007F0BAE"/>
    <w:rsid w:val="007F0BB1"/>
    <w:rsid w:val="007F0C92"/>
    <w:rsid w:val="007F0CC4"/>
    <w:rsid w:val="007F0D03"/>
    <w:rsid w:val="007F0E97"/>
    <w:rsid w:val="007F1011"/>
    <w:rsid w:val="007F1180"/>
    <w:rsid w:val="007F1498"/>
    <w:rsid w:val="007F15F1"/>
    <w:rsid w:val="007F1708"/>
    <w:rsid w:val="007F1823"/>
    <w:rsid w:val="007F18F2"/>
    <w:rsid w:val="007F1928"/>
    <w:rsid w:val="007F1986"/>
    <w:rsid w:val="007F1A7C"/>
    <w:rsid w:val="007F1BF2"/>
    <w:rsid w:val="007F1C62"/>
    <w:rsid w:val="007F1E2C"/>
    <w:rsid w:val="007F1E66"/>
    <w:rsid w:val="007F20C5"/>
    <w:rsid w:val="007F20D3"/>
    <w:rsid w:val="007F21B7"/>
    <w:rsid w:val="007F22F6"/>
    <w:rsid w:val="007F24B7"/>
    <w:rsid w:val="007F2502"/>
    <w:rsid w:val="007F2655"/>
    <w:rsid w:val="007F2735"/>
    <w:rsid w:val="007F28BB"/>
    <w:rsid w:val="007F2976"/>
    <w:rsid w:val="007F2B40"/>
    <w:rsid w:val="007F2B95"/>
    <w:rsid w:val="007F2D5B"/>
    <w:rsid w:val="007F304C"/>
    <w:rsid w:val="007F30CC"/>
    <w:rsid w:val="007F3148"/>
    <w:rsid w:val="007F3212"/>
    <w:rsid w:val="007F3496"/>
    <w:rsid w:val="007F3665"/>
    <w:rsid w:val="007F3981"/>
    <w:rsid w:val="007F3BF4"/>
    <w:rsid w:val="007F3C3A"/>
    <w:rsid w:val="007F3DE2"/>
    <w:rsid w:val="007F3E33"/>
    <w:rsid w:val="007F3E55"/>
    <w:rsid w:val="007F44E9"/>
    <w:rsid w:val="007F45A4"/>
    <w:rsid w:val="007F45D5"/>
    <w:rsid w:val="007F47BF"/>
    <w:rsid w:val="007F47D5"/>
    <w:rsid w:val="007F4828"/>
    <w:rsid w:val="007F4A72"/>
    <w:rsid w:val="007F4C27"/>
    <w:rsid w:val="007F4C45"/>
    <w:rsid w:val="007F4D79"/>
    <w:rsid w:val="007F4DBC"/>
    <w:rsid w:val="007F4E48"/>
    <w:rsid w:val="007F5115"/>
    <w:rsid w:val="007F51C8"/>
    <w:rsid w:val="007F52DB"/>
    <w:rsid w:val="007F53AB"/>
    <w:rsid w:val="007F57AC"/>
    <w:rsid w:val="007F591B"/>
    <w:rsid w:val="007F5B4C"/>
    <w:rsid w:val="007F5EDF"/>
    <w:rsid w:val="007F5F95"/>
    <w:rsid w:val="007F6204"/>
    <w:rsid w:val="007F6245"/>
    <w:rsid w:val="007F6429"/>
    <w:rsid w:val="007F681E"/>
    <w:rsid w:val="007F6B8F"/>
    <w:rsid w:val="007F6BE2"/>
    <w:rsid w:val="007F6DDB"/>
    <w:rsid w:val="007F6EFF"/>
    <w:rsid w:val="007F760D"/>
    <w:rsid w:val="007F78F6"/>
    <w:rsid w:val="007F7C60"/>
    <w:rsid w:val="007F7D5E"/>
    <w:rsid w:val="007F7E98"/>
    <w:rsid w:val="007F7FAD"/>
    <w:rsid w:val="008000E9"/>
    <w:rsid w:val="00800315"/>
    <w:rsid w:val="008005C8"/>
    <w:rsid w:val="008006BE"/>
    <w:rsid w:val="00800733"/>
    <w:rsid w:val="00800984"/>
    <w:rsid w:val="00800A48"/>
    <w:rsid w:val="00800A9D"/>
    <w:rsid w:val="00800B01"/>
    <w:rsid w:val="00800C96"/>
    <w:rsid w:val="00800DEF"/>
    <w:rsid w:val="00800F26"/>
    <w:rsid w:val="0080103A"/>
    <w:rsid w:val="0080110F"/>
    <w:rsid w:val="00801306"/>
    <w:rsid w:val="008017D8"/>
    <w:rsid w:val="008019B6"/>
    <w:rsid w:val="00801CDE"/>
    <w:rsid w:val="00802289"/>
    <w:rsid w:val="008024EF"/>
    <w:rsid w:val="008027B0"/>
    <w:rsid w:val="00802A27"/>
    <w:rsid w:val="00802B41"/>
    <w:rsid w:val="00802C23"/>
    <w:rsid w:val="00802C5A"/>
    <w:rsid w:val="00802CDD"/>
    <w:rsid w:val="00802F21"/>
    <w:rsid w:val="00803539"/>
    <w:rsid w:val="00803592"/>
    <w:rsid w:val="0080359D"/>
    <w:rsid w:val="008037E6"/>
    <w:rsid w:val="00803954"/>
    <w:rsid w:val="0080397A"/>
    <w:rsid w:val="00804083"/>
    <w:rsid w:val="00804144"/>
    <w:rsid w:val="008043EB"/>
    <w:rsid w:val="008046AD"/>
    <w:rsid w:val="00804CAA"/>
    <w:rsid w:val="00804DCD"/>
    <w:rsid w:val="00804E1D"/>
    <w:rsid w:val="00804F12"/>
    <w:rsid w:val="00804F78"/>
    <w:rsid w:val="00805194"/>
    <w:rsid w:val="0080526E"/>
    <w:rsid w:val="00805589"/>
    <w:rsid w:val="00805756"/>
    <w:rsid w:val="0080582C"/>
    <w:rsid w:val="0080588F"/>
    <w:rsid w:val="0080589E"/>
    <w:rsid w:val="00805A32"/>
    <w:rsid w:val="00805B1D"/>
    <w:rsid w:val="00805B23"/>
    <w:rsid w:val="00805C8D"/>
    <w:rsid w:val="00805C90"/>
    <w:rsid w:val="00805D55"/>
    <w:rsid w:val="00805D7D"/>
    <w:rsid w:val="00805E19"/>
    <w:rsid w:val="00805E61"/>
    <w:rsid w:val="00805EBA"/>
    <w:rsid w:val="00805F96"/>
    <w:rsid w:val="0080610E"/>
    <w:rsid w:val="0080619D"/>
    <w:rsid w:val="008064C1"/>
    <w:rsid w:val="00806812"/>
    <w:rsid w:val="0080682F"/>
    <w:rsid w:val="008068C4"/>
    <w:rsid w:val="00806A48"/>
    <w:rsid w:val="00806BB7"/>
    <w:rsid w:val="00806C5F"/>
    <w:rsid w:val="00806D01"/>
    <w:rsid w:val="00806D8B"/>
    <w:rsid w:val="00806F0F"/>
    <w:rsid w:val="00806F12"/>
    <w:rsid w:val="00806FED"/>
    <w:rsid w:val="00807054"/>
    <w:rsid w:val="0080706C"/>
    <w:rsid w:val="0080728A"/>
    <w:rsid w:val="00807631"/>
    <w:rsid w:val="008077F1"/>
    <w:rsid w:val="00807933"/>
    <w:rsid w:val="00807991"/>
    <w:rsid w:val="00807EE9"/>
    <w:rsid w:val="00807F66"/>
    <w:rsid w:val="0081024B"/>
    <w:rsid w:val="00810272"/>
    <w:rsid w:val="0081060F"/>
    <w:rsid w:val="00810A5B"/>
    <w:rsid w:val="00810E0D"/>
    <w:rsid w:val="008110F1"/>
    <w:rsid w:val="0081114B"/>
    <w:rsid w:val="008111BF"/>
    <w:rsid w:val="008111D8"/>
    <w:rsid w:val="00811231"/>
    <w:rsid w:val="00811574"/>
    <w:rsid w:val="0081168B"/>
    <w:rsid w:val="00811A2C"/>
    <w:rsid w:val="00811DAF"/>
    <w:rsid w:val="00811EA2"/>
    <w:rsid w:val="00811F01"/>
    <w:rsid w:val="00812328"/>
    <w:rsid w:val="008123B8"/>
    <w:rsid w:val="00812443"/>
    <w:rsid w:val="00812560"/>
    <w:rsid w:val="00812696"/>
    <w:rsid w:val="00812ADE"/>
    <w:rsid w:val="00812B59"/>
    <w:rsid w:val="00812CBA"/>
    <w:rsid w:val="00813244"/>
    <w:rsid w:val="00813351"/>
    <w:rsid w:val="008133E3"/>
    <w:rsid w:val="0081371A"/>
    <w:rsid w:val="00813773"/>
    <w:rsid w:val="00813853"/>
    <w:rsid w:val="00813A9E"/>
    <w:rsid w:val="00813CEB"/>
    <w:rsid w:val="00813D40"/>
    <w:rsid w:val="00813D8E"/>
    <w:rsid w:val="00813DBC"/>
    <w:rsid w:val="00813F7A"/>
    <w:rsid w:val="008140C2"/>
    <w:rsid w:val="00814170"/>
    <w:rsid w:val="0081435B"/>
    <w:rsid w:val="00814416"/>
    <w:rsid w:val="00814A10"/>
    <w:rsid w:val="00814DFF"/>
    <w:rsid w:val="00814E17"/>
    <w:rsid w:val="00815066"/>
    <w:rsid w:val="008150E2"/>
    <w:rsid w:val="0081515F"/>
    <w:rsid w:val="008151C8"/>
    <w:rsid w:val="00815412"/>
    <w:rsid w:val="0081548B"/>
    <w:rsid w:val="008154A7"/>
    <w:rsid w:val="00815AA9"/>
    <w:rsid w:val="00815C1B"/>
    <w:rsid w:val="00815FA1"/>
    <w:rsid w:val="00816007"/>
    <w:rsid w:val="008162AF"/>
    <w:rsid w:val="00816396"/>
    <w:rsid w:val="0081663C"/>
    <w:rsid w:val="0081668C"/>
    <w:rsid w:val="00816A37"/>
    <w:rsid w:val="00816AE4"/>
    <w:rsid w:val="00816B26"/>
    <w:rsid w:val="00816C10"/>
    <w:rsid w:val="00816C40"/>
    <w:rsid w:val="0081728E"/>
    <w:rsid w:val="0081735A"/>
    <w:rsid w:val="00817381"/>
    <w:rsid w:val="008174EA"/>
    <w:rsid w:val="00817657"/>
    <w:rsid w:val="00817778"/>
    <w:rsid w:val="0081783B"/>
    <w:rsid w:val="00817A3A"/>
    <w:rsid w:val="00817A50"/>
    <w:rsid w:val="00817F36"/>
    <w:rsid w:val="00817F45"/>
    <w:rsid w:val="00817FD2"/>
    <w:rsid w:val="0082014D"/>
    <w:rsid w:val="00820330"/>
    <w:rsid w:val="008203EE"/>
    <w:rsid w:val="00820408"/>
    <w:rsid w:val="00820449"/>
    <w:rsid w:val="008204D0"/>
    <w:rsid w:val="00820726"/>
    <w:rsid w:val="00820A90"/>
    <w:rsid w:val="00820AE2"/>
    <w:rsid w:val="00820C30"/>
    <w:rsid w:val="00820C75"/>
    <w:rsid w:val="00820ECA"/>
    <w:rsid w:val="0082152F"/>
    <w:rsid w:val="008215B2"/>
    <w:rsid w:val="008216CB"/>
    <w:rsid w:val="00821706"/>
    <w:rsid w:val="0082172C"/>
    <w:rsid w:val="00821DC5"/>
    <w:rsid w:val="00821F18"/>
    <w:rsid w:val="00821F3F"/>
    <w:rsid w:val="0082201D"/>
    <w:rsid w:val="0082204A"/>
    <w:rsid w:val="00822445"/>
    <w:rsid w:val="008224BA"/>
    <w:rsid w:val="008224C1"/>
    <w:rsid w:val="008224C4"/>
    <w:rsid w:val="008224F9"/>
    <w:rsid w:val="00822637"/>
    <w:rsid w:val="0082282D"/>
    <w:rsid w:val="00822995"/>
    <w:rsid w:val="00822BD1"/>
    <w:rsid w:val="00822D1C"/>
    <w:rsid w:val="00822ED5"/>
    <w:rsid w:val="00822FC7"/>
    <w:rsid w:val="008231F4"/>
    <w:rsid w:val="00823287"/>
    <w:rsid w:val="008232F0"/>
    <w:rsid w:val="008235B7"/>
    <w:rsid w:val="008236ED"/>
    <w:rsid w:val="008236FC"/>
    <w:rsid w:val="00823720"/>
    <w:rsid w:val="008237EC"/>
    <w:rsid w:val="00823814"/>
    <w:rsid w:val="008239E1"/>
    <w:rsid w:val="00823A5F"/>
    <w:rsid w:val="00823B77"/>
    <w:rsid w:val="00823DC8"/>
    <w:rsid w:val="00823FBE"/>
    <w:rsid w:val="00823FDD"/>
    <w:rsid w:val="00824169"/>
    <w:rsid w:val="00824174"/>
    <w:rsid w:val="00824289"/>
    <w:rsid w:val="0082433E"/>
    <w:rsid w:val="008248BA"/>
    <w:rsid w:val="00824909"/>
    <w:rsid w:val="00824C55"/>
    <w:rsid w:val="00824F29"/>
    <w:rsid w:val="00824FCD"/>
    <w:rsid w:val="008251A3"/>
    <w:rsid w:val="00825261"/>
    <w:rsid w:val="008253A4"/>
    <w:rsid w:val="0082559D"/>
    <w:rsid w:val="008256B2"/>
    <w:rsid w:val="008256FF"/>
    <w:rsid w:val="008258B5"/>
    <w:rsid w:val="00825A2B"/>
    <w:rsid w:val="00825CB7"/>
    <w:rsid w:val="0082623B"/>
    <w:rsid w:val="008262B0"/>
    <w:rsid w:val="008262D8"/>
    <w:rsid w:val="00826556"/>
    <w:rsid w:val="00826636"/>
    <w:rsid w:val="00826678"/>
    <w:rsid w:val="0082692F"/>
    <w:rsid w:val="00826AC1"/>
    <w:rsid w:val="00826E61"/>
    <w:rsid w:val="0082707E"/>
    <w:rsid w:val="0082736C"/>
    <w:rsid w:val="008274E5"/>
    <w:rsid w:val="008276C2"/>
    <w:rsid w:val="00827876"/>
    <w:rsid w:val="00827AD8"/>
    <w:rsid w:val="00827B34"/>
    <w:rsid w:val="00827C66"/>
    <w:rsid w:val="00827D2A"/>
    <w:rsid w:val="00827D9B"/>
    <w:rsid w:val="00827E1C"/>
    <w:rsid w:val="00827FB0"/>
    <w:rsid w:val="008304E5"/>
    <w:rsid w:val="0083053B"/>
    <w:rsid w:val="00830678"/>
    <w:rsid w:val="00830ADC"/>
    <w:rsid w:val="00830B2B"/>
    <w:rsid w:val="00830DB3"/>
    <w:rsid w:val="00830F1B"/>
    <w:rsid w:val="00830FD8"/>
    <w:rsid w:val="0083108F"/>
    <w:rsid w:val="008313E2"/>
    <w:rsid w:val="00831705"/>
    <w:rsid w:val="00831967"/>
    <w:rsid w:val="008319EC"/>
    <w:rsid w:val="00831AA8"/>
    <w:rsid w:val="00831AC1"/>
    <w:rsid w:val="00831D6D"/>
    <w:rsid w:val="0083204F"/>
    <w:rsid w:val="008321EA"/>
    <w:rsid w:val="00832259"/>
    <w:rsid w:val="008322C6"/>
    <w:rsid w:val="008323E9"/>
    <w:rsid w:val="00832456"/>
    <w:rsid w:val="00832579"/>
    <w:rsid w:val="00832614"/>
    <w:rsid w:val="008327C1"/>
    <w:rsid w:val="008328B3"/>
    <w:rsid w:val="0083293A"/>
    <w:rsid w:val="00832AB6"/>
    <w:rsid w:val="00832CF2"/>
    <w:rsid w:val="00832D43"/>
    <w:rsid w:val="008332E4"/>
    <w:rsid w:val="00833387"/>
    <w:rsid w:val="0083363D"/>
    <w:rsid w:val="00833672"/>
    <w:rsid w:val="008336D8"/>
    <w:rsid w:val="0083383D"/>
    <w:rsid w:val="00833995"/>
    <w:rsid w:val="00834273"/>
    <w:rsid w:val="008343BF"/>
    <w:rsid w:val="008344F1"/>
    <w:rsid w:val="00834927"/>
    <w:rsid w:val="00834AB9"/>
    <w:rsid w:val="00834B14"/>
    <w:rsid w:val="00834D1A"/>
    <w:rsid w:val="008352B5"/>
    <w:rsid w:val="00835342"/>
    <w:rsid w:val="00835349"/>
    <w:rsid w:val="00835392"/>
    <w:rsid w:val="0083554D"/>
    <w:rsid w:val="008356DC"/>
    <w:rsid w:val="008359EC"/>
    <w:rsid w:val="00835A7C"/>
    <w:rsid w:val="00835A8A"/>
    <w:rsid w:val="00835B7C"/>
    <w:rsid w:val="00835F46"/>
    <w:rsid w:val="008360E6"/>
    <w:rsid w:val="00836200"/>
    <w:rsid w:val="008362CC"/>
    <w:rsid w:val="008365A2"/>
    <w:rsid w:val="008366F3"/>
    <w:rsid w:val="00836A25"/>
    <w:rsid w:val="00836AB5"/>
    <w:rsid w:val="00836E47"/>
    <w:rsid w:val="008370EB"/>
    <w:rsid w:val="008373E4"/>
    <w:rsid w:val="008377CF"/>
    <w:rsid w:val="008377D4"/>
    <w:rsid w:val="00837A3D"/>
    <w:rsid w:val="00837BC3"/>
    <w:rsid w:val="00837BEF"/>
    <w:rsid w:val="00837D44"/>
    <w:rsid w:val="008400A9"/>
    <w:rsid w:val="008403A3"/>
    <w:rsid w:val="008404B6"/>
    <w:rsid w:val="00840594"/>
    <w:rsid w:val="008405E9"/>
    <w:rsid w:val="0084069E"/>
    <w:rsid w:val="008406E0"/>
    <w:rsid w:val="0084095A"/>
    <w:rsid w:val="00840AD9"/>
    <w:rsid w:val="00841366"/>
    <w:rsid w:val="008414B5"/>
    <w:rsid w:val="00841E0A"/>
    <w:rsid w:val="0084202F"/>
    <w:rsid w:val="00842055"/>
    <w:rsid w:val="00842227"/>
    <w:rsid w:val="00842320"/>
    <w:rsid w:val="00842466"/>
    <w:rsid w:val="00842590"/>
    <w:rsid w:val="00842607"/>
    <w:rsid w:val="00842720"/>
    <w:rsid w:val="00842B94"/>
    <w:rsid w:val="00842BF4"/>
    <w:rsid w:val="00842C53"/>
    <w:rsid w:val="00842D1D"/>
    <w:rsid w:val="00842D72"/>
    <w:rsid w:val="00842D87"/>
    <w:rsid w:val="00842EFA"/>
    <w:rsid w:val="00843040"/>
    <w:rsid w:val="0084352B"/>
    <w:rsid w:val="0084365D"/>
    <w:rsid w:val="008436C6"/>
    <w:rsid w:val="008437D7"/>
    <w:rsid w:val="00843BDB"/>
    <w:rsid w:val="00843CAB"/>
    <w:rsid w:val="00844157"/>
    <w:rsid w:val="0084450D"/>
    <w:rsid w:val="00844741"/>
    <w:rsid w:val="00844766"/>
    <w:rsid w:val="008447BB"/>
    <w:rsid w:val="008447F8"/>
    <w:rsid w:val="0084492C"/>
    <w:rsid w:val="00844DA5"/>
    <w:rsid w:val="00844F27"/>
    <w:rsid w:val="008451A9"/>
    <w:rsid w:val="0084548F"/>
    <w:rsid w:val="0084568F"/>
    <w:rsid w:val="0084569E"/>
    <w:rsid w:val="00845A24"/>
    <w:rsid w:val="00845A2A"/>
    <w:rsid w:val="00845B14"/>
    <w:rsid w:val="00845C6B"/>
    <w:rsid w:val="00845C93"/>
    <w:rsid w:val="00845DA9"/>
    <w:rsid w:val="00845E64"/>
    <w:rsid w:val="0084608F"/>
    <w:rsid w:val="008465F6"/>
    <w:rsid w:val="00846BCB"/>
    <w:rsid w:val="00846C72"/>
    <w:rsid w:val="00846CB3"/>
    <w:rsid w:val="00846DBE"/>
    <w:rsid w:val="00846E49"/>
    <w:rsid w:val="00847066"/>
    <w:rsid w:val="0084717A"/>
    <w:rsid w:val="0084718A"/>
    <w:rsid w:val="008471A0"/>
    <w:rsid w:val="0084720D"/>
    <w:rsid w:val="008473C3"/>
    <w:rsid w:val="0084744F"/>
    <w:rsid w:val="00847499"/>
    <w:rsid w:val="00847613"/>
    <w:rsid w:val="00847E85"/>
    <w:rsid w:val="00850116"/>
    <w:rsid w:val="0085019C"/>
    <w:rsid w:val="00850302"/>
    <w:rsid w:val="008503AC"/>
    <w:rsid w:val="00850420"/>
    <w:rsid w:val="0085043D"/>
    <w:rsid w:val="00850663"/>
    <w:rsid w:val="0085082F"/>
    <w:rsid w:val="0085084C"/>
    <w:rsid w:val="0085084D"/>
    <w:rsid w:val="00850862"/>
    <w:rsid w:val="008508C6"/>
    <w:rsid w:val="00850902"/>
    <w:rsid w:val="00850B13"/>
    <w:rsid w:val="00850D32"/>
    <w:rsid w:val="00850E5C"/>
    <w:rsid w:val="00850E67"/>
    <w:rsid w:val="008512DC"/>
    <w:rsid w:val="008512F4"/>
    <w:rsid w:val="0085139A"/>
    <w:rsid w:val="0085141C"/>
    <w:rsid w:val="00851535"/>
    <w:rsid w:val="008516B1"/>
    <w:rsid w:val="008516E9"/>
    <w:rsid w:val="00851826"/>
    <w:rsid w:val="0085199E"/>
    <w:rsid w:val="00851AA9"/>
    <w:rsid w:val="00851BB1"/>
    <w:rsid w:val="008520B7"/>
    <w:rsid w:val="0085238D"/>
    <w:rsid w:val="00852865"/>
    <w:rsid w:val="008529A4"/>
    <w:rsid w:val="00852EED"/>
    <w:rsid w:val="00852F49"/>
    <w:rsid w:val="00853026"/>
    <w:rsid w:val="008530BC"/>
    <w:rsid w:val="008532B2"/>
    <w:rsid w:val="00853326"/>
    <w:rsid w:val="0085355C"/>
    <w:rsid w:val="008535EC"/>
    <w:rsid w:val="008536CC"/>
    <w:rsid w:val="00853930"/>
    <w:rsid w:val="00853962"/>
    <w:rsid w:val="00853B8C"/>
    <w:rsid w:val="00853C28"/>
    <w:rsid w:val="00853E58"/>
    <w:rsid w:val="00853F3B"/>
    <w:rsid w:val="00854017"/>
    <w:rsid w:val="008540BB"/>
    <w:rsid w:val="0085415C"/>
    <w:rsid w:val="00854190"/>
    <w:rsid w:val="008541AE"/>
    <w:rsid w:val="008542D6"/>
    <w:rsid w:val="00854474"/>
    <w:rsid w:val="008544BF"/>
    <w:rsid w:val="00854886"/>
    <w:rsid w:val="00855072"/>
    <w:rsid w:val="008553E0"/>
    <w:rsid w:val="00855596"/>
    <w:rsid w:val="00855723"/>
    <w:rsid w:val="0085574D"/>
    <w:rsid w:val="008557E5"/>
    <w:rsid w:val="00855A9A"/>
    <w:rsid w:val="00855B2C"/>
    <w:rsid w:val="008560A0"/>
    <w:rsid w:val="008565FC"/>
    <w:rsid w:val="0085690A"/>
    <w:rsid w:val="00856A0E"/>
    <w:rsid w:val="00856B9B"/>
    <w:rsid w:val="00856C79"/>
    <w:rsid w:val="00856CC7"/>
    <w:rsid w:val="00856DB6"/>
    <w:rsid w:val="008570DE"/>
    <w:rsid w:val="0085723B"/>
    <w:rsid w:val="008572B0"/>
    <w:rsid w:val="008574FF"/>
    <w:rsid w:val="0085799C"/>
    <w:rsid w:val="00857C3D"/>
    <w:rsid w:val="00857CA2"/>
    <w:rsid w:val="00857CCA"/>
    <w:rsid w:val="00857DDE"/>
    <w:rsid w:val="00857F3E"/>
    <w:rsid w:val="00857F41"/>
    <w:rsid w:val="00857F5B"/>
    <w:rsid w:val="00857FAC"/>
    <w:rsid w:val="00857FCB"/>
    <w:rsid w:val="00860220"/>
    <w:rsid w:val="008602F9"/>
    <w:rsid w:val="00860831"/>
    <w:rsid w:val="00860AB1"/>
    <w:rsid w:val="00860C58"/>
    <w:rsid w:val="00860CDE"/>
    <w:rsid w:val="00860CF5"/>
    <w:rsid w:val="00860D63"/>
    <w:rsid w:val="00861103"/>
    <w:rsid w:val="00861236"/>
    <w:rsid w:val="008612D6"/>
    <w:rsid w:val="00861804"/>
    <w:rsid w:val="0086188B"/>
    <w:rsid w:val="00861929"/>
    <w:rsid w:val="00861A44"/>
    <w:rsid w:val="00861E06"/>
    <w:rsid w:val="00861EA9"/>
    <w:rsid w:val="00862336"/>
    <w:rsid w:val="00862507"/>
    <w:rsid w:val="00862637"/>
    <w:rsid w:val="00862836"/>
    <w:rsid w:val="0086286F"/>
    <w:rsid w:val="00862AA9"/>
    <w:rsid w:val="00862FA4"/>
    <w:rsid w:val="00863087"/>
    <w:rsid w:val="00863122"/>
    <w:rsid w:val="00863178"/>
    <w:rsid w:val="008631CE"/>
    <w:rsid w:val="00863557"/>
    <w:rsid w:val="008637EB"/>
    <w:rsid w:val="00863A93"/>
    <w:rsid w:val="00863A9C"/>
    <w:rsid w:val="00863C60"/>
    <w:rsid w:val="00863DA6"/>
    <w:rsid w:val="00863DBC"/>
    <w:rsid w:val="008640B1"/>
    <w:rsid w:val="0086411F"/>
    <w:rsid w:val="0086416C"/>
    <w:rsid w:val="0086443E"/>
    <w:rsid w:val="00864530"/>
    <w:rsid w:val="008645AE"/>
    <w:rsid w:val="008645F8"/>
    <w:rsid w:val="00864664"/>
    <w:rsid w:val="008647CF"/>
    <w:rsid w:val="00864B6E"/>
    <w:rsid w:val="00864CF1"/>
    <w:rsid w:val="00864EEC"/>
    <w:rsid w:val="00864F2C"/>
    <w:rsid w:val="00864F50"/>
    <w:rsid w:val="00864FF0"/>
    <w:rsid w:val="00865123"/>
    <w:rsid w:val="008653B2"/>
    <w:rsid w:val="0086540E"/>
    <w:rsid w:val="008655FA"/>
    <w:rsid w:val="008656BB"/>
    <w:rsid w:val="00865A9B"/>
    <w:rsid w:val="00865D23"/>
    <w:rsid w:val="00865E03"/>
    <w:rsid w:val="00865ED6"/>
    <w:rsid w:val="00865F9C"/>
    <w:rsid w:val="00866005"/>
    <w:rsid w:val="0086614B"/>
    <w:rsid w:val="00866150"/>
    <w:rsid w:val="00866203"/>
    <w:rsid w:val="00866360"/>
    <w:rsid w:val="0086659C"/>
    <w:rsid w:val="00866732"/>
    <w:rsid w:val="008667C7"/>
    <w:rsid w:val="00866A75"/>
    <w:rsid w:val="00866BF2"/>
    <w:rsid w:val="00866EC9"/>
    <w:rsid w:val="0086719C"/>
    <w:rsid w:val="00867468"/>
    <w:rsid w:val="00867494"/>
    <w:rsid w:val="0086775E"/>
    <w:rsid w:val="008678C8"/>
    <w:rsid w:val="00867A1C"/>
    <w:rsid w:val="00867E11"/>
    <w:rsid w:val="00867ED3"/>
    <w:rsid w:val="00867F41"/>
    <w:rsid w:val="00867F4C"/>
    <w:rsid w:val="00870500"/>
    <w:rsid w:val="00870580"/>
    <w:rsid w:val="00870603"/>
    <w:rsid w:val="0087072D"/>
    <w:rsid w:val="008707A8"/>
    <w:rsid w:val="00870983"/>
    <w:rsid w:val="00870D05"/>
    <w:rsid w:val="00870DDC"/>
    <w:rsid w:val="00870EA7"/>
    <w:rsid w:val="00870F6B"/>
    <w:rsid w:val="00870F8D"/>
    <w:rsid w:val="0087135E"/>
    <w:rsid w:val="00871458"/>
    <w:rsid w:val="00871957"/>
    <w:rsid w:val="00871A47"/>
    <w:rsid w:val="00871B1B"/>
    <w:rsid w:val="00871E12"/>
    <w:rsid w:val="00871EB6"/>
    <w:rsid w:val="008720A2"/>
    <w:rsid w:val="008720CB"/>
    <w:rsid w:val="008721C9"/>
    <w:rsid w:val="00872902"/>
    <w:rsid w:val="00872E29"/>
    <w:rsid w:val="00872F4A"/>
    <w:rsid w:val="00872FD2"/>
    <w:rsid w:val="0087337A"/>
    <w:rsid w:val="00873577"/>
    <w:rsid w:val="00873827"/>
    <w:rsid w:val="00873B5F"/>
    <w:rsid w:val="00873D35"/>
    <w:rsid w:val="00873EFF"/>
    <w:rsid w:val="00874073"/>
    <w:rsid w:val="008741F6"/>
    <w:rsid w:val="00874518"/>
    <w:rsid w:val="0087464D"/>
    <w:rsid w:val="008747DC"/>
    <w:rsid w:val="0087483F"/>
    <w:rsid w:val="00874DA9"/>
    <w:rsid w:val="00874F4E"/>
    <w:rsid w:val="00875315"/>
    <w:rsid w:val="00875479"/>
    <w:rsid w:val="00875649"/>
    <w:rsid w:val="00875953"/>
    <w:rsid w:val="00875D63"/>
    <w:rsid w:val="00875DAE"/>
    <w:rsid w:val="00875E57"/>
    <w:rsid w:val="00875E5D"/>
    <w:rsid w:val="00875ECC"/>
    <w:rsid w:val="00875F47"/>
    <w:rsid w:val="00876475"/>
    <w:rsid w:val="00876869"/>
    <w:rsid w:val="00876883"/>
    <w:rsid w:val="00876BCC"/>
    <w:rsid w:val="00876CC1"/>
    <w:rsid w:val="00876CCD"/>
    <w:rsid w:val="00876CDE"/>
    <w:rsid w:val="00876D32"/>
    <w:rsid w:val="00877034"/>
    <w:rsid w:val="008770D4"/>
    <w:rsid w:val="00877132"/>
    <w:rsid w:val="0087718E"/>
    <w:rsid w:val="008772D1"/>
    <w:rsid w:val="008773CB"/>
    <w:rsid w:val="008773D6"/>
    <w:rsid w:val="008776EF"/>
    <w:rsid w:val="00877BA1"/>
    <w:rsid w:val="00877CFB"/>
    <w:rsid w:val="00877D60"/>
    <w:rsid w:val="00880035"/>
    <w:rsid w:val="0088015A"/>
    <w:rsid w:val="00880310"/>
    <w:rsid w:val="00880433"/>
    <w:rsid w:val="0088064D"/>
    <w:rsid w:val="00880699"/>
    <w:rsid w:val="00880910"/>
    <w:rsid w:val="00880BE5"/>
    <w:rsid w:val="00880C09"/>
    <w:rsid w:val="00880F90"/>
    <w:rsid w:val="00881012"/>
    <w:rsid w:val="00881161"/>
    <w:rsid w:val="00881243"/>
    <w:rsid w:val="0088125F"/>
    <w:rsid w:val="008812FE"/>
    <w:rsid w:val="00881300"/>
    <w:rsid w:val="00881313"/>
    <w:rsid w:val="00881395"/>
    <w:rsid w:val="0088143D"/>
    <w:rsid w:val="008814A0"/>
    <w:rsid w:val="008814DE"/>
    <w:rsid w:val="008816A1"/>
    <w:rsid w:val="00881721"/>
    <w:rsid w:val="00881AA9"/>
    <w:rsid w:val="00881AC9"/>
    <w:rsid w:val="00881ACF"/>
    <w:rsid w:val="00881BCE"/>
    <w:rsid w:val="00881C69"/>
    <w:rsid w:val="00881C90"/>
    <w:rsid w:val="00881CFD"/>
    <w:rsid w:val="00881FC8"/>
    <w:rsid w:val="008820E0"/>
    <w:rsid w:val="00882116"/>
    <w:rsid w:val="00882194"/>
    <w:rsid w:val="008821EF"/>
    <w:rsid w:val="008821F5"/>
    <w:rsid w:val="00882278"/>
    <w:rsid w:val="008822D9"/>
    <w:rsid w:val="00882465"/>
    <w:rsid w:val="0088252B"/>
    <w:rsid w:val="00882723"/>
    <w:rsid w:val="00882853"/>
    <w:rsid w:val="00882912"/>
    <w:rsid w:val="00882A71"/>
    <w:rsid w:val="00882B24"/>
    <w:rsid w:val="00882BD0"/>
    <w:rsid w:val="00882D0E"/>
    <w:rsid w:val="00882E38"/>
    <w:rsid w:val="00882E3B"/>
    <w:rsid w:val="00882F92"/>
    <w:rsid w:val="00882F99"/>
    <w:rsid w:val="00882FAC"/>
    <w:rsid w:val="00882FD5"/>
    <w:rsid w:val="00882FEC"/>
    <w:rsid w:val="0088307E"/>
    <w:rsid w:val="00883153"/>
    <w:rsid w:val="00883185"/>
    <w:rsid w:val="00883283"/>
    <w:rsid w:val="008832FF"/>
    <w:rsid w:val="008834BC"/>
    <w:rsid w:val="00883735"/>
    <w:rsid w:val="008838FB"/>
    <w:rsid w:val="00883AA1"/>
    <w:rsid w:val="00883B12"/>
    <w:rsid w:val="00883E6C"/>
    <w:rsid w:val="00883FCB"/>
    <w:rsid w:val="008840EE"/>
    <w:rsid w:val="00884118"/>
    <w:rsid w:val="00884190"/>
    <w:rsid w:val="0088430B"/>
    <w:rsid w:val="008844FC"/>
    <w:rsid w:val="008845B4"/>
    <w:rsid w:val="008847FE"/>
    <w:rsid w:val="00884973"/>
    <w:rsid w:val="00884A34"/>
    <w:rsid w:val="00884B2A"/>
    <w:rsid w:val="00884C81"/>
    <w:rsid w:val="008851ED"/>
    <w:rsid w:val="00885295"/>
    <w:rsid w:val="008852B4"/>
    <w:rsid w:val="00885411"/>
    <w:rsid w:val="008857FF"/>
    <w:rsid w:val="00885963"/>
    <w:rsid w:val="00885BF9"/>
    <w:rsid w:val="00885CB3"/>
    <w:rsid w:val="00885F25"/>
    <w:rsid w:val="008863A0"/>
    <w:rsid w:val="00886592"/>
    <w:rsid w:val="00886A25"/>
    <w:rsid w:val="00886AE2"/>
    <w:rsid w:val="00886B34"/>
    <w:rsid w:val="00886B57"/>
    <w:rsid w:val="00886BD8"/>
    <w:rsid w:val="00886C78"/>
    <w:rsid w:val="00886D82"/>
    <w:rsid w:val="00886EFA"/>
    <w:rsid w:val="00887100"/>
    <w:rsid w:val="0088736E"/>
    <w:rsid w:val="0088744F"/>
    <w:rsid w:val="008875A8"/>
    <w:rsid w:val="008877A4"/>
    <w:rsid w:val="00887A6F"/>
    <w:rsid w:val="00887B1B"/>
    <w:rsid w:val="00887D21"/>
    <w:rsid w:val="00887D75"/>
    <w:rsid w:val="00887E14"/>
    <w:rsid w:val="00887E6E"/>
    <w:rsid w:val="00887EA4"/>
    <w:rsid w:val="008900D0"/>
    <w:rsid w:val="00890183"/>
    <w:rsid w:val="00890387"/>
    <w:rsid w:val="00890405"/>
    <w:rsid w:val="00890660"/>
    <w:rsid w:val="00890C2D"/>
    <w:rsid w:val="00890E93"/>
    <w:rsid w:val="00890EED"/>
    <w:rsid w:val="00890F56"/>
    <w:rsid w:val="008911A0"/>
    <w:rsid w:val="008912E2"/>
    <w:rsid w:val="008912EB"/>
    <w:rsid w:val="008913D2"/>
    <w:rsid w:val="00891473"/>
    <w:rsid w:val="008915F5"/>
    <w:rsid w:val="008915F6"/>
    <w:rsid w:val="008917C3"/>
    <w:rsid w:val="00891A99"/>
    <w:rsid w:val="00891B34"/>
    <w:rsid w:val="00891B92"/>
    <w:rsid w:val="00891CC9"/>
    <w:rsid w:val="00891FFA"/>
    <w:rsid w:val="00891FFC"/>
    <w:rsid w:val="0089209F"/>
    <w:rsid w:val="00892218"/>
    <w:rsid w:val="00892225"/>
    <w:rsid w:val="00892461"/>
    <w:rsid w:val="00892591"/>
    <w:rsid w:val="008926A7"/>
    <w:rsid w:val="00892935"/>
    <w:rsid w:val="008929EA"/>
    <w:rsid w:val="00892BF9"/>
    <w:rsid w:val="00892CA1"/>
    <w:rsid w:val="00892D34"/>
    <w:rsid w:val="00892D93"/>
    <w:rsid w:val="0089303A"/>
    <w:rsid w:val="0089307B"/>
    <w:rsid w:val="0089332E"/>
    <w:rsid w:val="00893407"/>
    <w:rsid w:val="008935A3"/>
    <w:rsid w:val="00893A76"/>
    <w:rsid w:val="00893BC3"/>
    <w:rsid w:val="00893BE2"/>
    <w:rsid w:val="00893C94"/>
    <w:rsid w:val="0089407F"/>
    <w:rsid w:val="00894213"/>
    <w:rsid w:val="0089429A"/>
    <w:rsid w:val="008942B8"/>
    <w:rsid w:val="008944ED"/>
    <w:rsid w:val="008947B7"/>
    <w:rsid w:val="008949A1"/>
    <w:rsid w:val="00894D4A"/>
    <w:rsid w:val="00894EED"/>
    <w:rsid w:val="00894F9A"/>
    <w:rsid w:val="00894FAC"/>
    <w:rsid w:val="008950E7"/>
    <w:rsid w:val="00895254"/>
    <w:rsid w:val="00895303"/>
    <w:rsid w:val="0089535F"/>
    <w:rsid w:val="0089547E"/>
    <w:rsid w:val="0089556C"/>
    <w:rsid w:val="008956CC"/>
    <w:rsid w:val="00895DD4"/>
    <w:rsid w:val="00895E4C"/>
    <w:rsid w:val="00895EE9"/>
    <w:rsid w:val="00896192"/>
    <w:rsid w:val="0089623C"/>
    <w:rsid w:val="0089642D"/>
    <w:rsid w:val="0089645E"/>
    <w:rsid w:val="00896468"/>
    <w:rsid w:val="00896730"/>
    <w:rsid w:val="00896936"/>
    <w:rsid w:val="00896BD0"/>
    <w:rsid w:val="00897703"/>
    <w:rsid w:val="008977A2"/>
    <w:rsid w:val="0089785D"/>
    <w:rsid w:val="00897A03"/>
    <w:rsid w:val="00897BA6"/>
    <w:rsid w:val="00897F1B"/>
    <w:rsid w:val="008A019D"/>
    <w:rsid w:val="008A01FE"/>
    <w:rsid w:val="008A03EF"/>
    <w:rsid w:val="008A069A"/>
    <w:rsid w:val="008A084C"/>
    <w:rsid w:val="008A0BF7"/>
    <w:rsid w:val="008A0E45"/>
    <w:rsid w:val="008A0EFC"/>
    <w:rsid w:val="008A110A"/>
    <w:rsid w:val="008A1216"/>
    <w:rsid w:val="008A13B8"/>
    <w:rsid w:val="008A1426"/>
    <w:rsid w:val="008A169E"/>
    <w:rsid w:val="008A16C4"/>
    <w:rsid w:val="008A1ADF"/>
    <w:rsid w:val="008A1B09"/>
    <w:rsid w:val="008A1D63"/>
    <w:rsid w:val="008A1D70"/>
    <w:rsid w:val="008A1F69"/>
    <w:rsid w:val="008A2108"/>
    <w:rsid w:val="008A2383"/>
    <w:rsid w:val="008A29F3"/>
    <w:rsid w:val="008A2A4D"/>
    <w:rsid w:val="008A2F2B"/>
    <w:rsid w:val="008A31C9"/>
    <w:rsid w:val="008A3444"/>
    <w:rsid w:val="008A3493"/>
    <w:rsid w:val="008A34D5"/>
    <w:rsid w:val="008A3E63"/>
    <w:rsid w:val="008A418B"/>
    <w:rsid w:val="008A42A9"/>
    <w:rsid w:val="008A4354"/>
    <w:rsid w:val="008A45E8"/>
    <w:rsid w:val="008A45FA"/>
    <w:rsid w:val="008A48E0"/>
    <w:rsid w:val="008A493F"/>
    <w:rsid w:val="008A4D81"/>
    <w:rsid w:val="008A5205"/>
    <w:rsid w:val="008A53CE"/>
    <w:rsid w:val="008A5559"/>
    <w:rsid w:val="008A5A10"/>
    <w:rsid w:val="008A5B80"/>
    <w:rsid w:val="008A5BCF"/>
    <w:rsid w:val="008A5C62"/>
    <w:rsid w:val="008A5C74"/>
    <w:rsid w:val="008A5E43"/>
    <w:rsid w:val="008A6290"/>
    <w:rsid w:val="008A652F"/>
    <w:rsid w:val="008A671E"/>
    <w:rsid w:val="008A6875"/>
    <w:rsid w:val="008A6C51"/>
    <w:rsid w:val="008A6C7A"/>
    <w:rsid w:val="008A6C98"/>
    <w:rsid w:val="008A6CBF"/>
    <w:rsid w:val="008A6CF9"/>
    <w:rsid w:val="008A6E75"/>
    <w:rsid w:val="008A70DB"/>
    <w:rsid w:val="008A71FF"/>
    <w:rsid w:val="008A7736"/>
    <w:rsid w:val="008A77FB"/>
    <w:rsid w:val="008A7AB6"/>
    <w:rsid w:val="008A7C4F"/>
    <w:rsid w:val="008A7D7C"/>
    <w:rsid w:val="008A7FB4"/>
    <w:rsid w:val="008B0073"/>
    <w:rsid w:val="008B0130"/>
    <w:rsid w:val="008B01F6"/>
    <w:rsid w:val="008B0497"/>
    <w:rsid w:val="008B0578"/>
    <w:rsid w:val="008B078F"/>
    <w:rsid w:val="008B0825"/>
    <w:rsid w:val="008B0905"/>
    <w:rsid w:val="008B0986"/>
    <w:rsid w:val="008B0C7D"/>
    <w:rsid w:val="008B0C94"/>
    <w:rsid w:val="008B0CEA"/>
    <w:rsid w:val="008B0D75"/>
    <w:rsid w:val="008B0DFA"/>
    <w:rsid w:val="008B1017"/>
    <w:rsid w:val="008B11D1"/>
    <w:rsid w:val="008B127C"/>
    <w:rsid w:val="008B1789"/>
    <w:rsid w:val="008B1A01"/>
    <w:rsid w:val="008B1D56"/>
    <w:rsid w:val="008B1EC3"/>
    <w:rsid w:val="008B225A"/>
    <w:rsid w:val="008B234C"/>
    <w:rsid w:val="008B2406"/>
    <w:rsid w:val="008B256A"/>
    <w:rsid w:val="008B268E"/>
    <w:rsid w:val="008B26FD"/>
    <w:rsid w:val="008B27F2"/>
    <w:rsid w:val="008B2851"/>
    <w:rsid w:val="008B2919"/>
    <w:rsid w:val="008B2E86"/>
    <w:rsid w:val="008B3127"/>
    <w:rsid w:val="008B324A"/>
    <w:rsid w:val="008B3484"/>
    <w:rsid w:val="008B3671"/>
    <w:rsid w:val="008B3707"/>
    <w:rsid w:val="008B3A76"/>
    <w:rsid w:val="008B3AC5"/>
    <w:rsid w:val="008B3CD1"/>
    <w:rsid w:val="008B3D39"/>
    <w:rsid w:val="008B3E87"/>
    <w:rsid w:val="008B3EB1"/>
    <w:rsid w:val="008B3FF9"/>
    <w:rsid w:val="008B4443"/>
    <w:rsid w:val="008B4DD5"/>
    <w:rsid w:val="008B4EF2"/>
    <w:rsid w:val="008B50DF"/>
    <w:rsid w:val="008B530D"/>
    <w:rsid w:val="008B5563"/>
    <w:rsid w:val="008B583D"/>
    <w:rsid w:val="008B596E"/>
    <w:rsid w:val="008B5997"/>
    <w:rsid w:val="008B5C1A"/>
    <w:rsid w:val="008B5D2D"/>
    <w:rsid w:val="008B5E93"/>
    <w:rsid w:val="008B5FA4"/>
    <w:rsid w:val="008B600C"/>
    <w:rsid w:val="008B6219"/>
    <w:rsid w:val="008B638A"/>
    <w:rsid w:val="008B6449"/>
    <w:rsid w:val="008B67F7"/>
    <w:rsid w:val="008B6972"/>
    <w:rsid w:val="008B6DE1"/>
    <w:rsid w:val="008B7020"/>
    <w:rsid w:val="008B7177"/>
    <w:rsid w:val="008B7283"/>
    <w:rsid w:val="008B73A0"/>
    <w:rsid w:val="008B7581"/>
    <w:rsid w:val="008B75AA"/>
    <w:rsid w:val="008B75D8"/>
    <w:rsid w:val="008B791F"/>
    <w:rsid w:val="008B7926"/>
    <w:rsid w:val="008B7963"/>
    <w:rsid w:val="008B7B0B"/>
    <w:rsid w:val="008B7B68"/>
    <w:rsid w:val="008B7BFB"/>
    <w:rsid w:val="008B7D1A"/>
    <w:rsid w:val="008B7E37"/>
    <w:rsid w:val="008B7F9E"/>
    <w:rsid w:val="008C00C8"/>
    <w:rsid w:val="008C0194"/>
    <w:rsid w:val="008C0355"/>
    <w:rsid w:val="008C0358"/>
    <w:rsid w:val="008C03B0"/>
    <w:rsid w:val="008C064C"/>
    <w:rsid w:val="008C0720"/>
    <w:rsid w:val="008C07A4"/>
    <w:rsid w:val="008C0DE1"/>
    <w:rsid w:val="008C0E3E"/>
    <w:rsid w:val="008C0EAA"/>
    <w:rsid w:val="008C0EDE"/>
    <w:rsid w:val="008C0F3A"/>
    <w:rsid w:val="008C1116"/>
    <w:rsid w:val="008C1150"/>
    <w:rsid w:val="008C14C6"/>
    <w:rsid w:val="008C14D8"/>
    <w:rsid w:val="008C1822"/>
    <w:rsid w:val="008C1927"/>
    <w:rsid w:val="008C199A"/>
    <w:rsid w:val="008C1A11"/>
    <w:rsid w:val="008C1A15"/>
    <w:rsid w:val="008C1B39"/>
    <w:rsid w:val="008C1D68"/>
    <w:rsid w:val="008C1E37"/>
    <w:rsid w:val="008C1F81"/>
    <w:rsid w:val="008C20E2"/>
    <w:rsid w:val="008C2123"/>
    <w:rsid w:val="008C2357"/>
    <w:rsid w:val="008C24D0"/>
    <w:rsid w:val="008C2D66"/>
    <w:rsid w:val="008C2F93"/>
    <w:rsid w:val="008C314B"/>
    <w:rsid w:val="008C31F0"/>
    <w:rsid w:val="008C3345"/>
    <w:rsid w:val="008C3373"/>
    <w:rsid w:val="008C346A"/>
    <w:rsid w:val="008C34C2"/>
    <w:rsid w:val="008C35E7"/>
    <w:rsid w:val="008C3626"/>
    <w:rsid w:val="008C3780"/>
    <w:rsid w:val="008C393B"/>
    <w:rsid w:val="008C3C53"/>
    <w:rsid w:val="008C3CD6"/>
    <w:rsid w:val="008C3E15"/>
    <w:rsid w:val="008C43F0"/>
    <w:rsid w:val="008C4687"/>
    <w:rsid w:val="008C497E"/>
    <w:rsid w:val="008C4F41"/>
    <w:rsid w:val="008C5227"/>
    <w:rsid w:val="008C52C6"/>
    <w:rsid w:val="008C559D"/>
    <w:rsid w:val="008C559E"/>
    <w:rsid w:val="008C5652"/>
    <w:rsid w:val="008C595C"/>
    <w:rsid w:val="008C5A91"/>
    <w:rsid w:val="008C5BB0"/>
    <w:rsid w:val="008C5D41"/>
    <w:rsid w:val="008C5D8E"/>
    <w:rsid w:val="008C6183"/>
    <w:rsid w:val="008C6457"/>
    <w:rsid w:val="008C658A"/>
    <w:rsid w:val="008C673E"/>
    <w:rsid w:val="008C67B1"/>
    <w:rsid w:val="008C68C7"/>
    <w:rsid w:val="008C6ABF"/>
    <w:rsid w:val="008C6B92"/>
    <w:rsid w:val="008C6C21"/>
    <w:rsid w:val="008C6CF6"/>
    <w:rsid w:val="008C6FDB"/>
    <w:rsid w:val="008C706A"/>
    <w:rsid w:val="008C70C0"/>
    <w:rsid w:val="008C7251"/>
    <w:rsid w:val="008C740D"/>
    <w:rsid w:val="008C748D"/>
    <w:rsid w:val="008C7615"/>
    <w:rsid w:val="008C7B0B"/>
    <w:rsid w:val="008C7B1C"/>
    <w:rsid w:val="008C7B91"/>
    <w:rsid w:val="008C7F62"/>
    <w:rsid w:val="008D01C3"/>
    <w:rsid w:val="008D038B"/>
    <w:rsid w:val="008D0392"/>
    <w:rsid w:val="008D04A4"/>
    <w:rsid w:val="008D0796"/>
    <w:rsid w:val="008D07EA"/>
    <w:rsid w:val="008D083E"/>
    <w:rsid w:val="008D08BA"/>
    <w:rsid w:val="008D09C1"/>
    <w:rsid w:val="008D0B64"/>
    <w:rsid w:val="008D115D"/>
    <w:rsid w:val="008D122D"/>
    <w:rsid w:val="008D12F4"/>
    <w:rsid w:val="008D19C7"/>
    <w:rsid w:val="008D1B88"/>
    <w:rsid w:val="008D1CE3"/>
    <w:rsid w:val="008D1DA5"/>
    <w:rsid w:val="008D1EC4"/>
    <w:rsid w:val="008D1F5E"/>
    <w:rsid w:val="008D2334"/>
    <w:rsid w:val="008D27AA"/>
    <w:rsid w:val="008D2986"/>
    <w:rsid w:val="008D29D6"/>
    <w:rsid w:val="008D2BD1"/>
    <w:rsid w:val="008D2DA3"/>
    <w:rsid w:val="008D2FAA"/>
    <w:rsid w:val="008D30EB"/>
    <w:rsid w:val="008D350B"/>
    <w:rsid w:val="008D3533"/>
    <w:rsid w:val="008D368F"/>
    <w:rsid w:val="008D376C"/>
    <w:rsid w:val="008D3B5B"/>
    <w:rsid w:val="008D3E61"/>
    <w:rsid w:val="008D3FD9"/>
    <w:rsid w:val="008D3FF7"/>
    <w:rsid w:val="008D403D"/>
    <w:rsid w:val="008D41BE"/>
    <w:rsid w:val="008D4582"/>
    <w:rsid w:val="008D4ABA"/>
    <w:rsid w:val="008D4AF7"/>
    <w:rsid w:val="008D4C60"/>
    <w:rsid w:val="008D56EE"/>
    <w:rsid w:val="008D58FB"/>
    <w:rsid w:val="008D5CF1"/>
    <w:rsid w:val="008D5DA5"/>
    <w:rsid w:val="008D5E32"/>
    <w:rsid w:val="008D5F11"/>
    <w:rsid w:val="008D6056"/>
    <w:rsid w:val="008D619F"/>
    <w:rsid w:val="008D63DD"/>
    <w:rsid w:val="008D6402"/>
    <w:rsid w:val="008D64B3"/>
    <w:rsid w:val="008D698C"/>
    <w:rsid w:val="008D6B03"/>
    <w:rsid w:val="008D6FBE"/>
    <w:rsid w:val="008D709A"/>
    <w:rsid w:val="008D7218"/>
    <w:rsid w:val="008D72F7"/>
    <w:rsid w:val="008D72FE"/>
    <w:rsid w:val="008D73E4"/>
    <w:rsid w:val="008D745E"/>
    <w:rsid w:val="008D765D"/>
    <w:rsid w:val="008D7765"/>
    <w:rsid w:val="008D78B8"/>
    <w:rsid w:val="008D79C8"/>
    <w:rsid w:val="008D7A16"/>
    <w:rsid w:val="008D7AC8"/>
    <w:rsid w:val="008D7C9A"/>
    <w:rsid w:val="008D7F52"/>
    <w:rsid w:val="008E032F"/>
    <w:rsid w:val="008E03C7"/>
    <w:rsid w:val="008E03F6"/>
    <w:rsid w:val="008E0851"/>
    <w:rsid w:val="008E0863"/>
    <w:rsid w:val="008E092B"/>
    <w:rsid w:val="008E0A9C"/>
    <w:rsid w:val="008E0CFC"/>
    <w:rsid w:val="008E0E59"/>
    <w:rsid w:val="008E0F56"/>
    <w:rsid w:val="008E1001"/>
    <w:rsid w:val="008E106A"/>
    <w:rsid w:val="008E1130"/>
    <w:rsid w:val="008E16C5"/>
    <w:rsid w:val="008E18D2"/>
    <w:rsid w:val="008E1911"/>
    <w:rsid w:val="008E1A6E"/>
    <w:rsid w:val="008E1B1B"/>
    <w:rsid w:val="008E1B2F"/>
    <w:rsid w:val="008E1C8C"/>
    <w:rsid w:val="008E239F"/>
    <w:rsid w:val="008E26B1"/>
    <w:rsid w:val="008E273C"/>
    <w:rsid w:val="008E2830"/>
    <w:rsid w:val="008E291C"/>
    <w:rsid w:val="008E29EC"/>
    <w:rsid w:val="008E29FB"/>
    <w:rsid w:val="008E2A36"/>
    <w:rsid w:val="008E2E1F"/>
    <w:rsid w:val="008E2EFB"/>
    <w:rsid w:val="008E3008"/>
    <w:rsid w:val="008E3032"/>
    <w:rsid w:val="008E3210"/>
    <w:rsid w:val="008E3304"/>
    <w:rsid w:val="008E363A"/>
    <w:rsid w:val="008E3698"/>
    <w:rsid w:val="008E3812"/>
    <w:rsid w:val="008E3AAF"/>
    <w:rsid w:val="008E3B51"/>
    <w:rsid w:val="008E3CAE"/>
    <w:rsid w:val="008E3DF4"/>
    <w:rsid w:val="008E3EA1"/>
    <w:rsid w:val="008E4007"/>
    <w:rsid w:val="008E4826"/>
    <w:rsid w:val="008E4958"/>
    <w:rsid w:val="008E49AF"/>
    <w:rsid w:val="008E4B87"/>
    <w:rsid w:val="008E4D42"/>
    <w:rsid w:val="008E4E50"/>
    <w:rsid w:val="008E4F34"/>
    <w:rsid w:val="008E50A2"/>
    <w:rsid w:val="008E513B"/>
    <w:rsid w:val="008E5184"/>
    <w:rsid w:val="008E54ED"/>
    <w:rsid w:val="008E5988"/>
    <w:rsid w:val="008E60BD"/>
    <w:rsid w:val="008E6182"/>
    <w:rsid w:val="008E6311"/>
    <w:rsid w:val="008E679A"/>
    <w:rsid w:val="008E6F1B"/>
    <w:rsid w:val="008E709A"/>
    <w:rsid w:val="008E70F1"/>
    <w:rsid w:val="008E72EF"/>
    <w:rsid w:val="008E7378"/>
    <w:rsid w:val="008E750B"/>
    <w:rsid w:val="008E7939"/>
    <w:rsid w:val="008E7A8E"/>
    <w:rsid w:val="008E7B8E"/>
    <w:rsid w:val="008E7BA7"/>
    <w:rsid w:val="008E7ED3"/>
    <w:rsid w:val="008E7FAA"/>
    <w:rsid w:val="008F017C"/>
    <w:rsid w:val="008F032C"/>
    <w:rsid w:val="008F0444"/>
    <w:rsid w:val="008F0499"/>
    <w:rsid w:val="008F0607"/>
    <w:rsid w:val="008F0676"/>
    <w:rsid w:val="008F078F"/>
    <w:rsid w:val="008F0B12"/>
    <w:rsid w:val="008F0B4E"/>
    <w:rsid w:val="008F0C1F"/>
    <w:rsid w:val="008F0DB3"/>
    <w:rsid w:val="008F0EF4"/>
    <w:rsid w:val="008F0F77"/>
    <w:rsid w:val="008F0F91"/>
    <w:rsid w:val="008F113D"/>
    <w:rsid w:val="008F1160"/>
    <w:rsid w:val="008F1277"/>
    <w:rsid w:val="008F164C"/>
    <w:rsid w:val="008F165C"/>
    <w:rsid w:val="008F186C"/>
    <w:rsid w:val="008F1C17"/>
    <w:rsid w:val="008F2117"/>
    <w:rsid w:val="008F2296"/>
    <w:rsid w:val="008F239C"/>
    <w:rsid w:val="008F2425"/>
    <w:rsid w:val="008F2440"/>
    <w:rsid w:val="008F2496"/>
    <w:rsid w:val="008F288B"/>
    <w:rsid w:val="008F29E8"/>
    <w:rsid w:val="008F2A61"/>
    <w:rsid w:val="008F2ABE"/>
    <w:rsid w:val="008F2D88"/>
    <w:rsid w:val="008F308E"/>
    <w:rsid w:val="008F31BA"/>
    <w:rsid w:val="008F3398"/>
    <w:rsid w:val="008F3748"/>
    <w:rsid w:val="008F3847"/>
    <w:rsid w:val="008F3B3E"/>
    <w:rsid w:val="008F3D06"/>
    <w:rsid w:val="008F3D3F"/>
    <w:rsid w:val="008F3F3A"/>
    <w:rsid w:val="008F4037"/>
    <w:rsid w:val="008F40CD"/>
    <w:rsid w:val="008F4254"/>
    <w:rsid w:val="008F4299"/>
    <w:rsid w:val="008F470A"/>
    <w:rsid w:val="008F4D4D"/>
    <w:rsid w:val="008F4E22"/>
    <w:rsid w:val="008F5218"/>
    <w:rsid w:val="008F5260"/>
    <w:rsid w:val="008F5498"/>
    <w:rsid w:val="008F57DB"/>
    <w:rsid w:val="008F5864"/>
    <w:rsid w:val="008F595D"/>
    <w:rsid w:val="008F5A0D"/>
    <w:rsid w:val="008F5B3B"/>
    <w:rsid w:val="008F5D66"/>
    <w:rsid w:val="008F61DE"/>
    <w:rsid w:val="008F6828"/>
    <w:rsid w:val="008F6832"/>
    <w:rsid w:val="008F6A27"/>
    <w:rsid w:val="008F6A49"/>
    <w:rsid w:val="008F6A67"/>
    <w:rsid w:val="008F6ABE"/>
    <w:rsid w:val="008F6AC7"/>
    <w:rsid w:val="008F6BEB"/>
    <w:rsid w:val="008F6C7B"/>
    <w:rsid w:val="008F6F8A"/>
    <w:rsid w:val="008F70AE"/>
    <w:rsid w:val="008F731B"/>
    <w:rsid w:val="008F735B"/>
    <w:rsid w:val="008F7688"/>
    <w:rsid w:val="008F793B"/>
    <w:rsid w:val="008F7A67"/>
    <w:rsid w:val="008F7B5A"/>
    <w:rsid w:val="008F7B77"/>
    <w:rsid w:val="008F7BC8"/>
    <w:rsid w:val="008F7E10"/>
    <w:rsid w:val="008F7F41"/>
    <w:rsid w:val="00900209"/>
    <w:rsid w:val="00900268"/>
    <w:rsid w:val="009002C4"/>
    <w:rsid w:val="009004F7"/>
    <w:rsid w:val="0090085B"/>
    <w:rsid w:val="009009C6"/>
    <w:rsid w:val="00900BA1"/>
    <w:rsid w:val="00900F53"/>
    <w:rsid w:val="00901069"/>
    <w:rsid w:val="0090107B"/>
    <w:rsid w:val="0090122F"/>
    <w:rsid w:val="00901234"/>
    <w:rsid w:val="00901456"/>
    <w:rsid w:val="009016DC"/>
    <w:rsid w:val="0090174D"/>
    <w:rsid w:val="00901897"/>
    <w:rsid w:val="009019FD"/>
    <w:rsid w:val="00901A73"/>
    <w:rsid w:val="00901C01"/>
    <w:rsid w:val="00901D31"/>
    <w:rsid w:val="00901E44"/>
    <w:rsid w:val="0090249E"/>
    <w:rsid w:val="009024E5"/>
    <w:rsid w:val="0090259E"/>
    <w:rsid w:val="00902977"/>
    <w:rsid w:val="00902B54"/>
    <w:rsid w:val="00902E88"/>
    <w:rsid w:val="00902FC3"/>
    <w:rsid w:val="00903060"/>
    <w:rsid w:val="0090308F"/>
    <w:rsid w:val="0090311D"/>
    <w:rsid w:val="009031A8"/>
    <w:rsid w:val="00903283"/>
    <w:rsid w:val="0090331B"/>
    <w:rsid w:val="00903842"/>
    <w:rsid w:val="009038AF"/>
    <w:rsid w:val="00903AB7"/>
    <w:rsid w:val="00903BEC"/>
    <w:rsid w:val="00903ECF"/>
    <w:rsid w:val="00904097"/>
    <w:rsid w:val="00904337"/>
    <w:rsid w:val="00904344"/>
    <w:rsid w:val="00904353"/>
    <w:rsid w:val="00904848"/>
    <w:rsid w:val="0090485E"/>
    <w:rsid w:val="009049B6"/>
    <w:rsid w:val="00904C2D"/>
    <w:rsid w:val="00904F4F"/>
    <w:rsid w:val="00904F6C"/>
    <w:rsid w:val="00904FA7"/>
    <w:rsid w:val="0090517A"/>
    <w:rsid w:val="0090535A"/>
    <w:rsid w:val="009053F7"/>
    <w:rsid w:val="00905422"/>
    <w:rsid w:val="00905531"/>
    <w:rsid w:val="00905670"/>
    <w:rsid w:val="009056AE"/>
    <w:rsid w:val="009056FB"/>
    <w:rsid w:val="009057DC"/>
    <w:rsid w:val="00905819"/>
    <w:rsid w:val="0090587C"/>
    <w:rsid w:val="009058A4"/>
    <w:rsid w:val="0090592B"/>
    <w:rsid w:val="00905931"/>
    <w:rsid w:val="00905BD4"/>
    <w:rsid w:val="00905BEC"/>
    <w:rsid w:val="00905E06"/>
    <w:rsid w:val="00906009"/>
    <w:rsid w:val="009062C7"/>
    <w:rsid w:val="009062F6"/>
    <w:rsid w:val="0090635A"/>
    <w:rsid w:val="009064B6"/>
    <w:rsid w:val="009065B6"/>
    <w:rsid w:val="009065F7"/>
    <w:rsid w:val="00906672"/>
    <w:rsid w:val="0090673B"/>
    <w:rsid w:val="0090688A"/>
    <w:rsid w:val="00906978"/>
    <w:rsid w:val="009069A5"/>
    <w:rsid w:val="00906A20"/>
    <w:rsid w:val="00906A7E"/>
    <w:rsid w:val="00906A97"/>
    <w:rsid w:val="00906BF1"/>
    <w:rsid w:val="00906C36"/>
    <w:rsid w:val="009070FD"/>
    <w:rsid w:val="0090727A"/>
    <w:rsid w:val="009072B4"/>
    <w:rsid w:val="009072D0"/>
    <w:rsid w:val="00907F77"/>
    <w:rsid w:val="00907F8D"/>
    <w:rsid w:val="0091012A"/>
    <w:rsid w:val="00910131"/>
    <w:rsid w:val="00910218"/>
    <w:rsid w:val="00910261"/>
    <w:rsid w:val="0091038C"/>
    <w:rsid w:val="00910485"/>
    <w:rsid w:val="0091073A"/>
    <w:rsid w:val="00910B9C"/>
    <w:rsid w:val="00910BE5"/>
    <w:rsid w:val="00910C97"/>
    <w:rsid w:val="00910EDF"/>
    <w:rsid w:val="00910FB1"/>
    <w:rsid w:val="009111B2"/>
    <w:rsid w:val="009111C3"/>
    <w:rsid w:val="00911266"/>
    <w:rsid w:val="00911352"/>
    <w:rsid w:val="00911388"/>
    <w:rsid w:val="009113AF"/>
    <w:rsid w:val="0091150D"/>
    <w:rsid w:val="0091177C"/>
    <w:rsid w:val="00911B67"/>
    <w:rsid w:val="00911BE6"/>
    <w:rsid w:val="009121F1"/>
    <w:rsid w:val="009122D8"/>
    <w:rsid w:val="00912359"/>
    <w:rsid w:val="009123F2"/>
    <w:rsid w:val="00912449"/>
    <w:rsid w:val="009125E5"/>
    <w:rsid w:val="00912971"/>
    <w:rsid w:val="00912A84"/>
    <w:rsid w:val="00912B2E"/>
    <w:rsid w:val="00912DDA"/>
    <w:rsid w:val="00912DFA"/>
    <w:rsid w:val="00913981"/>
    <w:rsid w:val="00913FBC"/>
    <w:rsid w:val="0091410E"/>
    <w:rsid w:val="0091438D"/>
    <w:rsid w:val="00914421"/>
    <w:rsid w:val="0091444F"/>
    <w:rsid w:val="009146F4"/>
    <w:rsid w:val="0091472E"/>
    <w:rsid w:val="00914736"/>
    <w:rsid w:val="009149E9"/>
    <w:rsid w:val="00914C19"/>
    <w:rsid w:val="00915086"/>
    <w:rsid w:val="0091513A"/>
    <w:rsid w:val="00915377"/>
    <w:rsid w:val="00915432"/>
    <w:rsid w:val="0091554B"/>
    <w:rsid w:val="0091556F"/>
    <w:rsid w:val="00915599"/>
    <w:rsid w:val="009157F6"/>
    <w:rsid w:val="0091580B"/>
    <w:rsid w:val="00915AD4"/>
    <w:rsid w:val="00915B80"/>
    <w:rsid w:val="00915CF8"/>
    <w:rsid w:val="00915F8B"/>
    <w:rsid w:val="00915FA2"/>
    <w:rsid w:val="00916483"/>
    <w:rsid w:val="009166B1"/>
    <w:rsid w:val="00916A06"/>
    <w:rsid w:val="00916B7D"/>
    <w:rsid w:val="00916C38"/>
    <w:rsid w:val="00916C43"/>
    <w:rsid w:val="00916C7D"/>
    <w:rsid w:val="00916DE5"/>
    <w:rsid w:val="00916F12"/>
    <w:rsid w:val="00916FE7"/>
    <w:rsid w:val="009170D1"/>
    <w:rsid w:val="00917829"/>
    <w:rsid w:val="009179F8"/>
    <w:rsid w:val="00917D5B"/>
    <w:rsid w:val="00920086"/>
    <w:rsid w:val="009200EB"/>
    <w:rsid w:val="00920204"/>
    <w:rsid w:val="0092027F"/>
    <w:rsid w:val="009202DA"/>
    <w:rsid w:val="009202FE"/>
    <w:rsid w:val="00920302"/>
    <w:rsid w:val="00920441"/>
    <w:rsid w:val="0092075D"/>
    <w:rsid w:val="009208F1"/>
    <w:rsid w:val="00920AC8"/>
    <w:rsid w:val="00920BF7"/>
    <w:rsid w:val="00920F4A"/>
    <w:rsid w:val="009210D9"/>
    <w:rsid w:val="00921136"/>
    <w:rsid w:val="00921204"/>
    <w:rsid w:val="0092131A"/>
    <w:rsid w:val="0092138B"/>
    <w:rsid w:val="00921595"/>
    <w:rsid w:val="00921886"/>
    <w:rsid w:val="009218EE"/>
    <w:rsid w:val="00921976"/>
    <w:rsid w:val="00921A04"/>
    <w:rsid w:val="00921A13"/>
    <w:rsid w:val="00921A3B"/>
    <w:rsid w:val="00921A80"/>
    <w:rsid w:val="00921B9D"/>
    <w:rsid w:val="00922187"/>
    <w:rsid w:val="0092265C"/>
    <w:rsid w:val="009227A1"/>
    <w:rsid w:val="00922901"/>
    <w:rsid w:val="00922937"/>
    <w:rsid w:val="00922AB8"/>
    <w:rsid w:val="00922C9E"/>
    <w:rsid w:val="00922E9A"/>
    <w:rsid w:val="00922ECC"/>
    <w:rsid w:val="009235F2"/>
    <w:rsid w:val="00923981"/>
    <w:rsid w:val="00923E21"/>
    <w:rsid w:val="00924152"/>
    <w:rsid w:val="00924216"/>
    <w:rsid w:val="0092471E"/>
    <w:rsid w:val="009247C0"/>
    <w:rsid w:val="009249D6"/>
    <w:rsid w:val="009249ED"/>
    <w:rsid w:val="00924D7A"/>
    <w:rsid w:val="00925169"/>
    <w:rsid w:val="0092525E"/>
    <w:rsid w:val="0092537F"/>
    <w:rsid w:val="0092553A"/>
    <w:rsid w:val="00925754"/>
    <w:rsid w:val="00925938"/>
    <w:rsid w:val="00925B98"/>
    <w:rsid w:val="00925B9D"/>
    <w:rsid w:val="009260C6"/>
    <w:rsid w:val="0092628A"/>
    <w:rsid w:val="009263FB"/>
    <w:rsid w:val="00926498"/>
    <w:rsid w:val="0092654C"/>
    <w:rsid w:val="0092664C"/>
    <w:rsid w:val="0092675A"/>
    <w:rsid w:val="00926786"/>
    <w:rsid w:val="009268DE"/>
    <w:rsid w:val="00926970"/>
    <w:rsid w:val="00926998"/>
    <w:rsid w:val="00926A22"/>
    <w:rsid w:val="00926B41"/>
    <w:rsid w:val="00926C2D"/>
    <w:rsid w:val="00926D44"/>
    <w:rsid w:val="00927128"/>
    <w:rsid w:val="0092734E"/>
    <w:rsid w:val="00927385"/>
    <w:rsid w:val="00927508"/>
    <w:rsid w:val="009276D8"/>
    <w:rsid w:val="009277BB"/>
    <w:rsid w:val="00927C64"/>
    <w:rsid w:val="00927CFE"/>
    <w:rsid w:val="00927E74"/>
    <w:rsid w:val="0093001E"/>
    <w:rsid w:val="0093005B"/>
    <w:rsid w:val="00930127"/>
    <w:rsid w:val="00930154"/>
    <w:rsid w:val="00930258"/>
    <w:rsid w:val="00930491"/>
    <w:rsid w:val="0093051F"/>
    <w:rsid w:val="00930A37"/>
    <w:rsid w:val="00930A39"/>
    <w:rsid w:val="00930BAA"/>
    <w:rsid w:val="00930BE7"/>
    <w:rsid w:val="00930CA5"/>
    <w:rsid w:val="00930CAA"/>
    <w:rsid w:val="00930EE4"/>
    <w:rsid w:val="00930F91"/>
    <w:rsid w:val="00931015"/>
    <w:rsid w:val="0093101C"/>
    <w:rsid w:val="0093125D"/>
    <w:rsid w:val="009312A8"/>
    <w:rsid w:val="009312F1"/>
    <w:rsid w:val="0093147B"/>
    <w:rsid w:val="009314AA"/>
    <w:rsid w:val="00931549"/>
    <w:rsid w:val="009315E3"/>
    <w:rsid w:val="00931847"/>
    <w:rsid w:val="00931980"/>
    <w:rsid w:val="00931DC9"/>
    <w:rsid w:val="00931E31"/>
    <w:rsid w:val="00931EC4"/>
    <w:rsid w:val="00931ECA"/>
    <w:rsid w:val="00932422"/>
    <w:rsid w:val="009326CA"/>
    <w:rsid w:val="009328FF"/>
    <w:rsid w:val="00932E6F"/>
    <w:rsid w:val="009331D4"/>
    <w:rsid w:val="0093352F"/>
    <w:rsid w:val="009336DE"/>
    <w:rsid w:val="009336DF"/>
    <w:rsid w:val="00933746"/>
    <w:rsid w:val="00933950"/>
    <w:rsid w:val="00933A6A"/>
    <w:rsid w:val="00933ABE"/>
    <w:rsid w:val="00933BFF"/>
    <w:rsid w:val="00933D9B"/>
    <w:rsid w:val="00933F0C"/>
    <w:rsid w:val="00933FCC"/>
    <w:rsid w:val="0093446E"/>
    <w:rsid w:val="00934881"/>
    <w:rsid w:val="009348A6"/>
    <w:rsid w:val="00934941"/>
    <w:rsid w:val="00934C1E"/>
    <w:rsid w:val="00934F55"/>
    <w:rsid w:val="00934FCF"/>
    <w:rsid w:val="0093501B"/>
    <w:rsid w:val="009350F0"/>
    <w:rsid w:val="009353CE"/>
    <w:rsid w:val="00935590"/>
    <w:rsid w:val="0093566D"/>
    <w:rsid w:val="009356D5"/>
    <w:rsid w:val="00935824"/>
    <w:rsid w:val="00935951"/>
    <w:rsid w:val="009359FE"/>
    <w:rsid w:val="00935D56"/>
    <w:rsid w:val="00935D8E"/>
    <w:rsid w:val="00935F7C"/>
    <w:rsid w:val="00936086"/>
    <w:rsid w:val="0093608E"/>
    <w:rsid w:val="0093615A"/>
    <w:rsid w:val="0093645F"/>
    <w:rsid w:val="00936527"/>
    <w:rsid w:val="0093695F"/>
    <w:rsid w:val="00936A0A"/>
    <w:rsid w:val="00936BE1"/>
    <w:rsid w:val="00936E5A"/>
    <w:rsid w:val="00936E64"/>
    <w:rsid w:val="009374C3"/>
    <w:rsid w:val="009375ED"/>
    <w:rsid w:val="009377AE"/>
    <w:rsid w:val="0093785F"/>
    <w:rsid w:val="00937871"/>
    <w:rsid w:val="00937BCA"/>
    <w:rsid w:val="00937D31"/>
    <w:rsid w:val="00937EAC"/>
    <w:rsid w:val="00940B13"/>
    <w:rsid w:val="00940DC7"/>
    <w:rsid w:val="00940E24"/>
    <w:rsid w:val="00940EDA"/>
    <w:rsid w:val="00940FAA"/>
    <w:rsid w:val="00941018"/>
    <w:rsid w:val="009412FD"/>
    <w:rsid w:val="009414E3"/>
    <w:rsid w:val="00941549"/>
    <w:rsid w:val="0094157A"/>
    <w:rsid w:val="009415B6"/>
    <w:rsid w:val="009416A3"/>
    <w:rsid w:val="0094173D"/>
    <w:rsid w:val="009419A4"/>
    <w:rsid w:val="00941A83"/>
    <w:rsid w:val="00941B17"/>
    <w:rsid w:val="00941B32"/>
    <w:rsid w:val="00941C65"/>
    <w:rsid w:val="00941CFC"/>
    <w:rsid w:val="00941FF9"/>
    <w:rsid w:val="0094217C"/>
    <w:rsid w:val="00942229"/>
    <w:rsid w:val="0094228D"/>
    <w:rsid w:val="009425D0"/>
    <w:rsid w:val="009426E3"/>
    <w:rsid w:val="00942847"/>
    <w:rsid w:val="00942D33"/>
    <w:rsid w:val="00942D92"/>
    <w:rsid w:val="00942E18"/>
    <w:rsid w:val="009431F8"/>
    <w:rsid w:val="009431FE"/>
    <w:rsid w:val="00943334"/>
    <w:rsid w:val="00943488"/>
    <w:rsid w:val="00943897"/>
    <w:rsid w:val="00943AB3"/>
    <w:rsid w:val="00943B37"/>
    <w:rsid w:val="00943B5F"/>
    <w:rsid w:val="00943BC2"/>
    <w:rsid w:val="00943CD7"/>
    <w:rsid w:val="0094405E"/>
    <w:rsid w:val="009440A1"/>
    <w:rsid w:val="00944198"/>
    <w:rsid w:val="00944491"/>
    <w:rsid w:val="009444D2"/>
    <w:rsid w:val="00944510"/>
    <w:rsid w:val="00944690"/>
    <w:rsid w:val="009448AE"/>
    <w:rsid w:val="0094495B"/>
    <w:rsid w:val="00944C8B"/>
    <w:rsid w:val="00944CBF"/>
    <w:rsid w:val="00944FFE"/>
    <w:rsid w:val="00945006"/>
    <w:rsid w:val="0094500C"/>
    <w:rsid w:val="009454E9"/>
    <w:rsid w:val="009455B1"/>
    <w:rsid w:val="009455BB"/>
    <w:rsid w:val="00945876"/>
    <w:rsid w:val="00945963"/>
    <w:rsid w:val="009459E7"/>
    <w:rsid w:val="00945B68"/>
    <w:rsid w:val="00945EF0"/>
    <w:rsid w:val="009462F4"/>
    <w:rsid w:val="00946332"/>
    <w:rsid w:val="009465B4"/>
    <w:rsid w:val="00946CDA"/>
    <w:rsid w:val="00946EE8"/>
    <w:rsid w:val="00947208"/>
    <w:rsid w:val="00947666"/>
    <w:rsid w:val="00947894"/>
    <w:rsid w:val="00947953"/>
    <w:rsid w:val="00947AF2"/>
    <w:rsid w:val="00947BA5"/>
    <w:rsid w:val="00947FAE"/>
    <w:rsid w:val="00950194"/>
    <w:rsid w:val="00950231"/>
    <w:rsid w:val="0095029C"/>
    <w:rsid w:val="00950322"/>
    <w:rsid w:val="0095045D"/>
    <w:rsid w:val="009507C3"/>
    <w:rsid w:val="00950830"/>
    <w:rsid w:val="00950BB1"/>
    <w:rsid w:val="00950EF4"/>
    <w:rsid w:val="009513A4"/>
    <w:rsid w:val="009513DE"/>
    <w:rsid w:val="00951719"/>
    <w:rsid w:val="00951A88"/>
    <w:rsid w:val="00951B5B"/>
    <w:rsid w:val="00951D60"/>
    <w:rsid w:val="00951D7B"/>
    <w:rsid w:val="00951EC5"/>
    <w:rsid w:val="00951F1D"/>
    <w:rsid w:val="00951F45"/>
    <w:rsid w:val="00952003"/>
    <w:rsid w:val="0095203D"/>
    <w:rsid w:val="0095219F"/>
    <w:rsid w:val="009522BE"/>
    <w:rsid w:val="0095237E"/>
    <w:rsid w:val="0095243F"/>
    <w:rsid w:val="00952514"/>
    <w:rsid w:val="009526DF"/>
    <w:rsid w:val="009528E4"/>
    <w:rsid w:val="00952B02"/>
    <w:rsid w:val="00952CA1"/>
    <w:rsid w:val="00952D32"/>
    <w:rsid w:val="00952D3C"/>
    <w:rsid w:val="00952E08"/>
    <w:rsid w:val="009530FF"/>
    <w:rsid w:val="0095311E"/>
    <w:rsid w:val="00953376"/>
    <w:rsid w:val="00953473"/>
    <w:rsid w:val="009535BD"/>
    <w:rsid w:val="009535F3"/>
    <w:rsid w:val="0095370C"/>
    <w:rsid w:val="00953DF7"/>
    <w:rsid w:val="00953F91"/>
    <w:rsid w:val="00953FA6"/>
    <w:rsid w:val="009541F2"/>
    <w:rsid w:val="00954329"/>
    <w:rsid w:val="009545AA"/>
    <w:rsid w:val="00954600"/>
    <w:rsid w:val="00954BFE"/>
    <w:rsid w:val="00954C01"/>
    <w:rsid w:val="00954D73"/>
    <w:rsid w:val="00954ECB"/>
    <w:rsid w:val="00955004"/>
    <w:rsid w:val="00955162"/>
    <w:rsid w:val="0095519E"/>
    <w:rsid w:val="009551E3"/>
    <w:rsid w:val="0095531E"/>
    <w:rsid w:val="00955590"/>
    <w:rsid w:val="0095563F"/>
    <w:rsid w:val="009556D6"/>
    <w:rsid w:val="009558A1"/>
    <w:rsid w:val="00955904"/>
    <w:rsid w:val="00955AA7"/>
    <w:rsid w:val="00955AA8"/>
    <w:rsid w:val="00955BEF"/>
    <w:rsid w:val="00955F42"/>
    <w:rsid w:val="00955FC6"/>
    <w:rsid w:val="009565DA"/>
    <w:rsid w:val="0095689A"/>
    <w:rsid w:val="00956971"/>
    <w:rsid w:val="00956BAA"/>
    <w:rsid w:val="00956EAD"/>
    <w:rsid w:val="0095700B"/>
    <w:rsid w:val="009570E5"/>
    <w:rsid w:val="009571C7"/>
    <w:rsid w:val="00957409"/>
    <w:rsid w:val="00957565"/>
    <w:rsid w:val="00957A77"/>
    <w:rsid w:val="00957BA0"/>
    <w:rsid w:val="00957F55"/>
    <w:rsid w:val="009600F7"/>
    <w:rsid w:val="0096056B"/>
    <w:rsid w:val="009609D9"/>
    <w:rsid w:val="00960A78"/>
    <w:rsid w:val="00960F2B"/>
    <w:rsid w:val="0096119C"/>
    <w:rsid w:val="00961242"/>
    <w:rsid w:val="0096144F"/>
    <w:rsid w:val="009614EC"/>
    <w:rsid w:val="00961667"/>
    <w:rsid w:val="00961897"/>
    <w:rsid w:val="00961AD7"/>
    <w:rsid w:val="00961BCB"/>
    <w:rsid w:val="00961F66"/>
    <w:rsid w:val="00962052"/>
    <w:rsid w:val="00962116"/>
    <w:rsid w:val="009623A4"/>
    <w:rsid w:val="009624FE"/>
    <w:rsid w:val="0096256C"/>
    <w:rsid w:val="0096276C"/>
    <w:rsid w:val="00962893"/>
    <w:rsid w:val="009628B9"/>
    <w:rsid w:val="00962916"/>
    <w:rsid w:val="00962DF7"/>
    <w:rsid w:val="0096301E"/>
    <w:rsid w:val="009635C5"/>
    <w:rsid w:val="009639ED"/>
    <w:rsid w:val="00963BBD"/>
    <w:rsid w:val="00963C93"/>
    <w:rsid w:val="00963D5E"/>
    <w:rsid w:val="00963DF4"/>
    <w:rsid w:val="00963E0E"/>
    <w:rsid w:val="009642A9"/>
    <w:rsid w:val="0096431C"/>
    <w:rsid w:val="00964453"/>
    <w:rsid w:val="009644A3"/>
    <w:rsid w:val="0096459B"/>
    <w:rsid w:val="009646A5"/>
    <w:rsid w:val="009647C5"/>
    <w:rsid w:val="009648D5"/>
    <w:rsid w:val="00964A43"/>
    <w:rsid w:val="00964B15"/>
    <w:rsid w:val="00964BF7"/>
    <w:rsid w:val="00964C4E"/>
    <w:rsid w:val="00964D92"/>
    <w:rsid w:val="00964DBE"/>
    <w:rsid w:val="00964E4D"/>
    <w:rsid w:val="00964FD6"/>
    <w:rsid w:val="00964FDE"/>
    <w:rsid w:val="0096506A"/>
    <w:rsid w:val="009651A9"/>
    <w:rsid w:val="0096595B"/>
    <w:rsid w:val="00965984"/>
    <w:rsid w:val="00965B64"/>
    <w:rsid w:val="00965C55"/>
    <w:rsid w:val="00965C61"/>
    <w:rsid w:val="00965EDA"/>
    <w:rsid w:val="00966523"/>
    <w:rsid w:val="009665F7"/>
    <w:rsid w:val="009666C7"/>
    <w:rsid w:val="009668A7"/>
    <w:rsid w:val="00966994"/>
    <w:rsid w:val="00966AC3"/>
    <w:rsid w:val="00966AF2"/>
    <w:rsid w:val="00966BAE"/>
    <w:rsid w:val="00966C90"/>
    <w:rsid w:val="00966E5B"/>
    <w:rsid w:val="00966F24"/>
    <w:rsid w:val="00967016"/>
    <w:rsid w:val="00967063"/>
    <w:rsid w:val="009671A6"/>
    <w:rsid w:val="009671B4"/>
    <w:rsid w:val="0096747D"/>
    <w:rsid w:val="00967588"/>
    <w:rsid w:val="00967750"/>
    <w:rsid w:val="009677B3"/>
    <w:rsid w:val="00967B02"/>
    <w:rsid w:val="00967C13"/>
    <w:rsid w:val="00967C77"/>
    <w:rsid w:val="00967C93"/>
    <w:rsid w:val="00967CE0"/>
    <w:rsid w:val="00967DBA"/>
    <w:rsid w:val="00967E09"/>
    <w:rsid w:val="00970098"/>
    <w:rsid w:val="00970580"/>
    <w:rsid w:val="009707BC"/>
    <w:rsid w:val="00970A7F"/>
    <w:rsid w:val="00970AE1"/>
    <w:rsid w:val="00970C22"/>
    <w:rsid w:val="00970F86"/>
    <w:rsid w:val="00970FC6"/>
    <w:rsid w:val="0097114E"/>
    <w:rsid w:val="00971288"/>
    <w:rsid w:val="0097142C"/>
    <w:rsid w:val="00971715"/>
    <w:rsid w:val="009717ED"/>
    <w:rsid w:val="00971819"/>
    <w:rsid w:val="009718F0"/>
    <w:rsid w:val="009722F0"/>
    <w:rsid w:val="00972430"/>
    <w:rsid w:val="00972B6B"/>
    <w:rsid w:val="00972CDE"/>
    <w:rsid w:val="00972D05"/>
    <w:rsid w:val="00972E47"/>
    <w:rsid w:val="00972F47"/>
    <w:rsid w:val="00972F77"/>
    <w:rsid w:val="0097302F"/>
    <w:rsid w:val="0097311C"/>
    <w:rsid w:val="0097313C"/>
    <w:rsid w:val="009731FC"/>
    <w:rsid w:val="00973551"/>
    <w:rsid w:val="009735B7"/>
    <w:rsid w:val="009736B4"/>
    <w:rsid w:val="009737DB"/>
    <w:rsid w:val="00973988"/>
    <w:rsid w:val="00973B04"/>
    <w:rsid w:val="00973B37"/>
    <w:rsid w:val="00973B9C"/>
    <w:rsid w:val="00973CAD"/>
    <w:rsid w:val="00973CE2"/>
    <w:rsid w:val="00973D14"/>
    <w:rsid w:val="00973EF8"/>
    <w:rsid w:val="00973F82"/>
    <w:rsid w:val="00973F87"/>
    <w:rsid w:val="009742AE"/>
    <w:rsid w:val="00974494"/>
    <w:rsid w:val="009744D4"/>
    <w:rsid w:val="00974667"/>
    <w:rsid w:val="009748B4"/>
    <w:rsid w:val="009749BD"/>
    <w:rsid w:val="00974E5D"/>
    <w:rsid w:val="0097511D"/>
    <w:rsid w:val="009751DF"/>
    <w:rsid w:val="00975289"/>
    <w:rsid w:val="00975374"/>
    <w:rsid w:val="00975483"/>
    <w:rsid w:val="009755E9"/>
    <w:rsid w:val="00975B88"/>
    <w:rsid w:val="00975BDE"/>
    <w:rsid w:val="00975D38"/>
    <w:rsid w:val="0097619C"/>
    <w:rsid w:val="00976359"/>
    <w:rsid w:val="00976411"/>
    <w:rsid w:val="0097656C"/>
    <w:rsid w:val="0097662D"/>
    <w:rsid w:val="0097684C"/>
    <w:rsid w:val="00976D6D"/>
    <w:rsid w:val="00976E1E"/>
    <w:rsid w:val="00976EF9"/>
    <w:rsid w:val="00977014"/>
    <w:rsid w:val="00977461"/>
    <w:rsid w:val="0097759D"/>
    <w:rsid w:val="009775B1"/>
    <w:rsid w:val="009775F5"/>
    <w:rsid w:val="00977608"/>
    <w:rsid w:val="009776AA"/>
    <w:rsid w:val="009777E8"/>
    <w:rsid w:val="00977B83"/>
    <w:rsid w:val="00977BE0"/>
    <w:rsid w:val="00977BEA"/>
    <w:rsid w:val="00977D25"/>
    <w:rsid w:val="00977D69"/>
    <w:rsid w:val="00977DB0"/>
    <w:rsid w:val="00977FC8"/>
    <w:rsid w:val="00980350"/>
    <w:rsid w:val="00980434"/>
    <w:rsid w:val="0098072F"/>
    <w:rsid w:val="00980734"/>
    <w:rsid w:val="009807F3"/>
    <w:rsid w:val="0098091E"/>
    <w:rsid w:val="00980B2D"/>
    <w:rsid w:val="00980B3A"/>
    <w:rsid w:val="00980B98"/>
    <w:rsid w:val="00980DFE"/>
    <w:rsid w:val="00980E57"/>
    <w:rsid w:val="00980F08"/>
    <w:rsid w:val="00981012"/>
    <w:rsid w:val="009811BD"/>
    <w:rsid w:val="0098126C"/>
    <w:rsid w:val="00981380"/>
    <w:rsid w:val="00981481"/>
    <w:rsid w:val="0098169F"/>
    <w:rsid w:val="009816BD"/>
    <w:rsid w:val="00981774"/>
    <w:rsid w:val="009817F9"/>
    <w:rsid w:val="009818D8"/>
    <w:rsid w:val="00981AA1"/>
    <w:rsid w:val="00981B73"/>
    <w:rsid w:val="00981BB7"/>
    <w:rsid w:val="00981BB9"/>
    <w:rsid w:val="00981CE6"/>
    <w:rsid w:val="00981E9F"/>
    <w:rsid w:val="0098206D"/>
    <w:rsid w:val="00982344"/>
    <w:rsid w:val="009823E8"/>
    <w:rsid w:val="009828E2"/>
    <w:rsid w:val="00982E30"/>
    <w:rsid w:val="00983194"/>
    <w:rsid w:val="00983269"/>
    <w:rsid w:val="009833A3"/>
    <w:rsid w:val="009833D8"/>
    <w:rsid w:val="0098347E"/>
    <w:rsid w:val="00983806"/>
    <w:rsid w:val="00983DB5"/>
    <w:rsid w:val="00983DEF"/>
    <w:rsid w:val="00983F22"/>
    <w:rsid w:val="00983F5D"/>
    <w:rsid w:val="00984176"/>
    <w:rsid w:val="009842F9"/>
    <w:rsid w:val="009844F6"/>
    <w:rsid w:val="00984729"/>
    <w:rsid w:val="00984781"/>
    <w:rsid w:val="009847EB"/>
    <w:rsid w:val="009849F1"/>
    <w:rsid w:val="00984B61"/>
    <w:rsid w:val="00984BAE"/>
    <w:rsid w:val="00984CB1"/>
    <w:rsid w:val="00984DC7"/>
    <w:rsid w:val="00984E89"/>
    <w:rsid w:val="00984F5D"/>
    <w:rsid w:val="00984F6B"/>
    <w:rsid w:val="009851A2"/>
    <w:rsid w:val="0098544B"/>
    <w:rsid w:val="0098558F"/>
    <w:rsid w:val="0098574F"/>
    <w:rsid w:val="0098594C"/>
    <w:rsid w:val="00985A0B"/>
    <w:rsid w:val="00985A11"/>
    <w:rsid w:val="00985B20"/>
    <w:rsid w:val="00985B5F"/>
    <w:rsid w:val="00985D6D"/>
    <w:rsid w:val="00985EC8"/>
    <w:rsid w:val="00985F35"/>
    <w:rsid w:val="00985FA6"/>
    <w:rsid w:val="00986242"/>
    <w:rsid w:val="009866DE"/>
    <w:rsid w:val="0098700E"/>
    <w:rsid w:val="0098709A"/>
    <w:rsid w:val="009870BA"/>
    <w:rsid w:val="0098719C"/>
    <w:rsid w:val="0098785E"/>
    <w:rsid w:val="00987A42"/>
    <w:rsid w:val="00987AD9"/>
    <w:rsid w:val="00987B4B"/>
    <w:rsid w:val="00987E4D"/>
    <w:rsid w:val="00987F22"/>
    <w:rsid w:val="00987F4C"/>
    <w:rsid w:val="00987F4E"/>
    <w:rsid w:val="009903CE"/>
    <w:rsid w:val="00990867"/>
    <w:rsid w:val="0099094C"/>
    <w:rsid w:val="00990AED"/>
    <w:rsid w:val="00990C45"/>
    <w:rsid w:val="00990D4C"/>
    <w:rsid w:val="00990DEF"/>
    <w:rsid w:val="00991038"/>
    <w:rsid w:val="00991057"/>
    <w:rsid w:val="00991070"/>
    <w:rsid w:val="009911D6"/>
    <w:rsid w:val="009912AD"/>
    <w:rsid w:val="0099135B"/>
    <w:rsid w:val="009914D4"/>
    <w:rsid w:val="009914ED"/>
    <w:rsid w:val="00991538"/>
    <w:rsid w:val="009915D4"/>
    <w:rsid w:val="00991AEF"/>
    <w:rsid w:val="00991C27"/>
    <w:rsid w:val="00991DA3"/>
    <w:rsid w:val="00991DBC"/>
    <w:rsid w:val="00991F5E"/>
    <w:rsid w:val="009920BA"/>
    <w:rsid w:val="009921C9"/>
    <w:rsid w:val="00992218"/>
    <w:rsid w:val="00992365"/>
    <w:rsid w:val="00992485"/>
    <w:rsid w:val="0099253D"/>
    <w:rsid w:val="009927D4"/>
    <w:rsid w:val="009927FB"/>
    <w:rsid w:val="00992A64"/>
    <w:rsid w:val="00992A77"/>
    <w:rsid w:val="00992C55"/>
    <w:rsid w:val="00992E81"/>
    <w:rsid w:val="00992EDB"/>
    <w:rsid w:val="0099304B"/>
    <w:rsid w:val="0099310E"/>
    <w:rsid w:val="00993223"/>
    <w:rsid w:val="00993377"/>
    <w:rsid w:val="009933C6"/>
    <w:rsid w:val="009934C4"/>
    <w:rsid w:val="009936BB"/>
    <w:rsid w:val="009936E4"/>
    <w:rsid w:val="0099372E"/>
    <w:rsid w:val="009937A2"/>
    <w:rsid w:val="00993B3F"/>
    <w:rsid w:val="00993C02"/>
    <w:rsid w:val="00993C12"/>
    <w:rsid w:val="00993C1B"/>
    <w:rsid w:val="00993C6E"/>
    <w:rsid w:val="0099474D"/>
    <w:rsid w:val="00994891"/>
    <w:rsid w:val="00994A4A"/>
    <w:rsid w:val="00994A5A"/>
    <w:rsid w:val="00994B5E"/>
    <w:rsid w:val="00994BC9"/>
    <w:rsid w:val="00994C96"/>
    <w:rsid w:val="00995104"/>
    <w:rsid w:val="009951EF"/>
    <w:rsid w:val="0099523A"/>
    <w:rsid w:val="009954A9"/>
    <w:rsid w:val="009954AF"/>
    <w:rsid w:val="009956A9"/>
    <w:rsid w:val="0099594E"/>
    <w:rsid w:val="009959CD"/>
    <w:rsid w:val="00995AAB"/>
    <w:rsid w:val="00995B0A"/>
    <w:rsid w:val="00995DAE"/>
    <w:rsid w:val="00995E0E"/>
    <w:rsid w:val="00995E69"/>
    <w:rsid w:val="0099620E"/>
    <w:rsid w:val="00996384"/>
    <w:rsid w:val="0099687E"/>
    <w:rsid w:val="00996927"/>
    <w:rsid w:val="00996B9D"/>
    <w:rsid w:val="00996BA0"/>
    <w:rsid w:val="009972FC"/>
    <w:rsid w:val="00997343"/>
    <w:rsid w:val="00997376"/>
    <w:rsid w:val="0099747E"/>
    <w:rsid w:val="00997666"/>
    <w:rsid w:val="009976E4"/>
    <w:rsid w:val="009977E2"/>
    <w:rsid w:val="00997B59"/>
    <w:rsid w:val="00997CCB"/>
    <w:rsid w:val="00997CFF"/>
    <w:rsid w:val="00997D5E"/>
    <w:rsid w:val="00997DC9"/>
    <w:rsid w:val="009A02BE"/>
    <w:rsid w:val="009A0462"/>
    <w:rsid w:val="009A0464"/>
    <w:rsid w:val="009A055F"/>
    <w:rsid w:val="009A07BB"/>
    <w:rsid w:val="009A0823"/>
    <w:rsid w:val="009A082D"/>
    <w:rsid w:val="009A0957"/>
    <w:rsid w:val="009A095E"/>
    <w:rsid w:val="009A0D06"/>
    <w:rsid w:val="009A0D2E"/>
    <w:rsid w:val="009A0D31"/>
    <w:rsid w:val="009A0F34"/>
    <w:rsid w:val="009A1295"/>
    <w:rsid w:val="009A154D"/>
    <w:rsid w:val="009A1AD2"/>
    <w:rsid w:val="009A1B46"/>
    <w:rsid w:val="009A1B89"/>
    <w:rsid w:val="009A1BAD"/>
    <w:rsid w:val="009A1BBD"/>
    <w:rsid w:val="009A1F6F"/>
    <w:rsid w:val="009A233A"/>
    <w:rsid w:val="009A24E0"/>
    <w:rsid w:val="009A2642"/>
    <w:rsid w:val="009A2663"/>
    <w:rsid w:val="009A2795"/>
    <w:rsid w:val="009A291F"/>
    <w:rsid w:val="009A2A9E"/>
    <w:rsid w:val="009A2C52"/>
    <w:rsid w:val="009A2C8B"/>
    <w:rsid w:val="009A2F91"/>
    <w:rsid w:val="009A3015"/>
    <w:rsid w:val="009A30A9"/>
    <w:rsid w:val="009A318B"/>
    <w:rsid w:val="009A320B"/>
    <w:rsid w:val="009A3301"/>
    <w:rsid w:val="009A348A"/>
    <w:rsid w:val="009A35CB"/>
    <w:rsid w:val="009A3613"/>
    <w:rsid w:val="009A375E"/>
    <w:rsid w:val="009A381F"/>
    <w:rsid w:val="009A3C07"/>
    <w:rsid w:val="009A3C39"/>
    <w:rsid w:val="009A3F5B"/>
    <w:rsid w:val="009A40C6"/>
    <w:rsid w:val="009A414D"/>
    <w:rsid w:val="009A41C8"/>
    <w:rsid w:val="009A4332"/>
    <w:rsid w:val="009A4441"/>
    <w:rsid w:val="009A44A5"/>
    <w:rsid w:val="009A4718"/>
    <w:rsid w:val="009A4B31"/>
    <w:rsid w:val="009A4C6B"/>
    <w:rsid w:val="009A4C94"/>
    <w:rsid w:val="009A4F2F"/>
    <w:rsid w:val="009A4FD9"/>
    <w:rsid w:val="009A504F"/>
    <w:rsid w:val="009A50A1"/>
    <w:rsid w:val="009A5403"/>
    <w:rsid w:val="009A5590"/>
    <w:rsid w:val="009A55ED"/>
    <w:rsid w:val="009A56B7"/>
    <w:rsid w:val="009A5776"/>
    <w:rsid w:val="009A5779"/>
    <w:rsid w:val="009A5B23"/>
    <w:rsid w:val="009A5CDF"/>
    <w:rsid w:val="009A5E04"/>
    <w:rsid w:val="009A613B"/>
    <w:rsid w:val="009A645E"/>
    <w:rsid w:val="009A6548"/>
    <w:rsid w:val="009A6718"/>
    <w:rsid w:val="009A6720"/>
    <w:rsid w:val="009A67BB"/>
    <w:rsid w:val="009A698E"/>
    <w:rsid w:val="009A6BE8"/>
    <w:rsid w:val="009A6C95"/>
    <w:rsid w:val="009A6FBE"/>
    <w:rsid w:val="009A71AE"/>
    <w:rsid w:val="009A753A"/>
    <w:rsid w:val="009A75EB"/>
    <w:rsid w:val="009A7748"/>
    <w:rsid w:val="009A79B8"/>
    <w:rsid w:val="009A7B69"/>
    <w:rsid w:val="009A7E66"/>
    <w:rsid w:val="009B0213"/>
    <w:rsid w:val="009B058D"/>
    <w:rsid w:val="009B05C9"/>
    <w:rsid w:val="009B085D"/>
    <w:rsid w:val="009B0BA2"/>
    <w:rsid w:val="009B0EB6"/>
    <w:rsid w:val="009B0F54"/>
    <w:rsid w:val="009B0FFA"/>
    <w:rsid w:val="009B1101"/>
    <w:rsid w:val="009B1388"/>
    <w:rsid w:val="009B139F"/>
    <w:rsid w:val="009B1A29"/>
    <w:rsid w:val="009B1B17"/>
    <w:rsid w:val="009B1C5D"/>
    <w:rsid w:val="009B1E78"/>
    <w:rsid w:val="009B218D"/>
    <w:rsid w:val="009B2539"/>
    <w:rsid w:val="009B2551"/>
    <w:rsid w:val="009B28E6"/>
    <w:rsid w:val="009B2900"/>
    <w:rsid w:val="009B2A31"/>
    <w:rsid w:val="009B2A7E"/>
    <w:rsid w:val="009B2AFB"/>
    <w:rsid w:val="009B2B53"/>
    <w:rsid w:val="009B2BC6"/>
    <w:rsid w:val="009B2D6C"/>
    <w:rsid w:val="009B2D95"/>
    <w:rsid w:val="009B2F38"/>
    <w:rsid w:val="009B30C1"/>
    <w:rsid w:val="009B3208"/>
    <w:rsid w:val="009B3235"/>
    <w:rsid w:val="009B37B2"/>
    <w:rsid w:val="009B37E4"/>
    <w:rsid w:val="009B39AD"/>
    <w:rsid w:val="009B3F36"/>
    <w:rsid w:val="009B3F9D"/>
    <w:rsid w:val="009B424A"/>
    <w:rsid w:val="009B42B5"/>
    <w:rsid w:val="009B434B"/>
    <w:rsid w:val="009B435D"/>
    <w:rsid w:val="009B44B1"/>
    <w:rsid w:val="009B46C0"/>
    <w:rsid w:val="009B4794"/>
    <w:rsid w:val="009B47D0"/>
    <w:rsid w:val="009B4811"/>
    <w:rsid w:val="009B4967"/>
    <w:rsid w:val="009B49D2"/>
    <w:rsid w:val="009B4DB6"/>
    <w:rsid w:val="009B4F57"/>
    <w:rsid w:val="009B4FD1"/>
    <w:rsid w:val="009B5053"/>
    <w:rsid w:val="009B50A5"/>
    <w:rsid w:val="009B5342"/>
    <w:rsid w:val="009B541D"/>
    <w:rsid w:val="009B5569"/>
    <w:rsid w:val="009B5595"/>
    <w:rsid w:val="009B55EF"/>
    <w:rsid w:val="009B5640"/>
    <w:rsid w:val="009B5BB6"/>
    <w:rsid w:val="009B5BBA"/>
    <w:rsid w:val="009B5BD5"/>
    <w:rsid w:val="009B5C37"/>
    <w:rsid w:val="009B5C3A"/>
    <w:rsid w:val="009B5F2B"/>
    <w:rsid w:val="009B5F53"/>
    <w:rsid w:val="009B5F5C"/>
    <w:rsid w:val="009B5FA7"/>
    <w:rsid w:val="009B60B8"/>
    <w:rsid w:val="009B6132"/>
    <w:rsid w:val="009B614E"/>
    <w:rsid w:val="009B61C2"/>
    <w:rsid w:val="009B61D3"/>
    <w:rsid w:val="009B628A"/>
    <w:rsid w:val="009B646B"/>
    <w:rsid w:val="009B6578"/>
    <w:rsid w:val="009B65B2"/>
    <w:rsid w:val="009B6B97"/>
    <w:rsid w:val="009B6BB3"/>
    <w:rsid w:val="009B6D2A"/>
    <w:rsid w:val="009B6EB9"/>
    <w:rsid w:val="009B721E"/>
    <w:rsid w:val="009B7283"/>
    <w:rsid w:val="009B7844"/>
    <w:rsid w:val="009B7848"/>
    <w:rsid w:val="009B7B23"/>
    <w:rsid w:val="009B7BD0"/>
    <w:rsid w:val="009B7C62"/>
    <w:rsid w:val="009B7FD4"/>
    <w:rsid w:val="009C00E6"/>
    <w:rsid w:val="009C017A"/>
    <w:rsid w:val="009C0186"/>
    <w:rsid w:val="009C0265"/>
    <w:rsid w:val="009C0273"/>
    <w:rsid w:val="009C02A5"/>
    <w:rsid w:val="009C044C"/>
    <w:rsid w:val="009C063F"/>
    <w:rsid w:val="009C06EF"/>
    <w:rsid w:val="009C081E"/>
    <w:rsid w:val="009C0B49"/>
    <w:rsid w:val="009C0C84"/>
    <w:rsid w:val="009C0DED"/>
    <w:rsid w:val="009C106B"/>
    <w:rsid w:val="009C13D7"/>
    <w:rsid w:val="009C1580"/>
    <w:rsid w:val="009C1812"/>
    <w:rsid w:val="009C1AFE"/>
    <w:rsid w:val="009C1B40"/>
    <w:rsid w:val="009C1B65"/>
    <w:rsid w:val="009C1DAA"/>
    <w:rsid w:val="009C1DD5"/>
    <w:rsid w:val="009C1F0B"/>
    <w:rsid w:val="009C1FA9"/>
    <w:rsid w:val="009C21AC"/>
    <w:rsid w:val="009C2799"/>
    <w:rsid w:val="009C29D6"/>
    <w:rsid w:val="009C2D35"/>
    <w:rsid w:val="009C3253"/>
    <w:rsid w:val="009C35DB"/>
    <w:rsid w:val="009C3A24"/>
    <w:rsid w:val="009C3A97"/>
    <w:rsid w:val="009C3B8D"/>
    <w:rsid w:val="009C3C74"/>
    <w:rsid w:val="009C3E28"/>
    <w:rsid w:val="009C403B"/>
    <w:rsid w:val="009C4328"/>
    <w:rsid w:val="009C44FE"/>
    <w:rsid w:val="009C4577"/>
    <w:rsid w:val="009C4589"/>
    <w:rsid w:val="009C45E0"/>
    <w:rsid w:val="009C4990"/>
    <w:rsid w:val="009C4A3D"/>
    <w:rsid w:val="009C4ACF"/>
    <w:rsid w:val="009C4BB0"/>
    <w:rsid w:val="009C4BBD"/>
    <w:rsid w:val="009C5900"/>
    <w:rsid w:val="009C5A0A"/>
    <w:rsid w:val="009C5A3A"/>
    <w:rsid w:val="009C5CAE"/>
    <w:rsid w:val="009C5F07"/>
    <w:rsid w:val="009C60A1"/>
    <w:rsid w:val="009C6142"/>
    <w:rsid w:val="009C63A1"/>
    <w:rsid w:val="009C63B2"/>
    <w:rsid w:val="009C63F4"/>
    <w:rsid w:val="009C654E"/>
    <w:rsid w:val="009C6662"/>
    <w:rsid w:val="009C6BDF"/>
    <w:rsid w:val="009C6CB7"/>
    <w:rsid w:val="009C6D37"/>
    <w:rsid w:val="009C6D77"/>
    <w:rsid w:val="009C6DCA"/>
    <w:rsid w:val="009C6EF0"/>
    <w:rsid w:val="009C6FC5"/>
    <w:rsid w:val="009C71F8"/>
    <w:rsid w:val="009C7284"/>
    <w:rsid w:val="009C742F"/>
    <w:rsid w:val="009C7594"/>
    <w:rsid w:val="009C759C"/>
    <w:rsid w:val="009C76BC"/>
    <w:rsid w:val="009C77C5"/>
    <w:rsid w:val="009C795B"/>
    <w:rsid w:val="009C7B1B"/>
    <w:rsid w:val="009C7B1F"/>
    <w:rsid w:val="009C7D17"/>
    <w:rsid w:val="009C7FEE"/>
    <w:rsid w:val="009D0116"/>
    <w:rsid w:val="009D02A0"/>
    <w:rsid w:val="009D0466"/>
    <w:rsid w:val="009D04E4"/>
    <w:rsid w:val="009D065B"/>
    <w:rsid w:val="009D0A54"/>
    <w:rsid w:val="009D0BA3"/>
    <w:rsid w:val="009D0BA5"/>
    <w:rsid w:val="009D0CBA"/>
    <w:rsid w:val="009D16CF"/>
    <w:rsid w:val="009D17FC"/>
    <w:rsid w:val="009D1807"/>
    <w:rsid w:val="009D1914"/>
    <w:rsid w:val="009D194B"/>
    <w:rsid w:val="009D1ABF"/>
    <w:rsid w:val="009D1CD2"/>
    <w:rsid w:val="009D2157"/>
    <w:rsid w:val="009D2390"/>
    <w:rsid w:val="009D23AE"/>
    <w:rsid w:val="009D23C9"/>
    <w:rsid w:val="009D23CD"/>
    <w:rsid w:val="009D23FC"/>
    <w:rsid w:val="009D2440"/>
    <w:rsid w:val="009D276D"/>
    <w:rsid w:val="009D2772"/>
    <w:rsid w:val="009D2AAC"/>
    <w:rsid w:val="009D2E17"/>
    <w:rsid w:val="009D30FF"/>
    <w:rsid w:val="009D31ED"/>
    <w:rsid w:val="009D3539"/>
    <w:rsid w:val="009D3564"/>
    <w:rsid w:val="009D3613"/>
    <w:rsid w:val="009D3A1F"/>
    <w:rsid w:val="009D3E90"/>
    <w:rsid w:val="009D40AC"/>
    <w:rsid w:val="009D4215"/>
    <w:rsid w:val="009D45D7"/>
    <w:rsid w:val="009D469E"/>
    <w:rsid w:val="009D483A"/>
    <w:rsid w:val="009D49F2"/>
    <w:rsid w:val="009D4E12"/>
    <w:rsid w:val="009D4F5C"/>
    <w:rsid w:val="009D5015"/>
    <w:rsid w:val="009D5041"/>
    <w:rsid w:val="009D5086"/>
    <w:rsid w:val="009D5174"/>
    <w:rsid w:val="009D52BB"/>
    <w:rsid w:val="009D5520"/>
    <w:rsid w:val="009D5565"/>
    <w:rsid w:val="009D55A0"/>
    <w:rsid w:val="009D567D"/>
    <w:rsid w:val="009D56D2"/>
    <w:rsid w:val="009D57E3"/>
    <w:rsid w:val="009D582C"/>
    <w:rsid w:val="009D5880"/>
    <w:rsid w:val="009D597A"/>
    <w:rsid w:val="009D5A35"/>
    <w:rsid w:val="009D5B5A"/>
    <w:rsid w:val="009D5E4D"/>
    <w:rsid w:val="009D5F42"/>
    <w:rsid w:val="009D6070"/>
    <w:rsid w:val="009D62F5"/>
    <w:rsid w:val="009D63A8"/>
    <w:rsid w:val="009D65B3"/>
    <w:rsid w:val="009D68E2"/>
    <w:rsid w:val="009D6B63"/>
    <w:rsid w:val="009D6D89"/>
    <w:rsid w:val="009D6EC4"/>
    <w:rsid w:val="009D7017"/>
    <w:rsid w:val="009D736C"/>
    <w:rsid w:val="009D7494"/>
    <w:rsid w:val="009D7612"/>
    <w:rsid w:val="009D7986"/>
    <w:rsid w:val="009D79B7"/>
    <w:rsid w:val="009D7E91"/>
    <w:rsid w:val="009D7F1D"/>
    <w:rsid w:val="009D7F3F"/>
    <w:rsid w:val="009E006D"/>
    <w:rsid w:val="009E0378"/>
    <w:rsid w:val="009E0406"/>
    <w:rsid w:val="009E05EB"/>
    <w:rsid w:val="009E081B"/>
    <w:rsid w:val="009E0900"/>
    <w:rsid w:val="009E0A65"/>
    <w:rsid w:val="009E0B25"/>
    <w:rsid w:val="009E101A"/>
    <w:rsid w:val="009E10D6"/>
    <w:rsid w:val="009E10FA"/>
    <w:rsid w:val="009E111E"/>
    <w:rsid w:val="009E114D"/>
    <w:rsid w:val="009E1367"/>
    <w:rsid w:val="009E18D5"/>
    <w:rsid w:val="009E19C6"/>
    <w:rsid w:val="009E1C8E"/>
    <w:rsid w:val="009E1CA9"/>
    <w:rsid w:val="009E1F4A"/>
    <w:rsid w:val="009E1F8B"/>
    <w:rsid w:val="009E2053"/>
    <w:rsid w:val="009E22E3"/>
    <w:rsid w:val="009E233C"/>
    <w:rsid w:val="009E27F1"/>
    <w:rsid w:val="009E2877"/>
    <w:rsid w:val="009E28E5"/>
    <w:rsid w:val="009E2A6E"/>
    <w:rsid w:val="009E2CB4"/>
    <w:rsid w:val="009E2D98"/>
    <w:rsid w:val="009E2DDA"/>
    <w:rsid w:val="009E2E8E"/>
    <w:rsid w:val="009E2ED7"/>
    <w:rsid w:val="009E2EFB"/>
    <w:rsid w:val="009E32D0"/>
    <w:rsid w:val="009E3541"/>
    <w:rsid w:val="009E35A5"/>
    <w:rsid w:val="009E3617"/>
    <w:rsid w:val="009E37D9"/>
    <w:rsid w:val="009E393C"/>
    <w:rsid w:val="009E3A03"/>
    <w:rsid w:val="009E3DE1"/>
    <w:rsid w:val="009E3E37"/>
    <w:rsid w:val="009E3EF2"/>
    <w:rsid w:val="009E3FEC"/>
    <w:rsid w:val="009E4401"/>
    <w:rsid w:val="009E4425"/>
    <w:rsid w:val="009E4623"/>
    <w:rsid w:val="009E486D"/>
    <w:rsid w:val="009E49DD"/>
    <w:rsid w:val="009E4A2D"/>
    <w:rsid w:val="009E4F18"/>
    <w:rsid w:val="009E4FF5"/>
    <w:rsid w:val="009E5122"/>
    <w:rsid w:val="009E5249"/>
    <w:rsid w:val="009E52B8"/>
    <w:rsid w:val="009E55B0"/>
    <w:rsid w:val="009E5849"/>
    <w:rsid w:val="009E5A3D"/>
    <w:rsid w:val="009E5A95"/>
    <w:rsid w:val="009E5B39"/>
    <w:rsid w:val="009E5C7B"/>
    <w:rsid w:val="009E5D75"/>
    <w:rsid w:val="009E5DD7"/>
    <w:rsid w:val="009E5EC9"/>
    <w:rsid w:val="009E5EE4"/>
    <w:rsid w:val="009E6121"/>
    <w:rsid w:val="009E61E1"/>
    <w:rsid w:val="009E6430"/>
    <w:rsid w:val="009E65E8"/>
    <w:rsid w:val="009E678E"/>
    <w:rsid w:val="009E6832"/>
    <w:rsid w:val="009E68F4"/>
    <w:rsid w:val="009E6E7D"/>
    <w:rsid w:val="009E724C"/>
    <w:rsid w:val="009E7488"/>
    <w:rsid w:val="009E759B"/>
    <w:rsid w:val="009E75E8"/>
    <w:rsid w:val="009E7631"/>
    <w:rsid w:val="009E775F"/>
    <w:rsid w:val="009E7941"/>
    <w:rsid w:val="009E7A87"/>
    <w:rsid w:val="009E7B11"/>
    <w:rsid w:val="009E7B70"/>
    <w:rsid w:val="009E7D52"/>
    <w:rsid w:val="009E7E63"/>
    <w:rsid w:val="009E7E90"/>
    <w:rsid w:val="009E7EC2"/>
    <w:rsid w:val="009E7F1B"/>
    <w:rsid w:val="009E7F1D"/>
    <w:rsid w:val="009F027A"/>
    <w:rsid w:val="009F02FA"/>
    <w:rsid w:val="009F03EC"/>
    <w:rsid w:val="009F0590"/>
    <w:rsid w:val="009F06B8"/>
    <w:rsid w:val="009F06D5"/>
    <w:rsid w:val="009F0722"/>
    <w:rsid w:val="009F0A1E"/>
    <w:rsid w:val="009F0A9A"/>
    <w:rsid w:val="009F0D1F"/>
    <w:rsid w:val="009F0ED5"/>
    <w:rsid w:val="009F1102"/>
    <w:rsid w:val="009F11DF"/>
    <w:rsid w:val="009F14C4"/>
    <w:rsid w:val="009F1606"/>
    <w:rsid w:val="009F16E0"/>
    <w:rsid w:val="009F19BE"/>
    <w:rsid w:val="009F1C5C"/>
    <w:rsid w:val="009F1E24"/>
    <w:rsid w:val="009F1FBB"/>
    <w:rsid w:val="009F24CF"/>
    <w:rsid w:val="009F25EC"/>
    <w:rsid w:val="009F26D0"/>
    <w:rsid w:val="009F274E"/>
    <w:rsid w:val="009F29BC"/>
    <w:rsid w:val="009F2C57"/>
    <w:rsid w:val="009F2CA3"/>
    <w:rsid w:val="009F2EE8"/>
    <w:rsid w:val="009F316E"/>
    <w:rsid w:val="009F343B"/>
    <w:rsid w:val="009F3448"/>
    <w:rsid w:val="009F3460"/>
    <w:rsid w:val="009F3506"/>
    <w:rsid w:val="009F36BF"/>
    <w:rsid w:val="009F3734"/>
    <w:rsid w:val="009F3AA6"/>
    <w:rsid w:val="009F3C4F"/>
    <w:rsid w:val="009F3C71"/>
    <w:rsid w:val="009F3CB1"/>
    <w:rsid w:val="009F3D37"/>
    <w:rsid w:val="009F3DD0"/>
    <w:rsid w:val="009F3E8A"/>
    <w:rsid w:val="009F40DA"/>
    <w:rsid w:val="009F4218"/>
    <w:rsid w:val="009F423D"/>
    <w:rsid w:val="009F4330"/>
    <w:rsid w:val="009F4498"/>
    <w:rsid w:val="009F44FD"/>
    <w:rsid w:val="009F4562"/>
    <w:rsid w:val="009F474D"/>
    <w:rsid w:val="009F4822"/>
    <w:rsid w:val="009F4E4B"/>
    <w:rsid w:val="009F50BC"/>
    <w:rsid w:val="009F50F0"/>
    <w:rsid w:val="009F516E"/>
    <w:rsid w:val="009F51C0"/>
    <w:rsid w:val="009F51E1"/>
    <w:rsid w:val="009F56DA"/>
    <w:rsid w:val="009F5793"/>
    <w:rsid w:val="009F57D3"/>
    <w:rsid w:val="009F57E4"/>
    <w:rsid w:val="009F5D43"/>
    <w:rsid w:val="009F5FCA"/>
    <w:rsid w:val="009F64F6"/>
    <w:rsid w:val="009F6537"/>
    <w:rsid w:val="009F66F0"/>
    <w:rsid w:val="009F67D1"/>
    <w:rsid w:val="009F67FF"/>
    <w:rsid w:val="009F6893"/>
    <w:rsid w:val="009F6989"/>
    <w:rsid w:val="009F6C35"/>
    <w:rsid w:val="009F6D5A"/>
    <w:rsid w:val="009F6E16"/>
    <w:rsid w:val="009F6EE4"/>
    <w:rsid w:val="009F6F75"/>
    <w:rsid w:val="009F7063"/>
    <w:rsid w:val="009F727F"/>
    <w:rsid w:val="009F72F7"/>
    <w:rsid w:val="009F7371"/>
    <w:rsid w:val="009F73AB"/>
    <w:rsid w:val="009F73CC"/>
    <w:rsid w:val="009F74B8"/>
    <w:rsid w:val="009F75BC"/>
    <w:rsid w:val="009F75BF"/>
    <w:rsid w:val="009F7DAF"/>
    <w:rsid w:val="009F7DE1"/>
    <w:rsid w:val="009F7E23"/>
    <w:rsid w:val="009F7ED9"/>
    <w:rsid w:val="00A00254"/>
    <w:rsid w:val="00A00850"/>
    <w:rsid w:val="00A00A35"/>
    <w:rsid w:val="00A00E23"/>
    <w:rsid w:val="00A00FA0"/>
    <w:rsid w:val="00A010B6"/>
    <w:rsid w:val="00A01247"/>
    <w:rsid w:val="00A0128C"/>
    <w:rsid w:val="00A0163A"/>
    <w:rsid w:val="00A016F3"/>
    <w:rsid w:val="00A0176A"/>
    <w:rsid w:val="00A017A5"/>
    <w:rsid w:val="00A01A28"/>
    <w:rsid w:val="00A01A9A"/>
    <w:rsid w:val="00A01DB2"/>
    <w:rsid w:val="00A0208B"/>
    <w:rsid w:val="00A0229D"/>
    <w:rsid w:val="00A02427"/>
    <w:rsid w:val="00A02562"/>
    <w:rsid w:val="00A02567"/>
    <w:rsid w:val="00A027D5"/>
    <w:rsid w:val="00A029B3"/>
    <w:rsid w:val="00A029DD"/>
    <w:rsid w:val="00A02B97"/>
    <w:rsid w:val="00A02EC8"/>
    <w:rsid w:val="00A0308A"/>
    <w:rsid w:val="00A03175"/>
    <w:rsid w:val="00A0356E"/>
    <w:rsid w:val="00A03730"/>
    <w:rsid w:val="00A03785"/>
    <w:rsid w:val="00A037AD"/>
    <w:rsid w:val="00A037F6"/>
    <w:rsid w:val="00A038BA"/>
    <w:rsid w:val="00A03923"/>
    <w:rsid w:val="00A03A34"/>
    <w:rsid w:val="00A03A73"/>
    <w:rsid w:val="00A03B9A"/>
    <w:rsid w:val="00A03CD3"/>
    <w:rsid w:val="00A03CDE"/>
    <w:rsid w:val="00A04002"/>
    <w:rsid w:val="00A043AA"/>
    <w:rsid w:val="00A045FD"/>
    <w:rsid w:val="00A04623"/>
    <w:rsid w:val="00A047D1"/>
    <w:rsid w:val="00A048AA"/>
    <w:rsid w:val="00A04CBD"/>
    <w:rsid w:val="00A04CC8"/>
    <w:rsid w:val="00A051D1"/>
    <w:rsid w:val="00A053B1"/>
    <w:rsid w:val="00A05544"/>
    <w:rsid w:val="00A056CA"/>
    <w:rsid w:val="00A0585D"/>
    <w:rsid w:val="00A05A54"/>
    <w:rsid w:val="00A05DCC"/>
    <w:rsid w:val="00A05E2C"/>
    <w:rsid w:val="00A05F32"/>
    <w:rsid w:val="00A0613C"/>
    <w:rsid w:val="00A0618E"/>
    <w:rsid w:val="00A06194"/>
    <w:rsid w:val="00A063EE"/>
    <w:rsid w:val="00A06664"/>
    <w:rsid w:val="00A06F31"/>
    <w:rsid w:val="00A06F94"/>
    <w:rsid w:val="00A07018"/>
    <w:rsid w:val="00A07095"/>
    <w:rsid w:val="00A07242"/>
    <w:rsid w:val="00A0761A"/>
    <w:rsid w:val="00A0768C"/>
    <w:rsid w:val="00A078AC"/>
    <w:rsid w:val="00A07E65"/>
    <w:rsid w:val="00A1027B"/>
    <w:rsid w:val="00A1060A"/>
    <w:rsid w:val="00A10738"/>
    <w:rsid w:val="00A10742"/>
    <w:rsid w:val="00A10841"/>
    <w:rsid w:val="00A1086D"/>
    <w:rsid w:val="00A108B3"/>
    <w:rsid w:val="00A10958"/>
    <w:rsid w:val="00A10A4E"/>
    <w:rsid w:val="00A10B5D"/>
    <w:rsid w:val="00A10C70"/>
    <w:rsid w:val="00A11579"/>
    <w:rsid w:val="00A116C2"/>
    <w:rsid w:val="00A117E7"/>
    <w:rsid w:val="00A1190C"/>
    <w:rsid w:val="00A11910"/>
    <w:rsid w:val="00A11B1B"/>
    <w:rsid w:val="00A11CE2"/>
    <w:rsid w:val="00A11E0B"/>
    <w:rsid w:val="00A11E68"/>
    <w:rsid w:val="00A11E7E"/>
    <w:rsid w:val="00A11EF7"/>
    <w:rsid w:val="00A11F44"/>
    <w:rsid w:val="00A121A1"/>
    <w:rsid w:val="00A123F5"/>
    <w:rsid w:val="00A12456"/>
    <w:rsid w:val="00A124F2"/>
    <w:rsid w:val="00A1250D"/>
    <w:rsid w:val="00A1281B"/>
    <w:rsid w:val="00A12D98"/>
    <w:rsid w:val="00A12DFE"/>
    <w:rsid w:val="00A12E9A"/>
    <w:rsid w:val="00A12E9B"/>
    <w:rsid w:val="00A132C5"/>
    <w:rsid w:val="00A1333E"/>
    <w:rsid w:val="00A1340B"/>
    <w:rsid w:val="00A1342A"/>
    <w:rsid w:val="00A1349B"/>
    <w:rsid w:val="00A1356D"/>
    <w:rsid w:val="00A135E7"/>
    <w:rsid w:val="00A136B0"/>
    <w:rsid w:val="00A136E5"/>
    <w:rsid w:val="00A1374C"/>
    <w:rsid w:val="00A13795"/>
    <w:rsid w:val="00A139BC"/>
    <w:rsid w:val="00A13ADD"/>
    <w:rsid w:val="00A13C60"/>
    <w:rsid w:val="00A13DA6"/>
    <w:rsid w:val="00A14066"/>
    <w:rsid w:val="00A14113"/>
    <w:rsid w:val="00A141AE"/>
    <w:rsid w:val="00A1454A"/>
    <w:rsid w:val="00A145B3"/>
    <w:rsid w:val="00A1460F"/>
    <w:rsid w:val="00A14694"/>
    <w:rsid w:val="00A146A6"/>
    <w:rsid w:val="00A146B5"/>
    <w:rsid w:val="00A148E4"/>
    <w:rsid w:val="00A14912"/>
    <w:rsid w:val="00A14C25"/>
    <w:rsid w:val="00A14E7B"/>
    <w:rsid w:val="00A14F5D"/>
    <w:rsid w:val="00A15039"/>
    <w:rsid w:val="00A15373"/>
    <w:rsid w:val="00A15386"/>
    <w:rsid w:val="00A154B3"/>
    <w:rsid w:val="00A15648"/>
    <w:rsid w:val="00A15884"/>
    <w:rsid w:val="00A15D04"/>
    <w:rsid w:val="00A15D4F"/>
    <w:rsid w:val="00A15D9E"/>
    <w:rsid w:val="00A15DB2"/>
    <w:rsid w:val="00A15DF5"/>
    <w:rsid w:val="00A15F21"/>
    <w:rsid w:val="00A1604A"/>
    <w:rsid w:val="00A161A4"/>
    <w:rsid w:val="00A16314"/>
    <w:rsid w:val="00A163B4"/>
    <w:rsid w:val="00A16501"/>
    <w:rsid w:val="00A1656D"/>
    <w:rsid w:val="00A166BE"/>
    <w:rsid w:val="00A16D5A"/>
    <w:rsid w:val="00A16DED"/>
    <w:rsid w:val="00A1718A"/>
    <w:rsid w:val="00A17499"/>
    <w:rsid w:val="00A1753C"/>
    <w:rsid w:val="00A17903"/>
    <w:rsid w:val="00A17906"/>
    <w:rsid w:val="00A17957"/>
    <w:rsid w:val="00A179AB"/>
    <w:rsid w:val="00A17ABB"/>
    <w:rsid w:val="00A17C60"/>
    <w:rsid w:val="00A17F24"/>
    <w:rsid w:val="00A2005B"/>
    <w:rsid w:val="00A20237"/>
    <w:rsid w:val="00A20562"/>
    <w:rsid w:val="00A20731"/>
    <w:rsid w:val="00A20795"/>
    <w:rsid w:val="00A2095C"/>
    <w:rsid w:val="00A20997"/>
    <w:rsid w:val="00A20B16"/>
    <w:rsid w:val="00A20C56"/>
    <w:rsid w:val="00A20E69"/>
    <w:rsid w:val="00A20E7A"/>
    <w:rsid w:val="00A20FCA"/>
    <w:rsid w:val="00A210D6"/>
    <w:rsid w:val="00A21281"/>
    <w:rsid w:val="00A2145D"/>
    <w:rsid w:val="00A214F5"/>
    <w:rsid w:val="00A21B69"/>
    <w:rsid w:val="00A21C9E"/>
    <w:rsid w:val="00A22075"/>
    <w:rsid w:val="00A22260"/>
    <w:rsid w:val="00A222EA"/>
    <w:rsid w:val="00A223AE"/>
    <w:rsid w:val="00A2240B"/>
    <w:rsid w:val="00A2256F"/>
    <w:rsid w:val="00A2267F"/>
    <w:rsid w:val="00A22981"/>
    <w:rsid w:val="00A22A8C"/>
    <w:rsid w:val="00A22C0F"/>
    <w:rsid w:val="00A22C63"/>
    <w:rsid w:val="00A22E2D"/>
    <w:rsid w:val="00A22FC4"/>
    <w:rsid w:val="00A23352"/>
    <w:rsid w:val="00A2342B"/>
    <w:rsid w:val="00A236E0"/>
    <w:rsid w:val="00A2379C"/>
    <w:rsid w:val="00A23905"/>
    <w:rsid w:val="00A24105"/>
    <w:rsid w:val="00A24118"/>
    <w:rsid w:val="00A24475"/>
    <w:rsid w:val="00A249B3"/>
    <w:rsid w:val="00A24A99"/>
    <w:rsid w:val="00A24BE7"/>
    <w:rsid w:val="00A24E38"/>
    <w:rsid w:val="00A24EC4"/>
    <w:rsid w:val="00A24F1A"/>
    <w:rsid w:val="00A2502D"/>
    <w:rsid w:val="00A25345"/>
    <w:rsid w:val="00A25560"/>
    <w:rsid w:val="00A256D2"/>
    <w:rsid w:val="00A257BB"/>
    <w:rsid w:val="00A25807"/>
    <w:rsid w:val="00A25B76"/>
    <w:rsid w:val="00A25BF4"/>
    <w:rsid w:val="00A25C38"/>
    <w:rsid w:val="00A25C62"/>
    <w:rsid w:val="00A25D1E"/>
    <w:rsid w:val="00A25FD9"/>
    <w:rsid w:val="00A2619E"/>
    <w:rsid w:val="00A263A7"/>
    <w:rsid w:val="00A26AEE"/>
    <w:rsid w:val="00A26BC4"/>
    <w:rsid w:val="00A26CFD"/>
    <w:rsid w:val="00A26D5F"/>
    <w:rsid w:val="00A26E2E"/>
    <w:rsid w:val="00A26F2A"/>
    <w:rsid w:val="00A270DF"/>
    <w:rsid w:val="00A271DD"/>
    <w:rsid w:val="00A27298"/>
    <w:rsid w:val="00A272D3"/>
    <w:rsid w:val="00A27639"/>
    <w:rsid w:val="00A277F2"/>
    <w:rsid w:val="00A2784B"/>
    <w:rsid w:val="00A27B33"/>
    <w:rsid w:val="00A27B39"/>
    <w:rsid w:val="00A27CF3"/>
    <w:rsid w:val="00A27F3B"/>
    <w:rsid w:val="00A27FBC"/>
    <w:rsid w:val="00A302D9"/>
    <w:rsid w:val="00A3036C"/>
    <w:rsid w:val="00A306AE"/>
    <w:rsid w:val="00A30AC9"/>
    <w:rsid w:val="00A30B96"/>
    <w:rsid w:val="00A30BD9"/>
    <w:rsid w:val="00A30C38"/>
    <w:rsid w:val="00A30E98"/>
    <w:rsid w:val="00A30FCC"/>
    <w:rsid w:val="00A3103C"/>
    <w:rsid w:val="00A3107E"/>
    <w:rsid w:val="00A311A0"/>
    <w:rsid w:val="00A311A4"/>
    <w:rsid w:val="00A3155E"/>
    <w:rsid w:val="00A315A0"/>
    <w:rsid w:val="00A31810"/>
    <w:rsid w:val="00A3181F"/>
    <w:rsid w:val="00A31857"/>
    <w:rsid w:val="00A318CF"/>
    <w:rsid w:val="00A3190C"/>
    <w:rsid w:val="00A31961"/>
    <w:rsid w:val="00A319FC"/>
    <w:rsid w:val="00A31C13"/>
    <w:rsid w:val="00A31C82"/>
    <w:rsid w:val="00A31DD7"/>
    <w:rsid w:val="00A3206E"/>
    <w:rsid w:val="00A32071"/>
    <w:rsid w:val="00A320F8"/>
    <w:rsid w:val="00A3220F"/>
    <w:rsid w:val="00A32258"/>
    <w:rsid w:val="00A3231D"/>
    <w:rsid w:val="00A3285D"/>
    <w:rsid w:val="00A328B4"/>
    <w:rsid w:val="00A32A42"/>
    <w:rsid w:val="00A32B32"/>
    <w:rsid w:val="00A32E30"/>
    <w:rsid w:val="00A32E40"/>
    <w:rsid w:val="00A32E78"/>
    <w:rsid w:val="00A32FDA"/>
    <w:rsid w:val="00A331CF"/>
    <w:rsid w:val="00A33333"/>
    <w:rsid w:val="00A33450"/>
    <w:rsid w:val="00A3354C"/>
    <w:rsid w:val="00A338BB"/>
    <w:rsid w:val="00A3391A"/>
    <w:rsid w:val="00A33B15"/>
    <w:rsid w:val="00A33B66"/>
    <w:rsid w:val="00A33CF3"/>
    <w:rsid w:val="00A33D03"/>
    <w:rsid w:val="00A33DC6"/>
    <w:rsid w:val="00A33F7E"/>
    <w:rsid w:val="00A33FA9"/>
    <w:rsid w:val="00A33FD2"/>
    <w:rsid w:val="00A341EE"/>
    <w:rsid w:val="00A3430E"/>
    <w:rsid w:val="00A3436C"/>
    <w:rsid w:val="00A343B3"/>
    <w:rsid w:val="00A34402"/>
    <w:rsid w:val="00A3450D"/>
    <w:rsid w:val="00A34692"/>
    <w:rsid w:val="00A3488E"/>
    <w:rsid w:val="00A34989"/>
    <w:rsid w:val="00A34B8D"/>
    <w:rsid w:val="00A34C41"/>
    <w:rsid w:val="00A34CA5"/>
    <w:rsid w:val="00A352EF"/>
    <w:rsid w:val="00A35584"/>
    <w:rsid w:val="00A35665"/>
    <w:rsid w:val="00A35D16"/>
    <w:rsid w:val="00A35E54"/>
    <w:rsid w:val="00A35E57"/>
    <w:rsid w:val="00A36468"/>
    <w:rsid w:val="00A36557"/>
    <w:rsid w:val="00A366EB"/>
    <w:rsid w:val="00A36830"/>
    <w:rsid w:val="00A36D6C"/>
    <w:rsid w:val="00A36DD6"/>
    <w:rsid w:val="00A36F2D"/>
    <w:rsid w:val="00A37005"/>
    <w:rsid w:val="00A3718A"/>
    <w:rsid w:val="00A372A2"/>
    <w:rsid w:val="00A37554"/>
    <w:rsid w:val="00A375C8"/>
    <w:rsid w:val="00A375F3"/>
    <w:rsid w:val="00A3777D"/>
    <w:rsid w:val="00A378DE"/>
    <w:rsid w:val="00A37957"/>
    <w:rsid w:val="00A37991"/>
    <w:rsid w:val="00A37DBF"/>
    <w:rsid w:val="00A37DD3"/>
    <w:rsid w:val="00A37E3A"/>
    <w:rsid w:val="00A37F12"/>
    <w:rsid w:val="00A400B7"/>
    <w:rsid w:val="00A40139"/>
    <w:rsid w:val="00A401E8"/>
    <w:rsid w:val="00A40220"/>
    <w:rsid w:val="00A40305"/>
    <w:rsid w:val="00A403C5"/>
    <w:rsid w:val="00A4048C"/>
    <w:rsid w:val="00A404B8"/>
    <w:rsid w:val="00A405CB"/>
    <w:rsid w:val="00A40700"/>
    <w:rsid w:val="00A40968"/>
    <w:rsid w:val="00A40979"/>
    <w:rsid w:val="00A40B47"/>
    <w:rsid w:val="00A40C2D"/>
    <w:rsid w:val="00A41062"/>
    <w:rsid w:val="00A4147E"/>
    <w:rsid w:val="00A41504"/>
    <w:rsid w:val="00A41522"/>
    <w:rsid w:val="00A4173F"/>
    <w:rsid w:val="00A41860"/>
    <w:rsid w:val="00A41936"/>
    <w:rsid w:val="00A41A6F"/>
    <w:rsid w:val="00A41E4A"/>
    <w:rsid w:val="00A41EFA"/>
    <w:rsid w:val="00A41F9A"/>
    <w:rsid w:val="00A42071"/>
    <w:rsid w:val="00A420F2"/>
    <w:rsid w:val="00A4221B"/>
    <w:rsid w:val="00A4223C"/>
    <w:rsid w:val="00A42454"/>
    <w:rsid w:val="00A4278C"/>
    <w:rsid w:val="00A42B98"/>
    <w:rsid w:val="00A42D8A"/>
    <w:rsid w:val="00A42E37"/>
    <w:rsid w:val="00A432CD"/>
    <w:rsid w:val="00A43317"/>
    <w:rsid w:val="00A43843"/>
    <w:rsid w:val="00A43B3E"/>
    <w:rsid w:val="00A43BBA"/>
    <w:rsid w:val="00A43C7D"/>
    <w:rsid w:val="00A43DE5"/>
    <w:rsid w:val="00A44066"/>
    <w:rsid w:val="00A4430C"/>
    <w:rsid w:val="00A44494"/>
    <w:rsid w:val="00A4489D"/>
    <w:rsid w:val="00A449BE"/>
    <w:rsid w:val="00A44A2E"/>
    <w:rsid w:val="00A44F79"/>
    <w:rsid w:val="00A451CB"/>
    <w:rsid w:val="00A45415"/>
    <w:rsid w:val="00A456B1"/>
    <w:rsid w:val="00A456CA"/>
    <w:rsid w:val="00A45805"/>
    <w:rsid w:val="00A45A16"/>
    <w:rsid w:val="00A45A1A"/>
    <w:rsid w:val="00A45DA9"/>
    <w:rsid w:val="00A45F88"/>
    <w:rsid w:val="00A46016"/>
    <w:rsid w:val="00A4617C"/>
    <w:rsid w:val="00A4657D"/>
    <w:rsid w:val="00A46772"/>
    <w:rsid w:val="00A467F7"/>
    <w:rsid w:val="00A46B5E"/>
    <w:rsid w:val="00A46DFC"/>
    <w:rsid w:val="00A47151"/>
    <w:rsid w:val="00A473C7"/>
    <w:rsid w:val="00A4757D"/>
    <w:rsid w:val="00A47635"/>
    <w:rsid w:val="00A4775E"/>
    <w:rsid w:val="00A47AFA"/>
    <w:rsid w:val="00A47C2A"/>
    <w:rsid w:val="00A47EA3"/>
    <w:rsid w:val="00A47FE7"/>
    <w:rsid w:val="00A50005"/>
    <w:rsid w:val="00A50130"/>
    <w:rsid w:val="00A502BA"/>
    <w:rsid w:val="00A505ED"/>
    <w:rsid w:val="00A50ACB"/>
    <w:rsid w:val="00A50E5A"/>
    <w:rsid w:val="00A50EF7"/>
    <w:rsid w:val="00A50FD5"/>
    <w:rsid w:val="00A5100F"/>
    <w:rsid w:val="00A5111B"/>
    <w:rsid w:val="00A515AA"/>
    <w:rsid w:val="00A518CB"/>
    <w:rsid w:val="00A5190F"/>
    <w:rsid w:val="00A51960"/>
    <w:rsid w:val="00A51A3F"/>
    <w:rsid w:val="00A51ACF"/>
    <w:rsid w:val="00A51DC7"/>
    <w:rsid w:val="00A51E3F"/>
    <w:rsid w:val="00A51FE6"/>
    <w:rsid w:val="00A52058"/>
    <w:rsid w:val="00A52146"/>
    <w:rsid w:val="00A52174"/>
    <w:rsid w:val="00A523A1"/>
    <w:rsid w:val="00A52411"/>
    <w:rsid w:val="00A5249D"/>
    <w:rsid w:val="00A525BF"/>
    <w:rsid w:val="00A527F3"/>
    <w:rsid w:val="00A528D6"/>
    <w:rsid w:val="00A529CB"/>
    <w:rsid w:val="00A52C05"/>
    <w:rsid w:val="00A52D16"/>
    <w:rsid w:val="00A52F85"/>
    <w:rsid w:val="00A52FBC"/>
    <w:rsid w:val="00A5306E"/>
    <w:rsid w:val="00A530D4"/>
    <w:rsid w:val="00A53135"/>
    <w:rsid w:val="00A5325F"/>
    <w:rsid w:val="00A533C0"/>
    <w:rsid w:val="00A53469"/>
    <w:rsid w:val="00A5356E"/>
    <w:rsid w:val="00A5384A"/>
    <w:rsid w:val="00A53884"/>
    <w:rsid w:val="00A53BDC"/>
    <w:rsid w:val="00A53C0C"/>
    <w:rsid w:val="00A54024"/>
    <w:rsid w:val="00A540B5"/>
    <w:rsid w:val="00A54322"/>
    <w:rsid w:val="00A5447B"/>
    <w:rsid w:val="00A54543"/>
    <w:rsid w:val="00A5459D"/>
    <w:rsid w:val="00A545E5"/>
    <w:rsid w:val="00A54641"/>
    <w:rsid w:val="00A546DC"/>
    <w:rsid w:val="00A547CB"/>
    <w:rsid w:val="00A549E3"/>
    <w:rsid w:val="00A54A40"/>
    <w:rsid w:val="00A54BD3"/>
    <w:rsid w:val="00A54BF8"/>
    <w:rsid w:val="00A54F55"/>
    <w:rsid w:val="00A55092"/>
    <w:rsid w:val="00A5510C"/>
    <w:rsid w:val="00A5539E"/>
    <w:rsid w:val="00A5568F"/>
    <w:rsid w:val="00A556C6"/>
    <w:rsid w:val="00A557BE"/>
    <w:rsid w:val="00A55923"/>
    <w:rsid w:val="00A55B3E"/>
    <w:rsid w:val="00A55CE2"/>
    <w:rsid w:val="00A55D4C"/>
    <w:rsid w:val="00A56395"/>
    <w:rsid w:val="00A56441"/>
    <w:rsid w:val="00A56584"/>
    <w:rsid w:val="00A56724"/>
    <w:rsid w:val="00A5687F"/>
    <w:rsid w:val="00A5689B"/>
    <w:rsid w:val="00A568BE"/>
    <w:rsid w:val="00A568FA"/>
    <w:rsid w:val="00A5723E"/>
    <w:rsid w:val="00A5735E"/>
    <w:rsid w:val="00A573B5"/>
    <w:rsid w:val="00A5754A"/>
    <w:rsid w:val="00A576F8"/>
    <w:rsid w:val="00A5787F"/>
    <w:rsid w:val="00A57929"/>
    <w:rsid w:val="00A57C06"/>
    <w:rsid w:val="00A57DA4"/>
    <w:rsid w:val="00A57E65"/>
    <w:rsid w:val="00A57FC5"/>
    <w:rsid w:val="00A602F8"/>
    <w:rsid w:val="00A60379"/>
    <w:rsid w:val="00A6061C"/>
    <w:rsid w:val="00A60B9C"/>
    <w:rsid w:val="00A60C49"/>
    <w:rsid w:val="00A60D59"/>
    <w:rsid w:val="00A60D7F"/>
    <w:rsid w:val="00A60F07"/>
    <w:rsid w:val="00A61047"/>
    <w:rsid w:val="00A6108A"/>
    <w:rsid w:val="00A611B2"/>
    <w:rsid w:val="00A6125F"/>
    <w:rsid w:val="00A61323"/>
    <w:rsid w:val="00A61363"/>
    <w:rsid w:val="00A61477"/>
    <w:rsid w:val="00A61625"/>
    <w:rsid w:val="00A61806"/>
    <w:rsid w:val="00A61D33"/>
    <w:rsid w:val="00A61EFC"/>
    <w:rsid w:val="00A61F0E"/>
    <w:rsid w:val="00A620D3"/>
    <w:rsid w:val="00A62284"/>
    <w:rsid w:val="00A62322"/>
    <w:rsid w:val="00A6281F"/>
    <w:rsid w:val="00A62CA7"/>
    <w:rsid w:val="00A62DCC"/>
    <w:rsid w:val="00A63001"/>
    <w:rsid w:val="00A630CA"/>
    <w:rsid w:val="00A633FE"/>
    <w:rsid w:val="00A63707"/>
    <w:rsid w:val="00A637AE"/>
    <w:rsid w:val="00A63826"/>
    <w:rsid w:val="00A63917"/>
    <w:rsid w:val="00A63BA8"/>
    <w:rsid w:val="00A63E1D"/>
    <w:rsid w:val="00A645A1"/>
    <w:rsid w:val="00A645A9"/>
    <w:rsid w:val="00A645F0"/>
    <w:rsid w:val="00A646CA"/>
    <w:rsid w:val="00A64746"/>
    <w:rsid w:val="00A64927"/>
    <w:rsid w:val="00A64A9D"/>
    <w:rsid w:val="00A64CA8"/>
    <w:rsid w:val="00A64EE6"/>
    <w:rsid w:val="00A65432"/>
    <w:rsid w:val="00A65637"/>
    <w:rsid w:val="00A659E1"/>
    <w:rsid w:val="00A65A94"/>
    <w:rsid w:val="00A65B4C"/>
    <w:rsid w:val="00A660FB"/>
    <w:rsid w:val="00A6615B"/>
    <w:rsid w:val="00A6616E"/>
    <w:rsid w:val="00A662A0"/>
    <w:rsid w:val="00A663A5"/>
    <w:rsid w:val="00A667D0"/>
    <w:rsid w:val="00A669E2"/>
    <w:rsid w:val="00A66C8B"/>
    <w:rsid w:val="00A66C8F"/>
    <w:rsid w:val="00A66D1B"/>
    <w:rsid w:val="00A673A0"/>
    <w:rsid w:val="00A67401"/>
    <w:rsid w:val="00A67691"/>
    <w:rsid w:val="00A67B3E"/>
    <w:rsid w:val="00A67BF3"/>
    <w:rsid w:val="00A67C15"/>
    <w:rsid w:val="00A67DAD"/>
    <w:rsid w:val="00A67E32"/>
    <w:rsid w:val="00A701A0"/>
    <w:rsid w:val="00A70504"/>
    <w:rsid w:val="00A705D3"/>
    <w:rsid w:val="00A707F3"/>
    <w:rsid w:val="00A70867"/>
    <w:rsid w:val="00A70A4F"/>
    <w:rsid w:val="00A70A7C"/>
    <w:rsid w:val="00A70B2C"/>
    <w:rsid w:val="00A70CA8"/>
    <w:rsid w:val="00A70CED"/>
    <w:rsid w:val="00A7118E"/>
    <w:rsid w:val="00A71216"/>
    <w:rsid w:val="00A713F0"/>
    <w:rsid w:val="00A71511"/>
    <w:rsid w:val="00A7164F"/>
    <w:rsid w:val="00A7198E"/>
    <w:rsid w:val="00A719BA"/>
    <w:rsid w:val="00A71A26"/>
    <w:rsid w:val="00A71A3B"/>
    <w:rsid w:val="00A71AB3"/>
    <w:rsid w:val="00A71DE4"/>
    <w:rsid w:val="00A71E62"/>
    <w:rsid w:val="00A71FC4"/>
    <w:rsid w:val="00A722F5"/>
    <w:rsid w:val="00A723FF"/>
    <w:rsid w:val="00A72669"/>
    <w:rsid w:val="00A7267C"/>
    <w:rsid w:val="00A726BA"/>
    <w:rsid w:val="00A7281A"/>
    <w:rsid w:val="00A72857"/>
    <w:rsid w:val="00A72B33"/>
    <w:rsid w:val="00A72BF5"/>
    <w:rsid w:val="00A72C55"/>
    <w:rsid w:val="00A72C95"/>
    <w:rsid w:val="00A72E51"/>
    <w:rsid w:val="00A72F5C"/>
    <w:rsid w:val="00A73358"/>
    <w:rsid w:val="00A7340D"/>
    <w:rsid w:val="00A73670"/>
    <w:rsid w:val="00A73899"/>
    <w:rsid w:val="00A73975"/>
    <w:rsid w:val="00A73A6F"/>
    <w:rsid w:val="00A73C2D"/>
    <w:rsid w:val="00A73DA7"/>
    <w:rsid w:val="00A73FD5"/>
    <w:rsid w:val="00A740BF"/>
    <w:rsid w:val="00A7424C"/>
    <w:rsid w:val="00A74339"/>
    <w:rsid w:val="00A74476"/>
    <w:rsid w:val="00A74515"/>
    <w:rsid w:val="00A74697"/>
    <w:rsid w:val="00A74C5C"/>
    <w:rsid w:val="00A74DB8"/>
    <w:rsid w:val="00A750BC"/>
    <w:rsid w:val="00A752C1"/>
    <w:rsid w:val="00A7533F"/>
    <w:rsid w:val="00A75489"/>
    <w:rsid w:val="00A7549F"/>
    <w:rsid w:val="00A754CC"/>
    <w:rsid w:val="00A75513"/>
    <w:rsid w:val="00A755B9"/>
    <w:rsid w:val="00A756C3"/>
    <w:rsid w:val="00A75A65"/>
    <w:rsid w:val="00A75B1A"/>
    <w:rsid w:val="00A75BCA"/>
    <w:rsid w:val="00A75D6E"/>
    <w:rsid w:val="00A763E3"/>
    <w:rsid w:val="00A76603"/>
    <w:rsid w:val="00A76681"/>
    <w:rsid w:val="00A766DA"/>
    <w:rsid w:val="00A76905"/>
    <w:rsid w:val="00A76A25"/>
    <w:rsid w:val="00A76BF9"/>
    <w:rsid w:val="00A76C89"/>
    <w:rsid w:val="00A77070"/>
    <w:rsid w:val="00A770D8"/>
    <w:rsid w:val="00A7717E"/>
    <w:rsid w:val="00A7729E"/>
    <w:rsid w:val="00A7733E"/>
    <w:rsid w:val="00A77464"/>
    <w:rsid w:val="00A7754B"/>
    <w:rsid w:val="00A77769"/>
    <w:rsid w:val="00A778AD"/>
    <w:rsid w:val="00A77A62"/>
    <w:rsid w:val="00A77E39"/>
    <w:rsid w:val="00A800AF"/>
    <w:rsid w:val="00A8035D"/>
    <w:rsid w:val="00A8048A"/>
    <w:rsid w:val="00A8059E"/>
    <w:rsid w:val="00A807DE"/>
    <w:rsid w:val="00A808DB"/>
    <w:rsid w:val="00A80997"/>
    <w:rsid w:val="00A80A8B"/>
    <w:rsid w:val="00A80BA4"/>
    <w:rsid w:val="00A80E26"/>
    <w:rsid w:val="00A80E81"/>
    <w:rsid w:val="00A8134A"/>
    <w:rsid w:val="00A81444"/>
    <w:rsid w:val="00A815E4"/>
    <w:rsid w:val="00A8162D"/>
    <w:rsid w:val="00A81AB7"/>
    <w:rsid w:val="00A81AEE"/>
    <w:rsid w:val="00A81C05"/>
    <w:rsid w:val="00A81C9A"/>
    <w:rsid w:val="00A81E8F"/>
    <w:rsid w:val="00A81F37"/>
    <w:rsid w:val="00A82029"/>
    <w:rsid w:val="00A8213E"/>
    <w:rsid w:val="00A82380"/>
    <w:rsid w:val="00A82436"/>
    <w:rsid w:val="00A82770"/>
    <w:rsid w:val="00A82807"/>
    <w:rsid w:val="00A82C44"/>
    <w:rsid w:val="00A82ECD"/>
    <w:rsid w:val="00A82F97"/>
    <w:rsid w:val="00A82F9A"/>
    <w:rsid w:val="00A83044"/>
    <w:rsid w:val="00A8315F"/>
    <w:rsid w:val="00A83561"/>
    <w:rsid w:val="00A835C4"/>
    <w:rsid w:val="00A836B7"/>
    <w:rsid w:val="00A837A6"/>
    <w:rsid w:val="00A837D0"/>
    <w:rsid w:val="00A838B0"/>
    <w:rsid w:val="00A838BF"/>
    <w:rsid w:val="00A8395A"/>
    <w:rsid w:val="00A839E0"/>
    <w:rsid w:val="00A83B82"/>
    <w:rsid w:val="00A83D11"/>
    <w:rsid w:val="00A83D17"/>
    <w:rsid w:val="00A83DA9"/>
    <w:rsid w:val="00A83E42"/>
    <w:rsid w:val="00A83EF7"/>
    <w:rsid w:val="00A83F18"/>
    <w:rsid w:val="00A841F7"/>
    <w:rsid w:val="00A84326"/>
    <w:rsid w:val="00A84782"/>
    <w:rsid w:val="00A84949"/>
    <w:rsid w:val="00A84B0E"/>
    <w:rsid w:val="00A84D2A"/>
    <w:rsid w:val="00A84D39"/>
    <w:rsid w:val="00A84E83"/>
    <w:rsid w:val="00A84F71"/>
    <w:rsid w:val="00A84FB4"/>
    <w:rsid w:val="00A850E6"/>
    <w:rsid w:val="00A85445"/>
    <w:rsid w:val="00A8595C"/>
    <w:rsid w:val="00A85999"/>
    <w:rsid w:val="00A85C9D"/>
    <w:rsid w:val="00A85DC5"/>
    <w:rsid w:val="00A85E7F"/>
    <w:rsid w:val="00A86281"/>
    <w:rsid w:val="00A8629C"/>
    <w:rsid w:val="00A86438"/>
    <w:rsid w:val="00A86483"/>
    <w:rsid w:val="00A8661A"/>
    <w:rsid w:val="00A86B16"/>
    <w:rsid w:val="00A86B21"/>
    <w:rsid w:val="00A86D8B"/>
    <w:rsid w:val="00A86F20"/>
    <w:rsid w:val="00A87163"/>
    <w:rsid w:val="00A871C9"/>
    <w:rsid w:val="00A87203"/>
    <w:rsid w:val="00A872A9"/>
    <w:rsid w:val="00A874A3"/>
    <w:rsid w:val="00A877A6"/>
    <w:rsid w:val="00A878D1"/>
    <w:rsid w:val="00A879DB"/>
    <w:rsid w:val="00A87BD8"/>
    <w:rsid w:val="00A87BEA"/>
    <w:rsid w:val="00A87E73"/>
    <w:rsid w:val="00A87FD5"/>
    <w:rsid w:val="00A900CC"/>
    <w:rsid w:val="00A901C2"/>
    <w:rsid w:val="00A90312"/>
    <w:rsid w:val="00A90481"/>
    <w:rsid w:val="00A9059D"/>
    <w:rsid w:val="00A905F1"/>
    <w:rsid w:val="00A90719"/>
    <w:rsid w:val="00A907E8"/>
    <w:rsid w:val="00A90933"/>
    <w:rsid w:val="00A9095F"/>
    <w:rsid w:val="00A909E5"/>
    <w:rsid w:val="00A909EA"/>
    <w:rsid w:val="00A90B3D"/>
    <w:rsid w:val="00A90E22"/>
    <w:rsid w:val="00A90E97"/>
    <w:rsid w:val="00A90F73"/>
    <w:rsid w:val="00A912AA"/>
    <w:rsid w:val="00A91304"/>
    <w:rsid w:val="00A91431"/>
    <w:rsid w:val="00A91498"/>
    <w:rsid w:val="00A91499"/>
    <w:rsid w:val="00A91915"/>
    <w:rsid w:val="00A91AF5"/>
    <w:rsid w:val="00A91ECA"/>
    <w:rsid w:val="00A91EE8"/>
    <w:rsid w:val="00A920D3"/>
    <w:rsid w:val="00A92133"/>
    <w:rsid w:val="00A9236F"/>
    <w:rsid w:val="00A92838"/>
    <w:rsid w:val="00A931F2"/>
    <w:rsid w:val="00A93659"/>
    <w:rsid w:val="00A937EE"/>
    <w:rsid w:val="00A93E17"/>
    <w:rsid w:val="00A940B2"/>
    <w:rsid w:val="00A94582"/>
    <w:rsid w:val="00A946A8"/>
    <w:rsid w:val="00A946C6"/>
    <w:rsid w:val="00A94770"/>
    <w:rsid w:val="00A94948"/>
    <w:rsid w:val="00A94BC8"/>
    <w:rsid w:val="00A94E61"/>
    <w:rsid w:val="00A94E72"/>
    <w:rsid w:val="00A94EB3"/>
    <w:rsid w:val="00A94F6E"/>
    <w:rsid w:val="00A950A2"/>
    <w:rsid w:val="00A95191"/>
    <w:rsid w:val="00A9520E"/>
    <w:rsid w:val="00A953BA"/>
    <w:rsid w:val="00A955BB"/>
    <w:rsid w:val="00A9568B"/>
    <w:rsid w:val="00A9584F"/>
    <w:rsid w:val="00A95D1C"/>
    <w:rsid w:val="00A95E4F"/>
    <w:rsid w:val="00A95EBD"/>
    <w:rsid w:val="00A96484"/>
    <w:rsid w:val="00A964A4"/>
    <w:rsid w:val="00A96524"/>
    <w:rsid w:val="00A965A3"/>
    <w:rsid w:val="00A9666B"/>
    <w:rsid w:val="00A969C3"/>
    <w:rsid w:val="00A96AAA"/>
    <w:rsid w:val="00A96D9E"/>
    <w:rsid w:val="00A97377"/>
    <w:rsid w:val="00A973C7"/>
    <w:rsid w:val="00A9742D"/>
    <w:rsid w:val="00A975D8"/>
    <w:rsid w:val="00A97A3C"/>
    <w:rsid w:val="00A97B00"/>
    <w:rsid w:val="00A97C59"/>
    <w:rsid w:val="00A97D1A"/>
    <w:rsid w:val="00A97D35"/>
    <w:rsid w:val="00A97EDE"/>
    <w:rsid w:val="00AA0102"/>
    <w:rsid w:val="00AA068D"/>
    <w:rsid w:val="00AA09D7"/>
    <w:rsid w:val="00AA0A3D"/>
    <w:rsid w:val="00AA0D37"/>
    <w:rsid w:val="00AA0DEB"/>
    <w:rsid w:val="00AA0F93"/>
    <w:rsid w:val="00AA1329"/>
    <w:rsid w:val="00AA13DE"/>
    <w:rsid w:val="00AA13E8"/>
    <w:rsid w:val="00AA1403"/>
    <w:rsid w:val="00AA1405"/>
    <w:rsid w:val="00AA16AE"/>
    <w:rsid w:val="00AA17B3"/>
    <w:rsid w:val="00AA18FA"/>
    <w:rsid w:val="00AA206C"/>
    <w:rsid w:val="00AA2316"/>
    <w:rsid w:val="00AA2491"/>
    <w:rsid w:val="00AA269E"/>
    <w:rsid w:val="00AA2799"/>
    <w:rsid w:val="00AA27DB"/>
    <w:rsid w:val="00AA303A"/>
    <w:rsid w:val="00AA31FC"/>
    <w:rsid w:val="00AA3207"/>
    <w:rsid w:val="00AA33A0"/>
    <w:rsid w:val="00AA33EB"/>
    <w:rsid w:val="00AA34E3"/>
    <w:rsid w:val="00AA3767"/>
    <w:rsid w:val="00AA37C0"/>
    <w:rsid w:val="00AA3A28"/>
    <w:rsid w:val="00AA3AC4"/>
    <w:rsid w:val="00AA3BC6"/>
    <w:rsid w:val="00AA4044"/>
    <w:rsid w:val="00AA4076"/>
    <w:rsid w:val="00AA41D8"/>
    <w:rsid w:val="00AA4306"/>
    <w:rsid w:val="00AA45E8"/>
    <w:rsid w:val="00AA4689"/>
    <w:rsid w:val="00AA47A1"/>
    <w:rsid w:val="00AA487A"/>
    <w:rsid w:val="00AA4905"/>
    <w:rsid w:val="00AA493E"/>
    <w:rsid w:val="00AA4A87"/>
    <w:rsid w:val="00AA4AA3"/>
    <w:rsid w:val="00AA4DCF"/>
    <w:rsid w:val="00AA4FFB"/>
    <w:rsid w:val="00AA50D5"/>
    <w:rsid w:val="00AA513F"/>
    <w:rsid w:val="00AA515C"/>
    <w:rsid w:val="00AA5334"/>
    <w:rsid w:val="00AA53B7"/>
    <w:rsid w:val="00AA5592"/>
    <w:rsid w:val="00AA55EB"/>
    <w:rsid w:val="00AA56D6"/>
    <w:rsid w:val="00AA5A17"/>
    <w:rsid w:val="00AA5C7F"/>
    <w:rsid w:val="00AA5DCA"/>
    <w:rsid w:val="00AA5E39"/>
    <w:rsid w:val="00AA5E91"/>
    <w:rsid w:val="00AA5FCF"/>
    <w:rsid w:val="00AA61B8"/>
    <w:rsid w:val="00AA61DF"/>
    <w:rsid w:val="00AA6252"/>
    <w:rsid w:val="00AA627F"/>
    <w:rsid w:val="00AA6354"/>
    <w:rsid w:val="00AA6575"/>
    <w:rsid w:val="00AA6827"/>
    <w:rsid w:val="00AA68F8"/>
    <w:rsid w:val="00AA6933"/>
    <w:rsid w:val="00AA696E"/>
    <w:rsid w:val="00AA6AF4"/>
    <w:rsid w:val="00AA6C46"/>
    <w:rsid w:val="00AA6E02"/>
    <w:rsid w:val="00AA718C"/>
    <w:rsid w:val="00AA7566"/>
    <w:rsid w:val="00AA759F"/>
    <w:rsid w:val="00AA7690"/>
    <w:rsid w:val="00AA76D7"/>
    <w:rsid w:val="00AA77DB"/>
    <w:rsid w:val="00AA78E9"/>
    <w:rsid w:val="00AA7B74"/>
    <w:rsid w:val="00AA7C38"/>
    <w:rsid w:val="00AA7D7D"/>
    <w:rsid w:val="00AA7E13"/>
    <w:rsid w:val="00AB0026"/>
    <w:rsid w:val="00AB0032"/>
    <w:rsid w:val="00AB0344"/>
    <w:rsid w:val="00AB0516"/>
    <w:rsid w:val="00AB06D3"/>
    <w:rsid w:val="00AB0BDC"/>
    <w:rsid w:val="00AB0E89"/>
    <w:rsid w:val="00AB153B"/>
    <w:rsid w:val="00AB15C1"/>
    <w:rsid w:val="00AB15F6"/>
    <w:rsid w:val="00AB164F"/>
    <w:rsid w:val="00AB1672"/>
    <w:rsid w:val="00AB17F1"/>
    <w:rsid w:val="00AB1A8B"/>
    <w:rsid w:val="00AB1D2E"/>
    <w:rsid w:val="00AB1DE9"/>
    <w:rsid w:val="00AB2137"/>
    <w:rsid w:val="00AB245F"/>
    <w:rsid w:val="00AB2768"/>
    <w:rsid w:val="00AB28B8"/>
    <w:rsid w:val="00AB291C"/>
    <w:rsid w:val="00AB294B"/>
    <w:rsid w:val="00AB2950"/>
    <w:rsid w:val="00AB29B1"/>
    <w:rsid w:val="00AB2B22"/>
    <w:rsid w:val="00AB2C74"/>
    <w:rsid w:val="00AB3058"/>
    <w:rsid w:val="00AB30F5"/>
    <w:rsid w:val="00AB32A9"/>
    <w:rsid w:val="00AB34DD"/>
    <w:rsid w:val="00AB3BB6"/>
    <w:rsid w:val="00AB3D5E"/>
    <w:rsid w:val="00AB3DD5"/>
    <w:rsid w:val="00AB3E53"/>
    <w:rsid w:val="00AB4321"/>
    <w:rsid w:val="00AB43EC"/>
    <w:rsid w:val="00AB4456"/>
    <w:rsid w:val="00AB455C"/>
    <w:rsid w:val="00AB4598"/>
    <w:rsid w:val="00AB467A"/>
    <w:rsid w:val="00AB4999"/>
    <w:rsid w:val="00AB4A43"/>
    <w:rsid w:val="00AB4B43"/>
    <w:rsid w:val="00AB4E43"/>
    <w:rsid w:val="00AB532B"/>
    <w:rsid w:val="00AB535A"/>
    <w:rsid w:val="00AB57E2"/>
    <w:rsid w:val="00AB59FE"/>
    <w:rsid w:val="00AB5A49"/>
    <w:rsid w:val="00AB5C16"/>
    <w:rsid w:val="00AB5DC4"/>
    <w:rsid w:val="00AB6345"/>
    <w:rsid w:val="00AB638C"/>
    <w:rsid w:val="00AB6485"/>
    <w:rsid w:val="00AB64CE"/>
    <w:rsid w:val="00AB6741"/>
    <w:rsid w:val="00AB6843"/>
    <w:rsid w:val="00AB6CF2"/>
    <w:rsid w:val="00AB7270"/>
    <w:rsid w:val="00AB7574"/>
    <w:rsid w:val="00AB75C6"/>
    <w:rsid w:val="00AB7B86"/>
    <w:rsid w:val="00AC0057"/>
    <w:rsid w:val="00AC00F2"/>
    <w:rsid w:val="00AC0212"/>
    <w:rsid w:val="00AC02AA"/>
    <w:rsid w:val="00AC02B2"/>
    <w:rsid w:val="00AC0525"/>
    <w:rsid w:val="00AC090A"/>
    <w:rsid w:val="00AC0CD0"/>
    <w:rsid w:val="00AC0D51"/>
    <w:rsid w:val="00AC100F"/>
    <w:rsid w:val="00AC1352"/>
    <w:rsid w:val="00AC19E2"/>
    <w:rsid w:val="00AC1A96"/>
    <w:rsid w:val="00AC1D2D"/>
    <w:rsid w:val="00AC1D94"/>
    <w:rsid w:val="00AC1EC1"/>
    <w:rsid w:val="00AC2005"/>
    <w:rsid w:val="00AC2081"/>
    <w:rsid w:val="00AC220D"/>
    <w:rsid w:val="00AC2261"/>
    <w:rsid w:val="00AC26AA"/>
    <w:rsid w:val="00AC26F5"/>
    <w:rsid w:val="00AC2947"/>
    <w:rsid w:val="00AC29A6"/>
    <w:rsid w:val="00AC2B2F"/>
    <w:rsid w:val="00AC300B"/>
    <w:rsid w:val="00AC32C0"/>
    <w:rsid w:val="00AC35F3"/>
    <w:rsid w:val="00AC3712"/>
    <w:rsid w:val="00AC372C"/>
    <w:rsid w:val="00AC37FE"/>
    <w:rsid w:val="00AC381D"/>
    <w:rsid w:val="00AC387B"/>
    <w:rsid w:val="00AC38D2"/>
    <w:rsid w:val="00AC39B7"/>
    <w:rsid w:val="00AC3E40"/>
    <w:rsid w:val="00AC43BA"/>
    <w:rsid w:val="00AC445C"/>
    <w:rsid w:val="00AC44AC"/>
    <w:rsid w:val="00AC462C"/>
    <w:rsid w:val="00AC4798"/>
    <w:rsid w:val="00AC4AC3"/>
    <w:rsid w:val="00AC4B79"/>
    <w:rsid w:val="00AC53E0"/>
    <w:rsid w:val="00AC5597"/>
    <w:rsid w:val="00AC5704"/>
    <w:rsid w:val="00AC58F6"/>
    <w:rsid w:val="00AC5AF3"/>
    <w:rsid w:val="00AC5CBC"/>
    <w:rsid w:val="00AC5D92"/>
    <w:rsid w:val="00AC5EF4"/>
    <w:rsid w:val="00AC60FE"/>
    <w:rsid w:val="00AC615C"/>
    <w:rsid w:val="00AC631E"/>
    <w:rsid w:val="00AC6427"/>
    <w:rsid w:val="00AC65B1"/>
    <w:rsid w:val="00AC65FC"/>
    <w:rsid w:val="00AC667C"/>
    <w:rsid w:val="00AC67D9"/>
    <w:rsid w:val="00AC6CBC"/>
    <w:rsid w:val="00AC6D38"/>
    <w:rsid w:val="00AC710F"/>
    <w:rsid w:val="00AC725A"/>
    <w:rsid w:val="00AC729C"/>
    <w:rsid w:val="00AC743F"/>
    <w:rsid w:val="00AC779A"/>
    <w:rsid w:val="00AC788E"/>
    <w:rsid w:val="00AC790B"/>
    <w:rsid w:val="00AC7962"/>
    <w:rsid w:val="00AC7E6B"/>
    <w:rsid w:val="00AC7E72"/>
    <w:rsid w:val="00AD00A8"/>
    <w:rsid w:val="00AD0287"/>
    <w:rsid w:val="00AD033B"/>
    <w:rsid w:val="00AD04D0"/>
    <w:rsid w:val="00AD086E"/>
    <w:rsid w:val="00AD0A7A"/>
    <w:rsid w:val="00AD0B7B"/>
    <w:rsid w:val="00AD0DD9"/>
    <w:rsid w:val="00AD0FBB"/>
    <w:rsid w:val="00AD10CE"/>
    <w:rsid w:val="00AD127C"/>
    <w:rsid w:val="00AD15F7"/>
    <w:rsid w:val="00AD1A87"/>
    <w:rsid w:val="00AD1B65"/>
    <w:rsid w:val="00AD1BEF"/>
    <w:rsid w:val="00AD1D68"/>
    <w:rsid w:val="00AD1D9A"/>
    <w:rsid w:val="00AD1EBC"/>
    <w:rsid w:val="00AD1F79"/>
    <w:rsid w:val="00AD1FBE"/>
    <w:rsid w:val="00AD2252"/>
    <w:rsid w:val="00AD249A"/>
    <w:rsid w:val="00AD24AC"/>
    <w:rsid w:val="00AD2582"/>
    <w:rsid w:val="00AD25C9"/>
    <w:rsid w:val="00AD25CC"/>
    <w:rsid w:val="00AD2624"/>
    <w:rsid w:val="00AD27FD"/>
    <w:rsid w:val="00AD285C"/>
    <w:rsid w:val="00AD2A96"/>
    <w:rsid w:val="00AD2AED"/>
    <w:rsid w:val="00AD2BAD"/>
    <w:rsid w:val="00AD2CD7"/>
    <w:rsid w:val="00AD300D"/>
    <w:rsid w:val="00AD32F2"/>
    <w:rsid w:val="00AD3388"/>
    <w:rsid w:val="00AD360B"/>
    <w:rsid w:val="00AD36CD"/>
    <w:rsid w:val="00AD389F"/>
    <w:rsid w:val="00AD3992"/>
    <w:rsid w:val="00AD39E9"/>
    <w:rsid w:val="00AD3B5B"/>
    <w:rsid w:val="00AD3C84"/>
    <w:rsid w:val="00AD3CCB"/>
    <w:rsid w:val="00AD3DC0"/>
    <w:rsid w:val="00AD3F70"/>
    <w:rsid w:val="00AD40EA"/>
    <w:rsid w:val="00AD411E"/>
    <w:rsid w:val="00AD440D"/>
    <w:rsid w:val="00AD4422"/>
    <w:rsid w:val="00AD45BC"/>
    <w:rsid w:val="00AD4A18"/>
    <w:rsid w:val="00AD4C98"/>
    <w:rsid w:val="00AD4D87"/>
    <w:rsid w:val="00AD4DD3"/>
    <w:rsid w:val="00AD4F06"/>
    <w:rsid w:val="00AD4F25"/>
    <w:rsid w:val="00AD50D8"/>
    <w:rsid w:val="00AD5192"/>
    <w:rsid w:val="00AD5323"/>
    <w:rsid w:val="00AD5326"/>
    <w:rsid w:val="00AD5592"/>
    <w:rsid w:val="00AD5613"/>
    <w:rsid w:val="00AD572A"/>
    <w:rsid w:val="00AD576D"/>
    <w:rsid w:val="00AD596C"/>
    <w:rsid w:val="00AD5A8F"/>
    <w:rsid w:val="00AD5AC2"/>
    <w:rsid w:val="00AD5AE2"/>
    <w:rsid w:val="00AD5C43"/>
    <w:rsid w:val="00AD5D00"/>
    <w:rsid w:val="00AD5FD2"/>
    <w:rsid w:val="00AD6146"/>
    <w:rsid w:val="00AD62C4"/>
    <w:rsid w:val="00AD6475"/>
    <w:rsid w:val="00AD648C"/>
    <w:rsid w:val="00AD6689"/>
    <w:rsid w:val="00AD6B39"/>
    <w:rsid w:val="00AD7133"/>
    <w:rsid w:val="00AD7247"/>
    <w:rsid w:val="00AD7504"/>
    <w:rsid w:val="00AD7699"/>
    <w:rsid w:val="00AD7717"/>
    <w:rsid w:val="00AD7826"/>
    <w:rsid w:val="00AD7936"/>
    <w:rsid w:val="00AD7AF3"/>
    <w:rsid w:val="00AD7C17"/>
    <w:rsid w:val="00AD7D2B"/>
    <w:rsid w:val="00AD7DAA"/>
    <w:rsid w:val="00AD7F23"/>
    <w:rsid w:val="00AE00AA"/>
    <w:rsid w:val="00AE01CF"/>
    <w:rsid w:val="00AE05D3"/>
    <w:rsid w:val="00AE0659"/>
    <w:rsid w:val="00AE0871"/>
    <w:rsid w:val="00AE0A22"/>
    <w:rsid w:val="00AE0FC7"/>
    <w:rsid w:val="00AE1010"/>
    <w:rsid w:val="00AE10D7"/>
    <w:rsid w:val="00AE173D"/>
    <w:rsid w:val="00AE1A33"/>
    <w:rsid w:val="00AE1C0E"/>
    <w:rsid w:val="00AE1CE6"/>
    <w:rsid w:val="00AE21BF"/>
    <w:rsid w:val="00AE2344"/>
    <w:rsid w:val="00AE23FE"/>
    <w:rsid w:val="00AE2507"/>
    <w:rsid w:val="00AE25C2"/>
    <w:rsid w:val="00AE278E"/>
    <w:rsid w:val="00AE285A"/>
    <w:rsid w:val="00AE2C19"/>
    <w:rsid w:val="00AE2D45"/>
    <w:rsid w:val="00AE2EE5"/>
    <w:rsid w:val="00AE2FEF"/>
    <w:rsid w:val="00AE31D5"/>
    <w:rsid w:val="00AE35A1"/>
    <w:rsid w:val="00AE3638"/>
    <w:rsid w:val="00AE37E5"/>
    <w:rsid w:val="00AE3868"/>
    <w:rsid w:val="00AE3A28"/>
    <w:rsid w:val="00AE3AA8"/>
    <w:rsid w:val="00AE3C59"/>
    <w:rsid w:val="00AE3C9B"/>
    <w:rsid w:val="00AE3F30"/>
    <w:rsid w:val="00AE3FF3"/>
    <w:rsid w:val="00AE4167"/>
    <w:rsid w:val="00AE425C"/>
    <w:rsid w:val="00AE43BF"/>
    <w:rsid w:val="00AE455A"/>
    <w:rsid w:val="00AE45D2"/>
    <w:rsid w:val="00AE4933"/>
    <w:rsid w:val="00AE4A4E"/>
    <w:rsid w:val="00AE4AFF"/>
    <w:rsid w:val="00AE4B52"/>
    <w:rsid w:val="00AE4CC6"/>
    <w:rsid w:val="00AE4E12"/>
    <w:rsid w:val="00AE4E26"/>
    <w:rsid w:val="00AE4E98"/>
    <w:rsid w:val="00AE4EE4"/>
    <w:rsid w:val="00AE4F4E"/>
    <w:rsid w:val="00AE5090"/>
    <w:rsid w:val="00AE51E1"/>
    <w:rsid w:val="00AE52CC"/>
    <w:rsid w:val="00AE53A8"/>
    <w:rsid w:val="00AE5729"/>
    <w:rsid w:val="00AE5777"/>
    <w:rsid w:val="00AE5B44"/>
    <w:rsid w:val="00AE5D4A"/>
    <w:rsid w:val="00AE5EF8"/>
    <w:rsid w:val="00AE61C9"/>
    <w:rsid w:val="00AE62EB"/>
    <w:rsid w:val="00AE6310"/>
    <w:rsid w:val="00AE6479"/>
    <w:rsid w:val="00AE6655"/>
    <w:rsid w:val="00AE665D"/>
    <w:rsid w:val="00AE67A9"/>
    <w:rsid w:val="00AE69DF"/>
    <w:rsid w:val="00AE6C0F"/>
    <w:rsid w:val="00AE6C40"/>
    <w:rsid w:val="00AE6EC0"/>
    <w:rsid w:val="00AE710A"/>
    <w:rsid w:val="00AE7384"/>
    <w:rsid w:val="00AE73E4"/>
    <w:rsid w:val="00AE7533"/>
    <w:rsid w:val="00AE781D"/>
    <w:rsid w:val="00AE7DC4"/>
    <w:rsid w:val="00AE7E48"/>
    <w:rsid w:val="00AF00FF"/>
    <w:rsid w:val="00AF011A"/>
    <w:rsid w:val="00AF0756"/>
    <w:rsid w:val="00AF07B2"/>
    <w:rsid w:val="00AF0827"/>
    <w:rsid w:val="00AF0A3E"/>
    <w:rsid w:val="00AF0B01"/>
    <w:rsid w:val="00AF0C56"/>
    <w:rsid w:val="00AF0ECD"/>
    <w:rsid w:val="00AF0FA7"/>
    <w:rsid w:val="00AF118C"/>
    <w:rsid w:val="00AF12FF"/>
    <w:rsid w:val="00AF1434"/>
    <w:rsid w:val="00AF14F8"/>
    <w:rsid w:val="00AF1A54"/>
    <w:rsid w:val="00AF1AE3"/>
    <w:rsid w:val="00AF1CCA"/>
    <w:rsid w:val="00AF21B0"/>
    <w:rsid w:val="00AF22E6"/>
    <w:rsid w:val="00AF2412"/>
    <w:rsid w:val="00AF24D8"/>
    <w:rsid w:val="00AF2A98"/>
    <w:rsid w:val="00AF31FD"/>
    <w:rsid w:val="00AF3342"/>
    <w:rsid w:val="00AF36BD"/>
    <w:rsid w:val="00AF36C3"/>
    <w:rsid w:val="00AF3BBF"/>
    <w:rsid w:val="00AF3BE1"/>
    <w:rsid w:val="00AF426E"/>
    <w:rsid w:val="00AF42CC"/>
    <w:rsid w:val="00AF4352"/>
    <w:rsid w:val="00AF45E8"/>
    <w:rsid w:val="00AF4653"/>
    <w:rsid w:val="00AF486D"/>
    <w:rsid w:val="00AF4914"/>
    <w:rsid w:val="00AF4B1E"/>
    <w:rsid w:val="00AF4C08"/>
    <w:rsid w:val="00AF4D63"/>
    <w:rsid w:val="00AF50B4"/>
    <w:rsid w:val="00AF53E1"/>
    <w:rsid w:val="00AF5498"/>
    <w:rsid w:val="00AF57E0"/>
    <w:rsid w:val="00AF580C"/>
    <w:rsid w:val="00AF5934"/>
    <w:rsid w:val="00AF5955"/>
    <w:rsid w:val="00AF59EA"/>
    <w:rsid w:val="00AF5A79"/>
    <w:rsid w:val="00AF5A7D"/>
    <w:rsid w:val="00AF5E66"/>
    <w:rsid w:val="00AF5FBD"/>
    <w:rsid w:val="00AF60DE"/>
    <w:rsid w:val="00AF62AD"/>
    <w:rsid w:val="00AF6561"/>
    <w:rsid w:val="00AF6861"/>
    <w:rsid w:val="00AF694F"/>
    <w:rsid w:val="00AF6A03"/>
    <w:rsid w:val="00AF6A05"/>
    <w:rsid w:val="00AF6A8F"/>
    <w:rsid w:val="00AF6C26"/>
    <w:rsid w:val="00AF6C88"/>
    <w:rsid w:val="00AF6FB2"/>
    <w:rsid w:val="00AF7135"/>
    <w:rsid w:val="00AF71E7"/>
    <w:rsid w:val="00AF735A"/>
    <w:rsid w:val="00AF73D5"/>
    <w:rsid w:val="00AF74D8"/>
    <w:rsid w:val="00AF79E2"/>
    <w:rsid w:val="00AF7BEF"/>
    <w:rsid w:val="00AF7C7F"/>
    <w:rsid w:val="00AF7CFB"/>
    <w:rsid w:val="00AF7DBA"/>
    <w:rsid w:val="00AF7DFE"/>
    <w:rsid w:val="00B002AA"/>
    <w:rsid w:val="00B002EC"/>
    <w:rsid w:val="00B00538"/>
    <w:rsid w:val="00B0053D"/>
    <w:rsid w:val="00B007F1"/>
    <w:rsid w:val="00B00970"/>
    <w:rsid w:val="00B00B85"/>
    <w:rsid w:val="00B00BAB"/>
    <w:rsid w:val="00B00BB1"/>
    <w:rsid w:val="00B00BBE"/>
    <w:rsid w:val="00B00EF0"/>
    <w:rsid w:val="00B0105F"/>
    <w:rsid w:val="00B010C8"/>
    <w:rsid w:val="00B010F2"/>
    <w:rsid w:val="00B011F4"/>
    <w:rsid w:val="00B01237"/>
    <w:rsid w:val="00B01294"/>
    <w:rsid w:val="00B01364"/>
    <w:rsid w:val="00B0152C"/>
    <w:rsid w:val="00B0163F"/>
    <w:rsid w:val="00B0175B"/>
    <w:rsid w:val="00B01782"/>
    <w:rsid w:val="00B0179C"/>
    <w:rsid w:val="00B01B5B"/>
    <w:rsid w:val="00B01BA3"/>
    <w:rsid w:val="00B020C2"/>
    <w:rsid w:val="00B020E4"/>
    <w:rsid w:val="00B022E3"/>
    <w:rsid w:val="00B02339"/>
    <w:rsid w:val="00B02384"/>
    <w:rsid w:val="00B02393"/>
    <w:rsid w:val="00B026C5"/>
    <w:rsid w:val="00B028E1"/>
    <w:rsid w:val="00B02B74"/>
    <w:rsid w:val="00B03554"/>
    <w:rsid w:val="00B0359A"/>
    <w:rsid w:val="00B03624"/>
    <w:rsid w:val="00B03689"/>
    <w:rsid w:val="00B03732"/>
    <w:rsid w:val="00B039E4"/>
    <w:rsid w:val="00B03A84"/>
    <w:rsid w:val="00B03C88"/>
    <w:rsid w:val="00B04143"/>
    <w:rsid w:val="00B0430A"/>
    <w:rsid w:val="00B045A2"/>
    <w:rsid w:val="00B04AF5"/>
    <w:rsid w:val="00B04B0B"/>
    <w:rsid w:val="00B04C18"/>
    <w:rsid w:val="00B04D68"/>
    <w:rsid w:val="00B04EFD"/>
    <w:rsid w:val="00B04F69"/>
    <w:rsid w:val="00B04FB9"/>
    <w:rsid w:val="00B05315"/>
    <w:rsid w:val="00B053A4"/>
    <w:rsid w:val="00B0551F"/>
    <w:rsid w:val="00B05522"/>
    <w:rsid w:val="00B055B1"/>
    <w:rsid w:val="00B056FE"/>
    <w:rsid w:val="00B05D3D"/>
    <w:rsid w:val="00B05E78"/>
    <w:rsid w:val="00B05FA5"/>
    <w:rsid w:val="00B05FFB"/>
    <w:rsid w:val="00B06149"/>
    <w:rsid w:val="00B06196"/>
    <w:rsid w:val="00B0656F"/>
    <w:rsid w:val="00B0660D"/>
    <w:rsid w:val="00B06697"/>
    <w:rsid w:val="00B0689F"/>
    <w:rsid w:val="00B069A6"/>
    <w:rsid w:val="00B06A99"/>
    <w:rsid w:val="00B06DC5"/>
    <w:rsid w:val="00B07595"/>
    <w:rsid w:val="00B07601"/>
    <w:rsid w:val="00B076AD"/>
    <w:rsid w:val="00B0789B"/>
    <w:rsid w:val="00B07AAD"/>
    <w:rsid w:val="00B10129"/>
    <w:rsid w:val="00B1013A"/>
    <w:rsid w:val="00B10286"/>
    <w:rsid w:val="00B10420"/>
    <w:rsid w:val="00B1045B"/>
    <w:rsid w:val="00B10503"/>
    <w:rsid w:val="00B10809"/>
    <w:rsid w:val="00B10A07"/>
    <w:rsid w:val="00B11142"/>
    <w:rsid w:val="00B112EA"/>
    <w:rsid w:val="00B114A2"/>
    <w:rsid w:val="00B11526"/>
    <w:rsid w:val="00B116C4"/>
    <w:rsid w:val="00B11803"/>
    <w:rsid w:val="00B11ACE"/>
    <w:rsid w:val="00B11B73"/>
    <w:rsid w:val="00B11D5C"/>
    <w:rsid w:val="00B11D72"/>
    <w:rsid w:val="00B11EA4"/>
    <w:rsid w:val="00B11F8B"/>
    <w:rsid w:val="00B121C8"/>
    <w:rsid w:val="00B124E3"/>
    <w:rsid w:val="00B126A1"/>
    <w:rsid w:val="00B126CF"/>
    <w:rsid w:val="00B127B7"/>
    <w:rsid w:val="00B12ACA"/>
    <w:rsid w:val="00B12B8B"/>
    <w:rsid w:val="00B13070"/>
    <w:rsid w:val="00B130EA"/>
    <w:rsid w:val="00B1314F"/>
    <w:rsid w:val="00B134D6"/>
    <w:rsid w:val="00B13765"/>
    <w:rsid w:val="00B13943"/>
    <w:rsid w:val="00B13975"/>
    <w:rsid w:val="00B13AEF"/>
    <w:rsid w:val="00B13BA1"/>
    <w:rsid w:val="00B13CCB"/>
    <w:rsid w:val="00B13E70"/>
    <w:rsid w:val="00B14632"/>
    <w:rsid w:val="00B1463F"/>
    <w:rsid w:val="00B148A5"/>
    <w:rsid w:val="00B14A92"/>
    <w:rsid w:val="00B14B62"/>
    <w:rsid w:val="00B14DF5"/>
    <w:rsid w:val="00B14F7A"/>
    <w:rsid w:val="00B14FC2"/>
    <w:rsid w:val="00B15026"/>
    <w:rsid w:val="00B1508B"/>
    <w:rsid w:val="00B15579"/>
    <w:rsid w:val="00B15739"/>
    <w:rsid w:val="00B160C7"/>
    <w:rsid w:val="00B1623E"/>
    <w:rsid w:val="00B1627F"/>
    <w:rsid w:val="00B163ED"/>
    <w:rsid w:val="00B16411"/>
    <w:rsid w:val="00B168C5"/>
    <w:rsid w:val="00B168D6"/>
    <w:rsid w:val="00B169B0"/>
    <w:rsid w:val="00B16A0B"/>
    <w:rsid w:val="00B16C2D"/>
    <w:rsid w:val="00B17104"/>
    <w:rsid w:val="00B17625"/>
    <w:rsid w:val="00B17686"/>
    <w:rsid w:val="00B176C3"/>
    <w:rsid w:val="00B176D8"/>
    <w:rsid w:val="00B17840"/>
    <w:rsid w:val="00B178CC"/>
    <w:rsid w:val="00B17A0E"/>
    <w:rsid w:val="00B17CA6"/>
    <w:rsid w:val="00B17E13"/>
    <w:rsid w:val="00B20259"/>
    <w:rsid w:val="00B202FC"/>
    <w:rsid w:val="00B20470"/>
    <w:rsid w:val="00B20DAA"/>
    <w:rsid w:val="00B20E03"/>
    <w:rsid w:val="00B21119"/>
    <w:rsid w:val="00B2150F"/>
    <w:rsid w:val="00B21604"/>
    <w:rsid w:val="00B219D9"/>
    <w:rsid w:val="00B21A36"/>
    <w:rsid w:val="00B21AC1"/>
    <w:rsid w:val="00B21E52"/>
    <w:rsid w:val="00B220D5"/>
    <w:rsid w:val="00B222B4"/>
    <w:rsid w:val="00B2256F"/>
    <w:rsid w:val="00B225EF"/>
    <w:rsid w:val="00B225F2"/>
    <w:rsid w:val="00B22D58"/>
    <w:rsid w:val="00B22F71"/>
    <w:rsid w:val="00B22FCF"/>
    <w:rsid w:val="00B231F2"/>
    <w:rsid w:val="00B232FF"/>
    <w:rsid w:val="00B23468"/>
    <w:rsid w:val="00B2362C"/>
    <w:rsid w:val="00B236D9"/>
    <w:rsid w:val="00B2377D"/>
    <w:rsid w:val="00B23867"/>
    <w:rsid w:val="00B23A2F"/>
    <w:rsid w:val="00B23C8E"/>
    <w:rsid w:val="00B23E5F"/>
    <w:rsid w:val="00B23F1B"/>
    <w:rsid w:val="00B24367"/>
    <w:rsid w:val="00B2451E"/>
    <w:rsid w:val="00B24A08"/>
    <w:rsid w:val="00B24A46"/>
    <w:rsid w:val="00B24AB8"/>
    <w:rsid w:val="00B24CFD"/>
    <w:rsid w:val="00B24F3A"/>
    <w:rsid w:val="00B24FD5"/>
    <w:rsid w:val="00B252B3"/>
    <w:rsid w:val="00B253A1"/>
    <w:rsid w:val="00B25814"/>
    <w:rsid w:val="00B25855"/>
    <w:rsid w:val="00B258AD"/>
    <w:rsid w:val="00B25A58"/>
    <w:rsid w:val="00B25D24"/>
    <w:rsid w:val="00B25E10"/>
    <w:rsid w:val="00B25EF1"/>
    <w:rsid w:val="00B25F07"/>
    <w:rsid w:val="00B262AB"/>
    <w:rsid w:val="00B26344"/>
    <w:rsid w:val="00B265F0"/>
    <w:rsid w:val="00B26E66"/>
    <w:rsid w:val="00B26EF6"/>
    <w:rsid w:val="00B270B8"/>
    <w:rsid w:val="00B272E2"/>
    <w:rsid w:val="00B2759F"/>
    <w:rsid w:val="00B275EC"/>
    <w:rsid w:val="00B27631"/>
    <w:rsid w:val="00B27CB5"/>
    <w:rsid w:val="00B27E0D"/>
    <w:rsid w:val="00B27E4F"/>
    <w:rsid w:val="00B27EFF"/>
    <w:rsid w:val="00B305FF"/>
    <w:rsid w:val="00B308DD"/>
    <w:rsid w:val="00B30A5D"/>
    <w:rsid w:val="00B30C0C"/>
    <w:rsid w:val="00B30C2B"/>
    <w:rsid w:val="00B30CC0"/>
    <w:rsid w:val="00B31078"/>
    <w:rsid w:val="00B31189"/>
    <w:rsid w:val="00B31326"/>
    <w:rsid w:val="00B31383"/>
    <w:rsid w:val="00B318DD"/>
    <w:rsid w:val="00B3199C"/>
    <w:rsid w:val="00B319C2"/>
    <w:rsid w:val="00B31BD4"/>
    <w:rsid w:val="00B31C55"/>
    <w:rsid w:val="00B31E3A"/>
    <w:rsid w:val="00B323AC"/>
    <w:rsid w:val="00B325B6"/>
    <w:rsid w:val="00B326B9"/>
    <w:rsid w:val="00B329D4"/>
    <w:rsid w:val="00B32AA6"/>
    <w:rsid w:val="00B32BB4"/>
    <w:rsid w:val="00B32EB5"/>
    <w:rsid w:val="00B32ED3"/>
    <w:rsid w:val="00B32EDC"/>
    <w:rsid w:val="00B32F14"/>
    <w:rsid w:val="00B32FD9"/>
    <w:rsid w:val="00B3303C"/>
    <w:rsid w:val="00B3304D"/>
    <w:rsid w:val="00B33093"/>
    <w:rsid w:val="00B332D6"/>
    <w:rsid w:val="00B332EF"/>
    <w:rsid w:val="00B333B9"/>
    <w:rsid w:val="00B33568"/>
    <w:rsid w:val="00B3360C"/>
    <w:rsid w:val="00B33CB7"/>
    <w:rsid w:val="00B33EA2"/>
    <w:rsid w:val="00B33FAD"/>
    <w:rsid w:val="00B34171"/>
    <w:rsid w:val="00B341F6"/>
    <w:rsid w:val="00B34286"/>
    <w:rsid w:val="00B3439F"/>
    <w:rsid w:val="00B34695"/>
    <w:rsid w:val="00B3489C"/>
    <w:rsid w:val="00B3493F"/>
    <w:rsid w:val="00B349FD"/>
    <w:rsid w:val="00B34D4B"/>
    <w:rsid w:val="00B34E5B"/>
    <w:rsid w:val="00B35116"/>
    <w:rsid w:val="00B35289"/>
    <w:rsid w:val="00B352FA"/>
    <w:rsid w:val="00B35504"/>
    <w:rsid w:val="00B356B7"/>
    <w:rsid w:val="00B356EC"/>
    <w:rsid w:val="00B35740"/>
    <w:rsid w:val="00B35A2B"/>
    <w:rsid w:val="00B35AF0"/>
    <w:rsid w:val="00B35C08"/>
    <w:rsid w:val="00B362AE"/>
    <w:rsid w:val="00B3647D"/>
    <w:rsid w:val="00B3648C"/>
    <w:rsid w:val="00B364E3"/>
    <w:rsid w:val="00B36AA3"/>
    <w:rsid w:val="00B36AB1"/>
    <w:rsid w:val="00B36B5C"/>
    <w:rsid w:val="00B36D31"/>
    <w:rsid w:val="00B36E1A"/>
    <w:rsid w:val="00B36F58"/>
    <w:rsid w:val="00B37563"/>
    <w:rsid w:val="00B375AE"/>
    <w:rsid w:val="00B3793D"/>
    <w:rsid w:val="00B3799D"/>
    <w:rsid w:val="00B37A03"/>
    <w:rsid w:val="00B37E9D"/>
    <w:rsid w:val="00B40010"/>
    <w:rsid w:val="00B40242"/>
    <w:rsid w:val="00B402C9"/>
    <w:rsid w:val="00B40374"/>
    <w:rsid w:val="00B40540"/>
    <w:rsid w:val="00B4061D"/>
    <w:rsid w:val="00B4061E"/>
    <w:rsid w:val="00B4077A"/>
    <w:rsid w:val="00B4097C"/>
    <w:rsid w:val="00B40BB9"/>
    <w:rsid w:val="00B40BFA"/>
    <w:rsid w:val="00B40CB3"/>
    <w:rsid w:val="00B40E39"/>
    <w:rsid w:val="00B41093"/>
    <w:rsid w:val="00B412B9"/>
    <w:rsid w:val="00B41319"/>
    <w:rsid w:val="00B4133D"/>
    <w:rsid w:val="00B413E0"/>
    <w:rsid w:val="00B414C0"/>
    <w:rsid w:val="00B41B33"/>
    <w:rsid w:val="00B4258D"/>
    <w:rsid w:val="00B429AB"/>
    <w:rsid w:val="00B42D79"/>
    <w:rsid w:val="00B42F5A"/>
    <w:rsid w:val="00B4308C"/>
    <w:rsid w:val="00B430D2"/>
    <w:rsid w:val="00B43146"/>
    <w:rsid w:val="00B43314"/>
    <w:rsid w:val="00B438FC"/>
    <w:rsid w:val="00B43A67"/>
    <w:rsid w:val="00B43AF4"/>
    <w:rsid w:val="00B43C77"/>
    <w:rsid w:val="00B43F33"/>
    <w:rsid w:val="00B43F6E"/>
    <w:rsid w:val="00B442DC"/>
    <w:rsid w:val="00B443E9"/>
    <w:rsid w:val="00B4448B"/>
    <w:rsid w:val="00B44793"/>
    <w:rsid w:val="00B44AED"/>
    <w:rsid w:val="00B44DA3"/>
    <w:rsid w:val="00B44EF1"/>
    <w:rsid w:val="00B453A2"/>
    <w:rsid w:val="00B45400"/>
    <w:rsid w:val="00B4560E"/>
    <w:rsid w:val="00B45960"/>
    <w:rsid w:val="00B45A2F"/>
    <w:rsid w:val="00B45A61"/>
    <w:rsid w:val="00B45EF4"/>
    <w:rsid w:val="00B46009"/>
    <w:rsid w:val="00B46118"/>
    <w:rsid w:val="00B462F4"/>
    <w:rsid w:val="00B46969"/>
    <w:rsid w:val="00B46B5F"/>
    <w:rsid w:val="00B46B6E"/>
    <w:rsid w:val="00B46C15"/>
    <w:rsid w:val="00B46F23"/>
    <w:rsid w:val="00B47116"/>
    <w:rsid w:val="00B47438"/>
    <w:rsid w:val="00B475BA"/>
    <w:rsid w:val="00B475C3"/>
    <w:rsid w:val="00B47780"/>
    <w:rsid w:val="00B479A6"/>
    <w:rsid w:val="00B47A1D"/>
    <w:rsid w:val="00B5000F"/>
    <w:rsid w:val="00B5009F"/>
    <w:rsid w:val="00B500FE"/>
    <w:rsid w:val="00B50167"/>
    <w:rsid w:val="00B501E9"/>
    <w:rsid w:val="00B50222"/>
    <w:rsid w:val="00B504A1"/>
    <w:rsid w:val="00B5062A"/>
    <w:rsid w:val="00B50A2E"/>
    <w:rsid w:val="00B50AE8"/>
    <w:rsid w:val="00B50BE2"/>
    <w:rsid w:val="00B51185"/>
    <w:rsid w:val="00B511B3"/>
    <w:rsid w:val="00B512EC"/>
    <w:rsid w:val="00B51441"/>
    <w:rsid w:val="00B516C3"/>
    <w:rsid w:val="00B5182B"/>
    <w:rsid w:val="00B518FA"/>
    <w:rsid w:val="00B5193A"/>
    <w:rsid w:val="00B51B5A"/>
    <w:rsid w:val="00B51BA6"/>
    <w:rsid w:val="00B51CB9"/>
    <w:rsid w:val="00B51CF3"/>
    <w:rsid w:val="00B51EE4"/>
    <w:rsid w:val="00B521C4"/>
    <w:rsid w:val="00B52313"/>
    <w:rsid w:val="00B525ED"/>
    <w:rsid w:val="00B528CC"/>
    <w:rsid w:val="00B529DC"/>
    <w:rsid w:val="00B52A68"/>
    <w:rsid w:val="00B52B10"/>
    <w:rsid w:val="00B52C69"/>
    <w:rsid w:val="00B52F9B"/>
    <w:rsid w:val="00B5313A"/>
    <w:rsid w:val="00B53814"/>
    <w:rsid w:val="00B53BF7"/>
    <w:rsid w:val="00B53D42"/>
    <w:rsid w:val="00B53ED3"/>
    <w:rsid w:val="00B5420A"/>
    <w:rsid w:val="00B5446D"/>
    <w:rsid w:val="00B5450B"/>
    <w:rsid w:val="00B547C1"/>
    <w:rsid w:val="00B54DDE"/>
    <w:rsid w:val="00B55023"/>
    <w:rsid w:val="00B55102"/>
    <w:rsid w:val="00B555F6"/>
    <w:rsid w:val="00B5565E"/>
    <w:rsid w:val="00B55887"/>
    <w:rsid w:val="00B5589F"/>
    <w:rsid w:val="00B55C7D"/>
    <w:rsid w:val="00B56031"/>
    <w:rsid w:val="00B56142"/>
    <w:rsid w:val="00B5624D"/>
    <w:rsid w:val="00B5645C"/>
    <w:rsid w:val="00B567DC"/>
    <w:rsid w:val="00B568A3"/>
    <w:rsid w:val="00B56D82"/>
    <w:rsid w:val="00B56FA3"/>
    <w:rsid w:val="00B56FEA"/>
    <w:rsid w:val="00B570DF"/>
    <w:rsid w:val="00B57178"/>
    <w:rsid w:val="00B57656"/>
    <w:rsid w:val="00B578A2"/>
    <w:rsid w:val="00B601B7"/>
    <w:rsid w:val="00B60355"/>
    <w:rsid w:val="00B604D4"/>
    <w:rsid w:val="00B606A4"/>
    <w:rsid w:val="00B6074C"/>
    <w:rsid w:val="00B608E4"/>
    <w:rsid w:val="00B60B84"/>
    <w:rsid w:val="00B60DB5"/>
    <w:rsid w:val="00B6100A"/>
    <w:rsid w:val="00B6109D"/>
    <w:rsid w:val="00B611FD"/>
    <w:rsid w:val="00B612EA"/>
    <w:rsid w:val="00B612FD"/>
    <w:rsid w:val="00B6130F"/>
    <w:rsid w:val="00B617CD"/>
    <w:rsid w:val="00B617DB"/>
    <w:rsid w:val="00B61927"/>
    <w:rsid w:val="00B61CD0"/>
    <w:rsid w:val="00B622F9"/>
    <w:rsid w:val="00B625CC"/>
    <w:rsid w:val="00B626E0"/>
    <w:rsid w:val="00B628A6"/>
    <w:rsid w:val="00B62AE2"/>
    <w:rsid w:val="00B62DFA"/>
    <w:rsid w:val="00B6315E"/>
    <w:rsid w:val="00B6332F"/>
    <w:rsid w:val="00B6340E"/>
    <w:rsid w:val="00B63457"/>
    <w:rsid w:val="00B634E2"/>
    <w:rsid w:val="00B636B4"/>
    <w:rsid w:val="00B639EA"/>
    <w:rsid w:val="00B63AB4"/>
    <w:rsid w:val="00B63BDD"/>
    <w:rsid w:val="00B63C69"/>
    <w:rsid w:val="00B63FB3"/>
    <w:rsid w:val="00B6456A"/>
    <w:rsid w:val="00B6470F"/>
    <w:rsid w:val="00B64ADD"/>
    <w:rsid w:val="00B64B0C"/>
    <w:rsid w:val="00B64C56"/>
    <w:rsid w:val="00B65104"/>
    <w:rsid w:val="00B655B3"/>
    <w:rsid w:val="00B65780"/>
    <w:rsid w:val="00B65AF9"/>
    <w:rsid w:val="00B65AFD"/>
    <w:rsid w:val="00B65B0A"/>
    <w:rsid w:val="00B65E3E"/>
    <w:rsid w:val="00B661B4"/>
    <w:rsid w:val="00B6656E"/>
    <w:rsid w:val="00B665CE"/>
    <w:rsid w:val="00B66796"/>
    <w:rsid w:val="00B66C2B"/>
    <w:rsid w:val="00B66CC7"/>
    <w:rsid w:val="00B66DA8"/>
    <w:rsid w:val="00B66FC9"/>
    <w:rsid w:val="00B67222"/>
    <w:rsid w:val="00B67719"/>
    <w:rsid w:val="00B6774A"/>
    <w:rsid w:val="00B67A2C"/>
    <w:rsid w:val="00B67BFF"/>
    <w:rsid w:val="00B67E40"/>
    <w:rsid w:val="00B67F02"/>
    <w:rsid w:val="00B67F1C"/>
    <w:rsid w:val="00B67FC9"/>
    <w:rsid w:val="00B70246"/>
    <w:rsid w:val="00B70607"/>
    <w:rsid w:val="00B707AC"/>
    <w:rsid w:val="00B70C91"/>
    <w:rsid w:val="00B70F22"/>
    <w:rsid w:val="00B714AA"/>
    <w:rsid w:val="00B71C13"/>
    <w:rsid w:val="00B7217B"/>
    <w:rsid w:val="00B729A5"/>
    <w:rsid w:val="00B72AF2"/>
    <w:rsid w:val="00B72E1C"/>
    <w:rsid w:val="00B733EF"/>
    <w:rsid w:val="00B7343F"/>
    <w:rsid w:val="00B736AD"/>
    <w:rsid w:val="00B73F24"/>
    <w:rsid w:val="00B742A5"/>
    <w:rsid w:val="00B742BB"/>
    <w:rsid w:val="00B742E5"/>
    <w:rsid w:val="00B74420"/>
    <w:rsid w:val="00B745E3"/>
    <w:rsid w:val="00B74ED3"/>
    <w:rsid w:val="00B74F2D"/>
    <w:rsid w:val="00B750B1"/>
    <w:rsid w:val="00B7558D"/>
    <w:rsid w:val="00B7582D"/>
    <w:rsid w:val="00B75A15"/>
    <w:rsid w:val="00B75A33"/>
    <w:rsid w:val="00B75BEC"/>
    <w:rsid w:val="00B75C8C"/>
    <w:rsid w:val="00B75DAA"/>
    <w:rsid w:val="00B761EC"/>
    <w:rsid w:val="00B762BE"/>
    <w:rsid w:val="00B76382"/>
    <w:rsid w:val="00B76486"/>
    <w:rsid w:val="00B7668F"/>
    <w:rsid w:val="00B76780"/>
    <w:rsid w:val="00B76954"/>
    <w:rsid w:val="00B76A1D"/>
    <w:rsid w:val="00B76AC4"/>
    <w:rsid w:val="00B76AF5"/>
    <w:rsid w:val="00B76BEE"/>
    <w:rsid w:val="00B76DDE"/>
    <w:rsid w:val="00B77107"/>
    <w:rsid w:val="00B771F2"/>
    <w:rsid w:val="00B77368"/>
    <w:rsid w:val="00B773B5"/>
    <w:rsid w:val="00B7756C"/>
    <w:rsid w:val="00B775B5"/>
    <w:rsid w:val="00B77697"/>
    <w:rsid w:val="00B7782C"/>
    <w:rsid w:val="00B77B85"/>
    <w:rsid w:val="00B77EF7"/>
    <w:rsid w:val="00B800BD"/>
    <w:rsid w:val="00B802DF"/>
    <w:rsid w:val="00B80302"/>
    <w:rsid w:val="00B80338"/>
    <w:rsid w:val="00B8038B"/>
    <w:rsid w:val="00B805E0"/>
    <w:rsid w:val="00B80A43"/>
    <w:rsid w:val="00B80A91"/>
    <w:rsid w:val="00B80A94"/>
    <w:rsid w:val="00B80B2F"/>
    <w:rsid w:val="00B80C3D"/>
    <w:rsid w:val="00B80CEC"/>
    <w:rsid w:val="00B80D2B"/>
    <w:rsid w:val="00B80EC2"/>
    <w:rsid w:val="00B8110B"/>
    <w:rsid w:val="00B81545"/>
    <w:rsid w:val="00B815B6"/>
    <w:rsid w:val="00B816EB"/>
    <w:rsid w:val="00B81879"/>
    <w:rsid w:val="00B8197F"/>
    <w:rsid w:val="00B819BE"/>
    <w:rsid w:val="00B81A7A"/>
    <w:rsid w:val="00B81A96"/>
    <w:rsid w:val="00B81B20"/>
    <w:rsid w:val="00B82176"/>
    <w:rsid w:val="00B82296"/>
    <w:rsid w:val="00B822D9"/>
    <w:rsid w:val="00B82304"/>
    <w:rsid w:val="00B82512"/>
    <w:rsid w:val="00B82752"/>
    <w:rsid w:val="00B82793"/>
    <w:rsid w:val="00B828F6"/>
    <w:rsid w:val="00B829D7"/>
    <w:rsid w:val="00B82D7D"/>
    <w:rsid w:val="00B82EB0"/>
    <w:rsid w:val="00B82EDA"/>
    <w:rsid w:val="00B82FAB"/>
    <w:rsid w:val="00B831A8"/>
    <w:rsid w:val="00B83412"/>
    <w:rsid w:val="00B8360A"/>
    <w:rsid w:val="00B83622"/>
    <w:rsid w:val="00B838E2"/>
    <w:rsid w:val="00B83943"/>
    <w:rsid w:val="00B839B0"/>
    <w:rsid w:val="00B83A35"/>
    <w:rsid w:val="00B83A3A"/>
    <w:rsid w:val="00B83E4D"/>
    <w:rsid w:val="00B83F06"/>
    <w:rsid w:val="00B83FE5"/>
    <w:rsid w:val="00B840DD"/>
    <w:rsid w:val="00B84100"/>
    <w:rsid w:val="00B84473"/>
    <w:rsid w:val="00B844C9"/>
    <w:rsid w:val="00B847CC"/>
    <w:rsid w:val="00B84804"/>
    <w:rsid w:val="00B848BC"/>
    <w:rsid w:val="00B84934"/>
    <w:rsid w:val="00B84AED"/>
    <w:rsid w:val="00B84C41"/>
    <w:rsid w:val="00B84CDE"/>
    <w:rsid w:val="00B84FC0"/>
    <w:rsid w:val="00B8533C"/>
    <w:rsid w:val="00B853AB"/>
    <w:rsid w:val="00B85AC9"/>
    <w:rsid w:val="00B85B6E"/>
    <w:rsid w:val="00B85C6F"/>
    <w:rsid w:val="00B85FD9"/>
    <w:rsid w:val="00B8600A"/>
    <w:rsid w:val="00B86046"/>
    <w:rsid w:val="00B86110"/>
    <w:rsid w:val="00B8639E"/>
    <w:rsid w:val="00B864EC"/>
    <w:rsid w:val="00B865A8"/>
    <w:rsid w:val="00B8678E"/>
    <w:rsid w:val="00B868C4"/>
    <w:rsid w:val="00B86942"/>
    <w:rsid w:val="00B869F8"/>
    <w:rsid w:val="00B86A34"/>
    <w:rsid w:val="00B86A9A"/>
    <w:rsid w:val="00B86B05"/>
    <w:rsid w:val="00B86BF1"/>
    <w:rsid w:val="00B86CBD"/>
    <w:rsid w:val="00B86E27"/>
    <w:rsid w:val="00B86FCF"/>
    <w:rsid w:val="00B8724D"/>
    <w:rsid w:val="00B87284"/>
    <w:rsid w:val="00B873D5"/>
    <w:rsid w:val="00B87802"/>
    <w:rsid w:val="00B87964"/>
    <w:rsid w:val="00B87A16"/>
    <w:rsid w:val="00B900E4"/>
    <w:rsid w:val="00B90122"/>
    <w:rsid w:val="00B905DF"/>
    <w:rsid w:val="00B90830"/>
    <w:rsid w:val="00B9099D"/>
    <w:rsid w:val="00B90A93"/>
    <w:rsid w:val="00B90CFF"/>
    <w:rsid w:val="00B90F2D"/>
    <w:rsid w:val="00B91197"/>
    <w:rsid w:val="00B911A1"/>
    <w:rsid w:val="00B91214"/>
    <w:rsid w:val="00B91228"/>
    <w:rsid w:val="00B91353"/>
    <w:rsid w:val="00B9151B"/>
    <w:rsid w:val="00B9161F"/>
    <w:rsid w:val="00B916A4"/>
    <w:rsid w:val="00B91744"/>
    <w:rsid w:val="00B91805"/>
    <w:rsid w:val="00B918EF"/>
    <w:rsid w:val="00B91E81"/>
    <w:rsid w:val="00B922DA"/>
    <w:rsid w:val="00B9235A"/>
    <w:rsid w:val="00B92861"/>
    <w:rsid w:val="00B92922"/>
    <w:rsid w:val="00B930F3"/>
    <w:rsid w:val="00B93168"/>
    <w:rsid w:val="00B931D4"/>
    <w:rsid w:val="00B9352D"/>
    <w:rsid w:val="00B93766"/>
    <w:rsid w:val="00B93809"/>
    <w:rsid w:val="00B93B3B"/>
    <w:rsid w:val="00B93E7F"/>
    <w:rsid w:val="00B94125"/>
    <w:rsid w:val="00B94155"/>
    <w:rsid w:val="00B941C6"/>
    <w:rsid w:val="00B94400"/>
    <w:rsid w:val="00B9451B"/>
    <w:rsid w:val="00B94AAE"/>
    <w:rsid w:val="00B94D7B"/>
    <w:rsid w:val="00B94EEC"/>
    <w:rsid w:val="00B95233"/>
    <w:rsid w:val="00B95424"/>
    <w:rsid w:val="00B955FF"/>
    <w:rsid w:val="00B9582F"/>
    <w:rsid w:val="00B95A75"/>
    <w:rsid w:val="00B95EBE"/>
    <w:rsid w:val="00B962CB"/>
    <w:rsid w:val="00B9639D"/>
    <w:rsid w:val="00B964FB"/>
    <w:rsid w:val="00B966E2"/>
    <w:rsid w:val="00B96879"/>
    <w:rsid w:val="00B96AD0"/>
    <w:rsid w:val="00B96BA4"/>
    <w:rsid w:val="00B96D0A"/>
    <w:rsid w:val="00B96F2B"/>
    <w:rsid w:val="00B97189"/>
    <w:rsid w:val="00B97190"/>
    <w:rsid w:val="00B973AA"/>
    <w:rsid w:val="00B97477"/>
    <w:rsid w:val="00B9749A"/>
    <w:rsid w:val="00B978CC"/>
    <w:rsid w:val="00B978D0"/>
    <w:rsid w:val="00B97C8A"/>
    <w:rsid w:val="00B97ED3"/>
    <w:rsid w:val="00B97F2C"/>
    <w:rsid w:val="00BA00CF"/>
    <w:rsid w:val="00BA00D2"/>
    <w:rsid w:val="00BA061A"/>
    <w:rsid w:val="00BA062F"/>
    <w:rsid w:val="00BA06AD"/>
    <w:rsid w:val="00BA06E1"/>
    <w:rsid w:val="00BA072D"/>
    <w:rsid w:val="00BA0921"/>
    <w:rsid w:val="00BA0A5F"/>
    <w:rsid w:val="00BA0BEF"/>
    <w:rsid w:val="00BA0FA8"/>
    <w:rsid w:val="00BA11C8"/>
    <w:rsid w:val="00BA12DA"/>
    <w:rsid w:val="00BA13EC"/>
    <w:rsid w:val="00BA14DA"/>
    <w:rsid w:val="00BA1865"/>
    <w:rsid w:val="00BA191D"/>
    <w:rsid w:val="00BA19D3"/>
    <w:rsid w:val="00BA1A7C"/>
    <w:rsid w:val="00BA1B82"/>
    <w:rsid w:val="00BA1D65"/>
    <w:rsid w:val="00BA1D8E"/>
    <w:rsid w:val="00BA1E1C"/>
    <w:rsid w:val="00BA2050"/>
    <w:rsid w:val="00BA20EA"/>
    <w:rsid w:val="00BA2152"/>
    <w:rsid w:val="00BA293C"/>
    <w:rsid w:val="00BA29A8"/>
    <w:rsid w:val="00BA2AC0"/>
    <w:rsid w:val="00BA2D1A"/>
    <w:rsid w:val="00BA2D8D"/>
    <w:rsid w:val="00BA313A"/>
    <w:rsid w:val="00BA341D"/>
    <w:rsid w:val="00BA371E"/>
    <w:rsid w:val="00BA3AA2"/>
    <w:rsid w:val="00BA3C0C"/>
    <w:rsid w:val="00BA3FE0"/>
    <w:rsid w:val="00BA406C"/>
    <w:rsid w:val="00BA4088"/>
    <w:rsid w:val="00BA4533"/>
    <w:rsid w:val="00BA4579"/>
    <w:rsid w:val="00BA4698"/>
    <w:rsid w:val="00BA4711"/>
    <w:rsid w:val="00BA4801"/>
    <w:rsid w:val="00BA4A37"/>
    <w:rsid w:val="00BA4A45"/>
    <w:rsid w:val="00BA4B3A"/>
    <w:rsid w:val="00BA4D59"/>
    <w:rsid w:val="00BA4FC6"/>
    <w:rsid w:val="00BA51BE"/>
    <w:rsid w:val="00BA56B9"/>
    <w:rsid w:val="00BA573F"/>
    <w:rsid w:val="00BA5740"/>
    <w:rsid w:val="00BA578F"/>
    <w:rsid w:val="00BA581C"/>
    <w:rsid w:val="00BA5A83"/>
    <w:rsid w:val="00BA5AC5"/>
    <w:rsid w:val="00BA5BA9"/>
    <w:rsid w:val="00BA5C5C"/>
    <w:rsid w:val="00BA5E6B"/>
    <w:rsid w:val="00BA5E72"/>
    <w:rsid w:val="00BA5F9A"/>
    <w:rsid w:val="00BA60AC"/>
    <w:rsid w:val="00BA60E5"/>
    <w:rsid w:val="00BA6104"/>
    <w:rsid w:val="00BA6645"/>
    <w:rsid w:val="00BA665F"/>
    <w:rsid w:val="00BA677F"/>
    <w:rsid w:val="00BA6904"/>
    <w:rsid w:val="00BA6BBE"/>
    <w:rsid w:val="00BA6BFA"/>
    <w:rsid w:val="00BA6F19"/>
    <w:rsid w:val="00BA7084"/>
    <w:rsid w:val="00BA7262"/>
    <w:rsid w:val="00BA7424"/>
    <w:rsid w:val="00BA7453"/>
    <w:rsid w:val="00BA74A1"/>
    <w:rsid w:val="00BA76C9"/>
    <w:rsid w:val="00BA79E5"/>
    <w:rsid w:val="00BA7C55"/>
    <w:rsid w:val="00BA7ED9"/>
    <w:rsid w:val="00BA7F00"/>
    <w:rsid w:val="00BA7F99"/>
    <w:rsid w:val="00BB0119"/>
    <w:rsid w:val="00BB02B1"/>
    <w:rsid w:val="00BB031E"/>
    <w:rsid w:val="00BB03C8"/>
    <w:rsid w:val="00BB03EE"/>
    <w:rsid w:val="00BB0547"/>
    <w:rsid w:val="00BB0896"/>
    <w:rsid w:val="00BB0A4D"/>
    <w:rsid w:val="00BB0E0B"/>
    <w:rsid w:val="00BB0EBD"/>
    <w:rsid w:val="00BB10FB"/>
    <w:rsid w:val="00BB14DF"/>
    <w:rsid w:val="00BB1503"/>
    <w:rsid w:val="00BB15C3"/>
    <w:rsid w:val="00BB181D"/>
    <w:rsid w:val="00BB187F"/>
    <w:rsid w:val="00BB1EF3"/>
    <w:rsid w:val="00BB2147"/>
    <w:rsid w:val="00BB232D"/>
    <w:rsid w:val="00BB23C2"/>
    <w:rsid w:val="00BB246C"/>
    <w:rsid w:val="00BB24F3"/>
    <w:rsid w:val="00BB29F9"/>
    <w:rsid w:val="00BB2A0E"/>
    <w:rsid w:val="00BB2B83"/>
    <w:rsid w:val="00BB311B"/>
    <w:rsid w:val="00BB31E9"/>
    <w:rsid w:val="00BB31EC"/>
    <w:rsid w:val="00BB32F6"/>
    <w:rsid w:val="00BB3427"/>
    <w:rsid w:val="00BB347D"/>
    <w:rsid w:val="00BB3662"/>
    <w:rsid w:val="00BB3700"/>
    <w:rsid w:val="00BB3821"/>
    <w:rsid w:val="00BB3D0C"/>
    <w:rsid w:val="00BB3E8F"/>
    <w:rsid w:val="00BB3EB0"/>
    <w:rsid w:val="00BB4073"/>
    <w:rsid w:val="00BB427A"/>
    <w:rsid w:val="00BB442B"/>
    <w:rsid w:val="00BB449C"/>
    <w:rsid w:val="00BB4754"/>
    <w:rsid w:val="00BB49B9"/>
    <w:rsid w:val="00BB49C5"/>
    <w:rsid w:val="00BB4A7A"/>
    <w:rsid w:val="00BB4B25"/>
    <w:rsid w:val="00BB4D31"/>
    <w:rsid w:val="00BB4F6F"/>
    <w:rsid w:val="00BB5096"/>
    <w:rsid w:val="00BB529B"/>
    <w:rsid w:val="00BB5389"/>
    <w:rsid w:val="00BB54D9"/>
    <w:rsid w:val="00BB56AD"/>
    <w:rsid w:val="00BB57A4"/>
    <w:rsid w:val="00BB57AD"/>
    <w:rsid w:val="00BB57CA"/>
    <w:rsid w:val="00BB590D"/>
    <w:rsid w:val="00BB5BDC"/>
    <w:rsid w:val="00BB5E30"/>
    <w:rsid w:val="00BB6170"/>
    <w:rsid w:val="00BB629E"/>
    <w:rsid w:val="00BB639E"/>
    <w:rsid w:val="00BB63BA"/>
    <w:rsid w:val="00BB65C0"/>
    <w:rsid w:val="00BB65EE"/>
    <w:rsid w:val="00BB6866"/>
    <w:rsid w:val="00BB6896"/>
    <w:rsid w:val="00BB6A75"/>
    <w:rsid w:val="00BB6B7D"/>
    <w:rsid w:val="00BB6C13"/>
    <w:rsid w:val="00BB6CB3"/>
    <w:rsid w:val="00BB6CFF"/>
    <w:rsid w:val="00BB6D92"/>
    <w:rsid w:val="00BB6EB3"/>
    <w:rsid w:val="00BB7250"/>
    <w:rsid w:val="00BB735D"/>
    <w:rsid w:val="00BB7394"/>
    <w:rsid w:val="00BB74B2"/>
    <w:rsid w:val="00BB78AD"/>
    <w:rsid w:val="00BB7CE8"/>
    <w:rsid w:val="00BB7E03"/>
    <w:rsid w:val="00BB7E7A"/>
    <w:rsid w:val="00BC0047"/>
    <w:rsid w:val="00BC0091"/>
    <w:rsid w:val="00BC056D"/>
    <w:rsid w:val="00BC0572"/>
    <w:rsid w:val="00BC0A51"/>
    <w:rsid w:val="00BC0C35"/>
    <w:rsid w:val="00BC0C46"/>
    <w:rsid w:val="00BC0C59"/>
    <w:rsid w:val="00BC0F72"/>
    <w:rsid w:val="00BC1042"/>
    <w:rsid w:val="00BC1122"/>
    <w:rsid w:val="00BC11A7"/>
    <w:rsid w:val="00BC14AC"/>
    <w:rsid w:val="00BC15E7"/>
    <w:rsid w:val="00BC1617"/>
    <w:rsid w:val="00BC16BD"/>
    <w:rsid w:val="00BC176B"/>
    <w:rsid w:val="00BC1879"/>
    <w:rsid w:val="00BC18F8"/>
    <w:rsid w:val="00BC19A5"/>
    <w:rsid w:val="00BC1A04"/>
    <w:rsid w:val="00BC1A1F"/>
    <w:rsid w:val="00BC1C18"/>
    <w:rsid w:val="00BC1E11"/>
    <w:rsid w:val="00BC1FC4"/>
    <w:rsid w:val="00BC21A5"/>
    <w:rsid w:val="00BC22A7"/>
    <w:rsid w:val="00BC23CF"/>
    <w:rsid w:val="00BC25AF"/>
    <w:rsid w:val="00BC266F"/>
    <w:rsid w:val="00BC26B8"/>
    <w:rsid w:val="00BC274B"/>
    <w:rsid w:val="00BC27F3"/>
    <w:rsid w:val="00BC2938"/>
    <w:rsid w:val="00BC2AB2"/>
    <w:rsid w:val="00BC2CB9"/>
    <w:rsid w:val="00BC2DC7"/>
    <w:rsid w:val="00BC2E85"/>
    <w:rsid w:val="00BC2FE2"/>
    <w:rsid w:val="00BC2FEF"/>
    <w:rsid w:val="00BC30AC"/>
    <w:rsid w:val="00BC360B"/>
    <w:rsid w:val="00BC3939"/>
    <w:rsid w:val="00BC39C5"/>
    <w:rsid w:val="00BC39E8"/>
    <w:rsid w:val="00BC3A42"/>
    <w:rsid w:val="00BC3A6D"/>
    <w:rsid w:val="00BC3BD9"/>
    <w:rsid w:val="00BC3DA7"/>
    <w:rsid w:val="00BC3E3F"/>
    <w:rsid w:val="00BC3E87"/>
    <w:rsid w:val="00BC3F76"/>
    <w:rsid w:val="00BC40B4"/>
    <w:rsid w:val="00BC4299"/>
    <w:rsid w:val="00BC42B5"/>
    <w:rsid w:val="00BC46A2"/>
    <w:rsid w:val="00BC4746"/>
    <w:rsid w:val="00BC4B8A"/>
    <w:rsid w:val="00BC4C52"/>
    <w:rsid w:val="00BC4D10"/>
    <w:rsid w:val="00BC4F42"/>
    <w:rsid w:val="00BC4FDE"/>
    <w:rsid w:val="00BC511E"/>
    <w:rsid w:val="00BC51C7"/>
    <w:rsid w:val="00BC556A"/>
    <w:rsid w:val="00BC5581"/>
    <w:rsid w:val="00BC5776"/>
    <w:rsid w:val="00BC5881"/>
    <w:rsid w:val="00BC5BCA"/>
    <w:rsid w:val="00BC5FC8"/>
    <w:rsid w:val="00BC60AD"/>
    <w:rsid w:val="00BC6132"/>
    <w:rsid w:val="00BC6578"/>
    <w:rsid w:val="00BC665D"/>
    <w:rsid w:val="00BC674C"/>
    <w:rsid w:val="00BC67C8"/>
    <w:rsid w:val="00BC67CD"/>
    <w:rsid w:val="00BC67ED"/>
    <w:rsid w:val="00BC6E44"/>
    <w:rsid w:val="00BC6F8E"/>
    <w:rsid w:val="00BC6FB0"/>
    <w:rsid w:val="00BC7140"/>
    <w:rsid w:val="00BC7375"/>
    <w:rsid w:val="00BC76A4"/>
    <w:rsid w:val="00BC7D5B"/>
    <w:rsid w:val="00BC7E6A"/>
    <w:rsid w:val="00BD006D"/>
    <w:rsid w:val="00BD0372"/>
    <w:rsid w:val="00BD038F"/>
    <w:rsid w:val="00BD04B2"/>
    <w:rsid w:val="00BD0707"/>
    <w:rsid w:val="00BD07E0"/>
    <w:rsid w:val="00BD0A03"/>
    <w:rsid w:val="00BD0ABB"/>
    <w:rsid w:val="00BD0BFD"/>
    <w:rsid w:val="00BD112F"/>
    <w:rsid w:val="00BD14DC"/>
    <w:rsid w:val="00BD1628"/>
    <w:rsid w:val="00BD16BA"/>
    <w:rsid w:val="00BD180D"/>
    <w:rsid w:val="00BD1992"/>
    <w:rsid w:val="00BD1C54"/>
    <w:rsid w:val="00BD1CA7"/>
    <w:rsid w:val="00BD1CE8"/>
    <w:rsid w:val="00BD1DA9"/>
    <w:rsid w:val="00BD1DB8"/>
    <w:rsid w:val="00BD1FE7"/>
    <w:rsid w:val="00BD22D2"/>
    <w:rsid w:val="00BD2390"/>
    <w:rsid w:val="00BD25EE"/>
    <w:rsid w:val="00BD298B"/>
    <w:rsid w:val="00BD2AA1"/>
    <w:rsid w:val="00BD2D05"/>
    <w:rsid w:val="00BD2F07"/>
    <w:rsid w:val="00BD2FB3"/>
    <w:rsid w:val="00BD305A"/>
    <w:rsid w:val="00BD31D8"/>
    <w:rsid w:val="00BD3576"/>
    <w:rsid w:val="00BD38D0"/>
    <w:rsid w:val="00BD3913"/>
    <w:rsid w:val="00BD3B3A"/>
    <w:rsid w:val="00BD3B45"/>
    <w:rsid w:val="00BD3C9F"/>
    <w:rsid w:val="00BD3D30"/>
    <w:rsid w:val="00BD3D84"/>
    <w:rsid w:val="00BD3E2B"/>
    <w:rsid w:val="00BD3EF6"/>
    <w:rsid w:val="00BD3F4F"/>
    <w:rsid w:val="00BD41A6"/>
    <w:rsid w:val="00BD428D"/>
    <w:rsid w:val="00BD430A"/>
    <w:rsid w:val="00BD433A"/>
    <w:rsid w:val="00BD43B3"/>
    <w:rsid w:val="00BD4653"/>
    <w:rsid w:val="00BD4FFA"/>
    <w:rsid w:val="00BD5057"/>
    <w:rsid w:val="00BD5368"/>
    <w:rsid w:val="00BD5B9B"/>
    <w:rsid w:val="00BD5CC9"/>
    <w:rsid w:val="00BD5D3B"/>
    <w:rsid w:val="00BD5D4D"/>
    <w:rsid w:val="00BD5D65"/>
    <w:rsid w:val="00BD5DB6"/>
    <w:rsid w:val="00BD5DFF"/>
    <w:rsid w:val="00BD5E43"/>
    <w:rsid w:val="00BD648D"/>
    <w:rsid w:val="00BD6721"/>
    <w:rsid w:val="00BD693C"/>
    <w:rsid w:val="00BD6941"/>
    <w:rsid w:val="00BD6C79"/>
    <w:rsid w:val="00BD6EDE"/>
    <w:rsid w:val="00BD718E"/>
    <w:rsid w:val="00BD7298"/>
    <w:rsid w:val="00BD742F"/>
    <w:rsid w:val="00BD7859"/>
    <w:rsid w:val="00BD791B"/>
    <w:rsid w:val="00BD79AF"/>
    <w:rsid w:val="00BD7CA8"/>
    <w:rsid w:val="00BD7E50"/>
    <w:rsid w:val="00BE015F"/>
    <w:rsid w:val="00BE01AB"/>
    <w:rsid w:val="00BE028A"/>
    <w:rsid w:val="00BE0476"/>
    <w:rsid w:val="00BE0584"/>
    <w:rsid w:val="00BE076B"/>
    <w:rsid w:val="00BE098D"/>
    <w:rsid w:val="00BE0B60"/>
    <w:rsid w:val="00BE0B6E"/>
    <w:rsid w:val="00BE0B80"/>
    <w:rsid w:val="00BE0BFC"/>
    <w:rsid w:val="00BE0D7F"/>
    <w:rsid w:val="00BE0EA1"/>
    <w:rsid w:val="00BE107F"/>
    <w:rsid w:val="00BE11B4"/>
    <w:rsid w:val="00BE1264"/>
    <w:rsid w:val="00BE1671"/>
    <w:rsid w:val="00BE1906"/>
    <w:rsid w:val="00BE1B1B"/>
    <w:rsid w:val="00BE1F9F"/>
    <w:rsid w:val="00BE22B4"/>
    <w:rsid w:val="00BE2380"/>
    <w:rsid w:val="00BE250C"/>
    <w:rsid w:val="00BE26ED"/>
    <w:rsid w:val="00BE270C"/>
    <w:rsid w:val="00BE2824"/>
    <w:rsid w:val="00BE2E9E"/>
    <w:rsid w:val="00BE2EA4"/>
    <w:rsid w:val="00BE2EB5"/>
    <w:rsid w:val="00BE2FC7"/>
    <w:rsid w:val="00BE305F"/>
    <w:rsid w:val="00BE3065"/>
    <w:rsid w:val="00BE30B2"/>
    <w:rsid w:val="00BE3213"/>
    <w:rsid w:val="00BE32FD"/>
    <w:rsid w:val="00BE3716"/>
    <w:rsid w:val="00BE3EE9"/>
    <w:rsid w:val="00BE3FB8"/>
    <w:rsid w:val="00BE43C1"/>
    <w:rsid w:val="00BE4765"/>
    <w:rsid w:val="00BE477B"/>
    <w:rsid w:val="00BE48D2"/>
    <w:rsid w:val="00BE48FF"/>
    <w:rsid w:val="00BE4A4C"/>
    <w:rsid w:val="00BE4C1B"/>
    <w:rsid w:val="00BE4D67"/>
    <w:rsid w:val="00BE4DFB"/>
    <w:rsid w:val="00BE5057"/>
    <w:rsid w:val="00BE5085"/>
    <w:rsid w:val="00BE518A"/>
    <w:rsid w:val="00BE5238"/>
    <w:rsid w:val="00BE5516"/>
    <w:rsid w:val="00BE57F7"/>
    <w:rsid w:val="00BE5B0C"/>
    <w:rsid w:val="00BE5C2C"/>
    <w:rsid w:val="00BE5C37"/>
    <w:rsid w:val="00BE6072"/>
    <w:rsid w:val="00BE63C5"/>
    <w:rsid w:val="00BE64B0"/>
    <w:rsid w:val="00BE6675"/>
    <w:rsid w:val="00BE670B"/>
    <w:rsid w:val="00BE69CF"/>
    <w:rsid w:val="00BE6E46"/>
    <w:rsid w:val="00BE6E84"/>
    <w:rsid w:val="00BE6F41"/>
    <w:rsid w:val="00BE7182"/>
    <w:rsid w:val="00BE71A0"/>
    <w:rsid w:val="00BE722D"/>
    <w:rsid w:val="00BE72EA"/>
    <w:rsid w:val="00BE7350"/>
    <w:rsid w:val="00BE764E"/>
    <w:rsid w:val="00BE7656"/>
    <w:rsid w:val="00BE77B1"/>
    <w:rsid w:val="00BE77B6"/>
    <w:rsid w:val="00BE787B"/>
    <w:rsid w:val="00BE788C"/>
    <w:rsid w:val="00BE7963"/>
    <w:rsid w:val="00BE7B66"/>
    <w:rsid w:val="00BE7E51"/>
    <w:rsid w:val="00BE7EAB"/>
    <w:rsid w:val="00BE7F72"/>
    <w:rsid w:val="00BE7FE0"/>
    <w:rsid w:val="00BF0048"/>
    <w:rsid w:val="00BF00A5"/>
    <w:rsid w:val="00BF026A"/>
    <w:rsid w:val="00BF0374"/>
    <w:rsid w:val="00BF03AB"/>
    <w:rsid w:val="00BF042F"/>
    <w:rsid w:val="00BF06BD"/>
    <w:rsid w:val="00BF097D"/>
    <w:rsid w:val="00BF09A6"/>
    <w:rsid w:val="00BF0A76"/>
    <w:rsid w:val="00BF0AB5"/>
    <w:rsid w:val="00BF0D16"/>
    <w:rsid w:val="00BF107D"/>
    <w:rsid w:val="00BF11DD"/>
    <w:rsid w:val="00BF12DA"/>
    <w:rsid w:val="00BF14AA"/>
    <w:rsid w:val="00BF14BD"/>
    <w:rsid w:val="00BF1746"/>
    <w:rsid w:val="00BF17DC"/>
    <w:rsid w:val="00BF18A0"/>
    <w:rsid w:val="00BF1908"/>
    <w:rsid w:val="00BF1931"/>
    <w:rsid w:val="00BF1968"/>
    <w:rsid w:val="00BF1ABD"/>
    <w:rsid w:val="00BF1CFA"/>
    <w:rsid w:val="00BF1E8F"/>
    <w:rsid w:val="00BF1F10"/>
    <w:rsid w:val="00BF21CC"/>
    <w:rsid w:val="00BF267B"/>
    <w:rsid w:val="00BF268D"/>
    <w:rsid w:val="00BF2758"/>
    <w:rsid w:val="00BF2762"/>
    <w:rsid w:val="00BF2ABD"/>
    <w:rsid w:val="00BF2BF9"/>
    <w:rsid w:val="00BF2DBB"/>
    <w:rsid w:val="00BF3072"/>
    <w:rsid w:val="00BF30E6"/>
    <w:rsid w:val="00BF3381"/>
    <w:rsid w:val="00BF33F3"/>
    <w:rsid w:val="00BF34A0"/>
    <w:rsid w:val="00BF3752"/>
    <w:rsid w:val="00BF3841"/>
    <w:rsid w:val="00BF39DF"/>
    <w:rsid w:val="00BF3A35"/>
    <w:rsid w:val="00BF4000"/>
    <w:rsid w:val="00BF4218"/>
    <w:rsid w:val="00BF4621"/>
    <w:rsid w:val="00BF4720"/>
    <w:rsid w:val="00BF48EE"/>
    <w:rsid w:val="00BF5046"/>
    <w:rsid w:val="00BF50AA"/>
    <w:rsid w:val="00BF50AB"/>
    <w:rsid w:val="00BF52F1"/>
    <w:rsid w:val="00BF54B5"/>
    <w:rsid w:val="00BF5588"/>
    <w:rsid w:val="00BF55FB"/>
    <w:rsid w:val="00BF5755"/>
    <w:rsid w:val="00BF5EA2"/>
    <w:rsid w:val="00BF5EF7"/>
    <w:rsid w:val="00BF63B2"/>
    <w:rsid w:val="00BF67CB"/>
    <w:rsid w:val="00BF67D2"/>
    <w:rsid w:val="00BF67EE"/>
    <w:rsid w:val="00BF67EF"/>
    <w:rsid w:val="00BF6B56"/>
    <w:rsid w:val="00BF6F8B"/>
    <w:rsid w:val="00BF7297"/>
    <w:rsid w:val="00BF7691"/>
    <w:rsid w:val="00C0007B"/>
    <w:rsid w:val="00C0034D"/>
    <w:rsid w:val="00C0054B"/>
    <w:rsid w:val="00C00566"/>
    <w:rsid w:val="00C006F9"/>
    <w:rsid w:val="00C00887"/>
    <w:rsid w:val="00C009B0"/>
    <w:rsid w:val="00C00C93"/>
    <w:rsid w:val="00C01127"/>
    <w:rsid w:val="00C016C0"/>
    <w:rsid w:val="00C016E2"/>
    <w:rsid w:val="00C0179C"/>
    <w:rsid w:val="00C019B2"/>
    <w:rsid w:val="00C01C45"/>
    <w:rsid w:val="00C02049"/>
    <w:rsid w:val="00C021F1"/>
    <w:rsid w:val="00C023E4"/>
    <w:rsid w:val="00C0273E"/>
    <w:rsid w:val="00C02C95"/>
    <w:rsid w:val="00C02D85"/>
    <w:rsid w:val="00C02DAD"/>
    <w:rsid w:val="00C02E63"/>
    <w:rsid w:val="00C02E6D"/>
    <w:rsid w:val="00C02FFE"/>
    <w:rsid w:val="00C03189"/>
    <w:rsid w:val="00C032AD"/>
    <w:rsid w:val="00C03589"/>
    <w:rsid w:val="00C036A6"/>
    <w:rsid w:val="00C0384F"/>
    <w:rsid w:val="00C03AA5"/>
    <w:rsid w:val="00C03B6C"/>
    <w:rsid w:val="00C03B74"/>
    <w:rsid w:val="00C03C6E"/>
    <w:rsid w:val="00C03C98"/>
    <w:rsid w:val="00C03CBE"/>
    <w:rsid w:val="00C045A3"/>
    <w:rsid w:val="00C046A9"/>
    <w:rsid w:val="00C04ABD"/>
    <w:rsid w:val="00C04AC3"/>
    <w:rsid w:val="00C04BC8"/>
    <w:rsid w:val="00C04BED"/>
    <w:rsid w:val="00C04DCF"/>
    <w:rsid w:val="00C04F0F"/>
    <w:rsid w:val="00C04F8F"/>
    <w:rsid w:val="00C050EC"/>
    <w:rsid w:val="00C050ED"/>
    <w:rsid w:val="00C051CA"/>
    <w:rsid w:val="00C053C8"/>
    <w:rsid w:val="00C05B6D"/>
    <w:rsid w:val="00C05BFD"/>
    <w:rsid w:val="00C05CA8"/>
    <w:rsid w:val="00C05D45"/>
    <w:rsid w:val="00C05E46"/>
    <w:rsid w:val="00C05E7B"/>
    <w:rsid w:val="00C06147"/>
    <w:rsid w:val="00C06177"/>
    <w:rsid w:val="00C063DC"/>
    <w:rsid w:val="00C063F2"/>
    <w:rsid w:val="00C06442"/>
    <w:rsid w:val="00C06465"/>
    <w:rsid w:val="00C06706"/>
    <w:rsid w:val="00C06CB0"/>
    <w:rsid w:val="00C0704C"/>
    <w:rsid w:val="00C07091"/>
    <w:rsid w:val="00C070F6"/>
    <w:rsid w:val="00C0714F"/>
    <w:rsid w:val="00C0741E"/>
    <w:rsid w:val="00C07537"/>
    <w:rsid w:val="00C075EA"/>
    <w:rsid w:val="00C07722"/>
    <w:rsid w:val="00C077E1"/>
    <w:rsid w:val="00C07968"/>
    <w:rsid w:val="00C079D8"/>
    <w:rsid w:val="00C079DA"/>
    <w:rsid w:val="00C07B64"/>
    <w:rsid w:val="00C07B97"/>
    <w:rsid w:val="00C07BC0"/>
    <w:rsid w:val="00C07CC0"/>
    <w:rsid w:val="00C07FF1"/>
    <w:rsid w:val="00C1037B"/>
    <w:rsid w:val="00C10446"/>
    <w:rsid w:val="00C1069D"/>
    <w:rsid w:val="00C1071E"/>
    <w:rsid w:val="00C108D5"/>
    <w:rsid w:val="00C108F0"/>
    <w:rsid w:val="00C109DB"/>
    <w:rsid w:val="00C10AC9"/>
    <w:rsid w:val="00C10EA1"/>
    <w:rsid w:val="00C10F3C"/>
    <w:rsid w:val="00C1100F"/>
    <w:rsid w:val="00C11245"/>
    <w:rsid w:val="00C11484"/>
    <w:rsid w:val="00C11583"/>
    <w:rsid w:val="00C1158D"/>
    <w:rsid w:val="00C11B34"/>
    <w:rsid w:val="00C11E1E"/>
    <w:rsid w:val="00C11F15"/>
    <w:rsid w:val="00C126DB"/>
    <w:rsid w:val="00C126EC"/>
    <w:rsid w:val="00C12942"/>
    <w:rsid w:val="00C12989"/>
    <w:rsid w:val="00C129BA"/>
    <w:rsid w:val="00C12C84"/>
    <w:rsid w:val="00C12D91"/>
    <w:rsid w:val="00C12EE8"/>
    <w:rsid w:val="00C12F17"/>
    <w:rsid w:val="00C1317E"/>
    <w:rsid w:val="00C131C6"/>
    <w:rsid w:val="00C137DC"/>
    <w:rsid w:val="00C13883"/>
    <w:rsid w:val="00C13D6B"/>
    <w:rsid w:val="00C13D7F"/>
    <w:rsid w:val="00C13E36"/>
    <w:rsid w:val="00C13FB9"/>
    <w:rsid w:val="00C142B3"/>
    <w:rsid w:val="00C14371"/>
    <w:rsid w:val="00C1438E"/>
    <w:rsid w:val="00C14402"/>
    <w:rsid w:val="00C146D8"/>
    <w:rsid w:val="00C14875"/>
    <w:rsid w:val="00C14957"/>
    <w:rsid w:val="00C14D39"/>
    <w:rsid w:val="00C14E8A"/>
    <w:rsid w:val="00C15052"/>
    <w:rsid w:val="00C15215"/>
    <w:rsid w:val="00C15663"/>
    <w:rsid w:val="00C15739"/>
    <w:rsid w:val="00C1573E"/>
    <w:rsid w:val="00C15802"/>
    <w:rsid w:val="00C158DA"/>
    <w:rsid w:val="00C15B89"/>
    <w:rsid w:val="00C15BAF"/>
    <w:rsid w:val="00C15C87"/>
    <w:rsid w:val="00C15CAB"/>
    <w:rsid w:val="00C15F9B"/>
    <w:rsid w:val="00C1615A"/>
    <w:rsid w:val="00C1616E"/>
    <w:rsid w:val="00C16331"/>
    <w:rsid w:val="00C16518"/>
    <w:rsid w:val="00C16611"/>
    <w:rsid w:val="00C16730"/>
    <w:rsid w:val="00C16998"/>
    <w:rsid w:val="00C16A24"/>
    <w:rsid w:val="00C16AF7"/>
    <w:rsid w:val="00C16B73"/>
    <w:rsid w:val="00C170F5"/>
    <w:rsid w:val="00C1715F"/>
    <w:rsid w:val="00C17242"/>
    <w:rsid w:val="00C172ED"/>
    <w:rsid w:val="00C17333"/>
    <w:rsid w:val="00C1734C"/>
    <w:rsid w:val="00C174AB"/>
    <w:rsid w:val="00C174F3"/>
    <w:rsid w:val="00C1790D"/>
    <w:rsid w:val="00C17A47"/>
    <w:rsid w:val="00C17B53"/>
    <w:rsid w:val="00C17CBD"/>
    <w:rsid w:val="00C17F8F"/>
    <w:rsid w:val="00C20213"/>
    <w:rsid w:val="00C2045F"/>
    <w:rsid w:val="00C20829"/>
    <w:rsid w:val="00C2085F"/>
    <w:rsid w:val="00C20B33"/>
    <w:rsid w:val="00C20D06"/>
    <w:rsid w:val="00C20D1F"/>
    <w:rsid w:val="00C20DB9"/>
    <w:rsid w:val="00C20ED5"/>
    <w:rsid w:val="00C21085"/>
    <w:rsid w:val="00C21446"/>
    <w:rsid w:val="00C215FD"/>
    <w:rsid w:val="00C21A4A"/>
    <w:rsid w:val="00C21A57"/>
    <w:rsid w:val="00C21AC7"/>
    <w:rsid w:val="00C21D46"/>
    <w:rsid w:val="00C2241E"/>
    <w:rsid w:val="00C224A9"/>
    <w:rsid w:val="00C22537"/>
    <w:rsid w:val="00C22850"/>
    <w:rsid w:val="00C2295E"/>
    <w:rsid w:val="00C22A45"/>
    <w:rsid w:val="00C22CF0"/>
    <w:rsid w:val="00C23065"/>
    <w:rsid w:val="00C231DF"/>
    <w:rsid w:val="00C231E3"/>
    <w:rsid w:val="00C23238"/>
    <w:rsid w:val="00C2339C"/>
    <w:rsid w:val="00C234B3"/>
    <w:rsid w:val="00C234F2"/>
    <w:rsid w:val="00C2359E"/>
    <w:rsid w:val="00C23797"/>
    <w:rsid w:val="00C23990"/>
    <w:rsid w:val="00C23A26"/>
    <w:rsid w:val="00C24018"/>
    <w:rsid w:val="00C2443A"/>
    <w:rsid w:val="00C244B3"/>
    <w:rsid w:val="00C24576"/>
    <w:rsid w:val="00C24AB3"/>
    <w:rsid w:val="00C24CBE"/>
    <w:rsid w:val="00C2533B"/>
    <w:rsid w:val="00C25405"/>
    <w:rsid w:val="00C254C4"/>
    <w:rsid w:val="00C25A85"/>
    <w:rsid w:val="00C25AFE"/>
    <w:rsid w:val="00C25DA0"/>
    <w:rsid w:val="00C25EC1"/>
    <w:rsid w:val="00C260AE"/>
    <w:rsid w:val="00C26362"/>
    <w:rsid w:val="00C2656C"/>
    <w:rsid w:val="00C266CA"/>
    <w:rsid w:val="00C266EB"/>
    <w:rsid w:val="00C26869"/>
    <w:rsid w:val="00C26B6B"/>
    <w:rsid w:val="00C26B94"/>
    <w:rsid w:val="00C26B98"/>
    <w:rsid w:val="00C26C72"/>
    <w:rsid w:val="00C26D1F"/>
    <w:rsid w:val="00C277FE"/>
    <w:rsid w:val="00C279EB"/>
    <w:rsid w:val="00C27A8B"/>
    <w:rsid w:val="00C27BAA"/>
    <w:rsid w:val="00C27DB5"/>
    <w:rsid w:val="00C27DB6"/>
    <w:rsid w:val="00C27F6F"/>
    <w:rsid w:val="00C27FBE"/>
    <w:rsid w:val="00C301ED"/>
    <w:rsid w:val="00C3067A"/>
    <w:rsid w:val="00C3082B"/>
    <w:rsid w:val="00C30A3F"/>
    <w:rsid w:val="00C30AD9"/>
    <w:rsid w:val="00C30B98"/>
    <w:rsid w:val="00C30DBD"/>
    <w:rsid w:val="00C30FAD"/>
    <w:rsid w:val="00C31032"/>
    <w:rsid w:val="00C3141A"/>
    <w:rsid w:val="00C3147E"/>
    <w:rsid w:val="00C31710"/>
    <w:rsid w:val="00C317A1"/>
    <w:rsid w:val="00C31825"/>
    <w:rsid w:val="00C31AA8"/>
    <w:rsid w:val="00C31AC2"/>
    <w:rsid w:val="00C31B47"/>
    <w:rsid w:val="00C31DEE"/>
    <w:rsid w:val="00C31E08"/>
    <w:rsid w:val="00C31EAB"/>
    <w:rsid w:val="00C31F82"/>
    <w:rsid w:val="00C325D2"/>
    <w:rsid w:val="00C326E5"/>
    <w:rsid w:val="00C326F2"/>
    <w:rsid w:val="00C32A3E"/>
    <w:rsid w:val="00C32B06"/>
    <w:rsid w:val="00C32B35"/>
    <w:rsid w:val="00C32BBD"/>
    <w:rsid w:val="00C32EBF"/>
    <w:rsid w:val="00C331EA"/>
    <w:rsid w:val="00C331F0"/>
    <w:rsid w:val="00C3337C"/>
    <w:rsid w:val="00C33458"/>
    <w:rsid w:val="00C3350B"/>
    <w:rsid w:val="00C335FD"/>
    <w:rsid w:val="00C33789"/>
    <w:rsid w:val="00C33FA9"/>
    <w:rsid w:val="00C341B3"/>
    <w:rsid w:val="00C342A2"/>
    <w:rsid w:val="00C34701"/>
    <w:rsid w:val="00C3475B"/>
    <w:rsid w:val="00C34762"/>
    <w:rsid w:val="00C349FE"/>
    <w:rsid w:val="00C34C43"/>
    <w:rsid w:val="00C34D72"/>
    <w:rsid w:val="00C35375"/>
    <w:rsid w:val="00C35418"/>
    <w:rsid w:val="00C3552F"/>
    <w:rsid w:val="00C3572A"/>
    <w:rsid w:val="00C357EF"/>
    <w:rsid w:val="00C35895"/>
    <w:rsid w:val="00C35C8D"/>
    <w:rsid w:val="00C35EDB"/>
    <w:rsid w:val="00C36222"/>
    <w:rsid w:val="00C36348"/>
    <w:rsid w:val="00C3645C"/>
    <w:rsid w:val="00C365F0"/>
    <w:rsid w:val="00C36727"/>
    <w:rsid w:val="00C3680E"/>
    <w:rsid w:val="00C36A37"/>
    <w:rsid w:val="00C36A3A"/>
    <w:rsid w:val="00C36C5F"/>
    <w:rsid w:val="00C36C6D"/>
    <w:rsid w:val="00C36DF3"/>
    <w:rsid w:val="00C36E04"/>
    <w:rsid w:val="00C3724C"/>
    <w:rsid w:val="00C37274"/>
    <w:rsid w:val="00C373C2"/>
    <w:rsid w:val="00C3740D"/>
    <w:rsid w:val="00C3748F"/>
    <w:rsid w:val="00C374BE"/>
    <w:rsid w:val="00C37787"/>
    <w:rsid w:val="00C378B2"/>
    <w:rsid w:val="00C37A6F"/>
    <w:rsid w:val="00C37E9D"/>
    <w:rsid w:val="00C40202"/>
    <w:rsid w:val="00C4022C"/>
    <w:rsid w:val="00C402D5"/>
    <w:rsid w:val="00C4047F"/>
    <w:rsid w:val="00C4067F"/>
    <w:rsid w:val="00C40758"/>
    <w:rsid w:val="00C409D3"/>
    <w:rsid w:val="00C40A52"/>
    <w:rsid w:val="00C40E19"/>
    <w:rsid w:val="00C40E85"/>
    <w:rsid w:val="00C40F4C"/>
    <w:rsid w:val="00C40F6E"/>
    <w:rsid w:val="00C41267"/>
    <w:rsid w:val="00C419A9"/>
    <w:rsid w:val="00C419BC"/>
    <w:rsid w:val="00C419D8"/>
    <w:rsid w:val="00C41BEB"/>
    <w:rsid w:val="00C41ECC"/>
    <w:rsid w:val="00C424BD"/>
    <w:rsid w:val="00C4298B"/>
    <w:rsid w:val="00C42B33"/>
    <w:rsid w:val="00C42CD9"/>
    <w:rsid w:val="00C42DEF"/>
    <w:rsid w:val="00C43093"/>
    <w:rsid w:val="00C4313B"/>
    <w:rsid w:val="00C431EF"/>
    <w:rsid w:val="00C4321E"/>
    <w:rsid w:val="00C433D1"/>
    <w:rsid w:val="00C433F6"/>
    <w:rsid w:val="00C436B0"/>
    <w:rsid w:val="00C436FA"/>
    <w:rsid w:val="00C438C5"/>
    <w:rsid w:val="00C43959"/>
    <w:rsid w:val="00C43988"/>
    <w:rsid w:val="00C43A1A"/>
    <w:rsid w:val="00C43AC1"/>
    <w:rsid w:val="00C43AE5"/>
    <w:rsid w:val="00C43C98"/>
    <w:rsid w:val="00C43DE5"/>
    <w:rsid w:val="00C43F02"/>
    <w:rsid w:val="00C4457E"/>
    <w:rsid w:val="00C44606"/>
    <w:rsid w:val="00C4485D"/>
    <w:rsid w:val="00C4488F"/>
    <w:rsid w:val="00C44B15"/>
    <w:rsid w:val="00C44B69"/>
    <w:rsid w:val="00C44C9D"/>
    <w:rsid w:val="00C45163"/>
    <w:rsid w:val="00C453A3"/>
    <w:rsid w:val="00C4545C"/>
    <w:rsid w:val="00C45647"/>
    <w:rsid w:val="00C456DE"/>
    <w:rsid w:val="00C45744"/>
    <w:rsid w:val="00C4578F"/>
    <w:rsid w:val="00C45853"/>
    <w:rsid w:val="00C46612"/>
    <w:rsid w:val="00C4680B"/>
    <w:rsid w:val="00C468DB"/>
    <w:rsid w:val="00C46B46"/>
    <w:rsid w:val="00C46FAB"/>
    <w:rsid w:val="00C47035"/>
    <w:rsid w:val="00C4712E"/>
    <w:rsid w:val="00C47336"/>
    <w:rsid w:val="00C473D9"/>
    <w:rsid w:val="00C474C2"/>
    <w:rsid w:val="00C476BA"/>
    <w:rsid w:val="00C47A18"/>
    <w:rsid w:val="00C47D4F"/>
    <w:rsid w:val="00C47DBB"/>
    <w:rsid w:val="00C47FF2"/>
    <w:rsid w:val="00C503FA"/>
    <w:rsid w:val="00C504BF"/>
    <w:rsid w:val="00C50935"/>
    <w:rsid w:val="00C50A26"/>
    <w:rsid w:val="00C50BF5"/>
    <w:rsid w:val="00C50CEF"/>
    <w:rsid w:val="00C50DFC"/>
    <w:rsid w:val="00C511DD"/>
    <w:rsid w:val="00C51492"/>
    <w:rsid w:val="00C515B5"/>
    <w:rsid w:val="00C51754"/>
    <w:rsid w:val="00C51823"/>
    <w:rsid w:val="00C51CE2"/>
    <w:rsid w:val="00C51E81"/>
    <w:rsid w:val="00C52064"/>
    <w:rsid w:val="00C5281D"/>
    <w:rsid w:val="00C529F4"/>
    <w:rsid w:val="00C52A5D"/>
    <w:rsid w:val="00C52BD2"/>
    <w:rsid w:val="00C5313C"/>
    <w:rsid w:val="00C53169"/>
    <w:rsid w:val="00C5331E"/>
    <w:rsid w:val="00C53372"/>
    <w:rsid w:val="00C535B4"/>
    <w:rsid w:val="00C53631"/>
    <w:rsid w:val="00C53A37"/>
    <w:rsid w:val="00C53BDD"/>
    <w:rsid w:val="00C53EC0"/>
    <w:rsid w:val="00C53FAC"/>
    <w:rsid w:val="00C53FF1"/>
    <w:rsid w:val="00C54035"/>
    <w:rsid w:val="00C5404C"/>
    <w:rsid w:val="00C5405C"/>
    <w:rsid w:val="00C541E4"/>
    <w:rsid w:val="00C5455B"/>
    <w:rsid w:val="00C54642"/>
    <w:rsid w:val="00C549A6"/>
    <w:rsid w:val="00C54B13"/>
    <w:rsid w:val="00C54D7F"/>
    <w:rsid w:val="00C54DB3"/>
    <w:rsid w:val="00C54DFE"/>
    <w:rsid w:val="00C55504"/>
    <w:rsid w:val="00C5566A"/>
    <w:rsid w:val="00C557FA"/>
    <w:rsid w:val="00C5586D"/>
    <w:rsid w:val="00C559D4"/>
    <w:rsid w:val="00C55B37"/>
    <w:rsid w:val="00C55B60"/>
    <w:rsid w:val="00C55BE1"/>
    <w:rsid w:val="00C55BEB"/>
    <w:rsid w:val="00C55CEA"/>
    <w:rsid w:val="00C55D35"/>
    <w:rsid w:val="00C55E11"/>
    <w:rsid w:val="00C56216"/>
    <w:rsid w:val="00C566AA"/>
    <w:rsid w:val="00C56D5E"/>
    <w:rsid w:val="00C57363"/>
    <w:rsid w:val="00C575C1"/>
    <w:rsid w:val="00C57739"/>
    <w:rsid w:val="00C57963"/>
    <w:rsid w:val="00C57DE0"/>
    <w:rsid w:val="00C57E38"/>
    <w:rsid w:val="00C60004"/>
    <w:rsid w:val="00C601B4"/>
    <w:rsid w:val="00C604A0"/>
    <w:rsid w:val="00C606F0"/>
    <w:rsid w:val="00C60D2E"/>
    <w:rsid w:val="00C60DE8"/>
    <w:rsid w:val="00C60E19"/>
    <w:rsid w:val="00C610B6"/>
    <w:rsid w:val="00C6126C"/>
    <w:rsid w:val="00C612BC"/>
    <w:rsid w:val="00C614D4"/>
    <w:rsid w:val="00C617E0"/>
    <w:rsid w:val="00C6182C"/>
    <w:rsid w:val="00C61A6F"/>
    <w:rsid w:val="00C61AC6"/>
    <w:rsid w:val="00C61BDB"/>
    <w:rsid w:val="00C61C57"/>
    <w:rsid w:val="00C61F19"/>
    <w:rsid w:val="00C62003"/>
    <w:rsid w:val="00C62012"/>
    <w:rsid w:val="00C62060"/>
    <w:rsid w:val="00C62113"/>
    <w:rsid w:val="00C622FE"/>
    <w:rsid w:val="00C62613"/>
    <w:rsid w:val="00C627D6"/>
    <w:rsid w:val="00C62A24"/>
    <w:rsid w:val="00C62AEF"/>
    <w:rsid w:val="00C62D0E"/>
    <w:rsid w:val="00C62DB2"/>
    <w:rsid w:val="00C62F8F"/>
    <w:rsid w:val="00C62F99"/>
    <w:rsid w:val="00C632EC"/>
    <w:rsid w:val="00C639F1"/>
    <w:rsid w:val="00C63DF1"/>
    <w:rsid w:val="00C63F71"/>
    <w:rsid w:val="00C64179"/>
    <w:rsid w:val="00C64388"/>
    <w:rsid w:val="00C64514"/>
    <w:rsid w:val="00C6453F"/>
    <w:rsid w:val="00C6455A"/>
    <w:rsid w:val="00C647BE"/>
    <w:rsid w:val="00C647FD"/>
    <w:rsid w:val="00C6489A"/>
    <w:rsid w:val="00C64AD9"/>
    <w:rsid w:val="00C64C6A"/>
    <w:rsid w:val="00C64C86"/>
    <w:rsid w:val="00C6543C"/>
    <w:rsid w:val="00C6582D"/>
    <w:rsid w:val="00C65A16"/>
    <w:rsid w:val="00C65B9B"/>
    <w:rsid w:val="00C65FC0"/>
    <w:rsid w:val="00C661B8"/>
    <w:rsid w:val="00C66248"/>
    <w:rsid w:val="00C66697"/>
    <w:rsid w:val="00C666AA"/>
    <w:rsid w:val="00C669ED"/>
    <w:rsid w:val="00C66BB3"/>
    <w:rsid w:val="00C66BC3"/>
    <w:rsid w:val="00C66CE2"/>
    <w:rsid w:val="00C66D5D"/>
    <w:rsid w:val="00C66DCE"/>
    <w:rsid w:val="00C66E99"/>
    <w:rsid w:val="00C67046"/>
    <w:rsid w:val="00C670DB"/>
    <w:rsid w:val="00C672D2"/>
    <w:rsid w:val="00C67362"/>
    <w:rsid w:val="00C6741D"/>
    <w:rsid w:val="00C675D5"/>
    <w:rsid w:val="00C67A50"/>
    <w:rsid w:val="00C67AE0"/>
    <w:rsid w:val="00C67C39"/>
    <w:rsid w:val="00C701EF"/>
    <w:rsid w:val="00C702C7"/>
    <w:rsid w:val="00C70398"/>
    <w:rsid w:val="00C7078A"/>
    <w:rsid w:val="00C70972"/>
    <w:rsid w:val="00C7099B"/>
    <w:rsid w:val="00C70C7A"/>
    <w:rsid w:val="00C70E09"/>
    <w:rsid w:val="00C70E31"/>
    <w:rsid w:val="00C710B0"/>
    <w:rsid w:val="00C710ED"/>
    <w:rsid w:val="00C7160E"/>
    <w:rsid w:val="00C716D4"/>
    <w:rsid w:val="00C7170F"/>
    <w:rsid w:val="00C71817"/>
    <w:rsid w:val="00C71842"/>
    <w:rsid w:val="00C71CEE"/>
    <w:rsid w:val="00C71D22"/>
    <w:rsid w:val="00C71D23"/>
    <w:rsid w:val="00C71D83"/>
    <w:rsid w:val="00C71E09"/>
    <w:rsid w:val="00C72230"/>
    <w:rsid w:val="00C723E6"/>
    <w:rsid w:val="00C726E6"/>
    <w:rsid w:val="00C72A11"/>
    <w:rsid w:val="00C72AED"/>
    <w:rsid w:val="00C72D58"/>
    <w:rsid w:val="00C737ED"/>
    <w:rsid w:val="00C738CE"/>
    <w:rsid w:val="00C73930"/>
    <w:rsid w:val="00C73974"/>
    <w:rsid w:val="00C73CC8"/>
    <w:rsid w:val="00C73DE3"/>
    <w:rsid w:val="00C7405F"/>
    <w:rsid w:val="00C7410E"/>
    <w:rsid w:val="00C7429C"/>
    <w:rsid w:val="00C7442D"/>
    <w:rsid w:val="00C745C3"/>
    <w:rsid w:val="00C7465E"/>
    <w:rsid w:val="00C74776"/>
    <w:rsid w:val="00C74879"/>
    <w:rsid w:val="00C7488C"/>
    <w:rsid w:val="00C74CA1"/>
    <w:rsid w:val="00C74CBA"/>
    <w:rsid w:val="00C74E88"/>
    <w:rsid w:val="00C74EF2"/>
    <w:rsid w:val="00C75197"/>
    <w:rsid w:val="00C752C1"/>
    <w:rsid w:val="00C753B0"/>
    <w:rsid w:val="00C753C2"/>
    <w:rsid w:val="00C758C0"/>
    <w:rsid w:val="00C759AC"/>
    <w:rsid w:val="00C75ABA"/>
    <w:rsid w:val="00C75D0C"/>
    <w:rsid w:val="00C75E31"/>
    <w:rsid w:val="00C760B6"/>
    <w:rsid w:val="00C7625A"/>
    <w:rsid w:val="00C762EB"/>
    <w:rsid w:val="00C76685"/>
    <w:rsid w:val="00C7670A"/>
    <w:rsid w:val="00C76969"/>
    <w:rsid w:val="00C76AA5"/>
    <w:rsid w:val="00C76B7A"/>
    <w:rsid w:val="00C76BB4"/>
    <w:rsid w:val="00C76C0D"/>
    <w:rsid w:val="00C76D36"/>
    <w:rsid w:val="00C76E76"/>
    <w:rsid w:val="00C77068"/>
    <w:rsid w:val="00C771C6"/>
    <w:rsid w:val="00C771D2"/>
    <w:rsid w:val="00C77210"/>
    <w:rsid w:val="00C77221"/>
    <w:rsid w:val="00C773F2"/>
    <w:rsid w:val="00C7754C"/>
    <w:rsid w:val="00C7786F"/>
    <w:rsid w:val="00C77980"/>
    <w:rsid w:val="00C77A3F"/>
    <w:rsid w:val="00C77CA1"/>
    <w:rsid w:val="00C77CE6"/>
    <w:rsid w:val="00C77EE6"/>
    <w:rsid w:val="00C80219"/>
    <w:rsid w:val="00C80443"/>
    <w:rsid w:val="00C8055C"/>
    <w:rsid w:val="00C80838"/>
    <w:rsid w:val="00C80F66"/>
    <w:rsid w:val="00C811AB"/>
    <w:rsid w:val="00C81479"/>
    <w:rsid w:val="00C81568"/>
    <w:rsid w:val="00C81584"/>
    <w:rsid w:val="00C815DF"/>
    <w:rsid w:val="00C81853"/>
    <w:rsid w:val="00C81965"/>
    <w:rsid w:val="00C81CC1"/>
    <w:rsid w:val="00C81CD8"/>
    <w:rsid w:val="00C81D36"/>
    <w:rsid w:val="00C82282"/>
    <w:rsid w:val="00C823AD"/>
    <w:rsid w:val="00C82465"/>
    <w:rsid w:val="00C82471"/>
    <w:rsid w:val="00C824E9"/>
    <w:rsid w:val="00C82679"/>
    <w:rsid w:val="00C8282F"/>
    <w:rsid w:val="00C82F55"/>
    <w:rsid w:val="00C8307E"/>
    <w:rsid w:val="00C8323B"/>
    <w:rsid w:val="00C834D7"/>
    <w:rsid w:val="00C83545"/>
    <w:rsid w:val="00C83668"/>
    <w:rsid w:val="00C8369E"/>
    <w:rsid w:val="00C83719"/>
    <w:rsid w:val="00C838D0"/>
    <w:rsid w:val="00C83C26"/>
    <w:rsid w:val="00C83E2E"/>
    <w:rsid w:val="00C83F71"/>
    <w:rsid w:val="00C83FB9"/>
    <w:rsid w:val="00C84207"/>
    <w:rsid w:val="00C84462"/>
    <w:rsid w:val="00C846EE"/>
    <w:rsid w:val="00C847E3"/>
    <w:rsid w:val="00C84B50"/>
    <w:rsid w:val="00C84C8F"/>
    <w:rsid w:val="00C84CE5"/>
    <w:rsid w:val="00C8503A"/>
    <w:rsid w:val="00C8542B"/>
    <w:rsid w:val="00C8568A"/>
    <w:rsid w:val="00C8593F"/>
    <w:rsid w:val="00C85CCC"/>
    <w:rsid w:val="00C86544"/>
    <w:rsid w:val="00C86810"/>
    <w:rsid w:val="00C8683A"/>
    <w:rsid w:val="00C86893"/>
    <w:rsid w:val="00C869EC"/>
    <w:rsid w:val="00C86AF1"/>
    <w:rsid w:val="00C8703B"/>
    <w:rsid w:val="00C871BB"/>
    <w:rsid w:val="00C87483"/>
    <w:rsid w:val="00C8788C"/>
    <w:rsid w:val="00C8794E"/>
    <w:rsid w:val="00C87D07"/>
    <w:rsid w:val="00C87E49"/>
    <w:rsid w:val="00C87E74"/>
    <w:rsid w:val="00C90051"/>
    <w:rsid w:val="00C902E6"/>
    <w:rsid w:val="00C90557"/>
    <w:rsid w:val="00C90618"/>
    <w:rsid w:val="00C9064F"/>
    <w:rsid w:val="00C909CD"/>
    <w:rsid w:val="00C90A2F"/>
    <w:rsid w:val="00C90B7E"/>
    <w:rsid w:val="00C90C69"/>
    <w:rsid w:val="00C912BD"/>
    <w:rsid w:val="00C91691"/>
    <w:rsid w:val="00C916AA"/>
    <w:rsid w:val="00C91D71"/>
    <w:rsid w:val="00C91D7E"/>
    <w:rsid w:val="00C91F42"/>
    <w:rsid w:val="00C921E4"/>
    <w:rsid w:val="00C9246E"/>
    <w:rsid w:val="00C924A8"/>
    <w:rsid w:val="00C924F0"/>
    <w:rsid w:val="00C9268D"/>
    <w:rsid w:val="00C92787"/>
    <w:rsid w:val="00C927C4"/>
    <w:rsid w:val="00C92856"/>
    <w:rsid w:val="00C92A90"/>
    <w:rsid w:val="00C92B55"/>
    <w:rsid w:val="00C92EF5"/>
    <w:rsid w:val="00C93593"/>
    <w:rsid w:val="00C937DF"/>
    <w:rsid w:val="00C93831"/>
    <w:rsid w:val="00C939B1"/>
    <w:rsid w:val="00C94163"/>
    <w:rsid w:val="00C94219"/>
    <w:rsid w:val="00C9440E"/>
    <w:rsid w:val="00C944D3"/>
    <w:rsid w:val="00C945E8"/>
    <w:rsid w:val="00C94C22"/>
    <w:rsid w:val="00C94D16"/>
    <w:rsid w:val="00C94F16"/>
    <w:rsid w:val="00C94F7D"/>
    <w:rsid w:val="00C953A5"/>
    <w:rsid w:val="00C9540E"/>
    <w:rsid w:val="00C954F0"/>
    <w:rsid w:val="00C957A0"/>
    <w:rsid w:val="00C958A7"/>
    <w:rsid w:val="00C958ED"/>
    <w:rsid w:val="00C95BBB"/>
    <w:rsid w:val="00C95D06"/>
    <w:rsid w:val="00C95D62"/>
    <w:rsid w:val="00C95DFF"/>
    <w:rsid w:val="00C95EE6"/>
    <w:rsid w:val="00C95FEA"/>
    <w:rsid w:val="00C963AE"/>
    <w:rsid w:val="00C9657D"/>
    <w:rsid w:val="00C96821"/>
    <w:rsid w:val="00C96879"/>
    <w:rsid w:val="00C96A77"/>
    <w:rsid w:val="00C96ADA"/>
    <w:rsid w:val="00C96C4F"/>
    <w:rsid w:val="00C96CC4"/>
    <w:rsid w:val="00C96E49"/>
    <w:rsid w:val="00C96F28"/>
    <w:rsid w:val="00C97042"/>
    <w:rsid w:val="00C972BF"/>
    <w:rsid w:val="00C9771B"/>
    <w:rsid w:val="00C97A1B"/>
    <w:rsid w:val="00C97B14"/>
    <w:rsid w:val="00C97C49"/>
    <w:rsid w:val="00CA03C3"/>
    <w:rsid w:val="00CA044F"/>
    <w:rsid w:val="00CA0500"/>
    <w:rsid w:val="00CA0654"/>
    <w:rsid w:val="00CA0657"/>
    <w:rsid w:val="00CA078C"/>
    <w:rsid w:val="00CA07AF"/>
    <w:rsid w:val="00CA0878"/>
    <w:rsid w:val="00CA0D24"/>
    <w:rsid w:val="00CA0D55"/>
    <w:rsid w:val="00CA0E86"/>
    <w:rsid w:val="00CA0FB3"/>
    <w:rsid w:val="00CA10B0"/>
    <w:rsid w:val="00CA14FF"/>
    <w:rsid w:val="00CA19C6"/>
    <w:rsid w:val="00CA19CB"/>
    <w:rsid w:val="00CA218E"/>
    <w:rsid w:val="00CA2291"/>
    <w:rsid w:val="00CA2397"/>
    <w:rsid w:val="00CA2633"/>
    <w:rsid w:val="00CA278F"/>
    <w:rsid w:val="00CA2B33"/>
    <w:rsid w:val="00CA2B76"/>
    <w:rsid w:val="00CA2D68"/>
    <w:rsid w:val="00CA2D98"/>
    <w:rsid w:val="00CA2E27"/>
    <w:rsid w:val="00CA2E7D"/>
    <w:rsid w:val="00CA323B"/>
    <w:rsid w:val="00CA3283"/>
    <w:rsid w:val="00CA3585"/>
    <w:rsid w:val="00CA359C"/>
    <w:rsid w:val="00CA3C1F"/>
    <w:rsid w:val="00CA3DB9"/>
    <w:rsid w:val="00CA3F0E"/>
    <w:rsid w:val="00CA3FB2"/>
    <w:rsid w:val="00CA447E"/>
    <w:rsid w:val="00CA454F"/>
    <w:rsid w:val="00CA4664"/>
    <w:rsid w:val="00CA48C1"/>
    <w:rsid w:val="00CA4A33"/>
    <w:rsid w:val="00CA4A58"/>
    <w:rsid w:val="00CA4C0F"/>
    <w:rsid w:val="00CA4D22"/>
    <w:rsid w:val="00CA4E63"/>
    <w:rsid w:val="00CA563B"/>
    <w:rsid w:val="00CA5788"/>
    <w:rsid w:val="00CA578F"/>
    <w:rsid w:val="00CA588B"/>
    <w:rsid w:val="00CA5978"/>
    <w:rsid w:val="00CA5A9A"/>
    <w:rsid w:val="00CA5B05"/>
    <w:rsid w:val="00CA5B0A"/>
    <w:rsid w:val="00CA5B5E"/>
    <w:rsid w:val="00CA5B92"/>
    <w:rsid w:val="00CA5D20"/>
    <w:rsid w:val="00CA5E01"/>
    <w:rsid w:val="00CA603E"/>
    <w:rsid w:val="00CA66C8"/>
    <w:rsid w:val="00CA679B"/>
    <w:rsid w:val="00CA6999"/>
    <w:rsid w:val="00CA6AE6"/>
    <w:rsid w:val="00CA6B73"/>
    <w:rsid w:val="00CA6BA2"/>
    <w:rsid w:val="00CA6FAC"/>
    <w:rsid w:val="00CA7028"/>
    <w:rsid w:val="00CA70A8"/>
    <w:rsid w:val="00CA7139"/>
    <w:rsid w:val="00CA723B"/>
    <w:rsid w:val="00CA73C0"/>
    <w:rsid w:val="00CA750F"/>
    <w:rsid w:val="00CA7538"/>
    <w:rsid w:val="00CA75E0"/>
    <w:rsid w:val="00CA7610"/>
    <w:rsid w:val="00CA793F"/>
    <w:rsid w:val="00CA7CB7"/>
    <w:rsid w:val="00CA7CDA"/>
    <w:rsid w:val="00CA7E16"/>
    <w:rsid w:val="00CA7F3A"/>
    <w:rsid w:val="00CA7F43"/>
    <w:rsid w:val="00CB003E"/>
    <w:rsid w:val="00CB03F2"/>
    <w:rsid w:val="00CB043A"/>
    <w:rsid w:val="00CB051A"/>
    <w:rsid w:val="00CB061E"/>
    <w:rsid w:val="00CB066F"/>
    <w:rsid w:val="00CB0679"/>
    <w:rsid w:val="00CB0856"/>
    <w:rsid w:val="00CB08B8"/>
    <w:rsid w:val="00CB09EB"/>
    <w:rsid w:val="00CB0A06"/>
    <w:rsid w:val="00CB0B03"/>
    <w:rsid w:val="00CB0B09"/>
    <w:rsid w:val="00CB0B30"/>
    <w:rsid w:val="00CB0B8B"/>
    <w:rsid w:val="00CB0E02"/>
    <w:rsid w:val="00CB1005"/>
    <w:rsid w:val="00CB100F"/>
    <w:rsid w:val="00CB1437"/>
    <w:rsid w:val="00CB1614"/>
    <w:rsid w:val="00CB176E"/>
    <w:rsid w:val="00CB181A"/>
    <w:rsid w:val="00CB183C"/>
    <w:rsid w:val="00CB18B1"/>
    <w:rsid w:val="00CB19E8"/>
    <w:rsid w:val="00CB1A6F"/>
    <w:rsid w:val="00CB1CB6"/>
    <w:rsid w:val="00CB1E83"/>
    <w:rsid w:val="00CB1EE3"/>
    <w:rsid w:val="00CB1EEA"/>
    <w:rsid w:val="00CB24E3"/>
    <w:rsid w:val="00CB2503"/>
    <w:rsid w:val="00CB2614"/>
    <w:rsid w:val="00CB2622"/>
    <w:rsid w:val="00CB2A6E"/>
    <w:rsid w:val="00CB2CC1"/>
    <w:rsid w:val="00CB2D2F"/>
    <w:rsid w:val="00CB30B9"/>
    <w:rsid w:val="00CB328A"/>
    <w:rsid w:val="00CB39A8"/>
    <w:rsid w:val="00CB3A3D"/>
    <w:rsid w:val="00CB3B70"/>
    <w:rsid w:val="00CB3D9F"/>
    <w:rsid w:val="00CB3F38"/>
    <w:rsid w:val="00CB3F59"/>
    <w:rsid w:val="00CB3FD9"/>
    <w:rsid w:val="00CB3FF0"/>
    <w:rsid w:val="00CB405A"/>
    <w:rsid w:val="00CB4062"/>
    <w:rsid w:val="00CB419C"/>
    <w:rsid w:val="00CB41EB"/>
    <w:rsid w:val="00CB433D"/>
    <w:rsid w:val="00CB464A"/>
    <w:rsid w:val="00CB4752"/>
    <w:rsid w:val="00CB4AC1"/>
    <w:rsid w:val="00CB4B24"/>
    <w:rsid w:val="00CB4C21"/>
    <w:rsid w:val="00CB4C28"/>
    <w:rsid w:val="00CB4F73"/>
    <w:rsid w:val="00CB4FAF"/>
    <w:rsid w:val="00CB5207"/>
    <w:rsid w:val="00CB5312"/>
    <w:rsid w:val="00CB53AC"/>
    <w:rsid w:val="00CB5478"/>
    <w:rsid w:val="00CB55BE"/>
    <w:rsid w:val="00CB57DD"/>
    <w:rsid w:val="00CB587F"/>
    <w:rsid w:val="00CB58A4"/>
    <w:rsid w:val="00CB5902"/>
    <w:rsid w:val="00CB5C86"/>
    <w:rsid w:val="00CB5D39"/>
    <w:rsid w:val="00CB5DAD"/>
    <w:rsid w:val="00CB5DCB"/>
    <w:rsid w:val="00CB5E2B"/>
    <w:rsid w:val="00CB5F30"/>
    <w:rsid w:val="00CB62AC"/>
    <w:rsid w:val="00CB635C"/>
    <w:rsid w:val="00CB6673"/>
    <w:rsid w:val="00CB683E"/>
    <w:rsid w:val="00CB6898"/>
    <w:rsid w:val="00CB6C01"/>
    <w:rsid w:val="00CB6C4E"/>
    <w:rsid w:val="00CB6CB7"/>
    <w:rsid w:val="00CB6EF9"/>
    <w:rsid w:val="00CB7063"/>
    <w:rsid w:val="00CB72B0"/>
    <w:rsid w:val="00CB7828"/>
    <w:rsid w:val="00CB7892"/>
    <w:rsid w:val="00CB7912"/>
    <w:rsid w:val="00CB7A6B"/>
    <w:rsid w:val="00CB7B41"/>
    <w:rsid w:val="00CB7BD4"/>
    <w:rsid w:val="00CB7BD6"/>
    <w:rsid w:val="00CB7E28"/>
    <w:rsid w:val="00CC0054"/>
    <w:rsid w:val="00CC0527"/>
    <w:rsid w:val="00CC0686"/>
    <w:rsid w:val="00CC0751"/>
    <w:rsid w:val="00CC0760"/>
    <w:rsid w:val="00CC0941"/>
    <w:rsid w:val="00CC0A65"/>
    <w:rsid w:val="00CC0C79"/>
    <w:rsid w:val="00CC0F1E"/>
    <w:rsid w:val="00CC125A"/>
    <w:rsid w:val="00CC12CA"/>
    <w:rsid w:val="00CC155E"/>
    <w:rsid w:val="00CC15F6"/>
    <w:rsid w:val="00CC1A0E"/>
    <w:rsid w:val="00CC1A48"/>
    <w:rsid w:val="00CC1A78"/>
    <w:rsid w:val="00CC1B20"/>
    <w:rsid w:val="00CC1C1E"/>
    <w:rsid w:val="00CC1C23"/>
    <w:rsid w:val="00CC1CD2"/>
    <w:rsid w:val="00CC2363"/>
    <w:rsid w:val="00CC2498"/>
    <w:rsid w:val="00CC25E3"/>
    <w:rsid w:val="00CC2A0B"/>
    <w:rsid w:val="00CC2A1A"/>
    <w:rsid w:val="00CC2A7D"/>
    <w:rsid w:val="00CC2BCE"/>
    <w:rsid w:val="00CC2D77"/>
    <w:rsid w:val="00CC34BC"/>
    <w:rsid w:val="00CC3635"/>
    <w:rsid w:val="00CC363C"/>
    <w:rsid w:val="00CC3843"/>
    <w:rsid w:val="00CC3918"/>
    <w:rsid w:val="00CC3C84"/>
    <w:rsid w:val="00CC3CF1"/>
    <w:rsid w:val="00CC3DCD"/>
    <w:rsid w:val="00CC3EB2"/>
    <w:rsid w:val="00CC405B"/>
    <w:rsid w:val="00CC42ED"/>
    <w:rsid w:val="00CC43FB"/>
    <w:rsid w:val="00CC4468"/>
    <w:rsid w:val="00CC47D8"/>
    <w:rsid w:val="00CC4887"/>
    <w:rsid w:val="00CC4940"/>
    <w:rsid w:val="00CC4D57"/>
    <w:rsid w:val="00CC4D58"/>
    <w:rsid w:val="00CC4E63"/>
    <w:rsid w:val="00CC4EB0"/>
    <w:rsid w:val="00CC4EB8"/>
    <w:rsid w:val="00CC504A"/>
    <w:rsid w:val="00CC506F"/>
    <w:rsid w:val="00CC528B"/>
    <w:rsid w:val="00CC58DE"/>
    <w:rsid w:val="00CC5990"/>
    <w:rsid w:val="00CC5AA8"/>
    <w:rsid w:val="00CC5E8F"/>
    <w:rsid w:val="00CC60F7"/>
    <w:rsid w:val="00CC6852"/>
    <w:rsid w:val="00CC6977"/>
    <w:rsid w:val="00CC6A4D"/>
    <w:rsid w:val="00CC6B49"/>
    <w:rsid w:val="00CC71B4"/>
    <w:rsid w:val="00CC7331"/>
    <w:rsid w:val="00CC7378"/>
    <w:rsid w:val="00CC7382"/>
    <w:rsid w:val="00CC74A0"/>
    <w:rsid w:val="00CC7526"/>
    <w:rsid w:val="00CC7679"/>
    <w:rsid w:val="00CC7760"/>
    <w:rsid w:val="00CC7A55"/>
    <w:rsid w:val="00CC7C1F"/>
    <w:rsid w:val="00CC7DF1"/>
    <w:rsid w:val="00CC7E16"/>
    <w:rsid w:val="00CD0024"/>
    <w:rsid w:val="00CD00A6"/>
    <w:rsid w:val="00CD00E2"/>
    <w:rsid w:val="00CD04A8"/>
    <w:rsid w:val="00CD0502"/>
    <w:rsid w:val="00CD05E6"/>
    <w:rsid w:val="00CD0770"/>
    <w:rsid w:val="00CD0939"/>
    <w:rsid w:val="00CD0C39"/>
    <w:rsid w:val="00CD1237"/>
    <w:rsid w:val="00CD14B5"/>
    <w:rsid w:val="00CD163B"/>
    <w:rsid w:val="00CD17B7"/>
    <w:rsid w:val="00CD1A93"/>
    <w:rsid w:val="00CD1AAE"/>
    <w:rsid w:val="00CD1B34"/>
    <w:rsid w:val="00CD1F40"/>
    <w:rsid w:val="00CD1F6D"/>
    <w:rsid w:val="00CD1FB2"/>
    <w:rsid w:val="00CD2317"/>
    <w:rsid w:val="00CD277A"/>
    <w:rsid w:val="00CD2A53"/>
    <w:rsid w:val="00CD2AD5"/>
    <w:rsid w:val="00CD2BE5"/>
    <w:rsid w:val="00CD2CDC"/>
    <w:rsid w:val="00CD2EE7"/>
    <w:rsid w:val="00CD2FD4"/>
    <w:rsid w:val="00CD304D"/>
    <w:rsid w:val="00CD3081"/>
    <w:rsid w:val="00CD3127"/>
    <w:rsid w:val="00CD34B2"/>
    <w:rsid w:val="00CD35E5"/>
    <w:rsid w:val="00CD3AA4"/>
    <w:rsid w:val="00CD3D05"/>
    <w:rsid w:val="00CD3ED3"/>
    <w:rsid w:val="00CD3F2C"/>
    <w:rsid w:val="00CD4034"/>
    <w:rsid w:val="00CD40CE"/>
    <w:rsid w:val="00CD4310"/>
    <w:rsid w:val="00CD44CA"/>
    <w:rsid w:val="00CD461D"/>
    <w:rsid w:val="00CD4639"/>
    <w:rsid w:val="00CD46B1"/>
    <w:rsid w:val="00CD46CF"/>
    <w:rsid w:val="00CD4F23"/>
    <w:rsid w:val="00CD4F4C"/>
    <w:rsid w:val="00CD51ED"/>
    <w:rsid w:val="00CD5321"/>
    <w:rsid w:val="00CD5365"/>
    <w:rsid w:val="00CD54CC"/>
    <w:rsid w:val="00CD5842"/>
    <w:rsid w:val="00CD59DA"/>
    <w:rsid w:val="00CD5C08"/>
    <w:rsid w:val="00CD5DEF"/>
    <w:rsid w:val="00CD5F53"/>
    <w:rsid w:val="00CD607D"/>
    <w:rsid w:val="00CD6393"/>
    <w:rsid w:val="00CD65D2"/>
    <w:rsid w:val="00CD6622"/>
    <w:rsid w:val="00CD66D4"/>
    <w:rsid w:val="00CD67C2"/>
    <w:rsid w:val="00CD6971"/>
    <w:rsid w:val="00CD6AB8"/>
    <w:rsid w:val="00CD6B35"/>
    <w:rsid w:val="00CD6C5D"/>
    <w:rsid w:val="00CD745C"/>
    <w:rsid w:val="00CD749D"/>
    <w:rsid w:val="00CD770F"/>
    <w:rsid w:val="00CD79E6"/>
    <w:rsid w:val="00CD7F18"/>
    <w:rsid w:val="00CE043C"/>
    <w:rsid w:val="00CE05F2"/>
    <w:rsid w:val="00CE0820"/>
    <w:rsid w:val="00CE090F"/>
    <w:rsid w:val="00CE0C41"/>
    <w:rsid w:val="00CE0D67"/>
    <w:rsid w:val="00CE0EDA"/>
    <w:rsid w:val="00CE0FFB"/>
    <w:rsid w:val="00CE171B"/>
    <w:rsid w:val="00CE1745"/>
    <w:rsid w:val="00CE1B04"/>
    <w:rsid w:val="00CE1C25"/>
    <w:rsid w:val="00CE1CBA"/>
    <w:rsid w:val="00CE1D9F"/>
    <w:rsid w:val="00CE1FC9"/>
    <w:rsid w:val="00CE21B6"/>
    <w:rsid w:val="00CE2544"/>
    <w:rsid w:val="00CE27D0"/>
    <w:rsid w:val="00CE295E"/>
    <w:rsid w:val="00CE2B13"/>
    <w:rsid w:val="00CE2B57"/>
    <w:rsid w:val="00CE2C1A"/>
    <w:rsid w:val="00CE2D35"/>
    <w:rsid w:val="00CE2E0E"/>
    <w:rsid w:val="00CE2FC8"/>
    <w:rsid w:val="00CE31F1"/>
    <w:rsid w:val="00CE352C"/>
    <w:rsid w:val="00CE3691"/>
    <w:rsid w:val="00CE36AF"/>
    <w:rsid w:val="00CE3AB5"/>
    <w:rsid w:val="00CE3EB0"/>
    <w:rsid w:val="00CE40FA"/>
    <w:rsid w:val="00CE44D8"/>
    <w:rsid w:val="00CE4517"/>
    <w:rsid w:val="00CE457A"/>
    <w:rsid w:val="00CE45D3"/>
    <w:rsid w:val="00CE471C"/>
    <w:rsid w:val="00CE4725"/>
    <w:rsid w:val="00CE4863"/>
    <w:rsid w:val="00CE4B86"/>
    <w:rsid w:val="00CE4C19"/>
    <w:rsid w:val="00CE4D92"/>
    <w:rsid w:val="00CE4EEE"/>
    <w:rsid w:val="00CE4F37"/>
    <w:rsid w:val="00CE4FFD"/>
    <w:rsid w:val="00CE5472"/>
    <w:rsid w:val="00CE5608"/>
    <w:rsid w:val="00CE57F4"/>
    <w:rsid w:val="00CE582D"/>
    <w:rsid w:val="00CE5A43"/>
    <w:rsid w:val="00CE5B01"/>
    <w:rsid w:val="00CE5E66"/>
    <w:rsid w:val="00CE5FED"/>
    <w:rsid w:val="00CE60BE"/>
    <w:rsid w:val="00CE60C9"/>
    <w:rsid w:val="00CE6128"/>
    <w:rsid w:val="00CE61D6"/>
    <w:rsid w:val="00CE64CB"/>
    <w:rsid w:val="00CE6A5E"/>
    <w:rsid w:val="00CE6B90"/>
    <w:rsid w:val="00CE6BAA"/>
    <w:rsid w:val="00CE6C93"/>
    <w:rsid w:val="00CE6D47"/>
    <w:rsid w:val="00CE735F"/>
    <w:rsid w:val="00CE75AB"/>
    <w:rsid w:val="00CE75ED"/>
    <w:rsid w:val="00CE7613"/>
    <w:rsid w:val="00CE7718"/>
    <w:rsid w:val="00CE79CD"/>
    <w:rsid w:val="00CE7AF8"/>
    <w:rsid w:val="00CE7BE0"/>
    <w:rsid w:val="00CE7BF1"/>
    <w:rsid w:val="00CE7E1F"/>
    <w:rsid w:val="00CE7FF6"/>
    <w:rsid w:val="00CF0180"/>
    <w:rsid w:val="00CF0193"/>
    <w:rsid w:val="00CF01F8"/>
    <w:rsid w:val="00CF0488"/>
    <w:rsid w:val="00CF08D2"/>
    <w:rsid w:val="00CF08D6"/>
    <w:rsid w:val="00CF091B"/>
    <w:rsid w:val="00CF097A"/>
    <w:rsid w:val="00CF09BC"/>
    <w:rsid w:val="00CF0A4B"/>
    <w:rsid w:val="00CF0ACA"/>
    <w:rsid w:val="00CF0FF6"/>
    <w:rsid w:val="00CF1133"/>
    <w:rsid w:val="00CF12C7"/>
    <w:rsid w:val="00CF1438"/>
    <w:rsid w:val="00CF1453"/>
    <w:rsid w:val="00CF15A0"/>
    <w:rsid w:val="00CF16AA"/>
    <w:rsid w:val="00CF17C8"/>
    <w:rsid w:val="00CF1CAB"/>
    <w:rsid w:val="00CF1D5E"/>
    <w:rsid w:val="00CF1F26"/>
    <w:rsid w:val="00CF1FFA"/>
    <w:rsid w:val="00CF2100"/>
    <w:rsid w:val="00CF21AD"/>
    <w:rsid w:val="00CF225D"/>
    <w:rsid w:val="00CF237D"/>
    <w:rsid w:val="00CF23B8"/>
    <w:rsid w:val="00CF2512"/>
    <w:rsid w:val="00CF2543"/>
    <w:rsid w:val="00CF271E"/>
    <w:rsid w:val="00CF2721"/>
    <w:rsid w:val="00CF298E"/>
    <w:rsid w:val="00CF2B04"/>
    <w:rsid w:val="00CF2EB6"/>
    <w:rsid w:val="00CF31C3"/>
    <w:rsid w:val="00CF33BC"/>
    <w:rsid w:val="00CF34CB"/>
    <w:rsid w:val="00CF35F2"/>
    <w:rsid w:val="00CF3753"/>
    <w:rsid w:val="00CF3755"/>
    <w:rsid w:val="00CF3881"/>
    <w:rsid w:val="00CF3B4C"/>
    <w:rsid w:val="00CF3B7E"/>
    <w:rsid w:val="00CF3CA0"/>
    <w:rsid w:val="00CF3CA4"/>
    <w:rsid w:val="00CF3D04"/>
    <w:rsid w:val="00CF3DF5"/>
    <w:rsid w:val="00CF3F20"/>
    <w:rsid w:val="00CF3F2F"/>
    <w:rsid w:val="00CF4334"/>
    <w:rsid w:val="00CF43C3"/>
    <w:rsid w:val="00CF4404"/>
    <w:rsid w:val="00CF45E6"/>
    <w:rsid w:val="00CF47FA"/>
    <w:rsid w:val="00CF4ECC"/>
    <w:rsid w:val="00CF4F45"/>
    <w:rsid w:val="00CF529E"/>
    <w:rsid w:val="00CF52A4"/>
    <w:rsid w:val="00CF52DF"/>
    <w:rsid w:val="00CF546E"/>
    <w:rsid w:val="00CF565D"/>
    <w:rsid w:val="00CF5665"/>
    <w:rsid w:val="00CF58C0"/>
    <w:rsid w:val="00CF5947"/>
    <w:rsid w:val="00CF59E6"/>
    <w:rsid w:val="00CF5D7B"/>
    <w:rsid w:val="00CF6037"/>
    <w:rsid w:val="00CF60DA"/>
    <w:rsid w:val="00CF611B"/>
    <w:rsid w:val="00CF61FE"/>
    <w:rsid w:val="00CF6201"/>
    <w:rsid w:val="00CF626C"/>
    <w:rsid w:val="00CF62D5"/>
    <w:rsid w:val="00CF6301"/>
    <w:rsid w:val="00CF6470"/>
    <w:rsid w:val="00CF64FB"/>
    <w:rsid w:val="00CF6536"/>
    <w:rsid w:val="00CF65D6"/>
    <w:rsid w:val="00CF672B"/>
    <w:rsid w:val="00CF673B"/>
    <w:rsid w:val="00CF682E"/>
    <w:rsid w:val="00CF68BA"/>
    <w:rsid w:val="00CF69F1"/>
    <w:rsid w:val="00CF6B4B"/>
    <w:rsid w:val="00CF6CF2"/>
    <w:rsid w:val="00CF7080"/>
    <w:rsid w:val="00CF70FF"/>
    <w:rsid w:val="00CF72C5"/>
    <w:rsid w:val="00CF7513"/>
    <w:rsid w:val="00CF7521"/>
    <w:rsid w:val="00CF7580"/>
    <w:rsid w:val="00CF75F3"/>
    <w:rsid w:val="00CF7652"/>
    <w:rsid w:val="00CF7850"/>
    <w:rsid w:val="00CF7891"/>
    <w:rsid w:val="00CF78B9"/>
    <w:rsid w:val="00CF795F"/>
    <w:rsid w:val="00CF7C33"/>
    <w:rsid w:val="00CF7E1B"/>
    <w:rsid w:val="00CF7E2B"/>
    <w:rsid w:val="00CF7E2F"/>
    <w:rsid w:val="00CF7E8D"/>
    <w:rsid w:val="00CF7EB6"/>
    <w:rsid w:val="00CF7F07"/>
    <w:rsid w:val="00CF7F16"/>
    <w:rsid w:val="00CF7F35"/>
    <w:rsid w:val="00CF7F79"/>
    <w:rsid w:val="00CF7F7F"/>
    <w:rsid w:val="00CF7FA6"/>
    <w:rsid w:val="00D00127"/>
    <w:rsid w:val="00D0023B"/>
    <w:rsid w:val="00D00318"/>
    <w:rsid w:val="00D00514"/>
    <w:rsid w:val="00D00578"/>
    <w:rsid w:val="00D006C8"/>
    <w:rsid w:val="00D0080B"/>
    <w:rsid w:val="00D00C07"/>
    <w:rsid w:val="00D00C2E"/>
    <w:rsid w:val="00D00CD7"/>
    <w:rsid w:val="00D00FE9"/>
    <w:rsid w:val="00D0106D"/>
    <w:rsid w:val="00D01239"/>
    <w:rsid w:val="00D01428"/>
    <w:rsid w:val="00D01612"/>
    <w:rsid w:val="00D01620"/>
    <w:rsid w:val="00D01673"/>
    <w:rsid w:val="00D017D8"/>
    <w:rsid w:val="00D01853"/>
    <w:rsid w:val="00D01D0B"/>
    <w:rsid w:val="00D01F3E"/>
    <w:rsid w:val="00D01FE5"/>
    <w:rsid w:val="00D02322"/>
    <w:rsid w:val="00D0283A"/>
    <w:rsid w:val="00D0320B"/>
    <w:rsid w:val="00D0327A"/>
    <w:rsid w:val="00D03332"/>
    <w:rsid w:val="00D03484"/>
    <w:rsid w:val="00D0352E"/>
    <w:rsid w:val="00D03737"/>
    <w:rsid w:val="00D037BD"/>
    <w:rsid w:val="00D03941"/>
    <w:rsid w:val="00D03A77"/>
    <w:rsid w:val="00D03BDC"/>
    <w:rsid w:val="00D03DD9"/>
    <w:rsid w:val="00D03E8A"/>
    <w:rsid w:val="00D046CF"/>
    <w:rsid w:val="00D046E6"/>
    <w:rsid w:val="00D04970"/>
    <w:rsid w:val="00D04AA0"/>
    <w:rsid w:val="00D04B9C"/>
    <w:rsid w:val="00D04C40"/>
    <w:rsid w:val="00D04E8A"/>
    <w:rsid w:val="00D04F98"/>
    <w:rsid w:val="00D0508D"/>
    <w:rsid w:val="00D0509B"/>
    <w:rsid w:val="00D05159"/>
    <w:rsid w:val="00D05605"/>
    <w:rsid w:val="00D05C61"/>
    <w:rsid w:val="00D05D67"/>
    <w:rsid w:val="00D05E7F"/>
    <w:rsid w:val="00D061A2"/>
    <w:rsid w:val="00D062C9"/>
    <w:rsid w:val="00D062CE"/>
    <w:rsid w:val="00D063DB"/>
    <w:rsid w:val="00D06468"/>
    <w:rsid w:val="00D06677"/>
    <w:rsid w:val="00D06914"/>
    <w:rsid w:val="00D06CF4"/>
    <w:rsid w:val="00D06D09"/>
    <w:rsid w:val="00D06D1B"/>
    <w:rsid w:val="00D06D26"/>
    <w:rsid w:val="00D06DAF"/>
    <w:rsid w:val="00D06E70"/>
    <w:rsid w:val="00D06E97"/>
    <w:rsid w:val="00D06F71"/>
    <w:rsid w:val="00D06F99"/>
    <w:rsid w:val="00D07071"/>
    <w:rsid w:val="00D071B1"/>
    <w:rsid w:val="00D072FA"/>
    <w:rsid w:val="00D07315"/>
    <w:rsid w:val="00D0774C"/>
    <w:rsid w:val="00D07790"/>
    <w:rsid w:val="00D07BD0"/>
    <w:rsid w:val="00D07D15"/>
    <w:rsid w:val="00D07D74"/>
    <w:rsid w:val="00D07DC3"/>
    <w:rsid w:val="00D07E5B"/>
    <w:rsid w:val="00D07EE4"/>
    <w:rsid w:val="00D07F69"/>
    <w:rsid w:val="00D10171"/>
    <w:rsid w:val="00D101D2"/>
    <w:rsid w:val="00D102EC"/>
    <w:rsid w:val="00D10347"/>
    <w:rsid w:val="00D10449"/>
    <w:rsid w:val="00D108A0"/>
    <w:rsid w:val="00D109C8"/>
    <w:rsid w:val="00D10AF9"/>
    <w:rsid w:val="00D10CB6"/>
    <w:rsid w:val="00D110A2"/>
    <w:rsid w:val="00D1117E"/>
    <w:rsid w:val="00D112DD"/>
    <w:rsid w:val="00D115E3"/>
    <w:rsid w:val="00D1170A"/>
    <w:rsid w:val="00D11842"/>
    <w:rsid w:val="00D11A23"/>
    <w:rsid w:val="00D11A60"/>
    <w:rsid w:val="00D11B8C"/>
    <w:rsid w:val="00D11C8E"/>
    <w:rsid w:val="00D11CE7"/>
    <w:rsid w:val="00D11D46"/>
    <w:rsid w:val="00D11D68"/>
    <w:rsid w:val="00D11E2D"/>
    <w:rsid w:val="00D1244E"/>
    <w:rsid w:val="00D12652"/>
    <w:rsid w:val="00D12C49"/>
    <w:rsid w:val="00D12EA0"/>
    <w:rsid w:val="00D1317B"/>
    <w:rsid w:val="00D132FC"/>
    <w:rsid w:val="00D133ED"/>
    <w:rsid w:val="00D13983"/>
    <w:rsid w:val="00D1399E"/>
    <w:rsid w:val="00D13A12"/>
    <w:rsid w:val="00D13A29"/>
    <w:rsid w:val="00D13A3F"/>
    <w:rsid w:val="00D13AC1"/>
    <w:rsid w:val="00D13C9B"/>
    <w:rsid w:val="00D13CC4"/>
    <w:rsid w:val="00D13F51"/>
    <w:rsid w:val="00D13FAC"/>
    <w:rsid w:val="00D13FCD"/>
    <w:rsid w:val="00D14252"/>
    <w:rsid w:val="00D1427F"/>
    <w:rsid w:val="00D144D1"/>
    <w:rsid w:val="00D147F4"/>
    <w:rsid w:val="00D14B3C"/>
    <w:rsid w:val="00D14BAD"/>
    <w:rsid w:val="00D14C4B"/>
    <w:rsid w:val="00D14CC5"/>
    <w:rsid w:val="00D14DA4"/>
    <w:rsid w:val="00D14E4E"/>
    <w:rsid w:val="00D15293"/>
    <w:rsid w:val="00D15381"/>
    <w:rsid w:val="00D154DA"/>
    <w:rsid w:val="00D1560B"/>
    <w:rsid w:val="00D1569C"/>
    <w:rsid w:val="00D156B9"/>
    <w:rsid w:val="00D156D3"/>
    <w:rsid w:val="00D15922"/>
    <w:rsid w:val="00D159A8"/>
    <w:rsid w:val="00D15C3E"/>
    <w:rsid w:val="00D15DEB"/>
    <w:rsid w:val="00D160AB"/>
    <w:rsid w:val="00D16212"/>
    <w:rsid w:val="00D162EB"/>
    <w:rsid w:val="00D164C8"/>
    <w:rsid w:val="00D164F1"/>
    <w:rsid w:val="00D16537"/>
    <w:rsid w:val="00D16540"/>
    <w:rsid w:val="00D167B5"/>
    <w:rsid w:val="00D16C34"/>
    <w:rsid w:val="00D170CD"/>
    <w:rsid w:val="00D172A9"/>
    <w:rsid w:val="00D174EF"/>
    <w:rsid w:val="00D175B9"/>
    <w:rsid w:val="00D176A7"/>
    <w:rsid w:val="00D177C1"/>
    <w:rsid w:val="00D1783E"/>
    <w:rsid w:val="00D17904"/>
    <w:rsid w:val="00D17982"/>
    <w:rsid w:val="00D17AA4"/>
    <w:rsid w:val="00D17C12"/>
    <w:rsid w:val="00D17D82"/>
    <w:rsid w:val="00D17E99"/>
    <w:rsid w:val="00D17FEC"/>
    <w:rsid w:val="00D204CA"/>
    <w:rsid w:val="00D204EB"/>
    <w:rsid w:val="00D20AE6"/>
    <w:rsid w:val="00D20B1E"/>
    <w:rsid w:val="00D20B58"/>
    <w:rsid w:val="00D20FCB"/>
    <w:rsid w:val="00D214C5"/>
    <w:rsid w:val="00D21629"/>
    <w:rsid w:val="00D2166B"/>
    <w:rsid w:val="00D21A2D"/>
    <w:rsid w:val="00D21A46"/>
    <w:rsid w:val="00D21BA7"/>
    <w:rsid w:val="00D21BBF"/>
    <w:rsid w:val="00D21EC1"/>
    <w:rsid w:val="00D22114"/>
    <w:rsid w:val="00D22431"/>
    <w:rsid w:val="00D225D9"/>
    <w:rsid w:val="00D2266B"/>
    <w:rsid w:val="00D22785"/>
    <w:rsid w:val="00D2287D"/>
    <w:rsid w:val="00D228B9"/>
    <w:rsid w:val="00D22B16"/>
    <w:rsid w:val="00D22B22"/>
    <w:rsid w:val="00D22C30"/>
    <w:rsid w:val="00D23071"/>
    <w:rsid w:val="00D2343D"/>
    <w:rsid w:val="00D23448"/>
    <w:rsid w:val="00D236B8"/>
    <w:rsid w:val="00D236E7"/>
    <w:rsid w:val="00D236E8"/>
    <w:rsid w:val="00D237D0"/>
    <w:rsid w:val="00D23B25"/>
    <w:rsid w:val="00D23D69"/>
    <w:rsid w:val="00D23D9D"/>
    <w:rsid w:val="00D23EAF"/>
    <w:rsid w:val="00D240D2"/>
    <w:rsid w:val="00D2417D"/>
    <w:rsid w:val="00D241F6"/>
    <w:rsid w:val="00D2433C"/>
    <w:rsid w:val="00D244E5"/>
    <w:rsid w:val="00D2465F"/>
    <w:rsid w:val="00D24AB7"/>
    <w:rsid w:val="00D24D29"/>
    <w:rsid w:val="00D24FB0"/>
    <w:rsid w:val="00D2512B"/>
    <w:rsid w:val="00D25473"/>
    <w:rsid w:val="00D25936"/>
    <w:rsid w:val="00D259C8"/>
    <w:rsid w:val="00D25D4C"/>
    <w:rsid w:val="00D25EAC"/>
    <w:rsid w:val="00D260DD"/>
    <w:rsid w:val="00D2656B"/>
    <w:rsid w:val="00D26850"/>
    <w:rsid w:val="00D26B45"/>
    <w:rsid w:val="00D26CE9"/>
    <w:rsid w:val="00D26FFB"/>
    <w:rsid w:val="00D27650"/>
    <w:rsid w:val="00D278DC"/>
    <w:rsid w:val="00D279D3"/>
    <w:rsid w:val="00D27AD2"/>
    <w:rsid w:val="00D27AFC"/>
    <w:rsid w:val="00D27B50"/>
    <w:rsid w:val="00D27B73"/>
    <w:rsid w:val="00D27BAD"/>
    <w:rsid w:val="00D3003E"/>
    <w:rsid w:val="00D300D5"/>
    <w:rsid w:val="00D30188"/>
    <w:rsid w:val="00D30211"/>
    <w:rsid w:val="00D30377"/>
    <w:rsid w:val="00D30412"/>
    <w:rsid w:val="00D3071C"/>
    <w:rsid w:val="00D307CB"/>
    <w:rsid w:val="00D3081A"/>
    <w:rsid w:val="00D309A3"/>
    <w:rsid w:val="00D30C1D"/>
    <w:rsid w:val="00D30D72"/>
    <w:rsid w:val="00D30DDB"/>
    <w:rsid w:val="00D30EE1"/>
    <w:rsid w:val="00D30F42"/>
    <w:rsid w:val="00D30F7C"/>
    <w:rsid w:val="00D311F2"/>
    <w:rsid w:val="00D313D1"/>
    <w:rsid w:val="00D31446"/>
    <w:rsid w:val="00D315DD"/>
    <w:rsid w:val="00D316D0"/>
    <w:rsid w:val="00D31869"/>
    <w:rsid w:val="00D31915"/>
    <w:rsid w:val="00D31E91"/>
    <w:rsid w:val="00D31E9F"/>
    <w:rsid w:val="00D31FC7"/>
    <w:rsid w:val="00D320DE"/>
    <w:rsid w:val="00D321C6"/>
    <w:rsid w:val="00D32344"/>
    <w:rsid w:val="00D32536"/>
    <w:rsid w:val="00D326DF"/>
    <w:rsid w:val="00D329DF"/>
    <w:rsid w:val="00D32CAC"/>
    <w:rsid w:val="00D32FF7"/>
    <w:rsid w:val="00D33003"/>
    <w:rsid w:val="00D33093"/>
    <w:rsid w:val="00D33230"/>
    <w:rsid w:val="00D335A4"/>
    <w:rsid w:val="00D339BF"/>
    <w:rsid w:val="00D33A2B"/>
    <w:rsid w:val="00D33F12"/>
    <w:rsid w:val="00D34019"/>
    <w:rsid w:val="00D340DA"/>
    <w:rsid w:val="00D34202"/>
    <w:rsid w:val="00D34306"/>
    <w:rsid w:val="00D34452"/>
    <w:rsid w:val="00D3482C"/>
    <w:rsid w:val="00D34C0F"/>
    <w:rsid w:val="00D34E7D"/>
    <w:rsid w:val="00D34E9A"/>
    <w:rsid w:val="00D34F04"/>
    <w:rsid w:val="00D34F32"/>
    <w:rsid w:val="00D34F95"/>
    <w:rsid w:val="00D35246"/>
    <w:rsid w:val="00D3556D"/>
    <w:rsid w:val="00D355F3"/>
    <w:rsid w:val="00D35617"/>
    <w:rsid w:val="00D3588B"/>
    <w:rsid w:val="00D35A56"/>
    <w:rsid w:val="00D35BAE"/>
    <w:rsid w:val="00D35C72"/>
    <w:rsid w:val="00D35CF4"/>
    <w:rsid w:val="00D35DE7"/>
    <w:rsid w:val="00D3604B"/>
    <w:rsid w:val="00D364CD"/>
    <w:rsid w:val="00D364F2"/>
    <w:rsid w:val="00D3670C"/>
    <w:rsid w:val="00D36781"/>
    <w:rsid w:val="00D3696D"/>
    <w:rsid w:val="00D369B9"/>
    <w:rsid w:val="00D36A35"/>
    <w:rsid w:val="00D36A57"/>
    <w:rsid w:val="00D36E73"/>
    <w:rsid w:val="00D36ED0"/>
    <w:rsid w:val="00D36EEC"/>
    <w:rsid w:val="00D36EF4"/>
    <w:rsid w:val="00D36F26"/>
    <w:rsid w:val="00D37086"/>
    <w:rsid w:val="00D3744F"/>
    <w:rsid w:val="00D3758E"/>
    <w:rsid w:val="00D375FE"/>
    <w:rsid w:val="00D37855"/>
    <w:rsid w:val="00D3799E"/>
    <w:rsid w:val="00D37BB1"/>
    <w:rsid w:val="00D37EBC"/>
    <w:rsid w:val="00D400A9"/>
    <w:rsid w:val="00D40850"/>
    <w:rsid w:val="00D4085E"/>
    <w:rsid w:val="00D408F3"/>
    <w:rsid w:val="00D40A24"/>
    <w:rsid w:val="00D40A36"/>
    <w:rsid w:val="00D40A37"/>
    <w:rsid w:val="00D40E86"/>
    <w:rsid w:val="00D40EC0"/>
    <w:rsid w:val="00D41410"/>
    <w:rsid w:val="00D418A6"/>
    <w:rsid w:val="00D41907"/>
    <w:rsid w:val="00D41A7B"/>
    <w:rsid w:val="00D41BE1"/>
    <w:rsid w:val="00D41ED3"/>
    <w:rsid w:val="00D41F2F"/>
    <w:rsid w:val="00D41F3F"/>
    <w:rsid w:val="00D4209D"/>
    <w:rsid w:val="00D421D0"/>
    <w:rsid w:val="00D423FF"/>
    <w:rsid w:val="00D4280C"/>
    <w:rsid w:val="00D4281F"/>
    <w:rsid w:val="00D4289A"/>
    <w:rsid w:val="00D42D1C"/>
    <w:rsid w:val="00D42D24"/>
    <w:rsid w:val="00D42E2C"/>
    <w:rsid w:val="00D42E45"/>
    <w:rsid w:val="00D42E5E"/>
    <w:rsid w:val="00D42E7B"/>
    <w:rsid w:val="00D43015"/>
    <w:rsid w:val="00D437C6"/>
    <w:rsid w:val="00D4382B"/>
    <w:rsid w:val="00D43949"/>
    <w:rsid w:val="00D43B43"/>
    <w:rsid w:val="00D43E2E"/>
    <w:rsid w:val="00D440E7"/>
    <w:rsid w:val="00D442CA"/>
    <w:rsid w:val="00D4442C"/>
    <w:rsid w:val="00D4484C"/>
    <w:rsid w:val="00D44D2E"/>
    <w:rsid w:val="00D44D33"/>
    <w:rsid w:val="00D44D6A"/>
    <w:rsid w:val="00D44D85"/>
    <w:rsid w:val="00D450D4"/>
    <w:rsid w:val="00D452BC"/>
    <w:rsid w:val="00D457CA"/>
    <w:rsid w:val="00D457E7"/>
    <w:rsid w:val="00D45B61"/>
    <w:rsid w:val="00D45CDC"/>
    <w:rsid w:val="00D45E82"/>
    <w:rsid w:val="00D45F4B"/>
    <w:rsid w:val="00D45FA9"/>
    <w:rsid w:val="00D460CB"/>
    <w:rsid w:val="00D460E3"/>
    <w:rsid w:val="00D4641B"/>
    <w:rsid w:val="00D4646A"/>
    <w:rsid w:val="00D46767"/>
    <w:rsid w:val="00D467D3"/>
    <w:rsid w:val="00D46A07"/>
    <w:rsid w:val="00D46A3F"/>
    <w:rsid w:val="00D46D6A"/>
    <w:rsid w:val="00D46E1C"/>
    <w:rsid w:val="00D46E6E"/>
    <w:rsid w:val="00D46EB3"/>
    <w:rsid w:val="00D46F4F"/>
    <w:rsid w:val="00D47383"/>
    <w:rsid w:val="00D4741B"/>
    <w:rsid w:val="00D47580"/>
    <w:rsid w:val="00D475AA"/>
    <w:rsid w:val="00D475C1"/>
    <w:rsid w:val="00D4761F"/>
    <w:rsid w:val="00D47673"/>
    <w:rsid w:val="00D476EB"/>
    <w:rsid w:val="00D477EA"/>
    <w:rsid w:val="00D47A8D"/>
    <w:rsid w:val="00D47D3B"/>
    <w:rsid w:val="00D47DEC"/>
    <w:rsid w:val="00D500BD"/>
    <w:rsid w:val="00D5010D"/>
    <w:rsid w:val="00D50475"/>
    <w:rsid w:val="00D50498"/>
    <w:rsid w:val="00D504DB"/>
    <w:rsid w:val="00D50610"/>
    <w:rsid w:val="00D50642"/>
    <w:rsid w:val="00D50A86"/>
    <w:rsid w:val="00D50C84"/>
    <w:rsid w:val="00D50CE9"/>
    <w:rsid w:val="00D50DB9"/>
    <w:rsid w:val="00D50DED"/>
    <w:rsid w:val="00D51262"/>
    <w:rsid w:val="00D512EF"/>
    <w:rsid w:val="00D51369"/>
    <w:rsid w:val="00D514DF"/>
    <w:rsid w:val="00D5157F"/>
    <w:rsid w:val="00D5183E"/>
    <w:rsid w:val="00D518CE"/>
    <w:rsid w:val="00D51CDC"/>
    <w:rsid w:val="00D51E59"/>
    <w:rsid w:val="00D5218C"/>
    <w:rsid w:val="00D522F1"/>
    <w:rsid w:val="00D523A2"/>
    <w:rsid w:val="00D52508"/>
    <w:rsid w:val="00D5297D"/>
    <w:rsid w:val="00D52A6A"/>
    <w:rsid w:val="00D52D8F"/>
    <w:rsid w:val="00D52FC5"/>
    <w:rsid w:val="00D531A7"/>
    <w:rsid w:val="00D533EF"/>
    <w:rsid w:val="00D5347E"/>
    <w:rsid w:val="00D5348B"/>
    <w:rsid w:val="00D5367B"/>
    <w:rsid w:val="00D536C3"/>
    <w:rsid w:val="00D53F13"/>
    <w:rsid w:val="00D54355"/>
    <w:rsid w:val="00D54371"/>
    <w:rsid w:val="00D54644"/>
    <w:rsid w:val="00D5485A"/>
    <w:rsid w:val="00D5493D"/>
    <w:rsid w:val="00D54943"/>
    <w:rsid w:val="00D54C39"/>
    <w:rsid w:val="00D54D5C"/>
    <w:rsid w:val="00D55178"/>
    <w:rsid w:val="00D553C3"/>
    <w:rsid w:val="00D5554A"/>
    <w:rsid w:val="00D556A8"/>
    <w:rsid w:val="00D5580F"/>
    <w:rsid w:val="00D558F4"/>
    <w:rsid w:val="00D5592A"/>
    <w:rsid w:val="00D55A87"/>
    <w:rsid w:val="00D55B92"/>
    <w:rsid w:val="00D55F45"/>
    <w:rsid w:val="00D5611E"/>
    <w:rsid w:val="00D5636F"/>
    <w:rsid w:val="00D5644E"/>
    <w:rsid w:val="00D56544"/>
    <w:rsid w:val="00D568A3"/>
    <w:rsid w:val="00D56ADA"/>
    <w:rsid w:val="00D56E59"/>
    <w:rsid w:val="00D571FE"/>
    <w:rsid w:val="00D57235"/>
    <w:rsid w:val="00D5728B"/>
    <w:rsid w:val="00D5745B"/>
    <w:rsid w:val="00D574E4"/>
    <w:rsid w:val="00D57723"/>
    <w:rsid w:val="00D5774A"/>
    <w:rsid w:val="00D578FE"/>
    <w:rsid w:val="00D57919"/>
    <w:rsid w:val="00D57CCC"/>
    <w:rsid w:val="00D57DA4"/>
    <w:rsid w:val="00D57F9B"/>
    <w:rsid w:val="00D600E0"/>
    <w:rsid w:val="00D60174"/>
    <w:rsid w:val="00D60477"/>
    <w:rsid w:val="00D6053B"/>
    <w:rsid w:val="00D607AF"/>
    <w:rsid w:val="00D607BC"/>
    <w:rsid w:val="00D60891"/>
    <w:rsid w:val="00D613DD"/>
    <w:rsid w:val="00D6167F"/>
    <w:rsid w:val="00D617AD"/>
    <w:rsid w:val="00D61989"/>
    <w:rsid w:val="00D619A8"/>
    <w:rsid w:val="00D61A7A"/>
    <w:rsid w:val="00D61C33"/>
    <w:rsid w:val="00D61C37"/>
    <w:rsid w:val="00D61D6C"/>
    <w:rsid w:val="00D61DFC"/>
    <w:rsid w:val="00D62088"/>
    <w:rsid w:val="00D62182"/>
    <w:rsid w:val="00D621DC"/>
    <w:rsid w:val="00D624EF"/>
    <w:rsid w:val="00D62755"/>
    <w:rsid w:val="00D629F4"/>
    <w:rsid w:val="00D62A3B"/>
    <w:rsid w:val="00D62DA9"/>
    <w:rsid w:val="00D62DE5"/>
    <w:rsid w:val="00D62FE8"/>
    <w:rsid w:val="00D63BCA"/>
    <w:rsid w:val="00D6408E"/>
    <w:rsid w:val="00D640AF"/>
    <w:rsid w:val="00D641A4"/>
    <w:rsid w:val="00D641FA"/>
    <w:rsid w:val="00D644A3"/>
    <w:rsid w:val="00D645F3"/>
    <w:rsid w:val="00D64659"/>
    <w:rsid w:val="00D64858"/>
    <w:rsid w:val="00D64931"/>
    <w:rsid w:val="00D64980"/>
    <w:rsid w:val="00D64B9E"/>
    <w:rsid w:val="00D64C17"/>
    <w:rsid w:val="00D64C38"/>
    <w:rsid w:val="00D64E54"/>
    <w:rsid w:val="00D652C7"/>
    <w:rsid w:val="00D652D5"/>
    <w:rsid w:val="00D6530D"/>
    <w:rsid w:val="00D6558A"/>
    <w:rsid w:val="00D65F03"/>
    <w:rsid w:val="00D65FA8"/>
    <w:rsid w:val="00D660CB"/>
    <w:rsid w:val="00D66157"/>
    <w:rsid w:val="00D66297"/>
    <w:rsid w:val="00D6632B"/>
    <w:rsid w:val="00D663AE"/>
    <w:rsid w:val="00D66487"/>
    <w:rsid w:val="00D6681E"/>
    <w:rsid w:val="00D66851"/>
    <w:rsid w:val="00D66908"/>
    <w:rsid w:val="00D669B6"/>
    <w:rsid w:val="00D66A76"/>
    <w:rsid w:val="00D66E3B"/>
    <w:rsid w:val="00D67095"/>
    <w:rsid w:val="00D6738E"/>
    <w:rsid w:val="00D67430"/>
    <w:rsid w:val="00D67486"/>
    <w:rsid w:val="00D67682"/>
    <w:rsid w:val="00D677C9"/>
    <w:rsid w:val="00D67A33"/>
    <w:rsid w:val="00D67AFE"/>
    <w:rsid w:val="00D67C30"/>
    <w:rsid w:val="00D67CFA"/>
    <w:rsid w:val="00D67ED4"/>
    <w:rsid w:val="00D67F4D"/>
    <w:rsid w:val="00D702A7"/>
    <w:rsid w:val="00D7038F"/>
    <w:rsid w:val="00D7059F"/>
    <w:rsid w:val="00D70DD7"/>
    <w:rsid w:val="00D71032"/>
    <w:rsid w:val="00D710DB"/>
    <w:rsid w:val="00D71183"/>
    <w:rsid w:val="00D7141E"/>
    <w:rsid w:val="00D715C7"/>
    <w:rsid w:val="00D717A5"/>
    <w:rsid w:val="00D71846"/>
    <w:rsid w:val="00D718E6"/>
    <w:rsid w:val="00D71939"/>
    <w:rsid w:val="00D71997"/>
    <w:rsid w:val="00D719E2"/>
    <w:rsid w:val="00D71A6B"/>
    <w:rsid w:val="00D71C2E"/>
    <w:rsid w:val="00D72124"/>
    <w:rsid w:val="00D72157"/>
    <w:rsid w:val="00D7238C"/>
    <w:rsid w:val="00D7261E"/>
    <w:rsid w:val="00D72ABB"/>
    <w:rsid w:val="00D72E78"/>
    <w:rsid w:val="00D73231"/>
    <w:rsid w:val="00D7330E"/>
    <w:rsid w:val="00D73493"/>
    <w:rsid w:val="00D7359F"/>
    <w:rsid w:val="00D737D2"/>
    <w:rsid w:val="00D73B42"/>
    <w:rsid w:val="00D73C52"/>
    <w:rsid w:val="00D73C8A"/>
    <w:rsid w:val="00D73CA5"/>
    <w:rsid w:val="00D74272"/>
    <w:rsid w:val="00D7492E"/>
    <w:rsid w:val="00D749F9"/>
    <w:rsid w:val="00D74AD0"/>
    <w:rsid w:val="00D74AE8"/>
    <w:rsid w:val="00D753AC"/>
    <w:rsid w:val="00D7555D"/>
    <w:rsid w:val="00D75813"/>
    <w:rsid w:val="00D7590E"/>
    <w:rsid w:val="00D75C17"/>
    <w:rsid w:val="00D75C18"/>
    <w:rsid w:val="00D76046"/>
    <w:rsid w:val="00D760C8"/>
    <w:rsid w:val="00D762FD"/>
    <w:rsid w:val="00D76331"/>
    <w:rsid w:val="00D763A1"/>
    <w:rsid w:val="00D76765"/>
    <w:rsid w:val="00D767DC"/>
    <w:rsid w:val="00D768FD"/>
    <w:rsid w:val="00D76A1C"/>
    <w:rsid w:val="00D76F56"/>
    <w:rsid w:val="00D77030"/>
    <w:rsid w:val="00D7703D"/>
    <w:rsid w:val="00D7720C"/>
    <w:rsid w:val="00D7731A"/>
    <w:rsid w:val="00D7732D"/>
    <w:rsid w:val="00D77413"/>
    <w:rsid w:val="00D77478"/>
    <w:rsid w:val="00D774F9"/>
    <w:rsid w:val="00D77532"/>
    <w:rsid w:val="00D775C2"/>
    <w:rsid w:val="00D777D8"/>
    <w:rsid w:val="00D77938"/>
    <w:rsid w:val="00D77AF2"/>
    <w:rsid w:val="00D77AFA"/>
    <w:rsid w:val="00D77D95"/>
    <w:rsid w:val="00D77EF4"/>
    <w:rsid w:val="00D80273"/>
    <w:rsid w:val="00D80306"/>
    <w:rsid w:val="00D80388"/>
    <w:rsid w:val="00D80452"/>
    <w:rsid w:val="00D80678"/>
    <w:rsid w:val="00D807A9"/>
    <w:rsid w:val="00D80853"/>
    <w:rsid w:val="00D80F85"/>
    <w:rsid w:val="00D80FB3"/>
    <w:rsid w:val="00D80FFA"/>
    <w:rsid w:val="00D80FFC"/>
    <w:rsid w:val="00D81057"/>
    <w:rsid w:val="00D811B9"/>
    <w:rsid w:val="00D81233"/>
    <w:rsid w:val="00D813EE"/>
    <w:rsid w:val="00D81480"/>
    <w:rsid w:val="00D814B2"/>
    <w:rsid w:val="00D815D0"/>
    <w:rsid w:val="00D815E0"/>
    <w:rsid w:val="00D816E3"/>
    <w:rsid w:val="00D81718"/>
    <w:rsid w:val="00D81757"/>
    <w:rsid w:val="00D817DC"/>
    <w:rsid w:val="00D819D9"/>
    <w:rsid w:val="00D819F9"/>
    <w:rsid w:val="00D81C0C"/>
    <w:rsid w:val="00D820B4"/>
    <w:rsid w:val="00D829F0"/>
    <w:rsid w:val="00D82A5F"/>
    <w:rsid w:val="00D82A63"/>
    <w:rsid w:val="00D82AC6"/>
    <w:rsid w:val="00D82B40"/>
    <w:rsid w:val="00D82D6A"/>
    <w:rsid w:val="00D82F50"/>
    <w:rsid w:val="00D82F63"/>
    <w:rsid w:val="00D82FA4"/>
    <w:rsid w:val="00D83018"/>
    <w:rsid w:val="00D830E3"/>
    <w:rsid w:val="00D836FD"/>
    <w:rsid w:val="00D839F7"/>
    <w:rsid w:val="00D83AD3"/>
    <w:rsid w:val="00D83B3A"/>
    <w:rsid w:val="00D83CF1"/>
    <w:rsid w:val="00D83D37"/>
    <w:rsid w:val="00D83D51"/>
    <w:rsid w:val="00D83FE1"/>
    <w:rsid w:val="00D840AD"/>
    <w:rsid w:val="00D842B9"/>
    <w:rsid w:val="00D842F0"/>
    <w:rsid w:val="00D84621"/>
    <w:rsid w:val="00D848D3"/>
    <w:rsid w:val="00D84CFC"/>
    <w:rsid w:val="00D84E89"/>
    <w:rsid w:val="00D84ED1"/>
    <w:rsid w:val="00D85378"/>
    <w:rsid w:val="00D855DB"/>
    <w:rsid w:val="00D85669"/>
    <w:rsid w:val="00D85761"/>
    <w:rsid w:val="00D8583E"/>
    <w:rsid w:val="00D858BD"/>
    <w:rsid w:val="00D858E9"/>
    <w:rsid w:val="00D8595B"/>
    <w:rsid w:val="00D8596B"/>
    <w:rsid w:val="00D859B7"/>
    <w:rsid w:val="00D859EF"/>
    <w:rsid w:val="00D85A05"/>
    <w:rsid w:val="00D8600A"/>
    <w:rsid w:val="00D86142"/>
    <w:rsid w:val="00D864FE"/>
    <w:rsid w:val="00D865ED"/>
    <w:rsid w:val="00D86ABE"/>
    <w:rsid w:val="00D86E37"/>
    <w:rsid w:val="00D871C5"/>
    <w:rsid w:val="00D873A7"/>
    <w:rsid w:val="00D8772F"/>
    <w:rsid w:val="00D87DC9"/>
    <w:rsid w:val="00D87EEB"/>
    <w:rsid w:val="00D90003"/>
    <w:rsid w:val="00D900AD"/>
    <w:rsid w:val="00D901E2"/>
    <w:rsid w:val="00D90673"/>
    <w:rsid w:val="00D9076D"/>
    <w:rsid w:val="00D90AA1"/>
    <w:rsid w:val="00D90CEA"/>
    <w:rsid w:val="00D90FD2"/>
    <w:rsid w:val="00D910E5"/>
    <w:rsid w:val="00D915BF"/>
    <w:rsid w:val="00D91A6E"/>
    <w:rsid w:val="00D91A7B"/>
    <w:rsid w:val="00D91B53"/>
    <w:rsid w:val="00D91BA3"/>
    <w:rsid w:val="00D91C99"/>
    <w:rsid w:val="00D91E31"/>
    <w:rsid w:val="00D9208B"/>
    <w:rsid w:val="00D92451"/>
    <w:rsid w:val="00D92581"/>
    <w:rsid w:val="00D92585"/>
    <w:rsid w:val="00D926A4"/>
    <w:rsid w:val="00D928C6"/>
    <w:rsid w:val="00D92975"/>
    <w:rsid w:val="00D92D3E"/>
    <w:rsid w:val="00D92DB8"/>
    <w:rsid w:val="00D92FA4"/>
    <w:rsid w:val="00D93041"/>
    <w:rsid w:val="00D93078"/>
    <w:rsid w:val="00D930F2"/>
    <w:rsid w:val="00D93786"/>
    <w:rsid w:val="00D93A16"/>
    <w:rsid w:val="00D93A57"/>
    <w:rsid w:val="00D93AC9"/>
    <w:rsid w:val="00D94089"/>
    <w:rsid w:val="00D9413C"/>
    <w:rsid w:val="00D94195"/>
    <w:rsid w:val="00D94218"/>
    <w:rsid w:val="00D9444A"/>
    <w:rsid w:val="00D944B1"/>
    <w:rsid w:val="00D945BA"/>
    <w:rsid w:val="00D94618"/>
    <w:rsid w:val="00D948D9"/>
    <w:rsid w:val="00D94A7C"/>
    <w:rsid w:val="00D94CD3"/>
    <w:rsid w:val="00D94CE9"/>
    <w:rsid w:val="00D94D4D"/>
    <w:rsid w:val="00D95022"/>
    <w:rsid w:val="00D9513B"/>
    <w:rsid w:val="00D95218"/>
    <w:rsid w:val="00D9549C"/>
    <w:rsid w:val="00D95519"/>
    <w:rsid w:val="00D95619"/>
    <w:rsid w:val="00D95B83"/>
    <w:rsid w:val="00D95D9A"/>
    <w:rsid w:val="00D95F08"/>
    <w:rsid w:val="00D95FD7"/>
    <w:rsid w:val="00D96155"/>
    <w:rsid w:val="00D96176"/>
    <w:rsid w:val="00D96226"/>
    <w:rsid w:val="00D963B9"/>
    <w:rsid w:val="00D96678"/>
    <w:rsid w:val="00D9676C"/>
    <w:rsid w:val="00D969D8"/>
    <w:rsid w:val="00D96B92"/>
    <w:rsid w:val="00D96D13"/>
    <w:rsid w:val="00D96EEE"/>
    <w:rsid w:val="00D96EFA"/>
    <w:rsid w:val="00D974C4"/>
    <w:rsid w:val="00D9764B"/>
    <w:rsid w:val="00D978FC"/>
    <w:rsid w:val="00D9795E"/>
    <w:rsid w:val="00D97A7B"/>
    <w:rsid w:val="00D97EDD"/>
    <w:rsid w:val="00D97F03"/>
    <w:rsid w:val="00D97F7E"/>
    <w:rsid w:val="00DA0059"/>
    <w:rsid w:val="00DA02A6"/>
    <w:rsid w:val="00DA071C"/>
    <w:rsid w:val="00DA08AE"/>
    <w:rsid w:val="00DA0AA7"/>
    <w:rsid w:val="00DA0ABA"/>
    <w:rsid w:val="00DA0C51"/>
    <w:rsid w:val="00DA1298"/>
    <w:rsid w:val="00DA12C4"/>
    <w:rsid w:val="00DA12EB"/>
    <w:rsid w:val="00DA15BA"/>
    <w:rsid w:val="00DA16CF"/>
    <w:rsid w:val="00DA173E"/>
    <w:rsid w:val="00DA1885"/>
    <w:rsid w:val="00DA1927"/>
    <w:rsid w:val="00DA1962"/>
    <w:rsid w:val="00DA198F"/>
    <w:rsid w:val="00DA1A9D"/>
    <w:rsid w:val="00DA1B4D"/>
    <w:rsid w:val="00DA255F"/>
    <w:rsid w:val="00DA2605"/>
    <w:rsid w:val="00DA2B68"/>
    <w:rsid w:val="00DA2DAF"/>
    <w:rsid w:val="00DA2EAB"/>
    <w:rsid w:val="00DA2EF7"/>
    <w:rsid w:val="00DA2FAC"/>
    <w:rsid w:val="00DA338F"/>
    <w:rsid w:val="00DA33FB"/>
    <w:rsid w:val="00DA3443"/>
    <w:rsid w:val="00DA37D9"/>
    <w:rsid w:val="00DA3942"/>
    <w:rsid w:val="00DA39B0"/>
    <w:rsid w:val="00DA3A92"/>
    <w:rsid w:val="00DA3B0F"/>
    <w:rsid w:val="00DA3B10"/>
    <w:rsid w:val="00DA3BE8"/>
    <w:rsid w:val="00DA3C96"/>
    <w:rsid w:val="00DA3D75"/>
    <w:rsid w:val="00DA3D7A"/>
    <w:rsid w:val="00DA3E08"/>
    <w:rsid w:val="00DA3E50"/>
    <w:rsid w:val="00DA3F00"/>
    <w:rsid w:val="00DA40B7"/>
    <w:rsid w:val="00DA41DC"/>
    <w:rsid w:val="00DA4262"/>
    <w:rsid w:val="00DA4778"/>
    <w:rsid w:val="00DA4998"/>
    <w:rsid w:val="00DA4FD2"/>
    <w:rsid w:val="00DA5677"/>
    <w:rsid w:val="00DA575D"/>
    <w:rsid w:val="00DA5AD8"/>
    <w:rsid w:val="00DA5B0C"/>
    <w:rsid w:val="00DA5F0A"/>
    <w:rsid w:val="00DA5F52"/>
    <w:rsid w:val="00DA6049"/>
    <w:rsid w:val="00DA6110"/>
    <w:rsid w:val="00DA62EB"/>
    <w:rsid w:val="00DA6495"/>
    <w:rsid w:val="00DA658A"/>
    <w:rsid w:val="00DA6726"/>
    <w:rsid w:val="00DA6831"/>
    <w:rsid w:val="00DA68CE"/>
    <w:rsid w:val="00DA6A5E"/>
    <w:rsid w:val="00DA6B55"/>
    <w:rsid w:val="00DA6C9A"/>
    <w:rsid w:val="00DA6D17"/>
    <w:rsid w:val="00DA6E70"/>
    <w:rsid w:val="00DA6FEE"/>
    <w:rsid w:val="00DA7088"/>
    <w:rsid w:val="00DA7093"/>
    <w:rsid w:val="00DA7129"/>
    <w:rsid w:val="00DA769C"/>
    <w:rsid w:val="00DA79D6"/>
    <w:rsid w:val="00DA7ADD"/>
    <w:rsid w:val="00DA7C6D"/>
    <w:rsid w:val="00DA7CAF"/>
    <w:rsid w:val="00DA7D76"/>
    <w:rsid w:val="00DA7EC3"/>
    <w:rsid w:val="00DA7F6D"/>
    <w:rsid w:val="00DB0141"/>
    <w:rsid w:val="00DB0435"/>
    <w:rsid w:val="00DB058B"/>
    <w:rsid w:val="00DB061A"/>
    <w:rsid w:val="00DB07F3"/>
    <w:rsid w:val="00DB0CB1"/>
    <w:rsid w:val="00DB0E46"/>
    <w:rsid w:val="00DB0EFB"/>
    <w:rsid w:val="00DB0F2C"/>
    <w:rsid w:val="00DB0F67"/>
    <w:rsid w:val="00DB0FC7"/>
    <w:rsid w:val="00DB101C"/>
    <w:rsid w:val="00DB105D"/>
    <w:rsid w:val="00DB12FF"/>
    <w:rsid w:val="00DB13EA"/>
    <w:rsid w:val="00DB14FC"/>
    <w:rsid w:val="00DB15C1"/>
    <w:rsid w:val="00DB1604"/>
    <w:rsid w:val="00DB16D3"/>
    <w:rsid w:val="00DB189B"/>
    <w:rsid w:val="00DB18B6"/>
    <w:rsid w:val="00DB19A1"/>
    <w:rsid w:val="00DB1CC0"/>
    <w:rsid w:val="00DB1DE5"/>
    <w:rsid w:val="00DB1E0E"/>
    <w:rsid w:val="00DB1EC2"/>
    <w:rsid w:val="00DB1FCE"/>
    <w:rsid w:val="00DB1FEA"/>
    <w:rsid w:val="00DB214C"/>
    <w:rsid w:val="00DB2182"/>
    <w:rsid w:val="00DB229D"/>
    <w:rsid w:val="00DB25A4"/>
    <w:rsid w:val="00DB2734"/>
    <w:rsid w:val="00DB27D6"/>
    <w:rsid w:val="00DB291A"/>
    <w:rsid w:val="00DB2946"/>
    <w:rsid w:val="00DB29C6"/>
    <w:rsid w:val="00DB2D62"/>
    <w:rsid w:val="00DB3105"/>
    <w:rsid w:val="00DB316F"/>
    <w:rsid w:val="00DB343E"/>
    <w:rsid w:val="00DB3513"/>
    <w:rsid w:val="00DB381E"/>
    <w:rsid w:val="00DB3B7B"/>
    <w:rsid w:val="00DB3BEA"/>
    <w:rsid w:val="00DB3EA3"/>
    <w:rsid w:val="00DB3FBC"/>
    <w:rsid w:val="00DB3FD7"/>
    <w:rsid w:val="00DB4014"/>
    <w:rsid w:val="00DB408D"/>
    <w:rsid w:val="00DB416F"/>
    <w:rsid w:val="00DB41B3"/>
    <w:rsid w:val="00DB45ED"/>
    <w:rsid w:val="00DB4614"/>
    <w:rsid w:val="00DB468B"/>
    <w:rsid w:val="00DB47DB"/>
    <w:rsid w:val="00DB4836"/>
    <w:rsid w:val="00DB48AD"/>
    <w:rsid w:val="00DB4A35"/>
    <w:rsid w:val="00DB4D1C"/>
    <w:rsid w:val="00DB4D9B"/>
    <w:rsid w:val="00DB5099"/>
    <w:rsid w:val="00DB50BD"/>
    <w:rsid w:val="00DB52CB"/>
    <w:rsid w:val="00DB5400"/>
    <w:rsid w:val="00DB54AF"/>
    <w:rsid w:val="00DB54DA"/>
    <w:rsid w:val="00DB54F1"/>
    <w:rsid w:val="00DB576E"/>
    <w:rsid w:val="00DB5895"/>
    <w:rsid w:val="00DB5A8A"/>
    <w:rsid w:val="00DB5ADF"/>
    <w:rsid w:val="00DB5B49"/>
    <w:rsid w:val="00DB5BBD"/>
    <w:rsid w:val="00DB5D79"/>
    <w:rsid w:val="00DB602F"/>
    <w:rsid w:val="00DB6368"/>
    <w:rsid w:val="00DB6395"/>
    <w:rsid w:val="00DB63E3"/>
    <w:rsid w:val="00DB664A"/>
    <w:rsid w:val="00DB6890"/>
    <w:rsid w:val="00DB68BC"/>
    <w:rsid w:val="00DB69F6"/>
    <w:rsid w:val="00DB6AF9"/>
    <w:rsid w:val="00DB6EAC"/>
    <w:rsid w:val="00DB7280"/>
    <w:rsid w:val="00DB7377"/>
    <w:rsid w:val="00DB74BD"/>
    <w:rsid w:val="00DB7650"/>
    <w:rsid w:val="00DB7673"/>
    <w:rsid w:val="00DB790A"/>
    <w:rsid w:val="00DB7C80"/>
    <w:rsid w:val="00DC00A4"/>
    <w:rsid w:val="00DC0317"/>
    <w:rsid w:val="00DC034D"/>
    <w:rsid w:val="00DC05C2"/>
    <w:rsid w:val="00DC06E8"/>
    <w:rsid w:val="00DC0902"/>
    <w:rsid w:val="00DC0C0A"/>
    <w:rsid w:val="00DC0CFD"/>
    <w:rsid w:val="00DC0D81"/>
    <w:rsid w:val="00DC1027"/>
    <w:rsid w:val="00DC1194"/>
    <w:rsid w:val="00DC140E"/>
    <w:rsid w:val="00DC145F"/>
    <w:rsid w:val="00DC1660"/>
    <w:rsid w:val="00DC16A0"/>
    <w:rsid w:val="00DC18F3"/>
    <w:rsid w:val="00DC191C"/>
    <w:rsid w:val="00DC1988"/>
    <w:rsid w:val="00DC19F9"/>
    <w:rsid w:val="00DC1B41"/>
    <w:rsid w:val="00DC1D8E"/>
    <w:rsid w:val="00DC2398"/>
    <w:rsid w:val="00DC2534"/>
    <w:rsid w:val="00DC264B"/>
    <w:rsid w:val="00DC2783"/>
    <w:rsid w:val="00DC27F6"/>
    <w:rsid w:val="00DC2889"/>
    <w:rsid w:val="00DC28CE"/>
    <w:rsid w:val="00DC2A13"/>
    <w:rsid w:val="00DC2C24"/>
    <w:rsid w:val="00DC2D96"/>
    <w:rsid w:val="00DC2DC4"/>
    <w:rsid w:val="00DC2F94"/>
    <w:rsid w:val="00DC3442"/>
    <w:rsid w:val="00DC3828"/>
    <w:rsid w:val="00DC39F1"/>
    <w:rsid w:val="00DC3D02"/>
    <w:rsid w:val="00DC3E73"/>
    <w:rsid w:val="00DC41BF"/>
    <w:rsid w:val="00DC43E8"/>
    <w:rsid w:val="00DC4532"/>
    <w:rsid w:val="00DC4576"/>
    <w:rsid w:val="00DC45FD"/>
    <w:rsid w:val="00DC49CF"/>
    <w:rsid w:val="00DC4D91"/>
    <w:rsid w:val="00DC519F"/>
    <w:rsid w:val="00DC52CB"/>
    <w:rsid w:val="00DC530F"/>
    <w:rsid w:val="00DC5628"/>
    <w:rsid w:val="00DC56C4"/>
    <w:rsid w:val="00DC5711"/>
    <w:rsid w:val="00DC5DA8"/>
    <w:rsid w:val="00DC5FEF"/>
    <w:rsid w:val="00DC60E0"/>
    <w:rsid w:val="00DC60F1"/>
    <w:rsid w:val="00DC624C"/>
    <w:rsid w:val="00DC638C"/>
    <w:rsid w:val="00DC64EA"/>
    <w:rsid w:val="00DC64F7"/>
    <w:rsid w:val="00DC659B"/>
    <w:rsid w:val="00DC65D0"/>
    <w:rsid w:val="00DC6836"/>
    <w:rsid w:val="00DC68B9"/>
    <w:rsid w:val="00DC69F1"/>
    <w:rsid w:val="00DC6A26"/>
    <w:rsid w:val="00DC6C7A"/>
    <w:rsid w:val="00DC6CF8"/>
    <w:rsid w:val="00DC6EA2"/>
    <w:rsid w:val="00DC772C"/>
    <w:rsid w:val="00DC78DB"/>
    <w:rsid w:val="00DC78F7"/>
    <w:rsid w:val="00DC792A"/>
    <w:rsid w:val="00DC7C1E"/>
    <w:rsid w:val="00DC7EE0"/>
    <w:rsid w:val="00DD0240"/>
    <w:rsid w:val="00DD0303"/>
    <w:rsid w:val="00DD0427"/>
    <w:rsid w:val="00DD051C"/>
    <w:rsid w:val="00DD062C"/>
    <w:rsid w:val="00DD06D9"/>
    <w:rsid w:val="00DD0BCF"/>
    <w:rsid w:val="00DD0C70"/>
    <w:rsid w:val="00DD0E57"/>
    <w:rsid w:val="00DD12FF"/>
    <w:rsid w:val="00DD17A0"/>
    <w:rsid w:val="00DD1867"/>
    <w:rsid w:val="00DD1952"/>
    <w:rsid w:val="00DD1BFE"/>
    <w:rsid w:val="00DD1DC1"/>
    <w:rsid w:val="00DD1DC7"/>
    <w:rsid w:val="00DD1EE5"/>
    <w:rsid w:val="00DD20D8"/>
    <w:rsid w:val="00DD20E1"/>
    <w:rsid w:val="00DD220C"/>
    <w:rsid w:val="00DD23AB"/>
    <w:rsid w:val="00DD23BE"/>
    <w:rsid w:val="00DD23F1"/>
    <w:rsid w:val="00DD254F"/>
    <w:rsid w:val="00DD2D06"/>
    <w:rsid w:val="00DD2ECB"/>
    <w:rsid w:val="00DD2EF7"/>
    <w:rsid w:val="00DD2F55"/>
    <w:rsid w:val="00DD2F75"/>
    <w:rsid w:val="00DD2F7A"/>
    <w:rsid w:val="00DD31ED"/>
    <w:rsid w:val="00DD31F9"/>
    <w:rsid w:val="00DD320C"/>
    <w:rsid w:val="00DD3373"/>
    <w:rsid w:val="00DD366F"/>
    <w:rsid w:val="00DD36B1"/>
    <w:rsid w:val="00DD37C7"/>
    <w:rsid w:val="00DD399C"/>
    <w:rsid w:val="00DD39C7"/>
    <w:rsid w:val="00DD3C5D"/>
    <w:rsid w:val="00DD3C70"/>
    <w:rsid w:val="00DD3C72"/>
    <w:rsid w:val="00DD3C85"/>
    <w:rsid w:val="00DD3CB9"/>
    <w:rsid w:val="00DD3CD2"/>
    <w:rsid w:val="00DD42DB"/>
    <w:rsid w:val="00DD4495"/>
    <w:rsid w:val="00DD44C3"/>
    <w:rsid w:val="00DD4550"/>
    <w:rsid w:val="00DD47CE"/>
    <w:rsid w:val="00DD4841"/>
    <w:rsid w:val="00DD4AEE"/>
    <w:rsid w:val="00DD4B09"/>
    <w:rsid w:val="00DD4B60"/>
    <w:rsid w:val="00DD4EBF"/>
    <w:rsid w:val="00DD4F0F"/>
    <w:rsid w:val="00DD51CD"/>
    <w:rsid w:val="00DD5251"/>
    <w:rsid w:val="00DD543A"/>
    <w:rsid w:val="00DD54D1"/>
    <w:rsid w:val="00DD5574"/>
    <w:rsid w:val="00DD57BA"/>
    <w:rsid w:val="00DD58A2"/>
    <w:rsid w:val="00DD5947"/>
    <w:rsid w:val="00DD5A1B"/>
    <w:rsid w:val="00DD5A32"/>
    <w:rsid w:val="00DD5AAF"/>
    <w:rsid w:val="00DD5AD3"/>
    <w:rsid w:val="00DD5CD7"/>
    <w:rsid w:val="00DD5D70"/>
    <w:rsid w:val="00DD5D76"/>
    <w:rsid w:val="00DD5FC8"/>
    <w:rsid w:val="00DD6103"/>
    <w:rsid w:val="00DD6309"/>
    <w:rsid w:val="00DD644C"/>
    <w:rsid w:val="00DD6672"/>
    <w:rsid w:val="00DD69FA"/>
    <w:rsid w:val="00DD6C34"/>
    <w:rsid w:val="00DD6DB8"/>
    <w:rsid w:val="00DD6E90"/>
    <w:rsid w:val="00DD70AA"/>
    <w:rsid w:val="00DD715C"/>
    <w:rsid w:val="00DD721A"/>
    <w:rsid w:val="00DD759E"/>
    <w:rsid w:val="00DD775F"/>
    <w:rsid w:val="00DD7869"/>
    <w:rsid w:val="00DD7B5C"/>
    <w:rsid w:val="00DD7DD0"/>
    <w:rsid w:val="00DE00EA"/>
    <w:rsid w:val="00DE018E"/>
    <w:rsid w:val="00DE01E8"/>
    <w:rsid w:val="00DE0303"/>
    <w:rsid w:val="00DE042B"/>
    <w:rsid w:val="00DE06D9"/>
    <w:rsid w:val="00DE0830"/>
    <w:rsid w:val="00DE088A"/>
    <w:rsid w:val="00DE0AC5"/>
    <w:rsid w:val="00DE0BB6"/>
    <w:rsid w:val="00DE0CCB"/>
    <w:rsid w:val="00DE0EEE"/>
    <w:rsid w:val="00DE0F31"/>
    <w:rsid w:val="00DE0FD5"/>
    <w:rsid w:val="00DE1077"/>
    <w:rsid w:val="00DE1219"/>
    <w:rsid w:val="00DE14EA"/>
    <w:rsid w:val="00DE14EF"/>
    <w:rsid w:val="00DE1602"/>
    <w:rsid w:val="00DE18BC"/>
    <w:rsid w:val="00DE19D7"/>
    <w:rsid w:val="00DE1ACE"/>
    <w:rsid w:val="00DE1C6C"/>
    <w:rsid w:val="00DE1D55"/>
    <w:rsid w:val="00DE1D9F"/>
    <w:rsid w:val="00DE253A"/>
    <w:rsid w:val="00DE25FC"/>
    <w:rsid w:val="00DE2862"/>
    <w:rsid w:val="00DE28B8"/>
    <w:rsid w:val="00DE2AB0"/>
    <w:rsid w:val="00DE2B53"/>
    <w:rsid w:val="00DE2B8E"/>
    <w:rsid w:val="00DE2C1B"/>
    <w:rsid w:val="00DE2D1D"/>
    <w:rsid w:val="00DE2DFB"/>
    <w:rsid w:val="00DE2F66"/>
    <w:rsid w:val="00DE32D3"/>
    <w:rsid w:val="00DE33AA"/>
    <w:rsid w:val="00DE340F"/>
    <w:rsid w:val="00DE3593"/>
    <w:rsid w:val="00DE3738"/>
    <w:rsid w:val="00DE3776"/>
    <w:rsid w:val="00DE385F"/>
    <w:rsid w:val="00DE3B54"/>
    <w:rsid w:val="00DE3B56"/>
    <w:rsid w:val="00DE3D9C"/>
    <w:rsid w:val="00DE3E7B"/>
    <w:rsid w:val="00DE4299"/>
    <w:rsid w:val="00DE43A9"/>
    <w:rsid w:val="00DE4574"/>
    <w:rsid w:val="00DE4952"/>
    <w:rsid w:val="00DE4B1A"/>
    <w:rsid w:val="00DE4DC4"/>
    <w:rsid w:val="00DE4FD7"/>
    <w:rsid w:val="00DE5190"/>
    <w:rsid w:val="00DE51C0"/>
    <w:rsid w:val="00DE5417"/>
    <w:rsid w:val="00DE54BE"/>
    <w:rsid w:val="00DE571B"/>
    <w:rsid w:val="00DE5A0D"/>
    <w:rsid w:val="00DE5A62"/>
    <w:rsid w:val="00DE6095"/>
    <w:rsid w:val="00DE636B"/>
    <w:rsid w:val="00DE638A"/>
    <w:rsid w:val="00DE6597"/>
    <w:rsid w:val="00DE65C3"/>
    <w:rsid w:val="00DE65DE"/>
    <w:rsid w:val="00DE673B"/>
    <w:rsid w:val="00DE6834"/>
    <w:rsid w:val="00DE688D"/>
    <w:rsid w:val="00DE689E"/>
    <w:rsid w:val="00DE6D3D"/>
    <w:rsid w:val="00DE6DBB"/>
    <w:rsid w:val="00DE75BC"/>
    <w:rsid w:val="00DE7709"/>
    <w:rsid w:val="00DE7766"/>
    <w:rsid w:val="00DE786F"/>
    <w:rsid w:val="00DE78CB"/>
    <w:rsid w:val="00DE797D"/>
    <w:rsid w:val="00DE7CDC"/>
    <w:rsid w:val="00DE7DE4"/>
    <w:rsid w:val="00DE7EF8"/>
    <w:rsid w:val="00DE7FF3"/>
    <w:rsid w:val="00DF0962"/>
    <w:rsid w:val="00DF0A91"/>
    <w:rsid w:val="00DF102F"/>
    <w:rsid w:val="00DF11D9"/>
    <w:rsid w:val="00DF1658"/>
    <w:rsid w:val="00DF18D5"/>
    <w:rsid w:val="00DF1BBF"/>
    <w:rsid w:val="00DF1C31"/>
    <w:rsid w:val="00DF1C4D"/>
    <w:rsid w:val="00DF1E08"/>
    <w:rsid w:val="00DF1F05"/>
    <w:rsid w:val="00DF1FD7"/>
    <w:rsid w:val="00DF2015"/>
    <w:rsid w:val="00DF2035"/>
    <w:rsid w:val="00DF258A"/>
    <w:rsid w:val="00DF288C"/>
    <w:rsid w:val="00DF2C45"/>
    <w:rsid w:val="00DF2C9E"/>
    <w:rsid w:val="00DF2CB0"/>
    <w:rsid w:val="00DF2E0B"/>
    <w:rsid w:val="00DF2E70"/>
    <w:rsid w:val="00DF2EA0"/>
    <w:rsid w:val="00DF3353"/>
    <w:rsid w:val="00DF3364"/>
    <w:rsid w:val="00DF34A8"/>
    <w:rsid w:val="00DF350A"/>
    <w:rsid w:val="00DF35B9"/>
    <w:rsid w:val="00DF3643"/>
    <w:rsid w:val="00DF3940"/>
    <w:rsid w:val="00DF3E2C"/>
    <w:rsid w:val="00DF401E"/>
    <w:rsid w:val="00DF4269"/>
    <w:rsid w:val="00DF42B7"/>
    <w:rsid w:val="00DF4405"/>
    <w:rsid w:val="00DF4517"/>
    <w:rsid w:val="00DF4816"/>
    <w:rsid w:val="00DF488F"/>
    <w:rsid w:val="00DF4B0A"/>
    <w:rsid w:val="00DF4B62"/>
    <w:rsid w:val="00DF4B9B"/>
    <w:rsid w:val="00DF4CEE"/>
    <w:rsid w:val="00DF4EB0"/>
    <w:rsid w:val="00DF5482"/>
    <w:rsid w:val="00DF56A6"/>
    <w:rsid w:val="00DF57D0"/>
    <w:rsid w:val="00DF597D"/>
    <w:rsid w:val="00DF5B0E"/>
    <w:rsid w:val="00DF5CA7"/>
    <w:rsid w:val="00DF5DC0"/>
    <w:rsid w:val="00DF605C"/>
    <w:rsid w:val="00DF607D"/>
    <w:rsid w:val="00DF6369"/>
    <w:rsid w:val="00DF66EA"/>
    <w:rsid w:val="00DF67A9"/>
    <w:rsid w:val="00DF6ECE"/>
    <w:rsid w:val="00DF7453"/>
    <w:rsid w:val="00DF7460"/>
    <w:rsid w:val="00DF74C6"/>
    <w:rsid w:val="00DF764F"/>
    <w:rsid w:val="00DF76F3"/>
    <w:rsid w:val="00DF78A4"/>
    <w:rsid w:val="00DF7905"/>
    <w:rsid w:val="00DF7BE8"/>
    <w:rsid w:val="00E00086"/>
    <w:rsid w:val="00E004AD"/>
    <w:rsid w:val="00E00561"/>
    <w:rsid w:val="00E0070B"/>
    <w:rsid w:val="00E00D64"/>
    <w:rsid w:val="00E00DCE"/>
    <w:rsid w:val="00E00EC0"/>
    <w:rsid w:val="00E00F83"/>
    <w:rsid w:val="00E00F94"/>
    <w:rsid w:val="00E0108B"/>
    <w:rsid w:val="00E0135A"/>
    <w:rsid w:val="00E013C0"/>
    <w:rsid w:val="00E015B5"/>
    <w:rsid w:val="00E01A49"/>
    <w:rsid w:val="00E01AF9"/>
    <w:rsid w:val="00E01C51"/>
    <w:rsid w:val="00E01D72"/>
    <w:rsid w:val="00E01EF2"/>
    <w:rsid w:val="00E01EF7"/>
    <w:rsid w:val="00E0234D"/>
    <w:rsid w:val="00E02411"/>
    <w:rsid w:val="00E02444"/>
    <w:rsid w:val="00E02B43"/>
    <w:rsid w:val="00E02CD1"/>
    <w:rsid w:val="00E02CEA"/>
    <w:rsid w:val="00E02D91"/>
    <w:rsid w:val="00E02EA7"/>
    <w:rsid w:val="00E02FF1"/>
    <w:rsid w:val="00E03819"/>
    <w:rsid w:val="00E0386B"/>
    <w:rsid w:val="00E038CD"/>
    <w:rsid w:val="00E03BB9"/>
    <w:rsid w:val="00E03CA7"/>
    <w:rsid w:val="00E040B7"/>
    <w:rsid w:val="00E04329"/>
    <w:rsid w:val="00E044E7"/>
    <w:rsid w:val="00E0456D"/>
    <w:rsid w:val="00E045AE"/>
    <w:rsid w:val="00E046F9"/>
    <w:rsid w:val="00E04850"/>
    <w:rsid w:val="00E04B6B"/>
    <w:rsid w:val="00E04BF1"/>
    <w:rsid w:val="00E04DD8"/>
    <w:rsid w:val="00E0505B"/>
    <w:rsid w:val="00E0517E"/>
    <w:rsid w:val="00E0548A"/>
    <w:rsid w:val="00E056D4"/>
    <w:rsid w:val="00E057D0"/>
    <w:rsid w:val="00E05AC9"/>
    <w:rsid w:val="00E05B6F"/>
    <w:rsid w:val="00E06710"/>
    <w:rsid w:val="00E0679C"/>
    <w:rsid w:val="00E06963"/>
    <w:rsid w:val="00E069E9"/>
    <w:rsid w:val="00E06C5A"/>
    <w:rsid w:val="00E06CFD"/>
    <w:rsid w:val="00E06DFB"/>
    <w:rsid w:val="00E06FCC"/>
    <w:rsid w:val="00E0704B"/>
    <w:rsid w:val="00E072E1"/>
    <w:rsid w:val="00E0737A"/>
    <w:rsid w:val="00E07515"/>
    <w:rsid w:val="00E07814"/>
    <w:rsid w:val="00E0783F"/>
    <w:rsid w:val="00E07913"/>
    <w:rsid w:val="00E07935"/>
    <w:rsid w:val="00E079A8"/>
    <w:rsid w:val="00E07A54"/>
    <w:rsid w:val="00E07A8B"/>
    <w:rsid w:val="00E07B63"/>
    <w:rsid w:val="00E07E0B"/>
    <w:rsid w:val="00E07E0C"/>
    <w:rsid w:val="00E1009D"/>
    <w:rsid w:val="00E101B1"/>
    <w:rsid w:val="00E1023D"/>
    <w:rsid w:val="00E103BF"/>
    <w:rsid w:val="00E104ED"/>
    <w:rsid w:val="00E10633"/>
    <w:rsid w:val="00E10733"/>
    <w:rsid w:val="00E1081C"/>
    <w:rsid w:val="00E1085C"/>
    <w:rsid w:val="00E10938"/>
    <w:rsid w:val="00E10D05"/>
    <w:rsid w:val="00E110F4"/>
    <w:rsid w:val="00E113FF"/>
    <w:rsid w:val="00E116FA"/>
    <w:rsid w:val="00E11714"/>
    <w:rsid w:val="00E11AE3"/>
    <w:rsid w:val="00E11BB2"/>
    <w:rsid w:val="00E11CE1"/>
    <w:rsid w:val="00E11CE6"/>
    <w:rsid w:val="00E11DA4"/>
    <w:rsid w:val="00E11EFD"/>
    <w:rsid w:val="00E122F4"/>
    <w:rsid w:val="00E126E8"/>
    <w:rsid w:val="00E127F4"/>
    <w:rsid w:val="00E1290A"/>
    <w:rsid w:val="00E12C32"/>
    <w:rsid w:val="00E12C3E"/>
    <w:rsid w:val="00E12DC9"/>
    <w:rsid w:val="00E12F0F"/>
    <w:rsid w:val="00E131D7"/>
    <w:rsid w:val="00E13588"/>
    <w:rsid w:val="00E13686"/>
    <w:rsid w:val="00E13691"/>
    <w:rsid w:val="00E138A8"/>
    <w:rsid w:val="00E138F5"/>
    <w:rsid w:val="00E13A13"/>
    <w:rsid w:val="00E13B23"/>
    <w:rsid w:val="00E13BBD"/>
    <w:rsid w:val="00E13D5F"/>
    <w:rsid w:val="00E13E64"/>
    <w:rsid w:val="00E13E6F"/>
    <w:rsid w:val="00E13FE2"/>
    <w:rsid w:val="00E140FC"/>
    <w:rsid w:val="00E141C7"/>
    <w:rsid w:val="00E1431A"/>
    <w:rsid w:val="00E145BE"/>
    <w:rsid w:val="00E14A49"/>
    <w:rsid w:val="00E14BEB"/>
    <w:rsid w:val="00E1516D"/>
    <w:rsid w:val="00E1534E"/>
    <w:rsid w:val="00E1539E"/>
    <w:rsid w:val="00E154F9"/>
    <w:rsid w:val="00E15B33"/>
    <w:rsid w:val="00E15D57"/>
    <w:rsid w:val="00E15DEF"/>
    <w:rsid w:val="00E15E9E"/>
    <w:rsid w:val="00E15FBD"/>
    <w:rsid w:val="00E15FD9"/>
    <w:rsid w:val="00E15FFC"/>
    <w:rsid w:val="00E16055"/>
    <w:rsid w:val="00E160A8"/>
    <w:rsid w:val="00E16109"/>
    <w:rsid w:val="00E16272"/>
    <w:rsid w:val="00E162DD"/>
    <w:rsid w:val="00E1630B"/>
    <w:rsid w:val="00E164F5"/>
    <w:rsid w:val="00E1660A"/>
    <w:rsid w:val="00E167C8"/>
    <w:rsid w:val="00E1692E"/>
    <w:rsid w:val="00E16980"/>
    <w:rsid w:val="00E169A2"/>
    <w:rsid w:val="00E16AC8"/>
    <w:rsid w:val="00E16ADE"/>
    <w:rsid w:val="00E16B0A"/>
    <w:rsid w:val="00E16F51"/>
    <w:rsid w:val="00E1740D"/>
    <w:rsid w:val="00E176D7"/>
    <w:rsid w:val="00E1783D"/>
    <w:rsid w:val="00E17940"/>
    <w:rsid w:val="00E179B2"/>
    <w:rsid w:val="00E17C9A"/>
    <w:rsid w:val="00E17CF8"/>
    <w:rsid w:val="00E17E87"/>
    <w:rsid w:val="00E17FC9"/>
    <w:rsid w:val="00E2023E"/>
    <w:rsid w:val="00E20242"/>
    <w:rsid w:val="00E2035A"/>
    <w:rsid w:val="00E20485"/>
    <w:rsid w:val="00E204AC"/>
    <w:rsid w:val="00E20539"/>
    <w:rsid w:val="00E205AE"/>
    <w:rsid w:val="00E2072F"/>
    <w:rsid w:val="00E207B4"/>
    <w:rsid w:val="00E20B06"/>
    <w:rsid w:val="00E212FB"/>
    <w:rsid w:val="00E214E4"/>
    <w:rsid w:val="00E214FE"/>
    <w:rsid w:val="00E218AE"/>
    <w:rsid w:val="00E218B5"/>
    <w:rsid w:val="00E21961"/>
    <w:rsid w:val="00E219B4"/>
    <w:rsid w:val="00E21B7B"/>
    <w:rsid w:val="00E21C68"/>
    <w:rsid w:val="00E21E0C"/>
    <w:rsid w:val="00E21F0D"/>
    <w:rsid w:val="00E21FD4"/>
    <w:rsid w:val="00E22173"/>
    <w:rsid w:val="00E2217A"/>
    <w:rsid w:val="00E2218B"/>
    <w:rsid w:val="00E22253"/>
    <w:rsid w:val="00E224A9"/>
    <w:rsid w:val="00E225E2"/>
    <w:rsid w:val="00E22842"/>
    <w:rsid w:val="00E22937"/>
    <w:rsid w:val="00E22AF4"/>
    <w:rsid w:val="00E22BD6"/>
    <w:rsid w:val="00E22D9F"/>
    <w:rsid w:val="00E22E97"/>
    <w:rsid w:val="00E2338D"/>
    <w:rsid w:val="00E23409"/>
    <w:rsid w:val="00E2347F"/>
    <w:rsid w:val="00E235E7"/>
    <w:rsid w:val="00E236B4"/>
    <w:rsid w:val="00E237F1"/>
    <w:rsid w:val="00E23988"/>
    <w:rsid w:val="00E2399A"/>
    <w:rsid w:val="00E239E0"/>
    <w:rsid w:val="00E240DC"/>
    <w:rsid w:val="00E241E1"/>
    <w:rsid w:val="00E244D7"/>
    <w:rsid w:val="00E244EF"/>
    <w:rsid w:val="00E245F3"/>
    <w:rsid w:val="00E24704"/>
    <w:rsid w:val="00E24737"/>
    <w:rsid w:val="00E2482D"/>
    <w:rsid w:val="00E24BEA"/>
    <w:rsid w:val="00E24C05"/>
    <w:rsid w:val="00E24DF0"/>
    <w:rsid w:val="00E2502C"/>
    <w:rsid w:val="00E25255"/>
    <w:rsid w:val="00E253FE"/>
    <w:rsid w:val="00E254D4"/>
    <w:rsid w:val="00E25C5E"/>
    <w:rsid w:val="00E25D7C"/>
    <w:rsid w:val="00E25DFE"/>
    <w:rsid w:val="00E25F96"/>
    <w:rsid w:val="00E2610A"/>
    <w:rsid w:val="00E26113"/>
    <w:rsid w:val="00E26636"/>
    <w:rsid w:val="00E266A4"/>
    <w:rsid w:val="00E266D8"/>
    <w:rsid w:val="00E26CD6"/>
    <w:rsid w:val="00E26D1F"/>
    <w:rsid w:val="00E26D95"/>
    <w:rsid w:val="00E26FA7"/>
    <w:rsid w:val="00E26FF7"/>
    <w:rsid w:val="00E272A1"/>
    <w:rsid w:val="00E2733D"/>
    <w:rsid w:val="00E27692"/>
    <w:rsid w:val="00E27887"/>
    <w:rsid w:val="00E30279"/>
    <w:rsid w:val="00E30450"/>
    <w:rsid w:val="00E30505"/>
    <w:rsid w:val="00E3076E"/>
    <w:rsid w:val="00E30885"/>
    <w:rsid w:val="00E309BB"/>
    <w:rsid w:val="00E30A23"/>
    <w:rsid w:val="00E30B6A"/>
    <w:rsid w:val="00E30B74"/>
    <w:rsid w:val="00E30C1D"/>
    <w:rsid w:val="00E30D94"/>
    <w:rsid w:val="00E30FB9"/>
    <w:rsid w:val="00E31185"/>
    <w:rsid w:val="00E311A1"/>
    <w:rsid w:val="00E312EA"/>
    <w:rsid w:val="00E312F6"/>
    <w:rsid w:val="00E3153B"/>
    <w:rsid w:val="00E31564"/>
    <w:rsid w:val="00E3167A"/>
    <w:rsid w:val="00E3179E"/>
    <w:rsid w:val="00E31935"/>
    <w:rsid w:val="00E31A21"/>
    <w:rsid w:val="00E31ABF"/>
    <w:rsid w:val="00E31B46"/>
    <w:rsid w:val="00E31C68"/>
    <w:rsid w:val="00E31E77"/>
    <w:rsid w:val="00E32035"/>
    <w:rsid w:val="00E3208F"/>
    <w:rsid w:val="00E324D7"/>
    <w:rsid w:val="00E3290C"/>
    <w:rsid w:val="00E32B95"/>
    <w:rsid w:val="00E32C15"/>
    <w:rsid w:val="00E32FED"/>
    <w:rsid w:val="00E3319C"/>
    <w:rsid w:val="00E33265"/>
    <w:rsid w:val="00E337FC"/>
    <w:rsid w:val="00E33B77"/>
    <w:rsid w:val="00E340DD"/>
    <w:rsid w:val="00E343D8"/>
    <w:rsid w:val="00E345BA"/>
    <w:rsid w:val="00E34601"/>
    <w:rsid w:val="00E346A9"/>
    <w:rsid w:val="00E34791"/>
    <w:rsid w:val="00E348B5"/>
    <w:rsid w:val="00E34937"/>
    <w:rsid w:val="00E34C62"/>
    <w:rsid w:val="00E350C8"/>
    <w:rsid w:val="00E35107"/>
    <w:rsid w:val="00E352B9"/>
    <w:rsid w:val="00E352EA"/>
    <w:rsid w:val="00E35306"/>
    <w:rsid w:val="00E3534B"/>
    <w:rsid w:val="00E355A7"/>
    <w:rsid w:val="00E35624"/>
    <w:rsid w:val="00E3562E"/>
    <w:rsid w:val="00E35765"/>
    <w:rsid w:val="00E357FC"/>
    <w:rsid w:val="00E35847"/>
    <w:rsid w:val="00E35A7D"/>
    <w:rsid w:val="00E35BED"/>
    <w:rsid w:val="00E35C85"/>
    <w:rsid w:val="00E36565"/>
    <w:rsid w:val="00E367DA"/>
    <w:rsid w:val="00E369E4"/>
    <w:rsid w:val="00E36A72"/>
    <w:rsid w:val="00E36B7E"/>
    <w:rsid w:val="00E36C7A"/>
    <w:rsid w:val="00E36CCA"/>
    <w:rsid w:val="00E36D68"/>
    <w:rsid w:val="00E36E49"/>
    <w:rsid w:val="00E36E91"/>
    <w:rsid w:val="00E37053"/>
    <w:rsid w:val="00E373C0"/>
    <w:rsid w:val="00E3749C"/>
    <w:rsid w:val="00E3749F"/>
    <w:rsid w:val="00E37615"/>
    <w:rsid w:val="00E377E8"/>
    <w:rsid w:val="00E37974"/>
    <w:rsid w:val="00E37ABD"/>
    <w:rsid w:val="00E37AC1"/>
    <w:rsid w:val="00E37E86"/>
    <w:rsid w:val="00E40014"/>
    <w:rsid w:val="00E402B0"/>
    <w:rsid w:val="00E403BD"/>
    <w:rsid w:val="00E40433"/>
    <w:rsid w:val="00E40586"/>
    <w:rsid w:val="00E4077C"/>
    <w:rsid w:val="00E4096B"/>
    <w:rsid w:val="00E40B97"/>
    <w:rsid w:val="00E40CBB"/>
    <w:rsid w:val="00E4101C"/>
    <w:rsid w:val="00E4127B"/>
    <w:rsid w:val="00E41282"/>
    <w:rsid w:val="00E41318"/>
    <w:rsid w:val="00E41887"/>
    <w:rsid w:val="00E41AB7"/>
    <w:rsid w:val="00E41B3D"/>
    <w:rsid w:val="00E41BFD"/>
    <w:rsid w:val="00E41CB0"/>
    <w:rsid w:val="00E42153"/>
    <w:rsid w:val="00E42193"/>
    <w:rsid w:val="00E4222E"/>
    <w:rsid w:val="00E427B5"/>
    <w:rsid w:val="00E42821"/>
    <w:rsid w:val="00E42CF0"/>
    <w:rsid w:val="00E4301F"/>
    <w:rsid w:val="00E430DF"/>
    <w:rsid w:val="00E43352"/>
    <w:rsid w:val="00E433A2"/>
    <w:rsid w:val="00E43556"/>
    <w:rsid w:val="00E4362E"/>
    <w:rsid w:val="00E43CF5"/>
    <w:rsid w:val="00E441EB"/>
    <w:rsid w:val="00E4444F"/>
    <w:rsid w:val="00E4448A"/>
    <w:rsid w:val="00E44566"/>
    <w:rsid w:val="00E445D4"/>
    <w:rsid w:val="00E44742"/>
    <w:rsid w:val="00E44B34"/>
    <w:rsid w:val="00E453BE"/>
    <w:rsid w:val="00E453E7"/>
    <w:rsid w:val="00E454E7"/>
    <w:rsid w:val="00E4561F"/>
    <w:rsid w:val="00E45847"/>
    <w:rsid w:val="00E45915"/>
    <w:rsid w:val="00E45B19"/>
    <w:rsid w:val="00E45D2B"/>
    <w:rsid w:val="00E460FE"/>
    <w:rsid w:val="00E4634A"/>
    <w:rsid w:val="00E463FD"/>
    <w:rsid w:val="00E46424"/>
    <w:rsid w:val="00E46485"/>
    <w:rsid w:val="00E464AE"/>
    <w:rsid w:val="00E46623"/>
    <w:rsid w:val="00E4665B"/>
    <w:rsid w:val="00E46712"/>
    <w:rsid w:val="00E47193"/>
    <w:rsid w:val="00E471D5"/>
    <w:rsid w:val="00E47980"/>
    <w:rsid w:val="00E47B25"/>
    <w:rsid w:val="00E50142"/>
    <w:rsid w:val="00E501E9"/>
    <w:rsid w:val="00E50286"/>
    <w:rsid w:val="00E50496"/>
    <w:rsid w:val="00E507E0"/>
    <w:rsid w:val="00E50BA6"/>
    <w:rsid w:val="00E50C40"/>
    <w:rsid w:val="00E50C79"/>
    <w:rsid w:val="00E50E79"/>
    <w:rsid w:val="00E50F5A"/>
    <w:rsid w:val="00E51047"/>
    <w:rsid w:val="00E510F0"/>
    <w:rsid w:val="00E5144C"/>
    <w:rsid w:val="00E51605"/>
    <w:rsid w:val="00E518B3"/>
    <w:rsid w:val="00E5196E"/>
    <w:rsid w:val="00E51A07"/>
    <w:rsid w:val="00E51BC1"/>
    <w:rsid w:val="00E51C2F"/>
    <w:rsid w:val="00E51F81"/>
    <w:rsid w:val="00E52386"/>
    <w:rsid w:val="00E52515"/>
    <w:rsid w:val="00E52B4E"/>
    <w:rsid w:val="00E52C1C"/>
    <w:rsid w:val="00E52D29"/>
    <w:rsid w:val="00E533F1"/>
    <w:rsid w:val="00E5360D"/>
    <w:rsid w:val="00E5376D"/>
    <w:rsid w:val="00E537F7"/>
    <w:rsid w:val="00E53B5B"/>
    <w:rsid w:val="00E54222"/>
    <w:rsid w:val="00E5445B"/>
    <w:rsid w:val="00E5491F"/>
    <w:rsid w:val="00E54AEA"/>
    <w:rsid w:val="00E54B50"/>
    <w:rsid w:val="00E54BCC"/>
    <w:rsid w:val="00E54BEF"/>
    <w:rsid w:val="00E54D06"/>
    <w:rsid w:val="00E54F8F"/>
    <w:rsid w:val="00E550D2"/>
    <w:rsid w:val="00E556F9"/>
    <w:rsid w:val="00E55839"/>
    <w:rsid w:val="00E55EA9"/>
    <w:rsid w:val="00E55EC7"/>
    <w:rsid w:val="00E560D6"/>
    <w:rsid w:val="00E5616D"/>
    <w:rsid w:val="00E5619B"/>
    <w:rsid w:val="00E56243"/>
    <w:rsid w:val="00E565F5"/>
    <w:rsid w:val="00E56614"/>
    <w:rsid w:val="00E5683E"/>
    <w:rsid w:val="00E56993"/>
    <w:rsid w:val="00E56D63"/>
    <w:rsid w:val="00E56DE4"/>
    <w:rsid w:val="00E56E48"/>
    <w:rsid w:val="00E56F4A"/>
    <w:rsid w:val="00E572B6"/>
    <w:rsid w:val="00E57671"/>
    <w:rsid w:val="00E579DF"/>
    <w:rsid w:val="00E57F7B"/>
    <w:rsid w:val="00E60075"/>
    <w:rsid w:val="00E60165"/>
    <w:rsid w:val="00E6040D"/>
    <w:rsid w:val="00E604BC"/>
    <w:rsid w:val="00E609CE"/>
    <w:rsid w:val="00E60AC0"/>
    <w:rsid w:val="00E60ADA"/>
    <w:rsid w:val="00E60B73"/>
    <w:rsid w:val="00E60C15"/>
    <w:rsid w:val="00E60DF2"/>
    <w:rsid w:val="00E60E23"/>
    <w:rsid w:val="00E6107D"/>
    <w:rsid w:val="00E61635"/>
    <w:rsid w:val="00E618C2"/>
    <w:rsid w:val="00E6199B"/>
    <w:rsid w:val="00E61CF3"/>
    <w:rsid w:val="00E61DC0"/>
    <w:rsid w:val="00E61EDF"/>
    <w:rsid w:val="00E61F18"/>
    <w:rsid w:val="00E62003"/>
    <w:rsid w:val="00E62170"/>
    <w:rsid w:val="00E627EE"/>
    <w:rsid w:val="00E62A62"/>
    <w:rsid w:val="00E62B59"/>
    <w:rsid w:val="00E62CA3"/>
    <w:rsid w:val="00E62E03"/>
    <w:rsid w:val="00E62FA5"/>
    <w:rsid w:val="00E631FD"/>
    <w:rsid w:val="00E633D0"/>
    <w:rsid w:val="00E63C58"/>
    <w:rsid w:val="00E6404E"/>
    <w:rsid w:val="00E641CC"/>
    <w:rsid w:val="00E644A9"/>
    <w:rsid w:val="00E64604"/>
    <w:rsid w:val="00E64940"/>
    <w:rsid w:val="00E64B40"/>
    <w:rsid w:val="00E64BFC"/>
    <w:rsid w:val="00E64C04"/>
    <w:rsid w:val="00E64C37"/>
    <w:rsid w:val="00E64C71"/>
    <w:rsid w:val="00E64CC8"/>
    <w:rsid w:val="00E64F94"/>
    <w:rsid w:val="00E65016"/>
    <w:rsid w:val="00E652F7"/>
    <w:rsid w:val="00E65397"/>
    <w:rsid w:val="00E6552F"/>
    <w:rsid w:val="00E65916"/>
    <w:rsid w:val="00E6592E"/>
    <w:rsid w:val="00E6598A"/>
    <w:rsid w:val="00E65A0F"/>
    <w:rsid w:val="00E65AC5"/>
    <w:rsid w:val="00E65FC4"/>
    <w:rsid w:val="00E660BA"/>
    <w:rsid w:val="00E660CC"/>
    <w:rsid w:val="00E66190"/>
    <w:rsid w:val="00E6635B"/>
    <w:rsid w:val="00E66426"/>
    <w:rsid w:val="00E6642B"/>
    <w:rsid w:val="00E66877"/>
    <w:rsid w:val="00E6697F"/>
    <w:rsid w:val="00E669A5"/>
    <w:rsid w:val="00E66BB0"/>
    <w:rsid w:val="00E66D39"/>
    <w:rsid w:val="00E66D9F"/>
    <w:rsid w:val="00E673FB"/>
    <w:rsid w:val="00E6790B"/>
    <w:rsid w:val="00E67AE7"/>
    <w:rsid w:val="00E67D0C"/>
    <w:rsid w:val="00E67FE9"/>
    <w:rsid w:val="00E702D0"/>
    <w:rsid w:val="00E70969"/>
    <w:rsid w:val="00E709EC"/>
    <w:rsid w:val="00E70A2C"/>
    <w:rsid w:val="00E70A6D"/>
    <w:rsid w:val="00E70A94"/>
    <w:rsid w:val="00E70ACA"/>
    <w:rsid w:val="00E70AD6"/>
    <w:rsid w:val="00E70BD9"/>
    <w:rsid w:val="00E71113"/>
    <w:rsid w:val="00E7131F"/>
    <w:rsid w:val="00E71760"/>
    <w:rsid w:val="00E717B2"/>
    <w:rsid w:val="00E71D83"/>
    <w:rsid w:val="00E71D9C"/>
    <w:rsid w:val="00E720A2"/>
    <w:rsid w:val="00E72440"/>
    <w:rsid w:val="00E72748"/>
    <w:rsid w:val="00E728AC"/>
    <w:rsid w:val="00E729F7"/>
    <w:rsid w:val="00E72B0F"/>
    <w:rsid w:val="00E72CF9"/>
    <w:rsid w:val="00E72F1C"/>
    <w:rsid w:val="00E72F93"/>
    <w:rsid w:val="00E732DA"/>
    <w:rsid w:val="00E732EA"/>
    <w:rsid w:val="00E7335C"/>
    <w:rsid w:val="00E7340C"/>
    <w:rsid w:val="00E7358A"/>
    <w:rsid w:val="00E73688"/>
    <w:rsid w:val="00E73865"/>
    <w:rsid w:val="00E738B6"/>
    <w:rsid w:val="00E73AFE"/>
    <w:rsid w:val="00E73D72"/>
    <w:rsid w:val="00E73E6A"/>
    <w:rsid w:val="00E73EA8"/>
    <w:rsid w:val="00E73F89"/>
    <w:rsid w:val="00E7409B"/>
    <w:rsid w:val="00E74576"/>
    <w:rsid w:val="00E7465D"/>
    <w:rsid w:val="00E74708"/>
    <w:rsid w:val="00E74786"/>
    <w:rsid w:val="00E74A09"/>
    <w:rsid w:val="00E74C95"/>
    <w:rsid w:val="00E74D30"/>
    <w:rsid w:val="00E74F1D"/>
    <w:rsid w:val="00E752E9"/>
    <w:rsid w:val="00E753D2"/>
    <w:rsid w:val="00E755F0"/>
    <w:rsid w:val="00E757E3"/>
    <w:rsid w:val="00E75948"/>
    <w:rsid w:val="00E759FD"/>
    <w:rsid w:val="00E75A10"/>
    <w:rsid w:val="00E75ACA"/>
    <w:rsid w:val="00E75FA0"/>
    <w:rsid w:val="00E75FD8"/>
    <w:rsid w:val="00E7625E"/>
    <w:rsid w:val="00E7652B"/>
    <w:rsid w:val="00E7681F"/>
    <w:rsid w:val="00E7686F"/>
    <w:rsid w:val="00E76B83"/>
    <w:rsid w:val="00E76C0D"/>
    <w:rsid w:val="00E76E44"/>
    <w:rsid w:val="00E76EB3"/>
    <w:rsid w:val="00E770B3"/>
    <w:rsid w:val="00E7718A"/>
    <w:rsid w:val="00E7726A"/>
    <w:rsid w:val="00E77313"/>
    <w:rsid w:val="00E775F6"/>
    <w:rsid w:val="00E7797E"/>
    <w:rsid w:val="00E80262"/>
    <w:rsid w:val="00E8028A"/>
    <w:rsid w:val="00E806CA"/>
    <w:rsid w:val="00E80830"/>
    <w:rsid w:val="00E80905"/>
    <w:rsid w:val="00E80963"/>
    <w:rsid w:val="00E80AE3"/>
    <w:rsid w:val="00E80C0A"/>
    <w:rsid w:val="00E80C50"/>
    <w:rsid w:val="00E80C78"/>
    <w:rsid w:val="00E80FED"/>
    <w:rsid w:val="00E81056"/>
    <w:rsid w:val="00E81184"/>
    <w:rsid w:val="00E81265"/>
    <w:rsid w:val="00E81285"/>
    <w:rsid w:val="00E813F5"/>
    <w:rsid w:val="00E81438"/>
    <w:rsid w:val="00E8143F"/>
    <w:rsid w:val="00E816C4"/>
    <w:rsid w:val="00E819C0"/>
    <w:rsid w:val="00E81A36"/>
    <w:rsid w:val="00E81BF9"/>
    <w:rsid w:val="00E81E74"/>
    <w:rsid w:val="00E8219C"/>
    <w:rsid w:val="00E821D0"/>
    <w:rsid w:val="00E822F9"/>
    <w:rsid w:val="00E823D5"/>
    <w:rsid w:val="00E82439"/>
    <w:rsid w:val="00E826A0"/>
    <w:rsid w:val="00E826AE"/>
    <w:rsid w:val="00E82807"/>
    <w:rsid w:val="00E82974"/>
    <w:rsid w:val="00E82C92"/>
    <w:rsid w:val="00E82CA3"/>
    <w:rsid w:val="00E82D7E"/>
    <w:rsid w:val="00E82ED7"/>
    <w:rsid w:val="00E82F3B"/>
    <w:rsid w:val="00E83116"/>
    <w:rsid w:val="00E83158"/>
    <w:rsid w:val="00E831A3"/>
    <w:rsid w:val="00E83487"/>
    <w:rsid w:val="00E83798"/>
    <w:rsid w:val="00E839B4"/>
    <w:rsid w:val="00E83AF1"/>
    <w:rsid w:val="00E83BFB"/>
    <w:rsid w:val="00E83EB3"/>
    <w:rsid w:val="00E8421F"/>
    <w:rsid w:val="00E844CC"/>
    <w:rsid w:val="00E8460C"/>
    <w:rsid w:val="00E8465B"/>
    <w:rsid w:val="00E8477E"/>
    <w:rsid w:val="00E84BEC"/>
    <w:rsid w:val="00E84C08"/>
    <w:rsid w:val="00E84DD1"/>
    <w:rsid w:val="00E84F3B"/>
    <w:rsid w:val="00E84F49"/>
    <w:rsid w:val="00E8530E"/>
    <w:rsid w:val="00E8567D"/>
    <w:rsid w:val="00E85755"/>
    <w:rsid w:val="00E85C6D"/>
    <w:rsid w:val="00E85ED1"/>
    <w:rsid w:val="00E86112"/>
    <w:rsid w:val="00E86254"/>
    <w:rsid w:val="00E862F1"/>
    <w:rsid w:val="00E8661C"/>
    <w:rsid w:val="00E8697B"/>
    <w:rsid w:val="00E86B04"/>
    <w:rsid w:val="00E86BB7"/>
    <w:rsid w:val="00E86D92"/>
    <w:rsid w:val="00E86FD7"/>
    <w:rsid w:val="00E870BB"/>
    <w:rsid w:val="00E8721F"/>
    <w:rsid w:val="00E87432"/>
    <w:rsid w:val="00E87AC4"/>
    <w:rsid w:val="00E87B20"/>
    <w:rsid w:val="00E87C3C"/>
    <w:rsid w:val="00E87C6C"/>
    <w:rsid w:val="00E87DC2"/>
    <w:rsid w:val="00E87EA1"/>
    <w:rsid w:val="00E90014"/>
    <w:rsid w:val="00E90499"/>
    <w:rsid w:val="00E904C0"/>
    <w:rsid w:val="00E90583"/>
    <w:rsid w:val="00E90BC4"/>
    <w:rsid w:val="00E90C0A"/>
    <w:rsid w:val="00E90F3F"/>
    <w:rsid w:val="00E910C6"/>
    <w:rsid w:val="00E9114A"/>
    <w:rsid w:val="00E9127C"/>
    <w:rsid w:val="00E912FF"/>
    <w:rsid w:val="00E9183D"/>
    <w:rsid w:val="00E91A56"/>
    <w:rsid w:val="00E91B92"/>
    <w:rsid w:val="00E91C0B"/>
    <w:rsid w:val="00E91C25"/>
    <w:rsid w:val="00E91C45"/>
    <w:rsid w:val="00E91E9A"/>
    <w:rsid w:val="00E920DE"/>
    <w:rsid w:val="00E9218B"/>
    <w:rsid w:val="00E92288"/>
    <w:rsid w:val="00E922C1"/>
    <w:rsid w:val="00E92463"/>
    <w:rsid w:val="00E926A9"/>
    <w:rsid w:val="00E927EC"/>
    <w:rsid w:val="00E92B06"/>
    <w:rsid w:val="00E92C14"/>
    <w:rsid w:val="00E92C50"/>
    <w:rsid w:val="00E92DA0"/>
    <w:rsid w:val="00E92F4B"/>
    <w:rsid w:val="00E92FDD"/>
    <w:rsid w:val="00E93085"/>
    <w:rsid w:val="00E93242"/>
    <w:rsid w:val="00E9362B"/>
    <w:rsid w:val="00E93817"/>
    <w:rsid w:val="00E93C88"/>
    <w:rsid w:val="00E93C9E"/>
    <w:rsid w:val="00E93CBB"/>
    <w:rsid w:val="00E93CD6"/>
    <w:rsid w:val="00E9411C"/>
    <w:rsid w:val="00E943B8"/>
    <w:rsid w:val="00E94444"/>
    <w:rsid w:val="00E947CD"/>
    <w:rsid w:val="00E949D8"/>
    <w:rsid w:val="00E94A17"/>
    <w:rsid w:val="00E94B28"/>
    <w:rsid w:val="00E94B40"/>
    <w:rsid w:val="00E94C20"/>
    <w:rsid w:val="00E94DE4"/>
    <w:rsid w:val="00E94EBD"/>
    <w:rsid w:val="00E9501E"/>
    <w:rsid w:val="00E95415"/>
    <w:rsid w:val="00E95539"/>
    <w:rsid w:val="00E95848"/>
    <w:rsid w:val="00E95932"/>
    <w:rsid w:val="00E95943"/>
    <w:rsid w:val="00E95B6F"/>
    <w:rsid w:val="00E95CDD"/>
    <w:rsid w:val="00E95DCC"/>
    <w:rsid w:val="00E95E4E"/>
    <w:rsid w:val="00E95FB0"/>
    <w:rsid w:val="00E96071"/>
    <w:rsid w:val="00E963A2"/>
    <w:rsid w:val="00E96413"/>
    <w:rsid w:val="00E96683"/>
    <w:rsid w:val="00E967AB"/>
    <w:rsid w:val="00E96887"/>
    <w:rsid w:val="00E96A82"/>
    <w:rsid w:val="00E96B28"/>
    <w:rsid w:val="00E96B89"/>
    <w:rsid w:val="00E96C63"/>
    <w:rsid w:val="00E96E62"/>
    <w:rsid w:val="00E96FA2"/>
    <w:rsid w:val="00E9710B"/>
    <w:rsid w:val="00E97602"/>
    <w:rsid w:val="00E97610"/>
    <w:rsid w:val="00E97613"/>
    <w:rsid w:val="00E97A94"/>
    <w:rsid w:val="00E97C76"/>
    <w:rsid w:val="00E97E58"/>
    <w:rsid w:val="00E97F02"/>
    <w:rsid w:val="00EA0167"/>
    <w:rsid w:val="00EA0346"/>
    <w:rsid w:val="00EA06D3"/>
    <w:rsid w:val="00EA09BB"/>
    <w:rsid w:val="00EA0B17"/>
    <w:rsid w:val="00EA0E34"/>
    <w:rsid w:val="00EA135C"/>
    <w:rsid w:val="00EA15EC"/>
    <w:rsid w:val="00EA1777"/>
    <w:rsid w:val="00EA196D"/>
    <w:rsid w:val="00EA1A29"/>
    <w:rsid w:val="00EA1A45"/>
    <w:rsid w:val="00EA1A46"/>
    <w:rsid w:val="00EA1A89"/>
    <w:rsid w:val="00EA1B1D"/>
    <w:rsid w:val="00EA1C69"/>
    <w:rsid w:val="00EA1DEA"/>
    <w:rsid w:val="00EA204D"/>
    <w:rsid w:val="00EA222D"/>
    <w:rsid w:val="00EA2290"/>
    <w:rsid w:val="00EA2557"/>
    <w:rsid w:val="00EA2747"/>
    <w:rsid w:val="00EA274F"/>
    <w:rsid w:val="00EA27C3"/>
    <w:rsid w:val="00EA283C"/>
    <w:rsid w:val="00EA29C4"/>
    <w:rsid w:val="00EA2BC8"/>
    <w:rsid w:val="00EA30BB"/>
    <w:rsid w:val="00EA30E1"/>
    <w:rsid w:val="00EA3152"/>
    <w:rsid w:val="00EA3181"/>
    <w:rsid w:val="00EA3621"/>
    <w:rsid w:val="00EA3DD1"/>
    <w:rsid w:val="00EA3E5E"/>
    <w:rsid w:val="00EA4019"/>
    <w:rsid w:val="00EA41FA"/>
    <w:rsid w:val="00EA423D"/>
    <w:rsid w:val="00EA468A"/>
    <w:rsid w:val="00EA46E9"/>
    <w:rsid w:val="00EA48B0"/>
    <w:rsid w:val="00EA4C90"/>
    <w:rsid w:val="00EA4CFB"/>
    <w:rsid w:val="00EA50E9"/>
    <w:rsid w:val="00EA54F2"/>
    <w:rsid w:val="00EA5882"/>
    <w:rsid w:val="00EA59F1"/>
    <w:rsid w:val="00EA5A4A"/>
    <w:rsid w:val="00EA5B00"/>
    <w:rsid w:val="00EA5B45"/>
    <w:rsid w:val="00EA5C40"/>
    <w:rsid w:val="00EA5F01"/>
    <w:rsid w:val="00EA5FDE"/>
    <w:rsid w:val="00EA6078"/>
    <w:rsid w:val="00EA63AD"/>
    <w:rsid w:val="00EA63F7"/>
    <w:rsid w:val="00EA6693"/>
    <w:rsid w:val="00EA6806"/>
    <w:rsid w:val="00EA6D23"/>
    <w:rsid w:val="00EA6DAE"/>
    <w:rsid w:val="00EA6ED1"/>
    <w:rsid w:val="00EA6F96"/>
    <w:rsid w:val="00EA712A"/>
    <w:rsid w:val="00EA71B4"/>
    <w:rsid w:val="00EA7339"/>
    <w:rsid w:val="00EA744E"/>
    <w:rsid w:val="00EA745A"/>
    <w:rsid w:val="00EA756C"/>
    <w:rsid w:val="00EA766B"/>
    <w:rsid w:val="00EA7729"/>
    <w:rsid w:val="00EA7A23"/>
    <w:rsid w:val="00EB01F6"/>
    <w:rsid w:val="00EB04E4"/>
    <w:rsid w:val="00EB0663"/>
    <w:rsid w:val="00EB07EA"/>
    <w:rsid w:val="00EB0CB0"/>
    <w:rsid w:val="00EB0CD3"/>
    <w:rsid w:val="00EB0D05"/>
    <w:rsid w:val="00EB1016"/>
    <w:rsid w:val="00EB117B"/>
    <w:rsid w:val="00EB1252"/>
    <w:rsid w:val="00EB1389"/>
    <w:rsid w:val="00EB1529"/>
    <w:rsid w:val="00EB152E"/>
    <w:rsid w:val="00EB184E"/>
    <w:rsid w:val="00EB1E63"/>
    <w:rsid w:val="00EB209E"/>
    <w:rsid w:val="00EB2689"/>
    <w:rsid w:val="00EB26B5"/>
    <w:rsid w:val="00EB295D"/>
    <w:rsid w:val="00EB2CA8"/>
    <w:rsid w:val="00EB30BF"/>
    <w:rsid w:val="00EB3214"/>
    <w:rsid w:val="00EB3253"/>
    <w:rsid w:val="00EB327E"/>
    <w:rsid w:val="00EB3340"/>
    <w:rsid w:val="00EB3BA0"/>
    <w:rsid w:val="00EB3E1F"/>
    <w:rsid w:val="00EB4004"/>
    <w:rsid w:val="00EB412A"/>
    <w:rsid w:val="00EB42BC"/>
    <w:rsid w:val="00EB435D"/>
    <w:rsid w:val="00EB43A3"/>
    <w:rsid w:val="00EB44B7"/>
    <w:rsid w:val="00EB48D9"/>
    <w:rsid w:val="00EB499C"/>
    <w:rsid w:val="00EB4C37"/>
    <w:rsid w:val="00EB4DA3"/>
    <w:rsid w:val="00EB51B1"/>
    <w:rsid w:val="00EB51EC"/>
    <w:rsid w:val="00EB5459"/>
    <w:rsid w:val="00EB5733"/>
    <w:rsid w:val="00EB5779"/>
    <w:rsid w:val="00EB5AE2"/>
    <w:rsid w:val="00EB5B56"/>
    <w:rsid w:val="00EB5B60"/>
    <w:rsid w:val="00EB5C38"/>
    <w:rsid w:val="00EB5CB9"/>
    <w:rsid w:val="00EB5CD1"/>
    <w:rsid w:val="00EB5CEC"/>
    <w:rsid w:val="00EB5DFE"/>
    <w:rsid w:val="00EB5F82"/>
    <w:rsid w:val="00EB6064"/>
    <w:rsid w:val="00EB608A"/>
    <w:rsid w:val="00EB64E2"/>
    <w:rsid w:val="00EB6B53"/>
    <w:rsid w:val="00EB700A"/>
    <w:rsid w:val="00EB743A"/>
    <w:rsid w:val="00EB7733"/>
    <w:rsid w:val="00EB783C"/>
    <w:rsid w:val="00EB7859"/>
    <w:rsid w:val="00EB79AF"/>
    <w:rsid w:val="00EB7C34"/>
    <w:rsid w:val="00EB7CD6"/>
    <w:rsid w:val="00EB7DE2"/>
    <w:rsid w:val="00EB7F10"/>
    <w:rsid w:val="00EC01B0"/>
    <w:rsid w:val="00EC01C5"/>
    <w:rsid w:val="00EC02A7"/>
    <w:rsid w:val="00EC044B"/>
    <w:rsid w:val="00EC04F3"/>
    <w:rsid w:val="00EC07EF"/>
    <w:rsid w:val="00EC087F"/>
    <w:rsid w:val="00EC0B76"/>
    <w:rsid w:val="00EC0C33"/>
    <w:rsid w:val="00EC0C69"/>
    <w:rsid w:val="00EC0D82"/>
    <w:rsid w:val="00EC0F6B"/>
    <w:rsid w:val="00EC1199"/>
    <w:rsid w:val="00EC1214"/>
    <w:rsid w:val="00EC12CC"/>
    <w:rsid w:val="00EC164E"/>
    <w:rsid w:val="00EC185C"/>
    <w:rsid w:val="00EC18DA"/>
    <w:rsid w:val="00EC193B"/>
    <w:rsid w:val="00EC1986"/>
    <w:rsid w:val="00EC1AF4"/>
    <w:rsid w:val="00EC1CD4"/>
    <w:rsid w:val="00EC1F19"/>
    <w:rsid w:val="00EC1FD6"/>
    <w:rsid w:val="00EC25E5"/>
    <w:rsid w:val="00EC25F0"/>
    <w:rsid w:val="00EC26A9"/>
    <w:rsid w:val="00EC284B"/>
    <w:rsid w:val="00EC296A"/>
    <w:rsid w:val="00EC2988"/>
    <w:rsid w:val="00EC2A70"/>
    <w:rsid w:val="00EC2F23"/>
    <w:rsid w:val="00EC30A2"/>
    <w:rsid w:val="00EC322B"/>
    <w:rsid w:val="00EC3348"/>
    <w:rsid w:val="00EC34B2"/>
    <w:rsid w:val="00EC3782"/>
    <w:rsid w:val="00EC397A"/>
    <w:rsid w:val="00EC39F2"/>
    <w:rsid w:val="00EC3AEA"/>
    <w:rsid w:val="00EC3BD7"/>
    <w:rsid w:val="00EC3E62"/>
    <w:rsid w:val="00EC4033"/>
    <w:rsid w:val="00EC411F"/>
    <w:rsid w:val="00EC41F1"/>
    <w:rsid w:val="00EC4253"/>
    <w:rsid w:val="00EC43E8"/>
    <w:rsid w:val="00EC4412"/>
    <w:rsid w:val="00EC44E1"/>
    <w:rsid w:val="00EC47D8"/>
    <w:rsid w:val="00EC48C0"/>
    <w:rsid w:val="00EC495F"/>
    <w:rsid w:val="00EC4A2A"/>
    <w:rsid w:val="00EC4B7C"/>
    <w:rsid w:val="00EC52F2"/>
    <w:rsid w:val="00EC56E8"/>
    <w:rsid w:val="00EC5BA5"/>
    <w:rsid w:val="00EC5D24"/>
    <w:rsid w:val="00EC5E59"/>
    <w:rsid w:val="00EC600A"/>
    <w:rsid w:val="00EC6016"/>
    <w:rsid w:val="00EC60C3"/>
    <w:rsid w:val="00EC645B"/>
    <w:rsid w:val="00EC65DC"/>
    <w:rsid w:val="00EC670F"/>
    <w:rsid w:val="00EC67C5"/>
    <w:rsid w:val="00EC67F1"/>
    <w:rsid w:val="00EC685A"/>
    <w:rsid w:val="00EC68C9"/>
    <w:rsid w:val="00EC698A"/>
    <w:rsid w:val="00EC6CC9"/>
    <w:rsid w:val="00EC6D59"/>
    <w:rsid w:val="00EC6DF0"/>
    <w:rsid w:val="00EC6EFE"/>
    <w:rsid w:val="00EC723C"/>
    <w:rsid w:val="00EC7439"/>
    <w:rsid w:val="00EC74A8"/>
    <w:rsid w:val="00EC777C"/>
    <w:rsid w:val="00EC7B22"/>
    <w:rsid w:val="00EC7E11"/>
    <w:rsid w:val="00ED0211"/>
    <w:rsid w:val="00ED021B"/>
    <w:rsid w:val="00ED059B"/>
    <w:rsid w:val="00ED0604"/>
    <w:rsid w:val="00ED0C6B"/>
    <w:rsid w:val="00ED0E20"/>
    <w:rsid w:val="00ED0E81"/>
    <w:rsid w:val="00ED1059"/>
    <w:rsid w:val="00ED130A"/>
    <w:rsid w:val="00ED153E"/>
    <w:rsid w:val="00ED1933"/>
    <w:rsid w:val="00ED1C83"/>
    <w:rsid w:val="00ED1FC1"/>
    <w:rsid w:val="00ED2124"/>
    <w:rsid w:val="00ED21E1"/>
    <w:rsid w:val="00ED21F9"/>
    <w:rsid w:val="00ED2564"/>
    <w:rsid w:val="00ED27DB"/>
    <w:rsid w:val="00ED283E"/>
    <w:rsid w:val="00ED28C8"/>
    <w:rsid w:val="00ED2ED3"/>
    <w:rsid w:val="00ED2F12"/>
    <w:rsid w:val="00ED2F67"/>
    <w:rsid w:val="00ED330A"/>
    <w:rsid w:val="00ED3356"/>
    <w:rsid w:val="00ED33D7"/>
    <w:rsid w:val="00ED389B"/>
    <w:rsid w:val="00ED395E"/>
    <w:rsid w:val="00ED3DB0"/>
    <w:rsid w:val="00ED3EE4"/>
    <w:rsid w:val="00ED3FAE"/>
    <w:rsid w:val="00ED3FF9"/>
    <w:rsid w:val="00ED40C0"/>
    <w:rsid w:val="00ED4504"/>
    <w:rsid w:val="00ED46EE"/>
    <w:rsid w:val="00ED4A77"/>
    <w:rsid w:val="00ED4A88"/>
    <w:rsid w:val="00ED4A9A"/>
    <w:rsid w:val="00ED4B42"/>
    <w:rsid w:val="00ED4CEE"/>
    <w:rsid w:val="00ED4FC9"/>
    <w:rsid w:val="00ED4FE1"/>
    <w:rsid w:val="00ED511F"/>
    <w:rsid w:val="00ED5165"/>
    <w:rsid w:val="00ED51AB"/>
    <w:rsid w:val="00ED527D"/>
    <w:rsid w:val="00ED53C9"/>
    <w:rsid w:val="00ED53CC"/>
    <w:rsid w:val="00ED5522"/>
    <w:rsid w:val="00ED57BE"/>
    <w:rsid w:val="00ED5A4B"/>
    <w:rsid w:val="00ED5D0D"/>
    <w:rsid w:val="00ED5DBC"/>
    <w:rsid w:val="00ED5EDA"/>
    <w:rsid w:val="00ED6154"/>
    <w:rsid w:val="00ED61AB"/>
    <w:rsid w:val="00ED6310"/>
    <w:rsid w:val="00ED63D5"/>
    <w:rsid w:val="00ED63EF"/>
    <w:rsid w:val="00ED648D"/>
    <w:rsid w:val="00ED6935"/>
    <w:rsid w:val="00ED6AC0"/>
    <w:rsid w:val="00ED6D44"/>
    <w:rsid w:val="00ED6DD2"/>
    <w:rsid w:val="00ED719A"/>
    <w:rsid w:val="00ED7A67"/>
    <w:rsid w:val="00ED7B41"/>
    <w:rsid w:val="00ED7C0E"/>
    <w:rsid w:val="00ED7E7F"/>
    <w:rsid w:val="00ED7F76"/>
    <w:rsid w:val="00EE0072"/>
    <w:rsid w:val="00EE0113"/>
    <w:rsid w:val="00EE03E3"/>
    <w:rsid w:val="00EE05AF"/>
    <w:rsid w:val="00EE0AB9"/>
    <w:rsid w:val="00EE0E15"/>
    <w:rsid w:val="00EE103C"/>
    <w:rsid w:val="00EE1229"/>
    <w:rsid w:val="00EE1269"/>
    <w:rsid w:val="00EE1426"/>
    <w:rsid w:val="00EE14FA"/>
    <w:rsid w:val="00EE152F"/>
    <w:rsid w:val="00EE16D4"/>
    <w:rsid w:val="00EE173C"/>
    <w:rsid w:val="00EE17E0"/>
    <w:rsid w:val="00EE18EF"/>
    <w:rsid w:val="00EE1C57"/>
    <w:rsid w:val="00EE1E14"/>
    <w:rsid w:val="00EE1F1D"/>
    <w:rsid w:val="00EE207F"/>
    <w:rsid w:val="00EE20CA"/>
    <w:rsid w:val="00EE23C7"/>
    <w:rsid w:val="00EE2C75"/>
    <w:rsid w:val="00EE2C87"/>
    <w:rsid w:val="00EE2F48"/>
    <w:rsid w:val="00EE30CB"/>
    <w:rsid w:val="00EE30F7"/>
    <w:rsid w:val="00EE327A"/>
    <w:rsid w:val="00EE336D"/>
    <w:rsid w:val="00EE3546"/>
    <w:rsid w:val="00EE360C"/>
    <w:rsid w:val="00EE3700"/>
    <w:rsid w:val="00EE3808"/>
    <w:rsid w:val="00EE3BA9"/>
    <w:rsid w:val="00EE3D53"/>
    <w:rsid w:val="00EE3D60"/>
    <w:rsid w:val="00EE3D90"/>
    <w:rsid w:val="00EE4096"/>
    <w:rsid w:val="00EE4189"/>
    <w:rsid w:val="00EE4261"/>
    <w:rsid w:val="00EE42AE"/>
    <w:rsid w:val="00EE4361"/>
    <w:rsid w:val="00EE43B3"/>
    <w:rsid w:val="00EE48DA"/>
    <w:rsid w:val="00EE4A2A"/>
    <w:rsid w:val="00EE4BD2"/>
    <w:rsid w:val="00EE4C4B"/>
    <w:rsid w:val="00EE4CB0"/>
    <w:rsid w:val="00EE4CCF"/>
    <w:rsid w:val="00EE4D49"/>
    <w:rsid w:val="00EE4D62"/>
    <w:rsid w:val="00EE4DCE"/>
    <w:rsid w:val="00EE4DFC"/>
    <w:rsid w:val="00EE5001"/>
    <w:rsid w:val="00EE512D"/>
    <w:rsid w:val="00EE52F9"/>
    <w:rsid w:val="00EE5338"/>
    <w:rsid w:val="00EE5517"/>
    <w:rsid w:val="00EE55CD"/>
    <w:rsid w:val="00EE56AA"/>
    <w:rsid w:val="00EE5749"/>
    <w:rsid w:val="00EE57C2"/>
    <w:rsid w:val="00EE57F3"/>
    <w:rsid w:val="00EE5899"/>
    <w:rsid w:val="00EE5915"/>
    <w:rsid w:val="00EE59BA"/>
    <w:rsid w:val="00EE59C8"/>
    <w:rsid w:val="00EE5A2C"/>
    <w:rsid w:val="00EE5BB5"/>
    <w:rsid w:val="00EE5D9C"/>
    <w:rsid w:val="00EE5ECB"/>
    <w:rsid w:val="00EE61A2"/>
    <w:rsid w:val="00EE653A"/>
    <w:rsid w:val="00EE6550"/>
    <w:rsid w:val="00EE65A4"/>
    <w:rsid w:val="00EE6A3C"/>
    <w:rsid w:val="00EE6A9D"/>
    <w:rsid w:val="00EE6B07"/>
    <w:rsid w:val="00EE6BE1"/>
    <w:rsid w:val="00EE7075"/>
    <w:rsid w:val="00EE73FA"/>
    <w:rsid w:val="00EE7C08"/>
    <w:rsid w:val="00EE7D6D"/>
    <w:rsid w:val="00EE7EC3"/>
    <w:rsid w:val="00EE7F52"/>
    <w:rsid w:val="00EF00CE"/>
    <w:rsid w:val="00EF0179"/>
    <w:rsid w:val="00EF0338"/>
    <w:rsid w:val="00EF07FD"/>
    <w:rsid w:val="00EF0849"/>
    <w:rsid w:val="00EF0925"/>
    <w:rsid w:val="00EF0A39"/>
    <w:rsid w:val="00EF0D00"/>
    <w:rsid w:val="00EF0E15"/>
    <w:rsid w:val="00EF0F8F"/>
    <w:rsid w:val="00EF0FE2"/>
    <w:rsid w:val="00EF103C"/>
    <w:rsid w:val="00EF118B"/>
    <w:rsid w:val="00EF1282"/>
    <w:rsid w:val="00EF135A"/>
    <w:rsid w:val="00EF15DA"/>
    <w:rsid w:val="00EF1861"/>
    <w:rsid w:val="00EF18DA"/>
    <w:rsid w:val="00EF1988"/>
    <w:rsid w:val="00EF1A04"/>
    <w:rsid w:val="00EF1D95"/>
    <w:rsid w:val="00EF1EFB"/>
    <w:rsid w:val="00EF1FD3"/>
    <w:rsid w:val="00EF2048"/>
    <w:rsid w:val="00EF2136"/>
    <w:rsid w:val="00EF269E"/>
    <w:rsid w:val="00EF26A4"/>
    <w:rsid w:val="00EF2753"/>
    <w:rsid w:val="00EF2887"/>
    <w:rsid w:val="00EF289C"/>
    <w:rsid w:val="00EF2980"/>
    <w:rsid w:val="00EF2A90"/>
    <w:rsid w:val="00EF2B58"/>
    <w:rsid w:val="00EF2E32"/>
    <w:rsid w:val="00EF2FCF"/>
    <w:rsid w:val="00EF3198"/>
    <w:rsid w:val="00EF3327"/>
    <w:rsid w:val="00EF33B0"/>
    <w:rsid w:val="00EF363E"/>
    <w:rsid w:val="00EF3680"/>
    <w:rsid w:val="00EF3841"/>
    <w:rsid w:val="00EF3906"/>
    <w:rsid w:val="00EF3D6A"/>
    <w:rsid w:val="00EF3DC7"/>
    <w:rsid w:val="00EF3F76"/>
    <w:rsid w:val="00EF4086"/>
    <w:rsid w:val="00EF41AC"/>
    <w:rsid w:val="00EF42CC"/>
    <w:rsid w:val="00EF4673"/>
    <w:rsid w:val="00EF47E0"/>
    <w:rsid w:val="00EF480F"/>
    <w:rsid w:val="00EF4CB7"/>
    <w:rsid w:val="00EF4DDF"/>
    <w:rsid w:val="00EF4FAB"/>
    <w:rsid w:val="00EF50E6"/>
    <w:rsid w:val="00EF534E"/>
    <w:rsid w:val="00EF53AA"/>
    <w:rsid w:val="00EF5608"/>
    <w:rsid w:val="00EF56D2"/>
    <w:rsid w:val="00EF57C0"/>
    <w:rsid w:val="00EF5AA5"/>
    <w:rsid w:val="00EF6035"/>
    <w:rsid w:val="00EF6261"/>
    <w:rsid w:val="00EF629B"/>
    <w:rsid w:val="00EF6338"/>
    <w:rsid w:val="00EF659F"/>
    <w:rsid w:val="00EF675E"/>
    <w:rsid w:val="00EF6987"/>
    <w:rsid w:val="00EF6D3C"/>
    <w:rsid w:val="00EF6D6E"/>
    <w:rsid w:val="00EF6E43"/>
    <w:rsid w:val="00EF6E64"/>
    <w:rsid w:val="00EF6F8F"/>
    <w:rsid w:val="00EF6F9F"/>
    <w:rsid w:val="00EF7033"/>
    <w:rsid w:val="00EF7173"/>
    <w:rsid w:val="00EF73BB"/>
    <w:rsid w:val="00EF743D"/>
    <w:rsid w:val="00EF74F8"/>
    <w:rsid w:val="00EF7620"/>
    <w:rsid w:val="00EF7677"/>
    <w:rsid w:val="00EF77DD"/>
    <w:rsid w:val="00EF795C"/>
    <w:rsid w:val="00EF79AD"/>
    <w:rsid w:val="00EF7BC1"/>
    <w:rsid w:val="00EF7E2D"/>
    <w:rsid w:val="00EF7EA0"/>
    <w:rsid w:val="00EF7F91"/>
    <w:rsid w:val="00F00109"/>
    <w:rsid w:val="00F00219"/>
    <w:rsid w:val="00F0023D"/>
    <w:rsid w:val="00F0034D"/>
    <w:rsid w:val="00F00397"/>
    <w:rsid w:val="00F0073E"/>
    <w:rsid w:val="00F009D7"/>
    <w:rsid w:val="00F00E53"/>
    <w:rsid w:val="00F00F03"/>
    <w:rsid w:val="00F010A4"/>
    <w:rsid w:val="00F01316"/>
    <w:rsid w:val="00F01391"/>
    <w:rsid w:val="00F013CE"/>
    <w:rsid w:val="00F0161D"/>
    <w:rsid w:val="00F01959"/>
    <w:rsid w:val="00F01DC8"/>
    <w:rsid w:val="00F01F4E"/>
    <w:rsid w:val="00F0286C"/>
    <w:rsid w:val="00F028E5"/>
    <w:rsid w:val="00F02B28"/>
    <w:rsid w:val="00F02D18"/>
    <w:rsid w:val="00F03059"/>
    <w:rsid w:val="00F0312A"/>
    <w:rsid w:val="00F03137"/>
    <w:rsid w:val="00F03272"/>
    <w:rsid w:val="00F03386"/>
    <w:rsid w:val="00F03395"/>
    <w:rsid w:val="00F03548"/>
    <w:rsid w:val="00F03656"/>
    <w:rsid w:val="00F03A8B"/>
    <w:rsid w:val="00F03BB5"/>
    <w:rsid w:val="00F03D66"/>
    <w:rsid w:val="00F03EB5"/>
    <w:rsid w:val="00F041E1"/>
    <w:rsid w:val="00F043E3"/>
    <w:rsid w:val="00F04477"/>
    <w:rsid w:val="00F045B9"/>
    <w:rsid w:val="00F04671"/>
    <w:rsid w:val="00F046F4"/>
    <w:rsid w:val="00F04750"/>
    <w:rsid w:val="00F04ACD"/>
    <w:rsid w:val="00F04C36"/>
    <w:rsid w:val="00F04E22"/>
    <w:rsid w:val="00F04ED3"/>
    <w:rsid w:val="00F051E7"/>
    <w:rsid w:val="00F05571"/>
    <w:rsid w:val="00F05640"/>
    <w:rsid w:val="00F05668"/>
    <w:rsid w:val="00F05727"/>
    <w:rsid w:val="00F05752"/>
    <w:rsid w:val="00F05758"/>
    <w:rsid w:val="00F05A8A"/>
    <w:rsid w:val="00F05D98"/>
    <w:rsid w:val="00F05F3A"/>
    <w:rsid w:val="00F06093"/>
    <w:rsid w:val="00F061FC"/>
    <w:rsid w:val="00F06479"/>
    <w:rsid w:val="00F065F3"/>
    <w:rsid w:val="00F06C10"/>
    <w:rsid w:val="00F06D20"/>
    <w:rsid w:val="00F06E81"/>
    <w:rsid w:val="00F07060"/>
    <w:rsid w:val="00F071CB"/>
    <w:rsid w:val="00F07205"/>
    <w:rsid w:val="00F07549"/>
    <w:rsid w:val="00F07983"/>
    <w:rsid w:val="00F07A68"/>
    <w:rsid w:val="00F07B88"/>
    <w:rsid w:val="00F07DA1"/>
    <w:rsid w:val="00F07DF3"/>
    <w:rsid w:val="00F10003"/>
    <w:rsid w:val="00F1003F"/>
    <w:rsid w:val="00F10176"/>
    <w:rsid w:val="00F1025A"/>
    <w:rsid w:val="00F102FA"/>
    <w:rsid w:val="00F10457"/>
    <w:rsid w:val="00F10581"/>
    <w:rsid w:val="00F1073A"/>
    <w:rsid w:val="00F10794"/>
    <w:rsid w:val="00F10B77"/>
    <w:rsid w:val="00F10BEF"/>
    <w:rsid w:val="00F10F86"/>
    <w:rsid w:val="00F111C6"/>
    <w:rsid w:val="00F1120B"/>
    <w:rsid w:val="00F11231"/>
    <w:rsid w:val="00F1124D"/>
    <w:rsid w:val="00F11301"/>
    <w:rsid w:val="00F113E8"/>
    <w:rsid w:val="00F117E4"/>
    <w:rsid w:val="00F11D49"/>
    <w:rsid w:val="00F12168"/>
    <w:rsid w:val="00F1223D"/>
    <w:rsid w:val="00F122A5"/>
    <w:rsid w:val="00F122E4"/>
    <w:rsid w:val="00F12501"/>
    <w:rsid w:val="00F12539"/>
    <w:rsid w:val="00F125BC"/>
    <w:rsid w:val="00F128E1"/>
    <w:rsid w:val="00F12B1F"/>
    <w:rsid w:val="00F130FC"/>
    <w:rsid w:val="00F13198"/>
    <w:rsid w:val="00F1347E"/>
    <w:rsid w:val="00F13699"/>
    <w:rsid w:val="00F13888"/>
    <w:rsid w:val="00F139AF"/>
    <w:rsid w:val="00F13C20"/>
    <w:rsid w:val="00F13CBD"/>
    <w:rsid w:val="00F13CCB"/>
    <w:rsid w:val="00F1423F"/>
    <w:rsid w:val="00F14292"/>
    <w:rsid w:val="00F142F4"/>
    <w:rsid w:val="00F1444F"/>
    <w:rsid w:val="00F14614"/>
    <w:rsid w:val="00F1479F"/>
    <w:rsid w:val="00F1483E"/>
    <w:rsid w:val="00F14ED7"/>
    <w:rsid w:val="00F14F04"/>
    <w:rsid w:val="00F15189"/>
    <w:rsid w:val="00F1518C"/>
    <w:rsid w:val="00F15325"/>
    <w:rsid w:val="00F1532E"/>
    <w:rsid w:val="00F153D1"/>
    <w:rsid w:val="00F15427"/>
    <w:rsid w:val="00F1558C"/>
    <w:rsid w:val="00F157A2"/>
    <w:rsid w:val="00F157E2"/>
    <w:rsid w:val="00F15A66"/>
    <w:rsid w:val="00F15D97"/>
    <w:rsid w:val="00F15E70"/>
    <w:rsid w:val="00F15E83"/>
    <w:rsid w:val="00F15F5C"/>
    <w:rsid w:val="00F16218"/>
    <w:rsid w:val="00F162FC"/>
    <w:rsid w:val="00F165E8"/>
    <w:rsid w:val="00F166DC"/>
    <w:rsid w:val="00F16E4C"/>
    <w:rsid w:val="00F170D0"/>
    <w:rsid w:val="00F173DF"/>
    <w:rsid w:val="00F174F1"/>
    <w:rsid w:val="00F176F9"/>
    <w:rsid w:val="00F17BD0"/>
    <w:rsid w:val="00F17E56"/>
    <w:rsid w:val="00F17EEA"/>
    <w:rsid w:val="00F17F23"/>
    <w:rsid w:val="00F17FCE"/>
    <w:rsid w:val="00F17FE1"/>
    <w:rsid w:val="00F20013"/>
    <w:rsid w:val="00F202F2"/>
    <w:rsid w:val="00F20313"/>
    <w:rsid w:val="00F204F0"/>
    <w:rsid w:val="00F20577"/>
    <w:rsid w:val="00F2057E"/>
    <w:rsid w:val="00F2058B"/>
    <w:rsid w:val="00F20857"/>
    <w:rsid w:val="00F20A7D"/>
    <w:rsid w:val="00F20C74"/>
    <w:rsid w:val="00F20D35"/>
    <w:rsid w:val="00F20EDE"/>
    <w:rsid w:val="00F212B4"/>
    <w:rsid w:val="00F213C1"/>
    <w:rsid w:val="00F21482"/>
    <w:rsid w:val="00F21539"/>
    <w:rsid w:val="00F2154C"/>
    <w:rsid w:val="00F21674"/>
    <w:rsid w:val="00F21922"/>
    <w:rsid w:val="00F21D14"/>
    <w:rsid w:val="00F21DFE"/>
    <w:rsid w:val="00F22201"/>
    <w:rsid w:val="00F224ED"/>
    <w:rsid w:val="00F225F8"/>
    <w:rsid w:val="00F22820"/>
    <w:rsid w:val="00F2288E"/>
    <w:rsid w:val="00F22E33"/>
    <w:rsid w:val="00F22F60"/>
    <w:rsid w:val="00F23266"/>
    <w:rsid w:val="00F233BC"/>
    <w:rsid w:val="00F23452"/>
    <w:rsid w:val="00F235F7"/>
    <w:rsid w:val="00F237C4"/>
    <w:rsid w:val="00F23871"/>
    <w:rsid w:val="00F23876"/>
    <w:rsid w:val="00F2395A"/>
    <w:rsid w:val="00F24063"/>
    <w:rsid w:val="00F240BC"/>
    <w:rsid w:val="00F244E9"/>
    <w:rsid w:val="00F24626"/>
    <w:rsid w:val="00F24648"/>
    <w:rsid w:val="00F248FC"/>
    <w:rsid w:val="00F24B41"/>
    <w:rsid w:val="00F24E35"/>
    <w:rsid w:val="00F24FCC"/>
    <w:rsid w:val="00F251BA"/>
    <w:rsid w:val="00F25457"/>
    <w:rsid w:val="00F2546A"/>
    <w:rsid w:val="00F2560B"/>
    <w:rsid w:val="00F2573C"/>
    <w:rsid w:val="00F25878"/>
    <w:rsid w:val="00F2602C"/>
    <w:rsid w:val="00F2632D"/>
    <w:rsid w:val="00F263DC"/>
    <w:rsid w:val="00F263ED"/>
    <w:rsid w:val="00F265B8"/>
    <w:rsid w:val="00F2674A"/>
    <w:rsid w:val="00F26758"/>
    <w:rsid w:val="00F26B3E"/>
    <w:rsid w:val="00F26B96"/>
    <w:rsid w:val="00F26E6D"/>
    <w:rsid w:val="00F26E95"/>
    <w:rsid w:val="00F2706E"/>
    <w:rsid w:val="00F2722D"/>
    <w:rsid w:val="00F27260"/>
    <w:rsid w:val="00F2745C"/>
    <w:rsid w:val="00F274C9"/>
    <w:rsid w:val="00F275B3"/>
    <w:rsid w:val="00F2761F"/>
    <w:rsid w:val="00F276D5"/>
    <w:rsid w:val="00F27B51"/>
    <w:rsid w:val="00F27BCE"/>
    <w:rsid w:val="00F27DE3"/>
    <w:rsid w:val="00F300D4"/>
    <w:rsid w:val="00F302DD"/>
    <w:rsid w:val="00F30339"/>
    <w:rsid w:val="00F3039A"/>
    <w:rsid w:val="00F3074B"/>
    <w:rsid w:val="00F30793"/>
    <w:rsid w:val="00F3081C"/>
    <w:rsid w:val="00F310B0"/>
    <w:rsid w:val="00F310C4"/>
    <w:rsid w:val="00F3110E"/>
    <w:rsid w:val="00F3116A"/>
    <w:rsid w:val="00F31171"/>
    <w:rsid w:val="00F31269"/>
    <w:rsid w:val="00F314BF"/>
    <w:rsid w:val="00F3157F"/>
    <w:rsid w:val="00F316F0"/>
    <w:rsid w:val="00F31719"/>
    <w:rsid w:val="00F3174C"/>
    <w:rsid w:val="00F3178B"/>
    <w:rsid w:val="00F31815"/>
    <w:rsid w:val="00F31B9F"/>
    <w:rsid w:val="00F31D7E"/>
    <w:rsid w:val="00F31F09"/>
    <w:rsid w:val="00F3201D"/>
    <w:rsid w:val="00F32084"/>
    <w:rsid w:val="00F32380"/>
    <w:rsid w:val="00F323E7"/>
    <w:rsid w:val="00F32523"/>
    <w:rsid w:val="00F3256B"/>
    <w:rsid w:val="00F325D0"/>
    <w:rsid w:val="00F32626"/>
    <w:rsid w:val="00F32888"/>
    <w:rsid w:val="00F329F2"/>
    <w:rsid w:val="00F32C8A"/>
    <w:rsid w:val="00F32D21"/>
    <w:rsid w:val="00F32D7E"/>
    <w:rsid w:val="00F32E27"/>
    <w:rsid w:val="00F3308E"/>
    <w:rsid w:val="00F33196"/>
    <w:rsid w:val="00F33350"/>
    <w:rsid w:val="00F33580"/>
    <w:rsid w:val="00F3374A"/>
    <w:rsid w:val="00F33777"/>
    <w:rsid w:val="00F3394C"/>
    <w:rsid w:val="00F339C8"/>
    <w:rsid w:val="00F33A0C"/>
    <w:rsid w:val="00F33F07"/>
    <w:rsid w:val="00F34045"/>
    <w:rsid w:val="00F34139"/>
    <w:rsid w:val="00F342B5"/>
    <w:rsid w:val="00F34362"/>
    <w:rsid w:val="00F34604"/>
    <w:rsid w:val="00F347C4"/>
    <w:rsid w:val="00F34917"/>
    <w:rsid w:val="00F34995"/>
    <w:rsid w:val="00F34CEE"/>
    <w:rsid w:val="00F35089"/>
    <w:rsid w:val="00F351A1"/>
    <w:rsid w:val="00F35542"/>
    <w:rsid w:val="00F358BF"/>
    <w:rsid w:val="00F35B2C"/>
    <w:rsid w:val="00F3643B"/>
    <w:rsid w:val="00F36640"/>
    <w:rsid w:val="00F367D1"/>
    <w:rsid w:val="00F36CC7"/>
    <w:rsid w:val="00F36F54"/>
    <w:rsid w:val="00F36FB6"/>
    <w:rsid w:val="00F370D6"/>
    <w:rsid w:val="00F37244"/>
    <w:rsid w:val="00F37453"/>
    <w:rsid w:val="00F37581"/>
    <w:rsid w:val="00F375DA"/>
    <w:rsid w:val="00F375E3"/>
    <w:rsid w:val="00F37AC8"/>
    <w:rsid w:val="00F37BA0"/>
    <w:rsid w:val="00F37C24"/>
    <w:rsid w:val="00F37C8C"/>
    <w:rsid w:val="00F37D1A"/>
    <w:rsid w:val="00F37E5C"/>
    <w:rsid w:val="00F37F08"/>
    <w:rsid w:val="00F40039"/>
    <w:rsid w:val="00F40048"/>
    <w:rsid w:val="00F40105"/>
    <w:rsid w:val="00F40352"/>
    <w:rsid w:val="00F404F7"/>
    <w:rsid w:val="00F40647"/>
    <w:rsid w:val="00F40940"/>
    <w:rsid w:val="00F40A14"/>
    <w:rsid w:val="00F40AAD"/>
    <w:rsid w:val="00F40B00"/>
    <w:rsid w:val="00F40BC4"/>
    <w:rsid w:val="00F40C98"/>
    <w:rsid w:val="00F40CFB"/>
    <w:rsid w:val="00F40FCE"/>
    <w:rsid w:val="00F41131"/>
    <w:rsid w:val="00F414B8"/>
    <w:rsid w:val="00F414CB"/>
    <w:rsid w:val="00F4150B"/>
    <w:rsid w:val="00F4197F"/>
    <w:rsid w:val="00F41DB8"/>
    <w:rsid w:val="00F41F13"/>
    <w:rsid w:val="00F421B3"/>
    <w:rsid w:val="00F4220F"/>
    <w:rsid w:val="00F422AB"/>
    <w:rsid w:val="00F422EC"/>
    <w:rsid w:val="00F42449"/>
    <w:rsid w:val="00F425A6"/>
    <w:rsid w:val="00F426B7"/>
    <w:rsid w:val="00F42866"/>
    <w:rsid w:val="00F429E5"/>
    <w:rsid w:val="00F42B23"/>
    <w:rsid w:val="00F42B98"/>
    <w:rsid w:val="00F42C64"/>
    <w:rsid w:val="00F42D0E"/>
    <w:rsid w:val="00F42DC4"/>
    <w:rsid w:val="00F43020"/>
    <w:rsid w:val="00F430E4"/>
    <w:rsid w:val="00F43108"/>
    <w:rsid w:val="00F43164"/>
    <w:rsid w:val="00F43377"/>
    <w:rsid w:val="00F4373B"/>
    <w:rsid w:val="00F43AC1"/>
    <w:rsid w:val="00F43B05"/>
    <w:rsid w:val="00F43CE1"/>
    <w:rsid w:val="00F43CF8"/>
    <w:rsid w:val="00F43D77"/>
    <w:rsid w:val="00F43F84"/>
    <w:rsid w:val="00F44033"/>
    <w:rsid w:val="00F4405B"/>
    <w:rsid w:val="00F44362"/>
    <w:rsid w:val="00F44563"/>
    <w:rsid w:val="00F445B1"/>
    <w:rsid w:val="00F448C0"/>
    <w:rsid w:val="00F448EC"/>
    <w:rsid w:val="00F44DB7"/>
    <w:rsid w:val="00F44FC3"/>
    <w:rsid w:val="00F450A4"/>
    <w:rsid w:val="00F4520E"/>
    <w:rsid w:val="00F45211"/>
    <w:rsid w:val="00F45308"/>
    <w:rsid w:val="00F45313"/>
    <w:rsid w:val="00F456F3"/>
    <w:rsid w:val="00F45790"/>
    <w:rsid w:val="00F458C3"/>
    <w:rsid w:val="00F459C3"/>
    <w:rsid w:val="00F45C83"/>
    <w:rsid w:val="00F462AC"/>
    <w:rsid w:val="00F466BA"/>
    <w:rsid w:val="00F468F0"/>
    <w:rsid w:val="00F46C1F"/>
    <w:rsid w:val="00F46E51"/>
    <w:rsid w:val="00F46ED6"/>
    <w:rsid w:val="00F46F35"/>
    <w:rsid w:val="00F46FEC"/>
    <w:rsid w:val="00F47183"/>
    <w:rsid w:val="00F47358"/>
    <w:rsid w:val="00F47517"/>
    <w:rsid w:val="00F476B7"/>
    <w:rsid w:val="00F4780B"/>
    <w:rsid w:val="00F47944"/>
    <w:rsid w:val="00F47E9C"/>
    <w:rsid w:val="00F501EA"/>
    <w:rsid w:val="00F505AD"/>
    <w:rsid w:val="00F506EF"/>
    <w:rsid w:val="00F50787"/>
    <w:rsid w:val="00F507D9"/>
    <w:rsid w:val="00F50A75"/>
    <w:rsid w:val="00F50D69"/>
    <w:rsid w:val="00F50DD0"/>
    <w:rsid w:val="00F5103B"/>
    <w:rsid w:val="00F511D9"/>
    <w:rsid w:val="00F5131B"/>
    <w:rsid w:val="00F5140D"/>
    <w:rsid w:val="00F5145B"/>
    <w:rsid w:val="00F51476"/>
    <w:rsid w:val="00F51BEF"/>
    <w:rsid w:val="00F51C14"/>
    <w:rsid w:val="00F51C36"/>
    <w:rsid w:val="00F51F3D"/>
    <w:rsid w:val="00F52063"/>
    <w:rsid w:val="00F52232"/>
    <w:rsid w:val="00F52240"/>
    <w:rsid w:val="00F525EC"/>
    <w:rsid w:val="00F5264D"/>
    <w:rsid w:val="00F52C5E"/>
    <w:rsid w:val="00F52E20"/>
    <w:rsid w:val="00F52F8F"/>
    <w:rsid w:val="00F5307F"/>
    <w:rsid w:val="00F53087"/>
    <w:rsid w:val="00F531DF"/>
    <w:rsid w:val="00F531F2"/>
    <w:rsid w:val="00F5320E"/>
    <w:rsid w:val="00F53276"/>
    <w:rsid w:val="00F53572"/>
    <w:rsid w:val="00F53691"/>
    <w:rsid w:val="00F53804"/>
    <w:rsid w:val="00F538CF"/>
    <w:rsid w:val="00F538E4"/>
    <w:rsid w:val="00F5394C"/>
    <w:rsid w:val="00F53962"/>
    <w:rsid w:val="00F539D4"/>
    <w:rsid w:val="00F53A4F"/>
    <w:rsid w:val="00F53E78"/>
    <w:rsid w:val="00F5406B"/>
    <w:rsid w:val="00F5426E"/>
    <w:rsid w:val="00F5463F"/>
    <w:rsid w:val="00F54672"/>
    <w:rsid w:val="00F54863"/>
    <w:rsid w:val="00F551F7"/>
    <w:rsid w:val="00F55260"/>
    <w:rsid w:val="00F554C3"/>
    <w:rsid w:val="00F55522"/>
    <w:rsid w:val="00F55777"/>
    <w:rsid w:val="00F55793"/>
    <w:rsid w:val="00F55996"/>
    <w:rsid w:val="00F559C8"/>
    <w:rsid w:val="00F55CB5"/>
    <w:rsid w:val="00F55D3B"/>
    <w:rsid w:val="00F56387"/>
    <w:rsid w:val="00F565A3"/>
    <w:rsid w:val="00F56639"/>
    <w:rsid w:val="00F5668C"/>
    <w:rsid w:val="00F56AFD"/>
    <w:rsid w:val="00F56F31"/>
    <w:rsid w:val="00F5708D"/>
    <w:rsid w:val="00F578E2"/>
    <w:rsid w:val="00F57A32"/>
    <w:rsid w:val="00F57B7F"/>
    <w:rsid w:val="00F60274"/>
    <w:rsid w:val="00F60352"/>
    <w:rsid w:val="00F606DD"/>
    <w:rsid w:val="00F6073E"/>
    <w:rsid w:val="00F60AFC"/>
    <w:rsid w:val="00F60C88"/>
    <w:rsid w:val="00F60DF7"/>
    <w:rsid w:val="00F60EB7"/>
    <w:rsid w:val="00F60F31"/>
    <w:rsid w:val="00F60F5D"/>
    <w:rsid w:val="00F610F5"/>
    <w:rsid w:val="00F611B7"/>
    <w:rsid w:val="00F61325"/>
    <w:rsid w:val="00F61327"/>
    <w:rsid w:val="00F613C2"/>
    <w:rsid w:val="00F613D7"/>
    <w:rsid w:val="00F614E0"/>
    <w:rsid w:val="00F618E0"/>
    <w:rsid w:val="00F61949"/>
    <w:rsid w:val="00F61A70"/>
    <w:rsid w:val="00F61AC6"/>
    <w:rsid w:val="00F61C46"/>
    <w:rsid w:val="00F61E76"/>
    <w:rsid w:val="00F6239E"/>
    <w:rsid w:val="00F624D1"/>
    <w:rsid w:val="00F624F4"/>
    <w:rsid w:val="00F62511"/>
    <w:rsid w:val="00F6271D"/>
    <w:rsid w:val="00F62934"/>
    <w:rsid w:val="00F62936"/>
    <w:rsid w:val="00F629B2"/>
    <w:rsid w:val="00F629EF"/>
    <w:rsid w:val="00F62A41"/>
    <w:rsid w:val="00F62B1B"/>
    <w:rsid w:val="00F62D15"/>
    <w:rsid w:val="00F62E03"/>
    <w:rsid w:val="00F62F3E"/>
    <w:rsid w:val="00F62F6A"/>
    <w:rsid w:val="00F63248"/>
    <w:rsid w:val="00F63373"/>
    <w:rsid w:val="00F6341C"/>
    <w:rsid w:val="00F635BF"/>
    <w:rsid w:val="00F635D2"/>
    <w:rsid w:val="00F63860"/>
    <w:rsid w:val="00F638D0"/>
    <w:rsid w:val="00F6396C"/>
    <w:rsid w:val="00F639C2"/>
    <w:rsid w:val="00F63B3C"/>
    <w:rsid w:val="00F63EEA"/>
    <w:rsid w:val="00F63F22"/>
    <w:rsid w:val="00F6407C"/>
    <w:rsid w:val="00F6418C"/>
    <w:rsid w:val="00F642F6"/>
    <w:rsid w:val="00F64334"/>
    <w:rsid w:val="00F6447D"/>
    <w:rsid w:val="00F6510D"/>
    <w:rsid w:val="00F65112"/>
    <w:rsid w:val="00F654E4"/>
    <w:rsid w:val="00F65698"/>
    <w:rsid w:val="00F657BB"/>
    <w:rsid w:val="00F65872"/>
    <w:rsid w:val="00F659AD"/>
    <w:rsid w:val="00F65AA1"/>
    <w:rsid w:val="00F65B7B"/>
    <w:rsid w:val="00F65BEB"/>
    <w:rsid w:val="00F65CF5"/>
    <w:rsid w:val="00F65ECC"/>
    <w:rsid w:val="00F65F95"/>
    <w:rsid w:val="00F6653A"/>
    <w:rsid w:val="00F66991"/>
    <w:rsid w:val="00F66B3F"/>
    <w:rsid w:val="00F66D33"/>
    <w:rsid w:val="00F672A7"/>
    <w:rsid w:val="00F6748D"/>
    <w:rsid w:val="00F67538"/>
    <w:rsid w:val="00F67613"/>
    <w:rsid w:val="00F67912"/>
    <w:rsid w:val="00F6791B"/>
    <w:rsid w:val="00F67B6C"/>
    <w:rsid w:val="00F67CE0"/>
    <w:rsid w:val="00F67D69"/>
    <w:rsid w:val="00F67F3C"/>
    <w:rsid w:val="00F7014F"/>
    <w:rsid w:val="00F7021D"/>
    <w:rsid w:val="00F70325"/>
    <w:rsid w:val="00F70332"/>
    <w:rsid w:val="00F70417"/>
    <w:rsid w:val="00F7042B"/>
    <w:rsid w:val="00F70486"/>
    <w:rsid w:val="00F705D9"/>
    <w:rsid w:val="00F706D2"/>
    <w:rsid w:val="00F707A1"/>
    <w:rsid w:val="00F70805"/>
    <w:rsid w:val="00F7091A"/>
    <w:rsid w:val="00F70A39"/>
    <w:rsid w:val="00F70C58"/>
    <w:rsid w:val="00F70D91"/>
    <w:rsid w:val="00F70EBD"/>
    <w:rsid w:val="00F71063"/>
    <w:rsid w:val="00F71131"/>
    <w:rsid w:val="00F712D7"/>
    <w:rsid w:val="00F713A2"/>
    <w:rsid w:val="00F7158B"/>
    <w:rsid w:val="00F71641"/>
    <w:rsid w:val="00F7165C"/>
    <w:rsid w:val="00F71669"/>
    <w:rsid w:val="00F71686"/>
    <w:rsid w:val="00F71784"/>
    <w:rsid w:val="00F7196F"/>
    <w:rsid w:val="00F719D7"/>
    <w:rsid w:val="00F71A90"/>
    <w:rsid w:val="00F71E94"/>
    <w:rsid w:val="00F71EBE"/>
    <w:rsid w:val="00F721DD"/>
    <w:rsid w:val="00F722D3"/>
    <w:rsid w:val="00F72662"/>
    <w:rsid w:val="00F726FA"/>
    <w:rsid w:val="00F7272E"/>
    <w:rsid w:val="00F72776"/>
    <w:rsid w:val="00F7281F"/>
    <w:rsid w:val="00F728EB"/>
    <w:rsid w:val="00F72BAB"/>
    <w:rsid w:val="00F72C60"/>
    <w:rsid w:val="00F72E41"/>
    <w:rsid w:val="00F73015"/>
    <w:rsid w:val="00F730D6"/>
    <w:rsid w:val="00F7316B"/>
    <w:rsid w:val="00F7325A"/>
    <w:rsid w:val="00F7337A"/>
    <w:rsid w:val="00F7349F"/>
    <w:rsid w:val="00F73569"/>
    <w:rsid w:val="00F7371F"/>
    <w:rsid w:val="00F73C6B"/>
    <w:rsid w:val="00F73CFD"/>
    <w:rsid w:val="00F73E22"/>
    <w:rsid w:val="00F7435C"/>
    <w:rsid w:val="00F748E9"/>
    <w:rsid w:val="00F74A5E"/>
    <w:rsid w:val="00F74B6D"/>
    <w:rsid w:val="00F74F9A"/>
    <w:rsid w:val="00F74FF2"/>
    <w:rsid w:val="00F7512D"/>
    <w:rsid w:val="00F7554F"/>
    <w:rsid w:val="00F7591E"/>
    <w:rsid w:val="00F75973"/>
    <w:rsid w:val="00F75A98"/>
    <w:rsid w:val="00F75E7B"/>
    <w:rsid w:val="00F75F79"/>
    <w:rsid w:val="00F7632B"/>
    <w:rsid w:val="00F76A3D"/>
    <w:rsid w:val="00F76BE8"/>
    <w:rsid w:val="00F76BFC"/>
    <w:rsid w:val="00F76C7E"/>
    <w:rsid w:val="00F76E57"/>
    <w:rsid w:val="00F76F66"/>
    <w:rsid w:val="00F77030"/>
    <w:rsid w:val="00F7708C"/>
    <w:rsid w:val="00F77221"/>
    <w:rsid w:val="00F7727C"/>
    <w:rsid w:val="00F772A8"/>
    <w:rsid w:val="00F773C9"/>
    <w:rsid w:val="00F773FA"/>
    <w:rsid w:val="00F776BF"/>
    <w:rsid w:val="00F77C10"/>
    <w:rsid w:val="00F77DC6"/>
    <w:rsid w:val="00F80164"/>
    <w:rsid w:val="00F80478"/>
    <w:rsid w:val="00F808AA"/>
    <w:rsid w:val="00F808F8"/>
    <w:rsid w:val="00F80988"/>
    <w:rsid w:val="00F80A52"/>
    <w:rsid w:val="00F80AB2"/>
    <w:rsid w:val="00F80AD8"/>
    <w:rsid w:val="00F80D22"/>
    <w:rsid w:val="00F811DA"/>
    <w:rsid w:val="00F81284"/>
    <w:rsid w:val="00F813A8"/>
    <w:rsid w:val="00F813F5"/>
    <w:rsid w:val="00F813F6"/>
    <w:rsid w:val="00F814B7"/>
    <w:rsid w:val="00F814F9"/>
    <w:rsid w:val="00F81532"/>
    <w:rsid w:val="00F81756"/>
    <w:rsid w:val="00F819BD"/>
    <w:rsid w:val="00F81A61"/>
    <w:rsid w:val="00F81F45"/>
    <w:rsid w:val="00F81F5E"/>
    <w:rsid w:val="00F824C6"/>
    <w:rsid w:val="00F825E8"/>
    <w:rsid w:val="00F8284B"/>
    <w:rsid w:val="00F828D4"/>
    <w:rsid w:val="00F831C3"/>
    <w:rsid w:val="00F83268"/>
    <w:rsid w:val="00F832EB"/>
    <w:rsid w:val="00F83968"/>
    <w:rsid w:val="00F83CDD"/>
    <w:rsid w:val="00F83EEB"/>
    <w:rsid w:val="00F8410B"/>
    <w:rsid w:val="00F84473"/>
    <w:rsid w:val="00F84526"/>
    <w:rsid w:val="00F846B4"/>
    <w:rsid w:val="00F84759"/>
    <w:rsid w:val="00F84777"/>
    <w:rsid w:val="00F84808"/>
    <w:rsid w:val="00F8491F"/>
    <w:rsid w:val="00F84953"/>
    <w:rsid w:val="00F84A0A"/>
    <w:rsid w:val="00F84B88"/>
    <w:rsid w:val="00F84E61"/>
    <w:rsid w:val="00F84E85"/>
    <w:rsid w:val="00F850B4"/>
    <w:rsid w:val="00F8587B"/>
    <w:rsid w:val="00F859D1"/>
    <w:rsid w:val="00F85A21"/>
    <w:rsid w:val="00F85B2E"/>
    <w:rsid w:val="00F85BBD"/>
    <w:rsid w:val="00F85CD0"/>
    <w:rsid w:val="00F85DBD"/>
    <w:rsid w:val="00F85E07"/>
    <w:rsid w:val="00F8636B"/>
    <w:rsid w:val="00F86410"/>
    <w:rsid w:val="00F8650B"/>
    <w:rsid w:val="00F865E0"/>
    <w:rsid w:val="00F867C0"/>
    <w:rsid w:val="00F868D0"/>
    <w:rsid w:val="00F86991"/>
    <w:rsid w:val="00F86A29"/>
    <w:rsid w:val="00F86BAB"/>
    <w:rsid w:val="00F86DAE"/>
    <w:rsid w:val="00F86E5E"/>
    <w:rsid w:val="00F873CB"/>
    <w:rsid w:val="00F87730"/>
    <w:rsid w:val="00F877DA"/>
    <w:rsid w:val="00F87B83"/>
    <w:rsid w:val="00F87CEF"/>
    <w:rsid w:val="00F87D59"/>
    <w:rsid w:val="00F901D6"/>
    <w:rsid w:val="00F9025C"/>
    <w:rsid w:val="00F902A5"/>
    <w:rsid w:val="00F9048E"/>
    <w:rsid w:val="00F9056D"/>
    <w:rsid w:val="00F90A9B"/>
    <w:rsid w:val="00F90DD2"/>
    <w:rsid w:val="00F9119D"/>
    <w:rsid w:val="00F91410"/>
    <w:rsid w:val="00F91526"/>
    <w:rsid w:val="00F91560"/>
    <w:rsid w:val="00F91681"/>
    <w:rsid w:val="00F919EA"/>
    <w:rsid w:val="00F91A8D"/>
    <w:rsid w:val="00F91BC2"/>
    <w:rsid w:val="00F91BD9"/>
    <w:rsid w:val="00F91DBE"/>
    <w:rsid w:val="00F9221C"/>
    <w:rsid w:val="00F923A8"/>
    <w:rsid w:val="00F9282E"/>
    <w:rsid w:val="00F92AC1"/>
    <w:rsid w:val="00F92B09"/>
    <w:rsid w:val="00F92B81"/>
    <w:rsid w:val="00F92BE8"/>
    <w:rsid w:val="00F92D28"/>
    <w:rsid w:val="00F930A1"/>
    <w:rsid w:val="00F934BA"/>
    <w:rsid w:val="00F93654"/>
    <w:rsid w:val="00F93B33"/>
    <w:rsid w:val="00F93C5F"/>
    <w:rsid w:val="00F93C67"/>
    <w:rsid w:val="00F9422A"/>
    <w:rsid w:val="00F94243"/>
    <w:rsid w:val="00F943BD"/>
    <w:rsid w:val="00F9470E"/>
    <w:rsid w:val="00F9495F"/>
    <w:rsid w:val="00F951A4"/>
    <w:rsid w:val="00F951EC"/>
    <w:rsid w:val="00F9556A"/>
    <w:rsid w:val="00F9559A"/>
    <w:rsid w:val="00F95610"/>
    <w:rsid w:val="00F95C92"/>
    <w:rsid w:val="00F95E9F"/>
    <w:rsid w:val="00F9600B"/>
    <w:rsid w:val="00F960F6"/>
    <w:rsid w:val="00F96143"/>
    <w:rsid w:val="00F963D9"/>
    <w:rsid w:val="00F966A3"/>
    <w:rsid w:val="00F96B76"/>
    <w:rsid w:val="00F96DEE"/>
    <w:rsid w:val="00F96E30"/>
    <w:rsid w:val="00F96F07"/>
    <w:rsid w:val="00F970B2"/>
    <w:rsid w:val="00F97227"/>
    <w:rsid w:val="00F973D7"/>
    <w:rsid w:val="00F977BC"/>
    <w:rsid w:val="00F97877"/>
    <w:rsid w:val="00F97968"/>
    <w:rsid w:val="00F97A4A"/>
    <w:rsid w:val="00F97CEF"/>
    <w:rsid w:val="00F97E52"/>
    <w:rsid w:val="00F97F8B"/>
    <w:rsid w:val="00FA0214"/>
    <w:rsid w:val="00FA023F"/>
    <w:rsid w:val="00FA02AA"/>
    <w:rsid w:val="00FA041F"/>
    <w:rsid w:val="00FA04D4"/>
    <w:rsid w:val="00FA04E8"/>
    <w:rsid w:val="00FA07C3"/>
    <w:rsid w:val="00FA084A"/>
    <w:rsid w:val="00FA0913"/>
    <w:rsid w:val="00FA0C29"/>
    <w:rsid w:val="00FA0F47"/>
    <w:rsid w:val="00FA0FD8"/>
    <w:rsid w:val="00FA112F"/>
    <w:rsid w:val="00FA1330"/>
    <w:rsid w:val="00FA13DB"/>
    <w:rsid w:val="00FA1646"/>
    <w:rsid w:val="00FA1655"/>
    <w:rsid w:val="00FA1798"/>
    <w:rsid w:val="00FA1A09"/>
    <w:rsid w:val="00FA1AED"/>
    <w:rsid w:val="00FA1F1A"/>
    <w:rsid w:val="00FA20A9"/>
    <w:rsid w:val="00FA21A3"/>
    <w:rsid w:val="00FA230B"/>
    <w:rsid w:val="00FA2BF9"/>
    <w:rsid w:val="00FA2EC5"/>
    <w:rsid w:val="00FA2F86"/>
    <w:rsid w:val="00FA350B"/>
    <w:rsid w:val="00FA35EA"/>
    <w:rsid w:val="00FA3AA0"/>
    <w:rsid w:val="00FA3BFA"/>
    <w:rsid w:val="00FA3CEE"/>
    <w:rsid w:val="00FA3E6D"/>
    <w:rsid w:val="00FA416A"/>
    <w:rsid w:val="00FA4250"/>
    <w:rsid w:val="00FA42A7"/>
    <w:rsid w:val="00FA42EE"/>
    <w:rsid w:val="00FA4893"/>
    <w:rsid w:val="00FA48B9"/>
    <w:rsid w:val="00FA4C1A"/>
    <w:rsid w:val="00FA4D73"/>
    <w:rsid w:val="00FA5382"/>
    <w:rsid w:val="00FA54F2"/>
    <w:rsid w:val="00FA55F1"/>
    <w:rsid w:val="00FA5622"/>
    <w:rsid w:val="00FA564F"/>
    <w:rsid w:val="00FA578A"/>
    <w:rsid w:val="00FA5971"/>
    <w:rsid w:val="00FA5B53"/>
    <w:rsid w:val="00FA5C9B"/>
    <w:rsid w:val="00FA5FE0"/>
    <w:rsid w:val="00FA609B"/>
    <w:rsid w:val="00FA6488"/>
    <w:rsid w:val="00FA65DB"/>
    <w:rsid w:val="00FA6759"/>
    <w:rsid w:val="00FA6932"/>
    <w:rsid w:val="00FA6968"/>
    <w:rsid w:val="00FA69D5"/>
    <w:rsid w:val="00FA6A7D"/>
    <w:rsid w:val="00FA6A7F"/>
    <w:rsid w:val="00FA6C01"/>
    <w:rsid w:val="00FA6DE8"/>
    <w:rsid w:val="00FA6EC4"/>
    <w:rsid w:val="00FA6F20"/>
    <w:rsid w:val="00FA6FFF"/>
    <w:rsid w:val="00FA70C9"/>
    <w:rsid w:val="00FA758F"/>
    <w:rsid w:val="00FA75B0"/>
    <w:rsid w:val="00FA7649"/>
    <w:rsid w:val="00FA766C"/>
    <w:rsid w:val="00FA76C4"/>
    <w:rsid w:val="00FA77C6"/>
    <w:rsid w:val="00FA7C4C"/>
    <w:rsid w:val="00FA7CDE"/>
    <w:rsid w:val="00FA7F13"/>
    <w:rsid w:val="00FB0083"/>
    <w:rsid w:val="00FB0312"/>
    <w:rsid w:val="00FB03AA"/>
    <w:rsid w:val="00FB03F1"/>
    <w:rsid w:val="00FB0472"/>
    <w:rsid w:val="00FB049B"/>
    <w:rsid w:val="00FB0708"/>
    <w:rsid w:val="00FB0765"/>
    <w:rsid w:val="00FB0A9D"/>
    <w:rsid w:val="00FB0CB7"/>
    <w:rsid w:val="00FB0E36"/>
    <w:rsid w:val="00FB0E85"/>
    <w:rsid w:val="00FB0FBB"/>
    <w:rsid w:val="00FB120F"/>
    <w:rsid w:val="00FB12DE"/>
    <w:rsid w:val="00FB1459"/>
    <w:rsid w:val="00FB162F"/>
    <w:rsid w:val="00FB1773"/>
    <w:rsid w:val="00FB1971"/>
    <w:rsid w:val="00FB1B6E"/>
    <w:rsid w:val="00FB1B73"/>
    <w:rsid w:val="00FB1BD9"/>
    <w:rsid w:val="00FB1C26"/>
    <w:rsid w:val="00FB1D2D"/>
    <w:rsid w:val="00FB1D7C"/>
    <w:rsid w:val="00FB1D99"/>
    <w:rsid w:val="00FB203C"/>
    <w:rsid w:val="00FB25C1"/>
    <w:rsid w:val="00FB2777"/>
    <w:rsid w:val="00FB292D"/>
    <w:rsid w:val="00FB29B0"/>
    <w:rsid w:val="00FB2C79"/>
    <w:rsid w:val="00FB2D45"/>
    <w:rsid w:val="00FB2E48"/>
    <w:rsid w:val="00FB37A1"/>
    <w:rsid w:val="00FB38B3"/>
    <w:rsid w:val="00FB3925"/>
    <w:rsid w:val="00FB3B3C"/>
    <w:rsid w:val="00FB3B87"/>
    <w:rsid w:val="00FB3F82"/>
    <w:rsid w:val="00FB4155"/>
    <w:rsid w:val="00FB41BC"/>
    <w:rsid w:val="00FB436D"/>
    <w:rsid w:val="00FB440E"/>
    <w:rsid w:val="00FB44B9"/>
    <w:rsid w:val="00FB4623"/>
    <w:rsid w:val="00FB4701"/>
    <w:rsid w:val="00FB48F0"/>
    <w:rsid w:val="00FB4968"/>
    <w:rsid w:val="00FB4DA5"/>
    <w:rsid w:val="00FB4DB2"/>
    <w:rsid w:val="00FB4E96"/>
    <w:rsid w:val="00FB5052"/>
    <w:rsid w:val="00FB52D7"/>
    <w:rsid w:val="00FB5568"/>
    <w:rsid w:val="00FB593F"/>
    <w:rsid w:val="00FB5B3A"/>
    <w:rsid w:val="00FB5C53"/>
    <w:rsid w:val="00FB5D67"/>
    <w:rsid w:val="00FB5ED4"/>
    <w:rsid w:val="00FB5F4A"/>
    <w:rsid w:val="00FB603C"/>
    <w:rsid w:val="00FB62B3"/>
    <w:rsid w:val="00FB6306"/>
    <w:rsid w:val="00FB6425"/>
    <w:rsid w:val="00FB660A"/>
    <w:rsid w:val="00FB6779"/>
    <w:rsid w:val="00FB677D"/>
    <w:rsid w:val="00FB6784"/>
    <w:rsid w:val="00FB67FA"/>
    <w:rsid w:val="00FB6C38"/>
    <w:rsid w:val="00FB6D8A"/>
    <w:rsid w:val="00FB6F25"/>
    <w:rsid w:val="00FB7215"/>
    <w:rsid w:val="00FB7252"/>
    <w:rsid w:val="00FB72B0"/>
    <w:rsid w:val="00FB740B"/>
    <w:rsid w:val="00FB7B46"/>
    <w:rsid w:val="00FB7C62"/>
    <w:rsid w:val="00FB7E9E"/>
    <w:rsid w:val="00FC01BA"/>
    <w:rsid w:val="00FC028E"/>
    <w:rsid w:val="00FC036E"/>
    <w:rsid w:val="00FC0474"/>
    <w:rsid w:val="00FC049A"/>
    <w:rsid w:val="00FC04EC"/>
    <w:rsid w:val="00FC0672"/>
    <w:rsid w:val="00FC06EC"/>
    <w:rsid w:val="00FC078E"/>
    <w:rsid w:val="00FC086A"/>
    <w:rsid w:val="00FC09D0"/>
    <w:rsid w:val="00FC0B7A"/>
    <w:rsid w:val="00FC0C35"/>
    <w:rsid w:val="00FC0D47"/>
    <w:rsid w:val="00FC0E0D"/>
    <w:rsid w:val="00FC0F11"/>
    <w:rsid w:val="00FC0F34"/>
    <w:rsid w:val="00FC1206"/>
    <w:rsid w:val="00FC1386"/>
    <w:rsid w:val="00FC1BF7"/>
    <w:rsid w:val="00FC1D55"/>
    <w:rsid w:val="00FC1D5B"/>
    <w:rsid w:val="00FC1D7B"/>
    <w:rsid w:val="00FC2063"/>
    <w:rsid w:val="00FC2104"/>
    <w:rsid w:val="00FC210C"/>
    <w:rsid w:val="00FC28B6"/>
    <w:rsid w:val="00FC2980"/>
    <w:rsid w:val="00FC2A44"/>
    <w:rsid w:val="00FC2B0D"/>
    <w:rsid w:val="00FC2C7B"/>
    <w:rsid w:val="00FC2D47"/>
    <w:rsid w:val="00FC2D93"/>
    <w:rsid w:val="00FC2FC9"/>
    <w:rsid w:val="00FC2FDA"/>
    <w:rsid w:val="00FC302D"/>
    <w:rsid w:val="00FC3245"/>
    <w:rsid w:val="00FC3365"/>
    <w:rsid w:val="00FC33DA"/>
    <w:rsid w:val="00FC3432"/>
    <w:rsid w:val="00FC386B"/>
    <w:rsid w:val="00FC3891"/>
    <w:rsid w:val="00FC39B7"/>
    <w:rsid w:val="00FC3A7A"/>
    <w:rsid w:val="00FC3A87"/>
    <w:rsid w:val="00FC3AA8"/>
    <w:rsid w:val="00FC3CFD"/>
    <w:rsid w:val="00FC3D72"/>
    <w:rsid w:val="00FC3DFC"/>
    <w:rsid w:val="00FC3E2E"/>
    <w:rsid w:val="00FC3F45"/>
    <w:rsid w:val="00FC3FB5"/>
    <w:rsid w:val="00FC419B"/>
    <w:rsid w:val="00FC42C6"/>
    <w:rsid w:val="00FC437C"/>
    <w:rsid w:val="00FC43B2"/>
    <w:rsid w:val="00FC472B"/>
    <w:rsid w:val="00FC4AB2"/>
    <w:rsid w:val="00FC4B81"/>
    <w:rsid w:val="00FC4C9D"/>
    <w:rsid w:val="00FC4D1E"/>
    <w:rsid w:val="00FC4FE6"/>
    <w:rsid w:val="00FC505B"/>
    <w:rsid w:val="00FC51A1"/>
    <w:rsid w:val="00FC52FB"/>
    <w:rsid w:val="00FC55B4"/>
    <w:rsid w:val="00FC56E0"/>
    <w:rsid w:val="00FC56E6"/>
    <w:rsid w:val="00FC5828"/>
    <w:rsid w:val="00FC5B4B"/>
    <w:rsid w:val="00FC5C06"/>
    <w:rsid w:val="00FC5CC0"/>
    <w:rsid w:val="00FC5CF9"/>
    <w:rsid w:val="00FC5D9F"/>
    <w:rsid w:val="00FC5E2E"/>
    <w:rsid w:val="00FC61BD"/>
    <w:rsid w:val="00FC624D"/>
    <w:rsid w:val="00FC62F3"/>
    <w:rsid w:val="00FC6C0C"/>
    <w:rsid w:val="00FC6E67"/>
    <w:rsid w:val="00FC6EC9"/>
    <w:rsid w:val="00FC7001"/>
    <w:rsid w:val="00FC7145"/>
    <w:rsid w:val="00FC7437"/>
    <w:rsid w:val="00FC744B"/>
    <w:rsid w:val="00FC775A"/>
    <w:rsid w:val="00FC7DE7"/>
    <w:rsid w:val="00FC7F81"/>
    <w:rsid w:val="00FC7FE0"/>
    <w:rsid w:val="00FD0053"/>
    <w:rsid w:val="00FD039E"/>
    <w:rsid w:val="00FD04AF"/>
    <w:rsid w:val="00FD04F2"/>
    <w:rsid w:val="00FD0796"/>
    <w:rsid w:val="00FD095E"/>
    <w:rsid w:val="00FD0D8F"/>
    <w:rsid w:val="00FD0F85"/>
    <w:rsid w:val="00FD1093"/>
    <w:rsid w:val="00FD11F3"/>
    <w:rsid w:val="00FD1444"/>
    <w:rsid w:val="00FD155C"/>
    <w:rsid w:val="00FD17D4"/>
    <w:rsid w:val="00FD1831"/>
    <w:rsid w:val="00FD1864"/>
    <w:rsid w:val="00FD19FE"/>
    <w:rsid w:val="00FD1A92"/>
    <w:rsid w:val="00FD1B87"/>
    <w:rsid w:val="00FD1EE5"/>
    <w:rsid w:val="00FD21E6"/>
    <w:rsid w:val="00FD23CB"/>
    <w:rsid w:val="00FD2566"/>
    <w:rsid w:val="00FD27C6"/>
    <w:rsid w:val="00FD27E4"/>
    <w:rsid w:val="00FD2839"/>
    <w:rsid w:val="00FD2884"/>
    <w:rsid w:val="00FD293A"/>
    <w:rsid w:val="00FD2B3B"/>
    <w:rsid w:val="00FD2D1A"/>
    <w:rsid w:val="00FD2E3A"/>
    <w:rsid w:val="00FD2E3E"/>
    <w:rsid w:val="00FD304C"/>
    <w:rsid w:val="00FD3099"/>
    <w:rsid w:val="00FD30C4"/>
    <w:rsid w:val="00FD31E8"/>
    <w:rsid w:val="00FD3244"/>
    <w:rsid w:val="00FD34C5"/>
    <w:rsid w:val="00FD37A5"/>
    <w:rsid w:val="00FD37F7"/>
    <w:rsid w:val="00FD3987"/>
    <w:rsid w:val="00FD39EB"/>
    <w:rsid w:val="00FD3A1F"/>
    <w:rsid w:val="00FD3BB6"/>
    <w:rsid w:val="00FD3F21"/>
    <w:rsid w:val="00FD4108"/>
    <w:rsid w:val="00FD4520"/>
    <w:rsid w:val="00FD4723"/>
    <w:rsid w:val="00FD4A36"/>
    <w:rsid w:val="00FD4B4B"/>
    <w:rsid w:val="00FD4B86"/>
    <w:rsid w:val="00FD4CBD"/>
    <w:rsid w:val="00FD4DF8"/>
    <w:rsid w:val="00FD505C"/>
    <w:rsid w:val="00FD5421"/>
    <w:rsid w:val="00FD55D8"/>
    <w:rsid w:val="00FD56E9"/>
    <w:rsid w:val="00FD5720"/>
    <w:rsid w:val="00FD57E9"/>
    <w:rsid w:val="00FD5B4A"/>
    <w:rsid w:val="00FD5C17"/>
    <w:rsid w:val="00FD5D04"/>
    <w:rsid w:val="00FD5D72"/>
    <w:rsid w:val="00FD5DA9"/>
    <w:rsid w:val="00FD5DC1"/>
    <w:rsid w:val="00FD637A"/>
    <w:rsid w:val="00FD637F"/>
    <w:rsid w:val="00FD6668"/>
    <w:rsid w:val="00FD6904"/>
    <w:rsid w:val="00FD699A"/>
    <w:rsid w:val="00FD6EA9"/>
    <w:rsid w:val="00FD6F0E"/>
    <w:rsid w:val="00FD711E"/>
    <w:rsid w:val="00FD72B8"/>
    <w:rsid w:val="00FD73B9"/>
    <w:rsid w:val="00FD744A"/>
    <w:rsid w:val="00FD7737"/>
    <w:rsid w:val="00FD7899"/>
    <w:rsid w:val="00FD7932"/>
    <w:rsid w:val="00FD7A6E"/>
    <w:rsid w:val="00FD7A81"/>
    <w:rsid w:val="00FD7CD2"/>
    <w:rsid w:val="00FD7D1D"/>
    <w:rsid w:val="00FD7FDC"/>
    <w:rsid w:val="00FE0167"/>
    <w:rsid w:val="00FE056D"/>
    <w:rsid w:val="00FE05D3"/>
    <w:rsid w:val="00FE0693"/>
    <w:rsid w:val="00FE071D"/>
    <w:rsid w:val="00FE0977"/>
    <w:rsid w:val="00FE09E6"/>
    <w:rsid w:val="00FE0D5D"/>
    <w:rsid w:val="00FE0E09"/>
    <w:rsid w:val="00FE0F65"/>
    <w:rsid w:val="00FE1282"/>
    <w:rsid w:val="00FE1494"/>
    <w:rsid w:val="00FE15DA"/>
    <w:rsid w:val="00FE15E4"/>
    <w:rsid w:val="00FE1630"/>
    <w:rsid w:val="00FE19ED"/>
    <w:rsid w:val="00FE1A3D"/>
    <w:rsid w:val="00FE1A42"/>
    <w:rsid w:val="00FE1B62"/>
    <w:rsid w:val="00FE1E4A"/>
    <w:rsid w:val="00FE1FE1"/>
    <w:rsid w:val="00FE214E"/>
    <w:rsid w:val="00FE23F0"/>
    <w:rsid w:val="00FE240A"/>
    <w:rsid w:val="00FE2715"/>
    <w:rsid w:val="00FE2F41"/>
    <w:rsid w:val="00FE2FC9"/>
    <w:rsid w:val="00FE30B8"/>
    <w:rsid w:val="00FE3213"/>
    <w:rsid w:val="00FE3359"/>
    <w:rsid w:val="00FE36A9"/>
    <w:rsid w:val="00FE39D5"/>
    <w:rsid w:val="00FE3A03"/>
    <w:rsid w:val="00FE3B2A"/>
    <w:rsid w:val="00FE3BEA"/>
    <w:rsid w:val="00FE3CED"/>
    <w:rsid w:val="00FE3E5B"/>
    <w:rsid w:val="00FE3E90"/>
    <w:rsid w:val="00FE3ED8"/>
    <w:rsid w:val="00FE405A"/>
    <w:rsid w:val="00FE40CF"/>
    <w:rsid w:val="00FE4711"/>
    <w:rsid w:val="00FE47F8"/>
    <w:rsid w:val="00FE4A06"/>
    <w:rsid w:val="00FE4B10"/>
    <w:rsid w:val="00FE4BC0"/>
    <w:rsid w:val="00FE4C80"/>
    <w:rsid w:val="00FE4CB2"/>
    <w:rsid w:val="00FE5362"/>
    <w:rsid w:val="00FE57AD"/>
    <w:rsid w:val="00FE5874"/>
    <w:rsid w:val="00FE5929"/>
    <w:rsid w:val="00FE605F"/>
    <w:rsid w:val="00FE606B"/>
    <w:rsid w:val="00FE6199"/>
    <w:rsid w:val="00FE64BC"/>
    <w:rsid w:val="00FE65A2"/>
    <w:rsid w:val="00FE661B"/>
    <w:rsid w:val="00FE6632"/>
    <w:rsid w:val="00FE6642"/>
    <w:rsid w:val="00FE6716"/>
    <w:rsid w:val="00FE67C3"/>
    <w:rsid w:val="00FE6A32"/>
    <w:rsid w:val="00FE6CA1"/>
    <w:rsid w:val="00FE70AE"/>
    <w:rsid w:val="00FE7317"/>
    <w:rsid w:val="00FE74E0"/>
    <w:rsid w:val="00FE760F"/>
    <w:rsid w:val="00FE7906"/>
    <w:rsid w:val="00FE797A"/>
    <w:rsid w:val="00FE79DB"/>
    <w:rsid w:val="00FE7E59"/>
    <w:rsid w:val="00FE7E6F"/>
    <w:rsid w:val="00FE7EAD"/>
    <w:rsid w:val="00FE7F57"/>
    <w:rsid w:val="00FF0247"/>
    <w:rsid w:val="00FF0400"/>
    <w:rsid w:val="00FF0A1F"/>
    <w:rsid w:val="00FF0D02"/>
    <w:rsid w:val="00FF0D12"/>
    <w:rsid w:val="00FF0DB0"/>
    <w:rsid w:val="00FF0E2A"/>
    <w:rsid w:val="00FF0F2B"/>
    <w:rsid w:val="00FF0F52"/>
    <w:rsid w:val="00FF0F81"/>
    <w:rsid w:val="00FF1863"/>
    <w:rsid w:val="00FF1881"/>
    <w:rsid w:val="00FF1891"/>
    <w:rsid w:val="00FF1B1B"/>
    <w:rsid w:val="00FF1B9B"/>
    <w:rsid w:val="00FF1BB6"/>
    <w:rsid w:val="00FF1BD9"/>
    <w:rsid w:val="00FF1CF2"/>
    <w:rsid w:val="00FF1E8D"/>
    <w:rsid w:val="00FF204B"/>
    <w:rsid w:val="00FF2274"/>
    <w:rsid w:val="00FF239C"/>
    <w:rsid w:val="00FF24CF"/>
    <w:rsid w:val="00FF2543"/>
    <w:rsid w:val="00FF26B5"/>
    <w:rsid w:val="00FF29E8"/>
    <w:rsid w:val="00FF2A68"/>
    <w:rsid w:val="00FF2AD9"/>
    <w:rsid w:val="00FF2C37"/>
    <w:rsid w:val="00FF2CC5"/>
    <w:rsid w:val="00FF2D25"/>
    <w:rsid w:val="00FF307A"/>
    <w:rsid w:val="00FF30DE"/>
    <w:rsid w:val="00FF330A"/>
    <w:rsid w:val="00FF377A"/>
    <w:rsid w:val="00FF39EB"/>
    <w:rsid w:val="00FF3DCD"/>
    <w:rsid w:val="00FF3FB7"/>
    <w:rsid w:val="00FF4008"/>
    <w:rsid w:val="00FF4260"/>
    <w:rsid w:val="00FF42CC"/>
    <w:rsid w:val="00FF43D6"/>
    <w:rsid w:val="00FF4569"/>
    <w:rsid w:val="00FF45FF"/>
    <w:rsid w:val="00FF4961"/>
    <w:rsid w:val="00FF4D30"/>
    <w:rsid w:val="00FF506C"/>
    <w:rsid w:val="00FF5848"/>
    <w:rsid w:val="00FF59C4"/>
    <w:rsid w:val="00FF5A71"/>
    <w:rsid w:val="00FF5B23"/>
    <w:rsid w:val="00FF5F24"/>
    <w:rsid w:val="00FF61EE"/>
    <w:rsid w:val="00FF63D2"/>
    <w:rsid w:val="00FF6915"/>
    <w:rsid w:val="00FF6923"/>
    <w:rsid w:val="00FF6AFE"/>
    <w:rsid w:val="00FF6BC1"/>
    <w:rsid w:val="00FF6D1A"/>
    <w:rsid w:val="00FF6E6D"/>
    <w:rsid w:val="00FF726E"/>
    <w:rsid w:val="00FF75CB"/>
    <w:rsid w:val="00FF75E0"/>
    <w:rsid w:val="00FF7699"/>
    <w:rsid w:val="00FF7ADB"/>
    <w:rsid w:val="00FF7D4A"/>
    <w:rsid w:val="00FF7F2B"/>
    <w:rsid w:val="00FF7FD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C328F"/>
  <w15:chartTrackingRefBased/>
  <w15:docId w15:val="{49C3EFD7-D11E-4B03-85C7-D5248BE7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7EC"/>
    <w:pPr>
      <w:spacing w:after="240" w:line="240" w:lineRule="atLeast"/>
    </w:pPr>
    <w:rPr>
      <w:sz w:val="20"/>
      <w:lang w:val="en-US"/>
    </w:rPr>
  </w:style>
  <w:style w:type="paragraph" w:styleId="Heading1">
    <w:name w:val="heading 1"/>
    <w:basedOn w:val="Sectiontitle"/>
    <w:next w:val="Normal"/>
    <w:link w:val="Heading1Char"/>
    <w:uiPriority w:val="1"/>
    <w:qFormat/>
    <w:rsid w:val="006169C4"/>
    <w:pPr>
      <w:pageBreakBefore/>
      <w:numPr>
        <w:numId w:val="6"/>
      </w:numPr>
      <w:outlineLvl w:val="0"/>
    </w:pPr>
  </w:style>
  <w:style w:type="paragraph" w:styleId="Heading2">
    <w:name w:val="heading 2"/>
    <w:basedOn w:val="Normal"/>
    <w:next w:val="Normal"/>
    <w:link w:val="Heading2Char"/>
    <w:uiPriority w:val="1"/>
    <w:qFormat/>
    <w:rsid w:val="0048437A"/>
    <w:pPr>
      <w:numPr>
        <w:ilvl w:val="1"/>
        <w:numId w:val="6"/>
      </w:numPr>
      <w:outlineLvl w:val="1"/>
    </w:pPr>
    <w:rPr>
      <w:rFonts w:asciiTheme="majorHAnsi" w:hAnsiTheme="majorHAnsi"/>
      <w:b/>
      <w:color w:val="046A38" w:themeColor="accent4"/>
      <w:sz w:val="32"/>
    </w:rPr>
  </w:style>
  <w:style w:type="paragraph" w:styleId="Heading3">
    <w:name w:val="heading 3"/>
    <w:basedOn w:val="Normal"/>
    <w:next w:val="Normal"/>
    <w:link w:val="Heading3Char"/>
    <w:uiPriority w:val="1"/>
    <w:qFormat/>
    <w:rsid w:val="00A70A7C"/>
    <w:pPr>
      <w:numPr>
        <w:ilvl w:val="2"/>
        <w:numId w:val="6"/>
      </w:numPr>
      <w:outlineLvl w:val="2"/>
    </w:pPr>
    <w:rPr>
      <w:rFonts w:asciiTheme="majorHAnsi" w:hAnsiTheme="majorHAnsi"/>
      <w:b/>
      <w:color w:val="53565A" w:themeColor="background2"/>
      <w:sz w:val="24"/>
    </w:rPr>
  </w:style>
  <w:style w:type="paragraph" w:styleId="Heading4">
    <w:name w:val="heading 4"/>
    <w:basedOn w:val="Normal"/>
    <w:next w:val="Normal"/>
    <w:link w:val="Heading4Char"/>
    <w:uiPriority w:val="1"/>
    <w:qFormat/>
    <w:rsid w:val="005A6666"/>
    <w:pPr>
      <w:keepNext/>
      <w:keepLines/>
      <w:numPr>
        <w:ilvl w:val="3"/>
        <w:numId w:val="6"/>
      </w:numPr>
      <w:tabs>
        <w:tab w:val="left" w:pos="340"/>
      </w:tabs>
      <w:spacing w:after="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1"/>
    <w:qFormat/>
    <w:rsid w:val="00E218AE"/>
    <w:pPr>
      <w:keepNext/>
      <w:keepLines/>
      <w:numPr>
        <w:ilvl w:val="4"/>
        <w:numId w:val="6"/>
      </w:numPr>
      <w:spacing w:before="40" w:after="0"/>
      <w:outlineLvl w:val="4"/>
    </w:pPr>
    <w:rPr>
      <w:rFonts w:asciiTheme="majorHAnsi" w:eastAsiaTheme="majorEastAsia" w:hAnsiTheme="majorHAnsi" w:cstheme="majorBidi"/>
      <w:color w:val="638C1B" w:themeColor="accent1" w:themeShade="BF"/>
    </w:rPr>
  </w:style>
  <w:style w:type="paragraph" w:styleId="Heading6">
    <w:name w:val="heading 6"/>
    <w:basedOn w:val="Normal"/>
    <w:next w:val="Normal"/>
    <w:link w:val="Heading6Char"/>
    <w:uiPriority w:val="1"/>
    <w:semiHidden/>
    <w:qFormat/>
    <w:rsid w:val="00E218AE"/>
    <w:pPr>
      <w:keepNext/>
      <w:keepLines/>
      <w:numPr>
        <w:ilvl w:val="5"/>
        <w:numId w:val="6"/>
      </w:numPr>
      <w:spacing w:before="40" w:after="0"/>
      <w:outlineLvl w:val="5"/>
    </w:pPr>
    <w:rPr>
      <w:rFonts w:asciiTheme="majorHAnsi" w:eastAsiaTheme="majorEastAsia" w:hAnsiTheme="majorHAnsi" w:cstheme="majorBidi"/>
      <w:color w:val="425D12" w:themeColor="accent1" w:themeShade="7F"/>
    </w:rPr>
  </w:style>
  <w:style w:type="paragraph" w:styleId="Heading7">
    <w:name w:val="heading 7"/>
    <w:basedOn w:val="Normal"/>
    <w:next w:val="Normal"/>
    <w:link w:val="Heading7Char"/>
    <w:uiPriority w:val="9"/>
    <w:semiHidden/>
    <w:qFormat/>
    <w:rsid w:val="00E218AE"/>
    <w:pPr>
      <w:keepNext/>
      <w:keepLines/>
      <w:numPr>
        <w:ilvl w:val="6"/>
        <w:numId w:val="6"/>
      </w:numPr>
      <w:spacing w:before="40" w:after="0"/>
      <w:outlineLvl w:val="6"/>
    </w:pPr>
    <w:rPr>
      <w:rFonts w:asciiTheme="majorHAnsi" w:eastAsiaTheme="majorEastAsia" w:hAnsiTheme="majorHAnsi" w:cstheme="majorBidi"/>
      <w:i/>
      <w:iCs/>
      <w:color w:val="425D12" w:themeColor="accent1" w:themeShade="7F"/>
    </w:rPr>
  </w:style>
  <w:style w:type="paragraph" w:styleId="Heading8">
    <w:name w:val="heading 8"/>
    <w:basedOn w:val="Normal"/>
    <w:next w:val="Normal"/>
    <w:link w:val="Heading8Char"/>
    <w:uiPriority w:val="9"/>
    <w:semiHidden/>
    <w:qFormat/>
    <w:rsid w:val="00E218AE"/>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E218AE"/>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69C4"/>
    <w:rPr>
      <w:sz w:val="72"/>
      <w:lang w:val="en-US"/>
    </w:rPr>
  </w:style>
  <w:style w:type="character" w:customStyle="1" w:styleId="Heading2Char">
    <w:name w:val="Heading 2 Char"/>
    <w:basedOn w:val="DefaultParagraphFont"/>
    <w:link w:val="Heading2"/>
    <w:uiPriority w:val="1"/>
    <w:rsid w:val="0048437A"/>
    <w:rPr>
      <w:rFonts w:asciiTheme="majorHAnsi" w:hAnsiTheme="majorHAnsi"/>
      <w:b/>
      <w:color w:val="046A38" w:themeColor="accent4"/>
      <w:sz w:val="32"/>
      <w:lang w:val="en-US"/>
    </w:rPr>
  </w:style>
  <w:style w:type="table" w:styleId="TableGrid">
    <w:name w:val="Table Grid"/>
    <w:basedOn w:val="TableNormal"/>
    <w:uiPriority w:val="59"/>
    <w:rsid w:val="001E016B"/>
    <w:pPr>
      <w:spacing w:after="0"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99"/>
    <w:rsid w:val="008631CE"/>
    <w:pPr>
      <w:tabs>
        <w:tab w:val="center" w:pos="4513"/>
        <w:tab w:val="right" w:pos="9026"/>
      </w:tabs>
      <w:spacing w:after="0" w:line="240" w:lineRule="auto"/>
    </w:pPr>
    <w:rPr>
      <w:b/>
      <w:sz w:val="14"/>
      <w:lang w:val="en-US"/>
    </w:rPr>
  </w:style>
  <w:style w:type="character" w:customStyle="1" w:styleId="HeaderChar">
    <w:name w:val="Header Char"/>
    <w:basedOn w:val="DefaultParagraphFont"/>
    <w:link w:val="Header"/>
    <w:uiPriority w:val="99"/>
    <w:rsid w:val="008631CE"/>
    <w:rPr>
      <w:b/>
      <w:sz w:val="14"/>
      <w:lang w:val="en-US"/>
    </w:rPr>
  </w:style>
  <w:style w:type="paragraph" w:styleId="Footer">
    <w:name w:val="footer"/>
    <w:basedOn w:val="Normal"/>
    <w:link w:val="FooterChar"/>
    <w:uiPriority w:val="99"/>
    <w:rsid w:val="001975EF"/>
    <w:pPr>
      <w:tabs>
        <w:tab w:val="right" w:pos="7371"/>
      </w:tabs>
      <w:spacing w:after="0" w:line="200" w:lineRule="atLeast"/>
    </w:pPr>
    <w:rPr>
      <w:sz w:val="16"/>
    </w:rPr>
  </w:style>
  <w:style w:type="character" w:customStyle="1" w:styleId="FooterChar">
    <w:name w:val="Footer Char"/>
    <w:basedOn w:val="DefaultParagraphFont"/>
    <w:link w:val="Footer"/>
    <w:uiPriority w:val="99"/>
    <w:rsid w:val="007550AB"/>
    <w:rPr>
      <w:sz w:val="16"/>
      <w:lang w:val="en-US"/>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lang w:val="en-US"/>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5F1F1E"/>
    <w:pPr>
      <w:numPr>
        <w:numId w:val="1"/>
      </w:numPr>
      <w:spacing w:after="0"/>
      <w:contextualSpacing/>
    </w:pPr>
  </w:style>
  <w:style w:type="paragraph" w:styleId="ListBullet2">
    <w:name w:val="List Bullet 2"/>
    <w:basedOn w:val="Normal"/>
    <w:uiPriority w:val="99"/>
    <w:qFormat/>
    <w:rsid w:val="005F1F1E"/>
    <w:pPr>
      <w:numPr>
        <w:numId w:val="2"/>
      </w:numPr>
      <w:ind w:left="568" w:hanging="284"/>
      <w:contextualSpacing/>
    </w:pPr>
  </w:style>
  <w:style w:type="paragraph" w:styleId="ListNumber">
    <w:name w:val="List Number"/>
    <w:basedOn w:val="Normal"/>
    <w:uiPriority w:val="99"/>
    <w:qFormat/>
    <w:rsid w:val="00BA2D8D"/>
    <w:pPr>
      <w:numPr>
        <w:numId w:val="23"/>
      </w:numPr>
      <w:spacing w:after="0"/>
      <w:contextualSpacing/>
    </w:pPr>
    <w:rPr>
      <w:rFonts w:asciiTheme="majorHAnsi" w:hAnsiTheme="majorHAnsi"/>
    </w:rPr>
  </w:style>
  <w:style w:type="paragraph" w:styleId="ListNumber2">
    <w:name w:val="List Number 2"/>
    <w:basedOn w:val="Normal"/>
    <w:uiPriority w:val="99"/>
    <w:qFormat/>
    <w:rsid w:val="00BA2D8D"/>
    <w:pPr>
      <w:numPr>
        <w:numId w:val="3"/>
      </w:numPr>
      <w:ind w:left="568" w:hanging="284"/>
      <w:contextualSpacing/>
    </w:pPr>
    <w:rPr>
      <w:rFonts w:asciiTheme="majorHAnsi" w:hAnsiTheme="majorHAnsi"/>
    </w:rPr>
  </w:style>
  <w:style w:type="character" w:customStyle="1" w:styleId="Heading3Char">
    <w:name w:val="Heading 3 Char"/>
    <w:basedOn w:val="DefaultParagraphFont"/>
    <w:link w:val="Heading3"/>
    <w:uiPriority w:val="1"/>
    <w:rsid w:val="00367DBB"/>
    <w:rPr>
      <w:rFonts w:asciiTheme="majorHAnsi" w:hAnsiTheme="majorHAnsi"/>
      <w:b/>
      <w:color w:val="53565A" w:themeColor="background2"/>
      <w:sz w:val="24"/>
      <w:lang w:val="en-US"/>
    </w:rPr>
  </w:style>
  <w:style w:type="character" w:customStyle="1" w:styleId="Heading4Char">
    <w:name w:val="Heading 4 Char"/>
    <w:basedOn w:val="DefaultParagraphFont"/>
    <w:link w:val="Heading4"/>
    <w:uiPriority w:val="1"/>
    <w:rsid w:val="005A6666"/>
    <w:rPr>
      <w:rFonts w:asciiTheme="majorHAnsi" w:eastAsiaTheme="majorEastAsia" w:hAnsiTheme="majorHAnsi" w:cstheme="majorBidi"/>
      <w:b/>
      <w:bCs/>
      <w:iCs/>
      <w:color w:val="000000" w:themeColor="text1"/>
      <w:sz w:val="20"/>
      <w:lang w:val="en-US"/>
    </w:rPr>
  </w:style>
  <w:style w:type="paragraph" w:styleId="FootnoteText">
    <w:name w:val="footnote text"/>
    <w:basedOn w:val="Normal"/>
    <w:link w:val="FootnoteTextChar"/>
    <w:uiPriority w:val="99"/>
    <w:rsid w:val="00F3081C"/>
    <w:pPr>
      <w:spacing w:after="0" w:line="240" w:lineRule="auto"/>
    </w:pPr>
    <w:rPr>
      <w:sz w:val="16"/>
      <w:szCs w:val="20"/>
    </w:rPr>
  </w:style>
  <w:style w:type="character" w:customStyle="1" w:styleId="FootnoteTextChar">
    <w:name w:val="Footnote Text Char"/>
    <w:basedOn w:val="DefaultParagraphFont"/>
    <w:link w:val="FootnoteText"/>
    <w:uiPriority w:val="99"/>
    <w:rsid w:val="007550AB"/>
    <w:rPr>
      <w:sz w:val="16"/>
      <w:szCs w:val="20"/>
      <w:lang w:val="en-US"/>
    </w:rPr>
  </w:style>
  <w:style w:type="paragraph" w:customStyle="1" w:styleId="Documenttitle">
    <w:name w:val="Document title"/>
    <w:next w:val="Documentsubtitle"/>
    <w:qFormat/>
    <w:rsid w:val="00AE2C19"/>
    <w:pPr>
      <w:spacing w:after="0" w:line="440" w:lineRule="atLeast"/>
    </w:pPr>
    <w:rPr>
      <w:rFonts w:eastAsiaTheme="majorEastAsia" w:cstheme="majorBidi"/>
      <w:bCs/>
      <w:sz w:val="42"/>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paragraph" w:customStyle="1" w:styleId="Sectionintro">
    <w:name w:val="Section intro"/>
    <w:basedOn w:val="Normal"/>
    <w:next w:val="Normal"/>
    <w:qFormat/>
    <w:rsid w:val="00BA2D8D"/>
    <w:pPr>
      <w:spacing w:line="360" w:lineRule="atLeast"/>
    </w:pPr>
    <w:rPr>
      <w:sz w:val="32"/>
    </w:rPr>
  </w:style>
  <w:style w:type="paragraph" w:customStyle="1" w:styleId="Documentdate">
    <w:name w:val="Document date"/>
    <w:qFormat/>
    <w:rsid w:val="00BA2D8D"/>
    <w:pPr>
      <w:spacing w:after="0" w:line="240" w:lineRule="atLeast"/>
    </w:pPr>
    <w:rPr>
      <w:sz w:val="32"/>
      <w:lang w:val="en-US"/>
    </w:rPr>
  </w:style>
  <w:style w:type="paragraph" w:customStyle="1" w:styleId="Sectiontitle">
    <w:name w:val="Section title"/>
    <w:basedOn w:val="Normal"/>
    <w:next w:val="Normal"/>
    <w:link w:val="SectiontitleChar"/>
    <w:qFormat/>
    <w:rsid w:val="00BA2D8D"/>
    <w:pPr>
      <w:spacing w:after="480" w:line="720" w:lineRule="atLeast"/>
    </w:pPr>
    <w:rPr>
      <w:sz w:val="72"/>
    </w:rPr>
  </w:style>
  <w:style w:type="paragraph" w:customStyle="1" w:styleId="PulloutBlue">
    <w:name w:val="Pullout Blue"/>
    <w:basedOn w:val="Normal"/>
    <w:next w:val="Normal"/>
    <w:qFormat/>
    <w:rsid w:val="00BA2D8D"/>
    <w:pPr>
      <w:spacing w:line="360" w:lineRule="atLeast"/>
    </w:pPr>
    <w:rPr>
      <w:color w:val="00A3E0"/>
      <w:sz w:val="32"/>
    </w:rPr>
  </w:style>
  <w:style w:type="paragraph" w:customStyle="1" w:styleId="Contacttext">
    <w:name w:val="Contact text"/>
    <w:basedOn w:val="Normal"/>
    <w:qFormat/>
    <w:rsid w:val="00D7732D"/>
    <w:pPr>
      <w:spacing w:after="0"/>
    </w:pPr>
  </w:style>
  <w:style w:type="paragraph" w:customStyle="1" w:styleId="Contactus">
    <w:name w:val="Contact us"/>
    <w:basedOn w:val="Contacttext"/>
    <w:next w:val="Contacttext"/>
    <w:qFormat/>
    <w:rsid w:val="00D7732D"/>
    <w:pPr>
      <w:spacing w:after="240" w:line="340" w:lineRule="atLeast"/>
    </w:pPr>
    <w:rPr>
      <w:sz w:val="28"/>
    </w:rPr>
  </w:style>
  <w:style w:type="paragraph" w:styleId="Caption">
    <w:name w:val="caption"/>
    <w:basedOn w:val="Normal"/>
    <w:next w:val="Normal"/>
    <w:uiPriority w:val="35"/>
    <w:qFormat/>
    <w:rsid w:val="00BA2D8D"/>
    <w:pPr>
      <w:keepNext/>
      <w:spacing w:line="240" w:lineRule="auto"/>
    </w:pPr>
    <w:rPr>
      <w:iCs/>
      <w:color w:val="53565A" w:themeColor="background2"/>
      <w:szCs w:val="18"/>
    </w:rPr>
  </w:style>
  <w:style w:type="character" w:styleId="Hyperlink">
    <w:name w:val="Hyperlink"/>
    <w:basedOn w:val="DefaultParagraphFont"/>
    <w:uiPriority w:val="99"/>
    <w:unhideWhenUsed/>
    <w:rsid w:val="00D70DD7"/>
    <w:rPr>
      <w:b/>
      <w:color w:val="auto"/>
      <w:u w:val="single"/>
    </w:rPr>
  </w:style>
  <w:style w:type="paragraph" w:customStyle="1" w:styleId="PulloutGreen">
    <w:name w:val="Pullout Green"/>
    <w:basedOn w:val="PulloutBlue"/>
    <w:next w:val="Normal"/>
    <w:qFormat/>
    <w:rsid w:val="00BA2D8D"/>
    <w:rPr>
      <w:color w:val="86BC25" w:themeColor="accent1"/>
    </w:rPr>
  </w:style>
  <w:style w:type="paragraph" w:customStyle="1" w:styleId="QuotesourceBlue">
    <w:name w:val="Quote source Blue"/>
    <w:basedOn w:val="Normal"/>
    <w:next w:val="Normal"/>
    <w:qFormat/>
    <w:rsid w:val="00BA2D8D"/>
    <w:pPr>
      <w:spacing w:line="200" w:lineRule="atLeast"/>
      <w:contextualSpacing/>
    </w:pPr>
    <w:rPr>
      <w:b/>
      <w:color w:val="00A3E0"/>
      <w:sz w:val="17"/>
    </w:rPr>
  </w:style>
  <w:style w:type="paragraph" w:customStyle="1" w:styleId="QuotesourceGreen">
    <w:name w:val="Quote source Green"/>
    <w:basedOn w:val="QuotesourceBlue"/>
    <w:next w:val="Normal"/>
    <w:qFormat/>
    <w:rsid w:val="00BA2D8D"/>
    <w:rPr>
      <w:color w:val="86BC25" w:themeColor="accent1"/>
      <w:sz w:val="18"/>
    </w:rPr>
  </w:style>
  <w:style w:type="paragraph" w:customStyle="1" w:styleId="Paneltext">
    <w:name w:val="Panel text"/>
    <w:basedOn w:val="Normal"/>
    <w:qFormat/>
    <w:rsid w:val="00BA2D8D"/>
    <w:rPr>
      <w:color w:val="FFFFFF" w:themeColor="background1"/>
    </w:rPr>
  </w:style>
  <w:style w:type="paragraph" w:customStyle="1" w:styleId="Paneltitle">
    <w:name w:val="Panel title"/>
    <w:basedOn w:val="Paneltext"/>
    <w:next w:val="Paneltext"/>
    <w:qFormat/>
    <w:rsid w:val="00BA2D8D"/>
    <w:pPr>
      <w:spacing w:line="360" w:lineRule="atLeast"/>
    </w:pPr>
    <w:rPr>
      <w:rFonts w:asciiTheme="majorHAnsi" w:hAnsiTheme="majorHAnsi"/>
      <w:b/>
      <w:sz w:val="42"/>
    </w:rPr>
  </w:style>
  <w:style w:type="paragraph" w:customStyle="1" w:styleId="Formoreinfocalloutwhite8512ptPullOutStyles">
    <w:name w:val="For more info call out (white 8.5/12pt) (Pull Out Styles)"/>
    <w:basedOn w:val="Normal"/>
    <w:uiPriority w:val="99"/>
    <w:rsid w:val="00AE0FC7"/>
    <w:pPr>
      <w:tabs>
        <w:tab w:val="left" w:pos="283"/>
        <w:tab w:val="left" w:pos="567"/>
      </w:tabs>
      <w:suppressAutoHyphens/>
      <w:autoSpaceDE w:val="0"/>
      <w:autoSpaceDN w:val="0"/>
      <w:adjustRightInd w:val="0"/>
      <w:spacing w:after="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BA2D8D"/>
    <w:pPr>
      <w:spacing w:after="120" w:line="440" w:lineRule="atLeast"/>
    </w:pPr>
    <w:rPr>
      <w:sz w:val="42"/>
    </w:rPr>
  </w:style>
  <w:style w:type="paragraph" w:customStyle="1" w:styleId="Contentstitle">
    <w:name w:val="Contents title"/>
    <w:basedOn w:val="Sectiontitle"/>
    <w:next w:val="Normal"/>
    <w:qFormat/>
    <w:rsid w:val="00244010"/>
  </w:style>
  <w:style w:type="paragraph" w:styleId="TOC1">
    <w:name w:val="toc 1"/>
    <w:basedOn w:val="Normal"/>
    <w:next w:val="Normal"/>
    <w:autoRedefine/>
    <w:uiPriority w:val="39"/>
    <w:rsid w:val="000B6C05"/>
    <w:pPr>
      <w:tabs>
        <w:tab w:val="right" w:pos="6935"/>
      </w:tabs>
      <w:spacing w:after="120" w:line="360" w:lineRule="atLeast"/>
    </w:pPr>
    <w:rPr>
      <w:sz w:val="28"/>
    </w:rPr>
  </w:style>
  <w:style w:type="paragraph" w:customStyle="1" w:styleId="Quotetext">
    <w:name w:val="Quote text"/>
    <w:basedOn w:val="PulloutBlue"/>
    <w:qFormat/>
    <w:rsid w:val="00BA2D8D"/>
    <w:pPr>
      <w:spacing w:after="0" w:line="720" w:lineRule="atLeast"/>
    </w:pPr>
    <w:rPr>
      <w:color w:val="FFFFFF" w:themeColor="background1"/>
      <w:sz w:val="72"/>
    </w:rPr>
  </w:style>
  <w:style w:type="paragraph" w:customStyle="1" w:styleId="Legaltext">
    <w:name w:val="Legal text"/>
    <w:basedOn w:val="Normal"/>
    <w:qFormat/>
    <w:rsid w:val="00BF6F8B"/>
    <w:pPr>
      <w:spacing w:after="0" w:line="180" w:lineRule="atLeast"/>
      <w:ind w:right="5387"/>
    </w:pPr>
    <w:rPr>
      <w:sz w:val="14"/>
    </w:rPr>
  </w:style>
  <w:style w:type="table" w:customStyle="1" w:styleId="Deloittetable">
    <w:name w:val="Deloitte table"/>
    <w:basedOn w:val="TableNormal"/>
    <w:uiPriority w:val="99"/>
    <w:rsid w:val="0048437A"/>
    <w:pPr>
      <w:spacing w:after="0" w:line="240" w:lineRule="auto"/>
    </w:pPr>
    <w:rPr>
      <w:sz w:val="17"/>
    </w:rPr>
    <w:tblPr>
      <w:tblBorders>
        <w:top w:val="single" w:sz="4" w:space="0" w:color="26890D"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18" w:space="0" w:color="007CB0" w:themeColor="accent6"/>
        </w:tcBorders>
      </w:tcPr>
    </w:tblStylePr>
  </w:style>
  <w:style w:type="paragraph" w:customStyle="1" w:styleId="Tabletext">
    <w:name w:val="Table text"/>
    <w:basedOn w:val="Normal"/>
    <w:qFormat/>
    <w:rsid w:val="004D1F57"/>
    <w:pPr>
      <w:spacing w:after="0" w:line="200" w:lineRule="atLeast"/>
    </w:pPr>
    <w:rPr>
      <w:sz w:val="17"/>
    </w:rPr>
  </w:style>
  <w:style w:type="paragraph" w:customStyle="1" w:styleId="Tabletitle">
    <w:name w:val="Table title"/>
    <w:basedOn w:val="Tabletext"/>
    <w:qFormat/>
    <w:rsid w:val="004D1F57"/>
    <w:rPr>
      <w:b/>
      <w:color w:val="26890D" w:themeColor="accent3"/>
    </w:rPr>
  </w:style>
  <w:style w:type="paragraph" w:customStyle="1" w:styleId="SourcetextTableorChart">
    <w:name w:val="Source text Table or Chart"/>
    <w:basedOn w:val="Caption"/>
    <w:next w:val="Normal"/>
    <w:qFormat/>
    <w:rsid w:val="003B3379"/>
    <w:pPr>
      <w:spacing w:before="120"/>
    </w:pPr>
    <w:rPr>
      <w:sz w:val="14"/>
    </w:rPr>
  </w:style>
  <w:style w:type="paragraph" w:customStyle="1" w:styleId="Tablebullets">
    <w:name w:val="Table bullets"/>
    <w:basedOn w:val="Tabletext"/>
    <w:qFormat/>
    <w:rsid w:val="00AD6475"/>
    <w:pPr>
      <w:numPr>
        <w:numId w:val="4"/>
      </w:numPr>
      <w:ind w:left="284" w:hanging="284"/>
    </w:pPr>
  </w:style>
  <w:style w:type="paragraph" w:customStyle="1" w:styleId="Tablenumbered">
    <w:name w:val="Table numbered"/>
    <w:basedOn w:val="Tablebullets"/>
    <w:qFormat/>
    <w:rsid w:val="00AD6475"/>
    <w:pPr>
      <w:numPr>
        <w:numId w:val="5"/>
      </w:numPr>
    </w:pPr>
  </w:style>
  <w:style w:type="paragraph" w:customStyle="1" w:styleId="Charttitle">
    <w:name w:val="Chart title"/>
    <w:basedOn w:val="Heading2"/>
    <w:qFormat/>
    <w:rsid w:val="00B66FC9"/>
  </w:style>
  <w:style w:type="character" w:customStyle="1" w:styleId="Heading5Char">
    <w:name w:val="Heading 5 Char"/>
    <w:basedOn w:val="DefaultParagraphFont"/>
    <w:link w:val="Heading5"/>
    <w:uiPriority w:val="1"/>
    <w:rsid w:val="00E218AE"/>
    <w:rPr>
      <w:rFonts w:asciiTheme="majorHAnsi" w:eastAsiaTheme="majorEastAsia" w:hAnsiTheme="majorHAnsi" w:cstheme="majorBidi"/>
      <w:color w:val="638C1B" w:themeColor="accent1" w:themeShade="BF"/>
      <w:sz w:val="20"/>
      <w:lang w:val="en-US"/>
    </w:rPr>
  </w:style>
  <w:style w:type="character" w:customStyle="1" w:styleId="Heading6Char">
    <w:name w:val="Heading 6 Char"/>
    <w:basedOn w:val="DefaultParagraphFont"/>
    <w:link w:val="Heading6"/>
    <w:uiPriority w:val="1"/>
    <w:semiHidden/>
    <w:rsid w:val="00E218AE"/>
    <w:rPr>
      <w:rFonts w:asciiTheme="majorHAnsi" w:eastAsiaTheme="majorEastAsia" w:hAnsiTheme="majorHAnsi" w:cstheme="majorBidi"/>
      <w:color w:val="425D12" w:themeColor="accent1" w:themeShade="7F"/>
      <w:sz w:val="20"/>
      <w:lang w:val="en-US"/>
    </w:rPr>
  </w:style>
  <w:style w:type="character" w:customStyle="1" w:styleId="Heading7Char">
    <w:name w:val="Heading 7 Char"/>
    <w:basedOn w:val="DefaultParagraphFont"/>
    <w:link w:val="Heading7"/>
    <w:uiPriority w:val="9"/>
    <w:semiHidden/>
    <w:rsid w:val="00E218AE"/>
    <w:rPr>
      <w:rFonts w:asciiTheme="majorHAnsi" w:eastAsiaTheme="majorEastAsia" w:hAnsiTheme="majorHAnsi" w:cstheme="majorBidi"/>
      <w:i/>
      <w:iCs/>
      <w:color w:val="425D12" w:themeColor="accent1" w:themeShade="7F"/>
      <w:sz w:val="20"/>
      <w:lang w:val="en-US"/>
    </w:rPr>
  </w:style>
  <w:style w:type="character" w:customStyle="1" w:styleId="Heading8Char">
    <w:name w:val="Heading 8 Char"/>
    <w:basedOn w:val="DefaultParagraphFont"/>
    <w:link w:val="Heading8"/>
    <w:uiPriority w:val="9"/>
    <w:semiHidden/>
    <w:rsid w:val="00E218AE"/>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E218AE"/>
    <w:rPr>
      <w:rFonts w:asciiTheme="majorHAnsi" w:eastAsiaTheme="majorEastAsia" w:hAnsiTheme="majorHAnsi" w:cstheme="majorBidi"/>
      <w:i/>
      <w:iCs/>
      <w:color w:val="272727" w:themeColor="text1" w:themeTint="D8"/>
      <w:sz w:val="21"/>
      <w:szCs w:val="21"/>
      <w:lang w:val="en-US"/>
    </w:rPr>
  </w:style>
  <w:style w:type="paragraph" w:customStyle="1" w:styleId="Sectiontitleun-numbered">
    <w:name w:val="Section title (un-numbered)"/>
    <w:basedOn w:val="Sectiontitle"/>
    <w:next w:val="Normal"/>
    <w:link w:val="Sectiontitleun-numberedChar"/>
    <w:qFormat/>
    <w:rsid w:val="006730E5"/>
  </w:style>
  <w:style w:type="paragraph" w:customStyle="1" w:styleId="Heading4thematicstatement">
    <w:name w:val="Heading 4 (thematic statement)"/>
    <w:basedOn w:val="Normal"/>
    <w:next w:val="Normal"/>
    <w:qFormat/>
    <w:rsid w:val="004E5731"/>
    <w:pPr>
      <w:spacing w:after="0"/>
    </w:pPr>
    <w:rPr>
      <w:b/>
      <w:color w:val="012169"/>
      <w:lang w:val="en-AU"/>
    </w:rPr>
  </w:style>
  <w:style w:type="paragraph" w:customStyle="1" w:styleId="Heading1un-numbered">
    <w:name w:val="Heading 1 (un-numbered)"/>
    <w:basedOn w:val="Sectiontitleun-numbered"/>
    <w:next w:val="Normal"/>
    <w:link w:val="Heading1un-numberedChar"/>
    <w:qFormat/>
    <w:rsid w:val="00127B0E"/>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3624A7"/>
    <w:pPr>
      <w:ind w:left="720"/>
      <w:contextualSpacing/>
    </w:pPr>
  </w:style>
  <w:style w:type="paragraph" w:customStyle="1" w:styleId="TableHeadingLeft">
    <w:name w:val="Table Heading Left"/>
    <w:basedOn w:val="Normal"/>
    <w:uiPriority w:val="5"/>
    <w:rsid w:val="00F3201D"/>
    <w:pPr>
      <w:spacing w:after="0" w:line="200" w:lineRule="atLeast"/>
      <w:ind w:left="57" w:right="57"/>
    </w:pPr>
    <w:rPr>
      <w:rFonts w:asciiTheme="majorHAnsi" w:hAnsiTheme="majorHAnsi" w:cstheme="majorHAnsi"/>
      <w:b/>
      <w:color w:val="007CB0" w:themeColor="accent6"/>
      <w:szCs w:val="20"/>
      <w:lang w:val="en-AU"/>
    </w:rPr>
  </w:style>
  <w:style w:type="paragraph" w:customStyle="1" w:styleId="BulletedText1">
    <w:name w:val="Bulleted Text 1"/>
    <w:basedOn w:val="Normal"/>
    <w:uiPriority w:val="4"/>
    <w:semiHidden/>
    <w:qFormat/>
    <w:rsid w:val="00FC3D72"/>
    <w:pPr>
      <w:numPr>
        <w:numId w:val="8"/>
      </w:numPr>
      <w:suppressAutoHyphens/>
      <w:spacing w:after="0" w:line="250" w:lineRule="atLeast"/>
    </w:pPr>
    <w:rPr>
      <w:rFonts w:ascii="Verdana" w:hAnsi="Verdana"/>
      <w:sz w:val="18"/>
      <w:szCs w:val="18"/>
      <w:lang w:val="en-AU"/>
    </w:rPr>
  </w:style>
  <w:style w:type="paragraph" w:customStyle="1" w:styleId="BulletedText2">
    <w:name w:val="Bulleted Text 2"/>
    <w:basedOn w:val="Normal"/>
    <w:uiPriority w:val="4"/>
    <w:semiHidden/>
    <w:rsid w:val="00FC3D72"/>
    <w:pPr>
      <w:numPr>
        <w:ilvl w:val="1"/>
        <w:numId w:val="8"/>
      </w:numPr>
      <w:suppressAutoHyphens/>
      <w:spacing w:after="0" w:line="250" w:lineRule="atLeast"/>
    </w:pPr>
    <w:rPr>
      <w:rFonts w:ascii="Verdana" w:hAnsi="Verdana"/>
      <w:sz w:val="18"/>
      <w:szCs w:val="18"/>
      <w:lang w:val="en-AU"/>
    </w:rPr>
  </w:style>
  <w:style w:type="paragraph" w:customStyle="1" w:styleId="CaptionTable">
    <w:name w:val="Caption_Table"/>
    <w:basedOn w:val="Normal"/>
    <w:next w:val="Normal"/>
    <w:uiPriority w:val="4"/>
    <w:qFormat/>
    <w:rsid w:val="00BB427A"/>
    <w:pPr>
      <w:keepNext/>
      <w:keepLines/>
      <w:spacing w:before="240"/>
    </w:pPr>
    <w:rPr>
      <w:rFonts w:ascii="Verdana" w:eastAsia="Times New Roman" w:hAnsi="Verdana" w:cs="Times New Roman"/>
      <w:color w:val="808080" w:themeColor="background1" w:themeShade="80"/>
      <w:sz w:val="17"/>
      <w:szCs w:val="20"/>
      <w:lang w:val="en-AU"/>
    </w:rPr>
  </w:style>
  <w:style w:type="paragraph" w:customStyle="1" w:styleId="CaptionFigure">
    <w:name w:val="Caption_Figure"/>
    <w:basedOn w:val="Normal"/>
    <w:next w:val="Normal"/>
    <w:link w:val="CaptionFigureChar"/>
    <w:uiPriority w:val="4"/>
    <w:qFormat/>
    <w:rsid w:val="00AA2799"/>
    <w:pPr>
      <w:keepNext/>
      <w:keepLines/>
      <w:spacing w:after="170"/>
    </w:pPr>
    <w:rPr>
      <w:rFonts w:ascii="Verdana" w:hAnsi="Verdana"/>
      <w:bCs/>
      <w:color w:val="808080" w:themeColor="background1" w:themeShade="80"/>
      <w:sz w:val="17"/>
      <w:lang w:val="en-AU"/>
    </w:rPr>
  </w:style>
  <w:style w:type="paragraph" w:customStyle="1" w:styleId="CaptionChart">
    <w:name w:val="Caption_Chart"/>
    <w:basedOn w:val="Normal"/>
    <w:next w:val="Normal"/>
    <w:uiPriority w:val="4"/>
    <w:qFormat/>
    <w:rsid w:val="00FC3D72"/>
    <w:pPr>
      <w:keepNext/>
      <w:keepLines/>
      <w:spacing w:after="170"/>
    </w:pPr>
    <w:rPr>
      <w:rFonts w:ascii="Verdana" w:hAnsi="Verdana"/>
      <w:color w:val="007CB0" w:themeColor="accent6"/>
      <w:sz w:val="17"/>
      <w:szCs w:val="18"/>
      <w:lang w:val="en-AU"/>
    </w:rPr>
  </w:style>
  <w:style w:type="paragraph" w:styleId="TOCHeading">
    <w:name w:val="TOC Heading"/>
    <w:basedOn w:val="Heading1"/>
    <w:next w:val="Normal"/>
    <w:uiPriority w:val="39"/>
    <w:unhideWhenUsed/>
    <w:qFormat/>
    <w:rsid w:val="004127A9"/>
    <w:pPr>
      <w:keepNext/>
      <w:keepLines/>
      <w:pageBreakBefore w:val="0"/>
      <w:numPr>
        <w:numId w:val="0"/>
      </w:numPr>
      <w:spacing w:before="240" w:after="0" w:line="259" w:lineRule="auto"/>
      <w:outlineLvl w:val="9"/>
    </w:pPr>
    <w:rPr>
      <w:rFonts w:asciiTheme="majorHAnsi" w:eastAsiaTheme="majorEastAsia" w:hAnsiTheme="majorHAnsi" w:cstheme="majorBidi"/>
      <w:color w:val="638C1B" w:themeColor="accent1" w:themeShade="BF"/>
      <w:sz w:val="32"/>
      <w:szCs w:val="32"/>
    </w:rPr>
  </w:style>
  <w:style w:type="paragraph" w:customStyle="1" w:styleId="Heading3un-numbered">
    <w:name w:val="Heading 3 (un-numbered)"/>
    <w:basedOn w:val="Normal"/>
    <w:uiPriority w:val="2"/>
    <w:qFormat/>
    <w:rsid w:val="00C1734C"/>
    <w:pPr>
      <w:spacing w:after="120"/>
    </w:pPr>
    <w:rPr>
      <w:rFonts w:asciiTheme="majorHAnsi" w:hAnsiTheme="majorHAnsi"/>
      <w:b/>
      <w:color w:val="53565A" w:themeColor="background2"/>
      <w:sz w:val="24"/>
    </w:rPr>
  </w:style>
  <w:style w:type="character" w:styleId="CommentReference">
    <w:name w:val="annotation reference"/>
    <w:basedOn w:val="DefaultParagraphFont"/>
    <w:uiPriority w:val="99"/>
    <w:semiHidden/>
    <w:rsid w:val="008B7963"/>
    <w:rPr>
      <w:sz w:val="16"/>
      <w:szCs w:val="16"/>
    </w:rPr>
  </w:style>
  <w:style w:type="paragraph" w:styleId="CommentText">
    <w:name w:val="annotation text"/>
    <w:basedOn w:val="Normal"/>
    <w:link w:val="CommentTextChar"/>
    <w:uiPriority w:val="99"/>
    <w:rsid w:val="008B7963"/>
    <w:pPr>
      <w:spacing w:line="240" w:lineRule="auto"/>
    </w:pPr>
    <w:rPr>
      <w:szCs w:val="20"/>
    </w:rPr>
  </w:style>
  <w:style w:type="character" w:customStyle="1" w:styleId="CommentTextChar">
    <w:name w:val="Comment Text Char"/>
    <w:basedOn w:val="DefaultParagraphFont"/>
    <w:link w:val="CommentText"/>
    <w:uiPriority w:val="99"/>
    <w:rsid w:val="008B7963"/>
    <w:rPr>
      <w:sz w:val="20"/>
      <w:szCs w:val="20"/>
      <w:lang w:val="en-US"/>
    </w:rPr>
  </w:style>
  <w:style w:type="paragraph" w:styleId="CommentSubject">
    <w:name w:val="annotation subject"/>
    <w:basedOn w:val="CommentText"/>
    <w:next w:val="CommentText"/>
    <w:link w:val="CommentSubjectChar"/>
    <w:uiPriority w:val="99"/>
    <w:semiHidden/>
    <w:rsid w:val="008B7963"/>
    <w:rPr>
      <w:b/>
      <w:bCs/>
    </w:rPr>
  </w:style>
  <w:style w:type="character" w:customStyle="1" w:styleId="CommentSubjectChar">
    <w:name w:val="Comment Subject Char"/>
    <w:basedOn w:val="CommentTextChar"/>
    <w:link w:val="CommentSubject"/>
    <w:uiPriority w:val="99"/>
    <w:semiHidden/>
    <w:rsid w:val="008B7963"/>
    <w:rPr>
      <w:b/>
      <w:bCs/>
      <w:sz w:val="20"/>
      <w:szCs w:val="20"/>
      <w:lang w:val="en-US"/>
    </w:rPr>
  </w:style>
  <w:style w:type="paragraph" w:styleId="TOC3">
    <w:name w:val="toc 3"/>
    <w:basedOn w:val="Normal"/>
    <w:next w:val="Normal"/>
    <w:autoRedefine/>
    <w:uiPriority w:val="39"/>
    <w:rsid w:val="00F55793"/>
    <w:pPr>
      <w:tabs>
        <w:tab w:val="left" w:pos="1100"/>
        <w:tab w:val="right" w:leader="dot" w:pos="6935"/>
      </w:tabs>
      <w:spacing w:after="100"/>
      <w:ind w:left="400"/>
    </w:pPr>
  </w:style>
  <w:style w:type="paragraph" w:styleId="TOC2">
    <w:name w:val="toc 2"/>
    <w:basedOn w:val="Normal"/>
    <w:next w:val="Normal"/>
    <w:autoRedefine/>
    <w:uiPriority w:val="39"/>
    <w:rsid w:val="00A74476"/>
    <w:pPr>
      <w:tabs>
        <w:tab w:val="left" w:pos="880"/>
        <w:tab w:val="right" w:pos="9923"/>
      </w:tabs>
      <w:spacing w:after="100"/>
      <w:ind w:left="200"/>
    </w:pPr>
  </w:style>
  <w:style w:type="character" w:customStyle="1" w:styleId="cf01">
    <w:name w:val="cf01"/>
    <w:basedOn w:val="DefaultParagraphFont"/>
    <w:rsid w:val="001C3610"/>
    <w:rPr>
      <w:rFonts w:ascii="Segoe UI" w:hAnsi="Segoe UI" w:cs="Segoe UI" w:hint="default"/>
      <w:sz w:val="18"/>
      <w:szCs w:val="18"/>
    </w:r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34"/>
    <w:qFormat/>
    <w:locked/>
    <w:rsid w:val="00ED2ED3"/>
    <w:rPr>
      <w:sz w:val="20"/>
      <w:lang w:val="en-US"/>
    </w:rPr>
  </w:style>
  <w:style w:type="character" w:styleId="UnresolvedMention">
    <w:name w:val="Unresolved Mention"/>
    <w:basedOn w:val="DefaultParagraphFont"/>
    <w:uiPriority w:val="99"/>
    <w:unhideWhenUsed/>
    <w:rsid w:val="001E05FA"/>
    <w:rPr>
      <w:color w:val="605E5C"/>
      <w:shd w:val="clear" w:color="auto" w:fill="E1DFDD"/>
    </w:rPr>
  </w:style>
  <w:style w:type="paragraph" w:styleId="NormalWeb">
    <w:name w:val="Normal (Web)"/>
    <w:basedOn w:val="Normal"/>
    <w:uiPriority w:val="99"/>
    <w:semiHidden/>
    <w:unhideWhenUsed/>
    <w:rsid w:val="00AD00A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styleId="GridTable1Light-Accent6">
    <w:name w:val="Grid Table 1 Light Accent 6"/>
    <w:basedOn w:val="TableNormal"/>
    <w:uiPriority w:val="46"/>
    <w:rsid w:val="00AB34DD"/>
    <w:pPr>
      <w:spacing w:after="0" w:line="240" w:lineRule="auto"/>
    </w:pPr>
    <w:tblPr>
      <w:tblStyleRowBandSize w:val="1"/>
      <w:tblStyleColBandSize w:val="1"/>
      <w:tblBorders>
        <w:top w:val="single" w:sz="4" w:space="0" w:color="79D7FF" w:themeColor="accent6" w:themeTint="66"/>
        <w:left w:val="single" w:sz="4" w:space="0" w:color="79D7FF" w:themeColor="accent6" w:themeTint="66"/>
        <w:bottom w:val="single" w:sz="4" w:space="0" w:color="79D7FF" w:themeColor="accent6" w:themeTint="66"/>
        <w:right w:val="single" w:sz="4" w:space="0" w:color="79D7FF" w:themeColor="accent6" w:themeTint="66"/>
        <w:insideH w:val="single" w:sz="4" w:space="0" w:color="79D7FF" w:themeColor="accent6" w:themeTint="66"/>
        <w:insideV w:val="single" w:sz="4" w:space="0" w:color="79D7FF" w:themeColor="accent6" w:themeTint="66"/>
      </w:tblBorders>
    </w:tblPr>
    <w:tblStylePr w:type="firstRow">
      <w:rPr>
        <w:b/>
        <w:bCs/>
      </w:rPr>
      <w:tblPr/>
      <w:tcPr>
        <w:tcBorders>
          <w:bottom w:val="single" w:sz="12" w:space="0" w:color="36C3FF" w:themeColor="accent6" w:themeTint="99"/>
        </w:tcBorders>
      </w:tcPr>
    </w:tblStylePr>
    <w:tblStylePr w:type="lastRow">
      <w:rPr>
        <w:b/>
        <w:bCs/>
      </w:rPr>
      <w:tblPr/>
      <w:tcPr>
        <w:tcBorders>
          <w:top w:val="double" w:sz="2" w:space="0" w:color="36C3FF" w:themeColor="accent6" w:themeTint="99"/>
        </w:tcBorders>
      </w:tcPr>
    </w:tblStylePr>
    <w:tblStylePr w:type="firstCol">
      <w:rPr>
        <w:b/>
        <w:bCs/>
      </w:rPr>
    </w:tblStylePr>
    <w:tblStylePr w:type="lastCol">
      <w:rPr>
        <w:b/>
        <w:bCs/>
      </w:rPr>
    </w:tblStylePr>
  </w:style>
  <w:style w:type="paragraph" w:customStyle="1" w:styleId="Normal0">
    <w:name w:val="[Normal]"/>
    <w:uiPriority w:val="99"/>
    <w:rsid w:val="00EA09BB"/>
    <w:pPr>
      <w:widowControl w:val="0"/>
      <w:autoSpaceDE w:val="0"/>
      <w:autoSpaceDN w:val="0"/>
      <w:adjustRightInd w:val="0"/>
      <w:spacing w:after="0" w:line="240" w:lineRule="auto"/>
    </w:pPr>
    <w:rPr>
      <w:rFonts w:ascii="Arial" w:hAnsi="Arial" w:cs="Arial"/>
      <w:sz w:val="24"/>
      <w:szCs w:val="24"/>
      <w:lang w:val="en-AU"/>
    </w:rPr>
  </w:style>
  <w:style w:type="character" w:styleId="Mention">
    <w:name w:val="Mention"/>
    <w:basedOn w:val="DefaultParagraphFont"/>
    <w:uiPriority w:val="99"/>
    <w:unhideWhenUsed/>
    <w:rsid w:val="004B78D1"/>
    <w:rPr>
      <w:color w:val="2B579A"/>
      <w:shd w:val="clear" w:color="auto" w:fill="E1DFDD"/>
    </w:rPr>
  </w:style>
  <w:style w:type="paragraph" w:styleId="BodyText">
    <w:name w:val="Body Text"/>
    <w:basedOn w:val="Normal"/>
    <w:link w:val="BodyTextChar"/>
    <w:uiPriority w:val="99"/>
    <w:semiHidden/>
    <w:rsid w:val="001E1311"/>
    <w:pPr>
      <w:spacing w:after="120"/>
    </w:pPr>
  </w:style>
  <w:style w:type="character" w:customStyle="1" w:styleId="BodyTextChar">
    <w:name w:val="Body Text Char"/>
    <w:basedOn w:val="DefaultParagraphFont"/>
    <w:link w:val="BodyText"/>
    <w:uiPriority w:val="99"/>
    <w:semiHidden/>
    <w:rsid w:val="001E1311"/>
    <w:rPr>
      <w:sz w:val="20"/>
      <w:lang w:val="en-US"/>
    </w:rPr>
  </w:style>
  <w:style w:type="paragraph" w:styleId="List">
    <w:name w:val="List"/>
    <w:basedOn w:val="Normal"/>
    <w:uiPriority w:val="99"/>
    <w:semiHidden/>
    <w:rsid w:val="008E0851"/>
    <w:pPr>
      <w:ind w:left="283" w:hanging="283"/>
      <w:contextualSpacing/>
    </w:pPr>
  </w:style>
  <w:style w:type="paragraph" w:styleId="Revision">
    <w:name w:val="Revision"/>
    <w:hidden/>
    <w:uiPriority w:val="99"/>
    <w:semiHidden/>
    <w:rsid w:val="004B613C"/>
    <w:pPr>
      <w:spacing w:after="0" w:line="240" w:lineRule="auto"/>
    </w:pPr>
    <w:rPr>
      <w:sz w:val="20"/>
      <w:lang w:val="en-US"/>
    </w:rPr>
  </w:style>
  <w:style w:type="paragraph" w:customStyle="1" w:styleId="Heading2un-numbered">
    <w:name w:val="Heading 2 (un-numbered)"/>
    <w:basedOn w:val="Heading2"/>
    <w:next w:val="Normal"/>
    <w:uiPriority w:val="2"/>
    <w:qFormat/>
    <w:rsid w:val="00D92585"/>
    <w:pPr>
      <w:keepNext/>
      <w:keepLines/>
      <w:numPr>
        <w:ilvl w:val="0"/>
        <w:numId w:val="0"/>
      </w:numPr>
      <w:spacing w:before="240" w:after="0" w:line="280" w:lineRule="atLeast"/>
    </w:pPr>
    <w:rPr>
      <w:rFonts w:ascii="Verdana" w:eastAsiaTheme="majorEastAsia" w:hAnsi="Verdana" w:cstheme="majorBidi"/>
      <w:bCs/>
      <w:color w:val="26890D" w:themeColor="accent3"/>
      <w:sz w:val="22"/>
      <w:szCs w:val="26"/>
      <w:lang w:val="en-AU"/>
    </w:rPr>
  </w:style>
  <w:style w:type="paragraph" w:customStyle="1" w:styleId="TabletextLeft">
    <w:name w:val="Table text Left"/>
    <w:basedOn w:val="Normal"/>
    <w:uiPriority w:val="5"/>
    <w:rsid w:val="00B978CC"/>
    <w:pPr>
      <w:spacing w:after="0" w:line="200" w:lineRule="atLeast"/>
      <w:ind w:left="57" w:right="57"/>
    </w:pPr>
    <w:rPr>
      <w:rFonts w:ascii="Verdana" w:hAnsi="Verdana"/>
      <w:sz w:val="17"/>
      <w:szCs w:val="18"/>
      <w:lang w:val="en-AU"/>
    </w:rPr>
  </w:style>
  <w:style w:type="paragraph" w:customStyle="1" w:styleId="Source">
    <w:name w:val="Source"/>
    <w:basedOn w:val="Caption"/>
    <w:next w:val="Normal"/>
    <w:uiPriority w:val="6"/>
    <w:qFormat/>
    <w:rsid w:val="00B978CC"/>
    <w:pPr>
      <w:keepNext w:val="0"/>
      <w:spacing w:before="120" w:line="240" w:lineRule="atLeast"/>
    </w:pPr>
    <w:rPr>
      <w:rFonts w:ascii="Verdana" w:hAnsi="Verdana"/>
      <w:color w:val="007CB0" w:themeColor="accent6"/>
      <w:sz w:val="14"/>
      <w:lang w:val="en-AU"/>
    </w:rPr>
  </w:style>
  <w:style w:type="character" w:customStyle="1" w:styleId="SectiontitleChar">
    <w:name w:val="Section title Char"/>
    <w:basedOn w:val="DefaultParagraphFont"/>
    <w:link w:val="Sectiontitle"/>
    <w:rsid w:val="00B828F6"/>
    <w:rPr>
      <w:sz w:val="72"/>
      <w:lang w:val="en-US"/>
    </w:rPr>
  </w:style>
  <w:style w:type="character" w:customStyle="1" w:styleId="Sectiontitleun-numberedChar">
    <w:name w:val="Section title (un-numbered) Char"/>
    <w:basedOn w:val="SectiontitleChar"/>
    <w:link w:val="Sectiontitleun-numbered"/>
    <w:rsid w:val="00B828F6"/>
    <w:rPr>
      <w:sz w:val="72"/>
      <w:lang w:val="en-US"/>
    </w:rPr>
  </w:style>
  <w:style w:type="character" w:customStyle="1" w:styleId="Heading1un-numberedChar">
    <w:name w:val="Heading 1 (un-numbered) Char"/>
    <w:basedOn w:val="Sectiontitleun-numberedChar"/>
    <w:link w:val="Heading1un-numbered"/>
    <w:rsid w:val="00B828F6"/>
    <w:rPr>
      <w:sz w:val="72"/>
      <w:lang w:val="en-US"/>
    </w:rPr>
  </w:style>
  <w:style w:type="character" w:customStyle="1" w:styleId="CaptionFigureChar">
    <w:name w:val="Caption_Figure Char"/>
    <w:basedOn w:val="DefaultParagraphFont"/>
    <w:link w:val="CaptionFigure"/>
    <w:uiPriority w:val="4"/>
    <w:rsid w:val="00AA2799"/>
    <w:rPr>
      <w:rFonts w:ascii="Verdana" w:hAnsi="Verdana"/>
      <w:bCs/>
      <w:color w:val="808080" w:themeColor="background1" w:themeShade="80"/>
      <w:sz w:val="17"/>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1641">
      <w:bodyDiv w:val="1"/>
      <w:marLeft w:val="0"/>
      <w:marRight w:val="0"/>
      <w:marTop w:val="0"/>
      <w:marBottom w:val="0"/>
      <w:divBdr>
        <w:top w:val="none" w:sz="0" w:space="0" w:color="auto"/>
        <w:left w:val="none" w:sz="0" w:space="0" w:color="auto"/>
        <w:bottom w:val="none" w:sz="0" w:space="0" w:color="auto"/>
        <w:right w:val="none" w:sz="0" w:space="0" w:color="auto"/>
      </w:divBdr>
      <w:divsChild>
        <w:div w:id="364793213">
          <w:marLeft w:val="274"/>
          <w:marRight w:val="0"/>
          <w:marTop w:val="0"/>
          <w:marBottom w:val="0"/>
          <w:divBdr>
            <w:top w:val="none" w:sz="0" w:space="0" w:color="auto"/>
            <w:left w:val="none" w:sz="0" w:space="0" w:color="auto"/>
            <w:bottom w:val="none" w:sz="0" w:space="0" w:color="auto"/>
            <w:right w:val="none" w:sz="0" w:space="0" w:color="auto"/>
          </w:divBdr>
        </w:div>
        <w:div w:id="478420799">
          <w:marLeft w:val="274"/>
          <w:marRight w:val="0"/>
          <w:marTop w:val="0"/>
          <w:marBottom w:val="0"/>
          <w:divBdr>
            <w:top w:val="none" w:sz="0" w:space="0" w:color="auto"/>
            <w:left w:val="none" w:sz="0" w:space="0" w:color="auto"/>
            <w:bottom w:val="none" w:sz="0" w:space="0" w:color="auto"/>
            <w:right w:val="none" w:sz="0" w:space="0" w:color="auto"/>
          </w:divBdr>
        </w:div>
        <w:div w:id="595747021">
          <w:marLeft w:val="274"/>
          <w:marRight w:val="0"/>
          <w:marTop w:val="0"/>
          <w:marBottom w:val="0"/>
          <w:divBdr>
            <w:top w:val="none" w:sz="0" w:space="0" w:color="auto"/>
            <w:left w:val="none" w:sz="0" w:space="0" w:color="auto"/>
            <w:bottom w:val="none" w:sz="0" w:space="0" w:color="auto"/>
            <w:right w:val="none" w:sz="0" w:space="0" w:color="auto"/>
          </w:divBdr>
        </w:div>
        <w:div w:id="1257860624">
          <w:marLeft w:val="274"/>
          <w:marRight w:val="0"/>
          <w:marTop w:val="0"/>
          <w:marBottom w:val="0"/>
          <w:divBdr>
            <w:top w:val="none" w:sz="0" w:space="0" w:color="auto"/>
            <w:left w:val="none" w:sz="0" w:space="0" w:color="auto"/>
            <w:bottom w:val="none" w:sz="0" w:space="0" w:color="auto"/>
            <w:right w:val="none" w:sz="0" w:space="0" w:color="auto"/>
          </w:divBdr>
        </w:div>
        <w:div w:id="1761826863">
          <w:marLeft w:val="274"/>
          <w:marRight w:val="0"/>
          <w:marTop w:val="0"/>
          <w:marBottom w:val="0"/>
          <w:divBdr>
            <w:top w:val="none" w:sz="0" w:space="0" w:color="auto"/>
            <w:left w:val="none" w:sz="0" w:space="0" w:color="auto"/>
            <w:bottom w:val="none" w:sz="0" w:space="0" w:color="auto"/>
            <w:right w:val="none" w:sz="0" w:space="0" w:color="auto"/>
          </w:divBdr>
        </w:div>
        <w:div w:id="2132162633">
          <w:marLeft w:val="274"/>
          <w:marRight w:val="0"/>
          <w:marTop w:val="0"/>
          <w:marBottom w:val="0"/>
          <w:divBdr>
            <w:top w:val="none" w:sz="0" w:space="0" w:color="auto"/>
            <w:left w:val="none" w:sz="0" w:space="0" w:color="auto"/>
            <w:bottom w:val="none" w:sz="0" w:space="0" w:color="auto"/>
            <w:right w:val="none" w:sz="0" w:space="0" w:color="auto"/>
          </w:divBdr>
        </w:div>
      </w:divsChild>
    </w:div>
    <w:div w:id="59331043">
      <w:bodyDiv w:val="1"/>
      <w:marLeft w:val="0"/>
      <w:marRight w:val="0"/>
      <w:marTop w:val="0"/>
      <w:marBottom w:val="0"/>
      <w:divBdr>
        <w:top w:val="none" w:sz="0" w:space="0" w:color="auto"/>
        <w:left w:val="none" w:sz="0" w:space="0" w:color="auto"/>
        <w:bottom w:val="none" w:sz="0" w:space="0" w:color="auto"/>
        <w:right w:val="none" w:sz="0" w:space="0" w:color="auto"/>
      </w:divBdr>
    </w:div>
    <w:div w:id="83499072">
      <w:bodyDiv w:val="1"/>
      <w:marLeft w:val="0"/>
      <w:marRight w:val="0"/>
      <w:marTop w:val="0"/>
      <w:marBottom w:val="0"/>
      <w:divBdr>
        <w:top w:val="none" w:sz="0" w:space="0" w:color="auto"/>
        <w:left w:val="none" w:sz="0" w:space="0" w:color="auto"/>
        <w:bottom w:val="none" w:sz="0" w:space="0" w:color="auto"/>
        <w:right w:val="none" w:sz="0" w:space="0" w:color="auto"/>
      </w:divBdr>
    </w:div>
    <w:div w:id="88238432">
      <w:bodyDiv w:val="1"/>
      <w:marLeft w:val="0"/>
      <w:marRight w:val="0"/>
      <w:marTop w:val="0"/>
      <w:marBottom w:val="0"/>
      <w:divBdr>
        <w:top w:val="none" w:sz="0" w:space="0" w:color="auto"/>
        <w:left w:val="none" w:sz="0" w:space="0" w:color="auto"/>
        <w:bottom w:val="none" w:sz="0" w:space="0" w:color="auto"/>
        <w:right w:val="none" w:sz="0" w:space="0" w:color="auto"/>
      </w:divBdr>
    </w:div>
    <w:div w:id="89352814">
      <w:bodyDiv w:val="1"/>
      <w:marLeft w:val="0"/>
      <w:marRight w:val="0"/>
      <w:marTop w:val="0"/>
      <w:marBottom w:val="0"/>
      <w:divBdr>
        <w:top w:val="none" w:sz="0" w:space="0" w:color="auto"/>
        <w:left w:val="none" w:sz="0" w:space="0" w:color="auto"/>
        <w:bottom w:val="none" w:sz="0" w:space="0" w:color="auto"/>
        <w:right w:val="none" w:sz="0" w:space="0" w:color="auto"/>
      </w:divBdr>
    </w:div>
    <w:div w:id="109907644">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95509195">
      <w:bodyDiv w:val="1"/>
      <w:marLeft w:val="0"/>
      <w:marRight w:val="0"/>
      <w:marTop w:val="0"/>
      <w:marBottom w:val="0"/>
      <w:divBdr>
        <w:top w:val="none" w:sz="0" w:space="0" w:color="auto"/>
        <w:left w:val="none" w:sz="0" w:space="0" w:color="auto"/>
        <w:bottom w:val="none" w:sz="0" w:space="0" w:color="auto"/>
        <w:right w:val="none" w:sz="0" w:space="0" w:color="auto"/>
      </w:divBdr>
      <w:divsChild>
        <w:div w:id="1999188502">
          <w:marLeft w:val="274"/>
          <w:marRight w:val="0"/>
          <w:marTop w:val="0"/>
          <w:marBottom w:val="0"/>
          <w:divBdr>
            <w:top w:val="none" w:sz="0" w:space="0" w:color="auto"/>
            <w:left w:val="none" w:sz="0" w:space="0" w:color="auto"/>
            <w:bottom w:val="none" w:sz="0" w:space="0" w:color="auto"/>
            <w:right w:val="none" w:sz="0" w:space="0" w:color="auto"/>
          </w:divBdr>
        </w:div>
      </w:divsChild>
    </w:div>
    <w:div w:id="218174494">
      <w:bodyDiv w:val="1"/>
      <w:marLeft w:val="0"/>
      <w:marRight w:val="0"/>
      <w:marTop w:val="0"/>
      <w:marBottom w:val="0"/>
      <w:divBdr>
        <w:top w:val="none" w:sz="0" w:space="0" w:color="auto"/>
        <w:left w:val="none" w:sz="0" w:space="0" w:color="auto"/>
        <w:bottom w:val="none" w:sz="0" w:space="0" w:color="auto"/>
        <w:right w:val="none" w:sz="0" w:space="0" w:color="auto"/>
      </w:divBdr>
    </w:div>
    <w:div w:id="218982177">
      <w:bodyDiv w:val="1"/>
      <w:marLeft w:val="0"/>
      <w:marRight w:val="0"/>
      <w:marTop w:val="0"/>
      <w:marBottom w:val="0"/>
      <w:divBdr>
        <w:top w:val="none" w:sz="0" w:space="0" w:color="auto"/>
        <w:left w:val="none" w:sz="0" w:space="0" w:color="auto"/>
        <w:bottom w:val="none" w:sz="0" w:space="0" w:color="auto"/>
        <w:right w:val="none" w:sz="0" w:space="0" w:color="auto"/>
      </w:divBdr>
    </w:div>
    <w:div w:id="233514296">
      <w:bodyDiv w:val="1"/>
      <w:marLeft w:val="0"/>
      <w:marRight w:val="0"/>
      <w:marTop w:val="0"/>
      <w:marBottom w:val="0"/>
      <w:divBdr>
        <w:top w:val="none" w:sz="0" w:space="0" w:color="auto"/>
        <w:left w:val="none" w:sz="0" w:space="0" w:color="auto"/>
        <w:bottom w:val="none" w:sz="0" w:space="0" w:color="auto"/>
        <w:right w:val="none" w:sz="0" w:space="0" w:color="auto"/>
      </w:divBdr>
    </w:div>
    <w:div w:id="252475778">
      <w:bodyDiv w:val="1"/>
      <w:marLeft w:val="0"/>
      <w:marRight w:val="0"/>
      <w:marTop w:val="0"/>
      <w:marBottom w:val="0"/>
      <w:divBdr>
        <w:top w:val="none" w:sz="0" w:space="0" w:color="auto"/>
        <w:left w:val="none" w:sz="0" w:space="0" w:color="auto"/>
        <w:bottom w:val="none" w:sz="0" w:space="0" w:color="auto"/>
        <w:right w:val="none" w:sz="0" w:space="0" w:color="auto"/>
      </w:divBdr>
      <w:divsChild>
        <w:div w:id="379015671">
          <w:marLeft w:val="274"/>
          <w:marRight w:val="0"/>
          <w:marTop w:val="0"/>
          <w:marBottom w:val="120"/>
          <w:divBdr>
            <w:top w:val="none" w:sz="0" w:space="0" w:color="auto"/>
            <w:left w:val="none" w:sz="0" w:space="0" w:color="auto"/>
            <w:bottom w:val="none" w:sz="0" w:space="0" w:color="auto"/>
            <w:right w:val="none" w:sz="0" w:space="0" w:color="auto"/>
          </w:divBdr>
        </w:div>
      </w:divsChild>
    </w:div>
    <w:div w:id="257448511">
      <w:bodyDiv w:val="1"/>
      <w:marLeft w:val="0"/>
      <w:marRight w:val="0"/>
      <w:marTop w:val="0"/>
      <w:marBottom w:val="0"/>
      <w:divBdr>
        <w:top w:val="none" w:sz="0" w:space="0" w:color="auto"/>
        <w:left w:val="none" w:sz="0" w:space="0" w:color="auto"/>
        <w:bottom w:val="none" w:sz="0" w:space="0" w:color="auto"/>
        <w:right w:val="none" w:sz="0" w:space="0" w:color="auto"/>
      </w:divBdr>
      <w:divsChild>
        <w:div w:id="2058164052">
          <w:marLeft w:val="274"/>
          <w:marRight w:val="0"/>
          <w:marTop w:val="0"/>
          <w:marBottom w:val="0"/>
          <w:divBdr>
            <w:top w:val="none" w:sz="0" w:space="0" w:color="auto"/>
            <w:left w:val="none" w:sz="0" w:space="0" w:color="auto"/>
            <w:bottom w:val="none" w:sz="0" w:space="0" w:color="auto"/>
            <w:right w:val="none" w:sz="0" w:space="0" w:color="auto"/>
          </w:divBdr>
        </w:div>
      </w:divsChild>
    </w:div>
    <w:div w:id="276180889">
      <w:bodyDiv w:val="1"/>
      <w:marLeft w:val="0"/>
      <w:marRight w:val="0"/>
      <w:marTop w:val="0"/>
      <w:marBottom w:val="0"/>
      <w:divBdr>
        <w:top w:val="none" w:sz="0" w:space="0" w:color="auto"/>
        <w:left w:val="none" w:sz="0" w:space="0" w:color="auto"/>
        <w:bottom w:val="none" w:sz="0" w:space="0" w:color="auto"/>
        <w:right w:val="none" w:sz="0" w:space="0" w:color="auto"/>
      </w:divBdr>
    </w:div>
    <w:div w:id="305596470">
      <w:bodyDiv w:val="1"/>
      <w:marLeft w:val="0"/>
      <w:marRight w:val="0"/>
      <w:marTop w:val="0"/>
      <w:marBottom w:val="0"/>
      <w:divBdr>
        <w:top w:val="none" w:sz="0" w:space="0" w:color="auto"/>
        <w:left w:val="none" w:sz="0" w:space="0" w:color="auto"/>
        <w:bottom w:val="none" w:sz="0" w:space="0" w:color="auto"/>
        <w:right w:val="none" w:sz="0" w:space="0" w:color="auto"/>
      </w:divBdr>
    </w:div>
    <w:div w:id="308485680">
      <w:bodyDiv w:val="1"/>
      <w:marLeft w:val="0"/>
      <w:marRight w:val="0"/>
      <w:marTop w:val="0"/>
      <w:marBottom w:val="0"/>
      <w:divBdr>
        <w:top w:val="none" w:sz="0" w:space="0" w:color="auto"/>
        <w:left w:val="none" w:sz="0" w:space="0" w:color="auto"/>
        <w:bottom w:val="none" w:sz="0" w:space="0" w:color="auto"/>
        <w:right w:val="none" w:sz="0" w:space="0" w:color="auto"/>
      </w:divBdr>
    </w:div>
    <w:div w:id="337005175">
      <w:bodyDiv w:val="1"/>
      <w:marLeft w:val="0"/>
      <w:marRight w:val="0"/>
      <w:marTop w:val="0"/>
      <w:marBottom w:val="0"/>
      <w:divBdr>
        <w:top w:val="none" w:sz="0" w:space="0" w:color="auto"/>
        <w:left w:val="none" w:sz="0" w:space="0" w:color="auto"/>
        <w:bottom w:val="none" w:sz="0" w:space="0" w:color="auto"/>
        <w:right w:val="none" w:sz="0" w:space="0" w:color="auto"/>
      </w:divBdr>
    </w:div>
    <w:div w:id="363098239">
      <w:bodyDiv w:val="1"/>
      <w:marLeft w:val="0"/>
      <w:marRight w:val="0"/>
      <w:marTop w:val="0"/>
      <w:marBottom w:val="0"/>
      <w:divBdr>
        <w:top w:val="none" w:sz="0" w:space="0" w:color="auto"/>
        <w:left w:val="none" w:sz="0" w:space="0" w:color="auto"/>
        <w:bottom w:val="none" w:sz="0" w:space="0" w:color="auto"/>
        <w:right w:val="none" w:sz="0" w:space="0" w:color="auto"/>
      </w:divBdr>
    </w:div>
    <w:div w:id="379986138">
      <w:bodyDiv w:val="1"/>
      <w:marLeft w:val="0"/>
      <w:marRight w:val="0"/>
      <w:marTop w:val="0"/>
      <w:marBottom w:val="0"/>
      <w:divBdr>
        <w:top w:val="none" w:sz="0" w:space="0" w:color="auto"/>
        <w:left w:val="none" w:sz="0" w:space="0" w:color="auto"/>
        <w:bottom w:val="none" w:sz="0" w:space="0" w:color="auto"/>
        <w:right w:val="none" w:sz="0" w:space="0" w:color="auto"/>
      </w:divBdr>
      <w:divsChild>
        <w:div w:id="1326125421">
          <w:marLeft w:val="274"/>
          <w:marRight w:val="0"/>
          <w:marTop w:val="0"/>
          <w:marBottom w:val="0"/>
          <w:divBdr>
            <w:top w:val="none" w:sz="0" w:space="0" w:color="auto"/>
            <w:left w:val="none" w:sz="0" w:space="0" w:color="auto"/>
            <w:bottom w:val="none" w:sz="0" w:space="0" w:color="auto"/>
            <w:right w:val="none" w:sz="0" w:space="0" w:color="auto"/>
          </w:divBdr>
        </w:div>
      </w:divsChild>
    </w:div>
    <w:div w:id="398216712">
      <w:bodyDiv w:val="1"/>
      <w:marLeft w:val="0"/>
      <w:marRight w:val="0"/>
      <w:marTop w:val="0"/>
      <w:marBottom w:val="0"/>
      <w:divBdr>
        <w:top w:val="none" w:sz="0" w:space="0" w:color="auto"/>
        <w:left w:val="none" w:sz="0" w:space="0" w:color="auto"/>
        <w:bottom w:val="none" w:sz="0" w:space="0" w:color="auto"/>
        <w:right w:val="none" w:sz="0" w:space="0" w:color="auto"/>
      </w:divBdr>
      <w:divsChild>
        <w:div w:id="1740858062">
          <w:marLeft w:val="274"/>
          <w:marRight w:val="0"/>
          <w:marTop w:val="0"/>
          <w:marBottom w:val="120"/>
          <w:divBdr>
            <w:top w:val="none" w:sz="0" w:space="0" w:color="auto"/>
            <w:left w:val="none" w:sz="0" w:space="0" w:color="auto"/>
            <w:bottom w:val="none" w:sz="0" w:space="0" w:color="auto"/>
            <w:right w:val="none" w:sz="0" w:space="0" w:color="auto"/>
          </w:divBdr>
        </w:div>
      </w:divsChild>
    </w:div>
    <w:div w:id="400294209">
      <w:bodyDiv w:val="1"/>
      <w:marLeft w:val="0"/>
      <w:marRight w:val="0"/>
      <w:marTop w:val="0"/>
      <w:marBottom w:val="0"/>
      <w:divBdr>
        <w:top w:val="none" w:sz="0" w:space="0" w:color="auto"/>
        <w:left w:val="none" w:sz="0" w:space="0" w:color="auto"/>
        <w:bottom w:val="none" w:sz="0" w:space="0" w:color="auto"/>
        <w:right w:val="none" w:sz="0" w:space="0" w:color="auto"/>
      </w:divBdr>
    </w:div>
    <w:div w:id="402871546">
      <w:bodyDiv w:val="1"/>
      <w:marLeft w:val="0"/>
      <w:marRight w:val="0"/>
      <w:marTop w:val="0"/>
      <w:marBottom w:val="0"/>
      <w:divBdr>
        <w:top w:val="none" w:sz="0" w:space="0" w:color="auto"/>
        <w:left w:val="none" w:sz="0" w:space="0" w:color="auto"/>
        <w:bottom w:val="none" w:sz="0" w:space="0" w:color="auto"/>
        <w:right w:val="none" w:sz="0" w:space="0" w:color="auto"/>
      </w:divBdr>
      <w:divsChild>
        <w:div w:id="1288125041">
          <w:marLeft w:val="274"/>
          <w:marRight w:val="0"/>
          <w:marTop w:val="0"/>
          <w:marBottom w:val="0"/>
          <w:divBdr>
            <w:top w:val="none" w:sz="0" w:space="0" w:color="auto"/>
            <w:left w:val="none" w:sz="0" w:space="0" w:color="auto"/>
            <w:bottom w:val="none" w:sz="0" w:space="0" w:color="auto"/>
            <w:right w:val="none" w:sz="0" w:space="0" w:color="auto"/>
          </w:divBdr>
        </w:div>
      </w:divsChild>
    </w:div>
    <w:div w:id="403341047">
      <w:bodyDiv w:val="1"/>
      <w:marLeft w:val="0"/>
      <w:marRight w:val="0"/>
      <w:marTop w:val="0"/>
      <w:marBottom w:val="0"/>
      <w:divBdr>
        <w:top w:val="none" w:sz="0" w:space="0" w:color="auto"/>
        <w:left w:val="none" w:sz="0" w:space="0" w:color="auto"/>
        <w:bottom w:val="none" w:sz="0" w:space="0" w:color="auto"/>
        <w:right w:val="none" w:sz="0" w:space="0" w:color="auto"/>
      </w:divBdr>
      <w:divsChild>
        <w:div w:id="248078178">
          <w:marLeft w:val="274"/>
          <w:marRight w:val="0"/>
          <w:marTop w:val="0"/>
          <w:marBottom w:val="0"/>
          <w:divBdr>
            <w:top w:val="none" w:sz="0" w:space="0" w:color="auto"/>
            <w:left w:val="none" w:sz="0" w:space="0" w:color="auto"/>
            <w:bottom w:val="none" w:sz="0" w:space="0" w:color="auto"/>
            <w:right w:val="none" w:sz="0" w:space="0" w:color="auto"/>
          </w:divBdr>
        </w:div>
        <w:div w:id="666639656">
          <w:marLeft w:val="274"/>
          <w:marRight w:val="0"/>
          <w:marTop w:val="0"/>
          <w:marBottom w:val="0"/>
          <w:divBdr>
            <w:top w:val="none" w:sz="0" w:space="0" w:color="auto"/>
            <w:left w:val="none" w:sz="0" w:space="0" w:color="auto"/>
            <w:bottom w:val="none" w:sz="0" w:space="0" w:color="auto"/>
            <w:right w:val="none" w:sz="0" w:space="0" w:color="auto"/>
          </w:divBdr>
        </w:div>
        <w:div w:id="1684437289">
          <w:marLeft w:val="274"/>
          <w:marRight w:val="0"/>
          <w:marTop w:val="0"/>
          <w:marBottom w:val="0"/>
          <w:divBdr>
            <w:top w:val="none" w:sz="0" w:space="0" w:color="auto"/>
            <w:left w:val="none" w:sz="0" w:space="0" w:color="auto"/>
            <w:bottom w:val="none" w:sz="0" w:space="0" w:color="auto"/>
            <w:right w:val="none" w:sz="0" w:space="0" w:color="auto"/>
          </w:divBdr>
        </w:div>
      </w:divsChild>
    </w:div>
    <w:div w:id="422991826">
      <w:bodyDiv w:val="1"/>
      <w:marLeft w:val="0"/>
      <w:marRight w:val="0"/>
      <w:marTop w:val="0"/>
      <w:marBottom w:val="0"/>
      <w:divBdr>
        <w:top w:val="none" w:sz="0" w:space="0" w:color="auto"/>
        <w:left w:val="none" w:sz="0" w:space="0" w:color="auto"/>
        <w:bottom w:val="none" w:sz="0" w:space="0" w:color="auto"/>
        <w:right w:val="none" w:sz="0" w:space="0" w:color="auto"/>
      </w:divBdr>
    </w:div>
    <w:div w:id="434788423">
      <w:bodyDiv w:val="1"/>
      <w:marLeft w:val="0"/>
      <w:marRight w:val="0"/>
      <w:marTop w:val="0"/>
      <w:marBottom w:val="0"/>
      <w:divBdr>
        <w:top w:val="none" w:sz="0" w:space="0" w:color="auto"/>
        <w:left w:val="none" w:sz="0" w:space="0" w:color="auto"/>
        <w:bottom w:val="none" w:sz="0" w:space="0" w:color="auto"/>
        <w:right w:val="none" w:sz="0" w:space="0" w:color="auto"/>
      </w:divBdr>
    </w:div>
    <w:div w:id="435563679">
      <w:bodyDiv w:val="1"/>
      <w:marLeft w:val="0"/>
      <w:marRight w:val="0"/>
      <w:marTop w:val="0"/>
      <w:marBottom w:val="0"/>
      <w:divBdr>
        <w:top w:val="none" w:sz="0" w:space="0" w:color="auto"/>
        <w:left w:val="none" w:sz="0" w:space="0" w:color="auto"/>
        <w:bottom w:val="none" w:sz="0" w:space="0" w:color="auto"/>
        <w:right w:val="none" w:sz="0" w:space="0" w:color="auto"/>
      </w:divBdr>
    </w:div>
    <w:div w:id="447433017">
      <w:bodyDiv w:val="1"/>
      <w:marLeft w:val="0"/>
      <w:marRight w:val="0"/>
      <w:marTop w:val="0"/>
      <w:marBottom w:val="0"/>
      <w:divBdr>
        <w:top w:val="none" w:sz="0" w:space="0" w:color="auto"/>
        <w:left w:val="none" w:sz="0" w:space="0" w:color="auto"/>
        <w:bottom w:val="none" w:sz="0" w:space="0" w:color="auto"/>
        <w:right w:val="none" w:sz="0" w:space="0" w:color="auto"/>
      </w:divBdr>
    </w:div>
    <w:div w:id="467748668">
      <w:bodyDiv w:val="1"/>
      <w:marLeft w:val="0"/>
      <w:marRight w:val="0"/>
      <w:marTop w:val="0"/>
      <w:marBottom w:val="0"/>
      <w:divBdr>
        <w:top w:val="none" w:sz="0" w:space="0" w:color="auto"/>
        <w:left w:val="none" w:sz="0" w:space="0" w:color="auto"/>
        <w:bottom w:val="none" w:sz="0" w:space="0" w:color="auto"/>
        <w:right w:val="none" w:sz="0" w:space="0" w:color="auto"/>
      </w:divBdr>
    </w:div>
    <w:div w:id="483863239">
      <w:bodyDiv w:val="1"/>
      <w:marLeft w:val="0"/>
      <w:marRight w:val="0"/>
      <w:marTop w:val="0"/>
      <w:marBottom w:val="0"/>
      <w:divBdr>
        <w:top w:val="none" w:sz="0" w:space="0" w:color="auto"/>
        <w:left w:val="none" w:sz="0" w:space="0" w:color="auto"/>
        <w:bottom w:val="none" w:sz="0" w:space="0" w:color="auto"/>
        <w:right w:val="none" w:sz="0" w:space="0" w:color="auto"/>
      </w:divBdr>
      <w:divsChild>
        <w:div w:id="129398712">
          <w:marLeft w:val="274"/>
          <w:marRight w:val="0"/>
          <w:marTop w:val="0"/>
          <w:marBottom w:val="0"/>
          <w:divBdr>
            <w:top w:val="none" w:sz="0" w:space="0" w:color="auto"/>
            <w:left w:val="none" w:sz="0" w:space="0" w:color="auto"/>
            <w:bottom w:val="none" w:sz="0" w:space="0" w:color="auto"/>
            <w:right w:val="none" w:sz="0" w:space="0" w:color="auto"/>
          </w:divBdr>
        </w:div>
        <w:div w:id="377708071">
          <w:marLeft w:val="274"/>
          <w:marRight w:val="0"/>
          <w:marTop w:val="0"/>
          <w:marBottom w:val="0"/>
          <w:divBdr>
            <w:top w:val="none" w:sz="0" w:space="0" w:color="auto"/>
            <w:left w:val="none" w:sz="0" w:space="0" w:color="auto"/>
            <w:bottom w:val="none" w:sz="0" w:space="0" w:color="auto"/>
            <w:right w:val="none" w:sz="0" w:space="0" w:color="auto"/>
          </w:divBdr>
        </w:div>
        <w:div w:id="815071736">
          <w:marLeft w:val="274"/>
          <w:marRight w:val="0"/>
          <w:marTop w:val="0"/>
          <w:marBottom w:val="0"/>
          <w:divBdr>
            <w:top w:val="none" w:sz="0" w:space="0" w:color="auto"/>
            <w:left w:val="none" w:sz="0" w:space="0" w:color="auto"/>
            <w:bottom w:val="none" w:sz="0" w:space="0" w:color="auto"/>
            <w:right w:val="none" w:sz="0" w:space="0" w:color="auto"/>
          </w:divBdr>
        </w:div>
        <w:div w:id="1828545167">
          <w:marLeft w:val="274"/>
          <w:marRight w:val="0"/>
          <w:marTop w:val="0"/>
          <w:marBottom w:val="0"/>
          <w:divBdr>
            <w:top w:val="none" w:sz="0" w:space="0" w:color="auto"/>
            <w:left w:val="none" w:sz="0" w:space="0" w:color="auto"/>
            <w:bottom w:val="none" w:sz="0" w:space="0" w:color="auto"/>
            <w:right w:val="none" w:sz="0" w:space="0" w:color="auto"/>
          </w:divBdr>
        </w:div>
        <w:div w:id="1998218068">
          <w:marLeft w:val="274"/>
          <w:marRight w:val="0"/>
          <w:marTop w:val="0"/>
          <w:marBottom w:val="0"/>
          <w:divBdr>
            <w:top w:val="none" w:sz="0" w:space="0" w:color="auto"/>
            <w:left w:val="none" w:sz="0" w:space="0" w:color="auto"/>
            <w:bottom w:val="none" w:sz="0" w:space="0" w:color="auto"/>
            <w:right w:val="none" w:sz="0" w:space="0" w:color="auto"/>
          </w:divBdr>
        </w:div>
      </w:divsChild>
    </w:div>
    <w:div w:id="488715870">
      <w:bodyDiv w:val="1"/>
      <w:marLeft w:val="0"/>
      <w:marRight w:val="0"/>
      <w:marTop w:val="0"/>
      <w:marBottom w:val="0"/>
      <w:divBdr>
        <w:top w:val="none" w:sz="0" w:space="0" w:color="auto"/>
        <w:left w:val="none" w:sz="0" w:space="0" w:color="auto"/>
        <w:bottom w:val="none" w:sz="0" w:space="0" w:color="auto"/>
        <w:right w:val="none" w:sz="0" w:space="0" w:color="auto"/>
      </w:divBdr>
      <w:divsChild>
        <w:div w:id="669523782">
          <w:marLeft w:val="274"/>
          <w:marRight w:val="0"/>
          <w:marTop w:val="0"/>
          <w:marBottom w:val="0"/>
          <w:divBdr>
            <w:top w:val="none" w:sz="0" w:space="0" w:color="auto"/>
            <w:left w:val="none" w:sz="0" w:space="0" w:color="auto"/>
            <w:bottom w:val="none" w:sz="0" w:space="0" w:color="auto"/>
            <w:right w:val="none" w:sz="0" w:space="0" w:color="auto"/>
          </w:divBdr>
        </w:div>
        <w:div w:id="1912425178">
          <w:marLeft w:val="274"/>
          <w:marRight w:val="0"/>
          <w:marTop w:val="0"/>
          <w:marBottom w:val="0"/>
          <w:divBdr>
            <w:top w:val="none" w:sz="0" w:space="0" w:color="auto"/>
            <w:left w:val="none" w:sz="0" w:space="0" w:color="auto"/>
            <w:bottom w:val="none" w:sz="0" w:space="0" w:color="auto"/>
            <w:right w:val="none" w:sz="0" w:space="0" w:color="auto"/>
          </w:divBdr>
        </w:div>
      </w:divsChild>
    </w:div>
    <w:div w:id="510410007">
      <w:bodyDiv w:val="1"/>
      <w:marLeft w:val="0"/>
      <w:marRight w:val="0"/>
      <w:marTop w:val="0"/>
      <w:marBottom w:val="0"/>
      <w:divBdr>
        <w:top w:val="none" w:sz="0" w:space="0" w:color="auto"/>
        <w:left w:val="none" w:sz="0" w:space="0" w:color="auto"/>
        <w:bottom w:val="none" w:sz="0" w:space="0" w:color="auto"/>
        <w:right w:val="none" w:sz="0" w:space="0" w:color="auto"/>
      </w:divBdr>
      <w:divsChild>
        <w:div w:id="1338263671">
          <w:marLeft w:val="274"/>
          <w:marRight w:val="0"/>
          <w:marTop w:val="0"/>
          <w:marBottom w:val="0"/>
          <w:divBdr>
            <w:top w:val="none" w:sz="0" w:space="0" w:color="auto"/>
            <w:left w:val="none" w:sz="0" w:space="0" w:color="auto"/>
            <w:bottom w:val="none" w:sz="0" w:space="0" w:color="auto"/>
            <w:right w:val="none" w:sz="0" w:space="0" w:color="auto"/>
          </w:divBdr>
        </w:div>
        <w:div w:id="1375691950">
          <w:marLeft w:val="274"/>
          <w:marRight w:val="0"/>
          <w:marTop w:val="0"/>
          <w:marBottom w:val="0"/>
          <w:divBdr>
            <w:top w:val="none" w:sz="0" w:space="0" w:color="auto"/>
            <w:left w:val="none" w:sz="0" w:space="0" w:color="auto"/>
            <w:bottom w:val="none" w:sz="0" w:space="0" w:color="auto"/>
            <w:right w:val="none" w:sz="0" w:space="0" w:color="auto"/>
          </w:divBdr>
        </w:div>
        <w:div w:id="1567565105">
          <w:marLeft w:val="274"/>
          <w:marRight w:val="0"/>
          <w:marTop w:val="0"/>
          <w:marBottom w:val="0"/>
          <w:divBdr>
            <w:top w:val="none" w:sz="0" w:space="0" w:color="auto"/>
            <w:left w:val="none" w:sz="0" w:space="0" w:color="auto"/>
            <w:bottom w:val="none" w:sz="0" w:space="0" w:color="auto"/>
            <w:right w:val="none" w:sz="0" w:space="0" w:color="auto"/>
          </w:divBdr>
        </w:div>
        <w:div w:id="1772047046">
          <w:marLeft w:val="274"/>
          <w:marRight w:val="0"/>
          <w:marTop w:val="0"/>
          <w:marBottom w:val="0"/>
          <w:divBdr>
            <w:top w:val="none" w:sz="0" w:space="0" w:color="auto"/>
            <w:left w:val="none" w:sz="0" w:space="0" w:color="auto"/>
            <w:bottom w:val="none" w:sz="0" w:space="0" w:color="auto"/>
            <w:right w:val="none" w:sz="0" w:space="0" w:color="auto"/>
          </w:divBdr>
        </w:div>
      </w:divsChild>
    </w:div>
    <w:div w:id="554515192">
      <w:bodyDiv w:val="1"/>
      <w:marLeft w:val="0"/>
      <w:marRight w:val="0"/>
      <w:marTop w:val="0"/>
      <w:marBottom w:val="0"/>
      <w:divBdr>
        <w:top w:val="none" w:sz="0" w:space="0" w:color="auto"/>
        <w:left w:val="none" w:sz="0" w:space="0" w:color="auto"/>
        <w:bottom w:val="none" w:sz="0" w:space="0" w:color="auto"/>
        <w:right w:val="none" w:sz="0" w:space="0" w:color="auto"/>
      </w:divBdr>
    </w:div>
    <w:div w:id="559243580">
      <w:bodyDiv w:val="1"/>
      <w:marLeft w:val="0"/>
      <w:marRight w:val="0"/>
      <w:marTop w:val="0"/>
      <w:marBottom w:val="0"/>
      <w:divBdr>
        <w:top w:val="none" w:sz="0" w:space="0" w:color="auto"/>
        <w:left w:val="none" w:sz="0" w:space="0" w:color="auto"/>
        <w:bottom w:val="none" w:sz="0" w:space="0" w:color="auto"/>
        <w:right w:val="none" w:sz="0" w:space="0" w:color="auto"/>
      </w:divBdr>
    </w:div>
    <w:div w:id="559486465">
      <w:bodyDiv w:val="1"/>
      <w:marLeft w:val="0"/>
      <w:marRight w:val="0"/>
      <w:marTop w:val="0"/>
      <w:marBottom w:val="0"/>
      <w:divBdr>
        <w:top w:val="none" w:sz="0" w:space="0" w:color="auto"/>
        <w:left w:val="none" w:sz="0" w:space="0" w:color="auto"/>
        <w:bottom w:val="none" w:sz="0" w:space="0" w:color="auto"/>
        <w:right w:val="none" w:sz="0" w:space="0" w:color="auto"/>
      </w:divBdr>
    </w:div>
    <w:div w:id="601911795">
      <w:bodyDiv w:val="1"/>
      <w:marLeft w:val="0"/>
      <w:marRight w:val="0"/>
      <w:marTop w:val="0"/>
      <w:marBottom w:val="0"/>
      <w:divBdr>
        <w:top w:val="none" w:sz="0" w:space="0" w:color="auto"/>
        <w:left w:val="none" w:sz="0" w:space="0" w:color="auto"/>
        <w:bottom w:val="none" w:sz="0" w:space="0" w:color="auto"/>
        <w:right w:val="none" w:sz="0" w:space="0" w:color="auto"/>
      </w:divBdr>
      <w:divsChild>
        <w:div w:id="1068726877">
          <w:marLeft w:val="274"/>
          <w:marRight w:val="0"/>
          <w:marTop w:val="0"/>
          <w:marBottom w:val="0"/>
          <w:divBdr>
            <w:top w:val="none" w:sz="0" w:space="0" w:color="auto"/>
            <w:left w:val="none" w:sz="0" w:space="0" w:color="auto"/>
            <w:bottom w:val="none" w:sz="0" w:space="0" w:color="auto"/>
            <w:right w:val="none" w:sz="0" w:space="0" w:color="auto"/>
          </w:divBdr>
        </w:div>
        <w:div w:id="1611206774">
          <w:marLeft w:val="274"/>
          <w:marRight w:val="0"/>
          <w:marTop w:val="0"/>
          <w:marBottom w:val="0"/>
          <w:divBdr>
            <w:top w:val="none" w:sz="0" w:space="0" w:color="auto"/>
            <w:left w:val="none" w:sz="0" w:space="0" w:color="auto"/>
            <w:bottom w:val="none" w:sz="0" w:space="0" w:color="auto"/>
            <w:right w:val="none" w:sz="0" w:space="0" w:color="auto"/>
          </w:divBdr>
        </w:div>
        <w:div w:id="1773436761">
          <w:marLeft w:val="274"/>
          <w:marRight w:val="0"/>
          <w:marTop w:val="0"/>
          <w:marBottom w:val="0"/>
          <w:divBdr>
            <w:top w:val="none" w:sz="0" w:space="0" w:color="auto"/>
            <w:left w:val="none" w:sz="0" w:space="0" w:color="auto"/>
            <w:bottom w:val="none" w:sz="0" w:space="0" w:color="auto"/>
            <w:right w:val="none" w:sz="0" w:space="0" w:color="auto"/>
          </w:divBdr>
        </w:div>
        <w:div w:id="2112578623">
          <w:marLeft w:val="274"/>
          <w:marRight w:val="0"/>
          <w:marTop w:val="0"/>
          <w:marBottom w:val="0"/>
          <w:divBdr>
            <w:top w:val="none" w:sz="0" w:space="0" w:color="auto"/>
            <w:left w:val="none" w:sz="0" w:space="0" w:color="auto"/>
            <w:bottom w:val="none" w:sz="0" w:space="0" w:color="auto"/>
            <w:right w:val="none" w:sz="0" w:space="0" w:color="auto"/>
          </w:divBdr>
        </w:div>
      </w:divsChild>
    </w:div>
    <w:div w:id="707291313">
      <w:bodyDiv w:val="1"/>
      <w:marLeft w:val="0"/>
      <w:marRight w:val="0"/>
      <w:marTop w:val="0"/>
      <w:marBottom w:val="0"/>
      <w:divBdr>
        <w:top w:val="none" w:sz="0" w:space="0" w:color="auto"/>
        <w:left w:val="none" w:sz="0" w:space="0" w:color="auto"/>
        <w:bottom w:val="none" w:sz="0" w:space="0" w:color="auto"/>
        <w:right w:val="none" w:sz="0" w:space="0" w:color="auto"/>
      </w:divBdr>
    </w:div>
    <w:div w:id="780488393">
      <w:bodyDiv w:val="1"/>
      <w:marLeft w:val="0"/>
      <w:marRight w:val="0"/>
      <w:marTop w:val="0"/>
      <w:marBottom w:val="0"/>
      <w:divBdr>
        <w:top w:val="none" w:sz="0" w:space="0" w:color="auto"/>
        <w:left w:val="none" w:sz="0" w:space="0" w:color="auto"/>
        <w:bottom w:val="none" w:sz="0" w:space="0" w:color="auto"/>
        <w:right w:val="none" w:sz="0" w:space="0" w:color="auto"/>
      </w:divBdr>
      <w:divsChild>
        <w:div w:id="300502052">
          <w:marLeft w:val="274"/>
          <w:marRight w:val="0"/>
          <w:marTop w:val="0"/>
          <w:marBottom w:val="0"/>
          <w:divBdr>
            <w:top w:val="none" w:sz="0" w:space="0" w:color="auto"/>
            <w:left w:val="none" w:sz="0" w:space="0" w:color="auto"/>
            <w:bottom w:val="none" w:sz="0" w:space="0" w:color="auto"/>
            <w:right w:val="none" w:sz="0" w:space="0" w:color="auto"/>
          </w:divBdr>
        </w:div>
      </w:divsChild>
    </w:div>
    <w:div w:id="813182432">
      <w:bodyDiv w:val="1"/>
      <w:marLeft w:val="0"/>
      <w:marRight w:val="0"/>
      <w:marTop w:val="0"/>
      <w:marBottom w:val="0"/>
      <w:divBdr>
        <w:top w:val="none" w:sz="0" w:space="0" w:color="auto"/>
        <w:left w:val="none" w:sz="0" w:space="0" w:color="auto"/>
        <w:bottom w:val="none" w:sz="0" w:space="0" w:color="auto"/>
        <w:right w:val="none" w:sz="0" w:space="0" w:color="auto"/>
      </w:divBdr>
    </w:div>
    <w:div w:id="839276307">
      <w:bodyDiv w:val="1"/>
      <w:marLeft w:val="0"/>
      <w:marRight w:val="0"/>
      <w:marTop w:val="0"/>
      <w:marBottom w:val="0"/>
      <w:divBdr>
        <w:top w:val="none" w:sz="0" w:space="0" w:color="auto"/>
        <w:left w:val="none" w:sz="0" w:space="0" w:color="auto"/>
        <w:bottom w:val="none" w:sz="0" w:space="0" w:color="auto"/>
        <w:right w:val="none" w:sz="0" w:space="0" w:color="auto"/>
      </w:divBdr>
    </w:div>
    <w:div w:id="840655750">
      <w:bodyDiv w:val="1"/>
      <w:marLeft w:val="0"/>
      <w:marRight w:val="0"/>
      <w:marTop w:val="0"/>
      <w:marBottom w:val="0"/>
      <w:divBdr>
        <w:top w:val="none" w:sz="0" w:space="0" w:color="auto"/>
        <w:left w:val="none" w:sz="0" w:space="0" w:color="auto"/>
        <w:bottom w:val="none" w:sz="0" w:space="0" w:color="auto"/>
        <w:right w:val="none" w:sz="0" w:space="0" w:color="auto"/>
      </w:divBdr>
    </w:div>
    <w:div w:id="844587437">
      <w:bodyDiv w:val="1"/>
      <w:marLeft w:val="0"/>
      <w:marRight w:val="0"/>
      <w:marTop w:val="0"/>
      <w:marBottom w:val="0"/>
      <w:divBdr>
        <w:top w:val="none" w:sz="0" w:space="0" w:color="auto"/>
        <w:left w:val="none" w:sz="0" w:space="0" w:color="auto"/>
        <w:bottom w:val="none" w:sz="0" w:space="0" w:color="auto"/>
        <w:right w:val="none" w:sz="0" w:space="0" w:color="auto"/>
      </w:divBdr>
    </w:div>
    <w:div w:id="875585485">
      <w:bodyDiv w:val="1"/>
      <w:marLeft w:val="0"/>
      <w:marRight w:val="0"/>
      <w:marTop w:val="0"/>
      <w:marBottom w:val="0"/>
      <w:divBdr>
        <w:top w:val="none" w:sz="0" w:space="0" w:color="auto"/>
        <w:left w:val="none" w:sz="0" w:space="0" w:color="auto"/>
        <w:bottom w:val="none" w:sz="0" w:space="0" w:color="auto"/>
        <w:right w:val="none" w:sz="0" w:space="0" w:color="auto"/>
      </w:divBdr>
      <w:divsChild>
        <w:div w:id="396559691">
          <w:marLeft w:val="274"/>
          <w:marRight w:val="0"/>
          <w:marTop w:val="0"/>
          <w:marBottom w:val="0"/>
          <w:divBdr>
            <w:top w:val="none" w:sz="0" w:space="0" w:color="auto"/>
            <w:left w:val="none" w:sz="0" w:space="0" w:color="auto"/>
            <w:bottom w:val="none" w:sz="0" w:space="0" w:color="auto"/>
            <w:right w:val="none" w:sz="0" w:space="0" w:color="auto"/>
          </w:divBdr>
        </w:div>
        <w:div w:id="1119833377">
          <w:marLeft w:val="274"/>
          <w:marRight w:val="0"/>
          <w:marTop w:val="0"/>
          <w:marBottom w:val="0"/>
          <w:divBdr>
            <w:top w:val="none" w:sz="0" w:space="0" w:color="auto"/>
            <w:left w:val="none" w:sz="0" w:space="0" w:color="auto"/>
            <w:bottom w:val="none" w:sz="0" w:space="0" w:color="auto"/>
            <w:right w:val="none" w:sz="0" w:space="0" w:color="auto"/>
          </w:divBdr>
        </w:div>
        <w:div w:id="1178302532">
          <w:marLeft w:val="274"/>
          <w:marRight w:val="0"/>
          <w:marTop w:val="0"/>
          <w:marBottom w:val="0"/>
          <w:divBdr>
            <w:top w:val="none" w:sz="0" w:space="0" w:color="auto"/>
            <w:left w:val="none" w:sz="0" w:space="0" w:color="auto"/>
            <w:bottom w:val="none" w:sz="0" w:space="0" w:color="auto"/>
            <w:right w:val="none" w:sz="0" w:space="0" w:color="auto"/>
          </w:divBdr>
        </w:div>
      </w:divsChild>
    </w:div>
    <w:div w:id="890578656">
      <w:bodyDiv w:val="1"/>
      <w:marLeft w:val="0"/>
      <w:marRight w:val="0"/>
      <w:marTop w:val="0"/>
      <w:marBottom w:val="0"/>
      <w:divBdr>
        <w:top w:val="none" w:sz="0" w:space="0" w:color="auto"/>
        <w:left w:val="none" w:sz="0" w:space="0" w:color="auto"/>
        <w:bottom w:val="none" w:sz="0" w:space="0" w:color="auto"/>
        <w:right w:val="none" w:sz="0" w:space="0" w:color="auto"/>
      </w:divBdr>
    </w:div>
    <w:div w:id="910043579">
      <w:bodyDiv w:val="1"/>
      <w:marLeft w:val="0"/>
      <w:marRight w:val="0"/>
      <w:marTop w:val="0"/>
      <w:marBottom w:val="0"/>
      <w:divBdr>
        <w:top w:val="none" w:sz="0" w:space="0" w:color="auto"/>
        <w:left w:val="none" w:sz="0" w:space="0" w:color="auto"/>
        <w:bottom w:val="none" w:sz="0" w:space="0" w:color="auto"/>
        <w:right w:val="none" w:sz="0" w:space="0" w:color="auto"/>
      </w:divBdr>
    </w:div>
    <w:div w:id="926041614">
      <w:bodyDiv w:val="1"/>
      <w:marLeft w:val="0"/>
      <w:marRight w:val="0"/>
      <w:marTop w:val="0"/>
      <w:marBottom w:val="0"/>
      <w:divBdr>
        <w:top w:val="none" w:sz="0" w:space="0" w:color="auto"/>
        <w:left w:val="none" w:sz="0" w:space="0" w:color="auto"/>
        <w:bottom w:val="none" w:sz="0" w:space="0" w:color="auto"/>
        <w:right w:val="none" w:sz="0" w:space="0" w:color="auto"/>
      </w:divBdr>
    </w:div>
    <w:div w:id="930626741">
      <w:bodyDiv w:val="1"/>
      <w:marLeft w:val="0"/>
      <w:marRight w:val="0"/>
      <w:marTop w:val="0"/>
      <w:marBottom w:val="0"/>
      <w:divBdr>
        <w:top w:val="none" w:sz="0" w:space="0" w:color="auto"/>
        <w:left w:val="none" w:sz="0" w:space="0" w:color="auto"/>
        <w:bottom w:val="none" w:sz="0" w:space="0" w:color="auto"/>
        <w:right w:val="none" w:sz="0" w:space="0" w:color="auto"/>
      </w:divBdr>
    </w:div>
    <w:div w:id="976834053">
      <w:bodyDiv w:val="1"/>
      <w:marLeft w:val="0"/>
      <w:marRight w:val="0"/>
      <w:marTop w:val="0"/>
      <w:marBottom w:val="0"/>
      <w:divBdr>
        <w:top w:val="none" w:sz="0" w:space="0" w:color="auto"/>
        <w:left w:val="none" w:sz="0" w:space="0" w:color="auto"/>
        <w:bottom w:val="none" w:sz="0" w:space="0" w:color="auto"/>
        <w:right w:val="none" w:sz="0" w:space="0" w:color="auto"/>
      </w:divBdr>
    </w:div>
    <w:div w:id="1026250495">
      <w:bodyDiv w:val="1"/>
      <w:marLeft w:val="0"/>
      <w:marRight w:val="0"/>
      <w:marTop w:val="0"/>
      <w:marBottom w:val="0"/>
      <w:divBdr>
        <w:top w:val="none" w:sz="0" w:space="0" w:color="auto"/>
        <w:left w:val="none" w:sz="0" w:space="0" w:color="auto"/>
        <w:bottom w:val="none" w:sz="0" w:space="0" w:color="auto"/>
        <w:right w:val="none" w:sz="0" w:space="0" w:color="auto"/>
      </w:divBdr>
    </w:div>
    <w:div w:id="1036125391">
      <w:bodyDiv w:val="1"/>
      <w:marLeft w:val="0"/>
      <w:marRight w:val="0"/>
      <w:marTop w:val="0"/>
      <w:marBottom w:val="0"/>
      <w:divBdr>
        <w:top w:val="none" w:sz="0" w:space="0" w:color="auto"/>
        <w:left w:val="none" w:sz="0" w:space="0" w:color="auto"/>
        <w:bottom w:val="none" w:sz="0" w:space="0" w:color="auto"/>
        <w:right w:val="none" w:sz="0" w:space="0" w:color="auto"/>
      </w:divBdr>
    </w:div>
    <w:div w:id="1091900506">
      <w:bodyDiv w:val="1"/>
      <w:marLeft w:val="0"/>
      <w:marRight w:val="0"/>
      <w:marTop w:val="0"/>
      <w:marBottom w:val="0"/>
      <w:divBdr>
        <w:top w:val="none" w:sz="0" w:space="0" w:color="auto"/>
        <w:left w:val="none" w:sz="0" w:space="0" w:color="auto"/>
        <w:bottom w:val="none" w:sz="0" w:space="0" w:color="auto"/>
        <w:right w:val="none" w:sz="0" w:space="0" w:color="auto"/>
      </w:divBdr>
      <w:divsChild>
        <w:div w:id="255867673">
          <w:marLeft w:val="274"/>
          <w:marRight w:val="0"/>
          <w:marTop w:val="0"/>
          <w:marBottom w:val="120"/>
          <w:divBdr>
            <w:top w:val="none" w:sz="0" w:space="0" w:color="auto"/>
            <w:left w:val="none" w:sz="0" w:space="0" w:color="auto"/>
            <w:bottom w:val="none" w:sz="0" w:space="0" w:color="auto"/>
            <w:right w:val="none" w:sz="0" w:space="0" w:color="auto"/>
          </w:divBdr>
        </w:div>
        <w:div w:id="786004758">
          <w:marLeft w:val="864"/>
          <w:marRight w:val="0"/>
          <w:marTop w:val="0"/>
          <w:marBottom w:val="120"/>
          <w:divBdr>
            <w:top w:val="none" w:sz="0" w:space="0" w:color="auto"/>
            <w:left w:val="none" w:sz="0" w:space="0" w:color="auto"/>
            <w:bottom w:val="none" w:sz="0" w:space="0" w:color="auto"/>
            <w:right w:val="none" w:sz="0" w:space="0" w:color="auto"/>
          </w:divBdr>
        </w:div>
        <w:div w:id="911354000">
          <w:marLeft w:val="274"/>
          <w:marRight w:val="0"/>
          <w:marTop w:val="0"/>
          <w:marBottom w:val="120"/>
          <w:divBdr>
            <w:top w:val="none" w:sz="0" w:space="0" w:color="auto"/>
            <w:left w:val="none" w:sz="0" w:space="0" w:color="auto"/>
            <w:bottom w:val="none" w:sz="0" w:space="0" w:color="auto"/>
            <w:right w:val="none" w:sz="0" w:space="0" w:color="auto"/>
          </w:divBdr>
        </w:div>
        <w:div w:id="1210188687">
          <w:marLeft w:val="274"/>
          <w:marRight w:val="0"/>
          <w:marTop w:val="0"/>
          <w:marBottom w:val="120"/>
          <w:divBdr>
            <w:top w:val="none" w:sz="0" w:space="0" w:color="auto"/>
            <w:left w:val="none" w:sz="0" w:space="0" w:color="auto"/>
            <w:bottom w:val="none" w:sz="0" w:space="0" w:color="auto"/>
            <w:right w:val="none" w:sz="0" w:space="0" w:color="auto"/>
          </w:divBdr>
        </w:div>
        <w:div w:id="1274901147">
          <w:marLeft w:val="864"/>
          <w:marRight w:val="0"/>
          <w:marTop w:val="0"/>
          <w:marBottom w:val="120"/>
          <w:divBdr>
            <w:top w:val="none" w:sz="0" w:space="0" w:color="auto"/>
            <w:left w:val="none" w:sz="0" w:space="0" w:color="auto"/>
            <w:bottom w:val="none" w:sz="0" w:space="0" w:color="auto"/>
            <w:right w:val="none" w:sz="0" w:space="0" w:color="auto"/>
          </w:divBdr>
        </w:div>
        <w:div w:id="1456099174">
          <w:marLeft w:val="864"/>
          <w:marRight w:val="0"/>
          <w:marTop w:val="0"/>
          <w:marBottom w:val="120"/>
          <w:divBdr>
            <w:top w:val="none" w:sz="0" w:space="0" w:color="auto"/>
            <w:left w:val="none" w:sz="0" w:space="0" w:color="auto"/>
            <w:bottom w:val="none" w:sz="0" w:space="0" w:color="auto"/>
            <w:right w:val="none" w:sz="0" w:space="0" w:color="auto"/>
          </w:divBdr>
        </w:div>
        <w:div w:id="1465923657">
          <w:marLeft w:val="274"/>
          <w:marRight w:val="0"/>
          <w:marTop w:val="0"/>
          <w:marBottom w:val="120"/>
          <w:divBdr>
            <w:top w:val="none" w:sz="0" w:space="0" w:color="auto"/>
            <w:left w:val="none" w:sz="0" w:space="0" w:color="auto"/>
            <w:bottom w:val="none" w:sz="0" w:space="0" w:color="auto"/>
            <w:right w:val="none" w:sz="0" w:space="0" w:color="auto"/>
          </w:divBdr>
        </w:div>
      </w:divsChild>
    </w:div>
    <w:div w:id="1111120984">
      <w:bodyDiv w:val="1"/>
      <w:marLeft w:val="0"/>
      <w:marRight w:val="0"/>
      <w:marTop w:val="0"/>
      <w:marBottom w:val="0"/>
      <w:divBdr>
        <w:top w:val="none" w:sz="0" w:space="0" w:color="auto"/>
        <w:left w:val="none" w:sz="0" w:space="0" w:color="auto"/>
        <w:bottom w:val="none" w:sz="0" w:space="0" w:color="auto"/>
        <w:right w:val="none" w:sz="0" w:space="0" w:color="auto"/>
      </w:divBdr>
    </w:div>
    <w:div w:id="1232690016">
      <w:bodyDiv w:val="1"/>
      <w:marLeft w:val="0"/>
      <w:marRight w:val="0"/>
      <w:marTop w:val="0"/>
      <w:marBottom w:val="0"/>
      <w:divBdr>
        <w:top w:val="none" w:sz="0" w:space="0" w:color="auto"/>
        <w:left w:val="none" w:sz="0" w:space="0" w:color="auto"/>
        <w:bottom w:val="none" w:sz="0" w:space="0" w:color="auto"/>
        <w:right w:val="none" w:sz="0" w:space="0" w:color="auto"/>
      </w:divBdr>
    </w:div>
    <w:div w:id="1255745636">
      <w:bodyDiv w:val="1"/>
      <w:marLeft w:val="0"/>
      <w:marRight w:val="0"/>
      <w:marTop w:val="0"/>
      <w:marBottom w:val="0"/>
      <w:divBdr>
        <w:top w:val="none" w:sz="0" w:space="0" w:color="auto"/>
        <w:left w:val="none" w:sz="0" w:space="0" w:color="auto"/>
        <w:bottom w:val="none" w:sz="0" w:space="0" w:color="auto"/>
        <w:right w:val="none" w:sz="0" w:space="0" w:color="auto"/>
      </w:divBdr>
      <w:divsChild>
        <w:div w:id="808018930">
          <w:marLeft w:val="274"/>
          <w:marRight w:val="0"/>
          <w:marTop w:val="0"/>
          <w:marBottom w:val="0"/>
          <w:divBdr>
            <w:top w:val="none" w:sz="0" w:space="0" w:color="auto"/>
            <w:left w:val="none" w:sz="0" w:space="0" w:color="auto"/>
            <w:bottom w:val="none" w:sz="0" w:space="0" w:color="auto"/>
            <w:right w:val="none" w:sz="0" w:space="0" w:color="auto"/>
          </w:divBdr>
        </w:div>
        <w:div w:id="1961035014">
          <w:marLeft w:val="274"/>
          <w:marRight w:val="0"/>
          <w:marTop w:val="0"/>
          <w:marBottom w:val="0"/>
          <w:divBdr>
            <w:top w:val="none" w:sz="0" w:space="0" w:color="auto"/>
            <w:left w:val="none" w:sz="0" w:space="0" w:color="auto"/>
            <w:bottom w:val="none" w:sz="0" w:space="0" w:color="auto"/>
            <w:right w:val="none" w:sz="0" w:space="0" w:color="auto"/>
          </w:divBdr>
        </w:div>
      </w:divsChild>
    </w:div>
    <w:div w:id="1261791497">
      <w:bodyDiv w:val="1"/>
      <w:marLeft w:val="0"/>
      <w:marRight w:val="0"/>
      <w:marTop w:val="0"/>
      <w:marBottom w:val="0"/>
      <w:divBdr>
        <w:top w:val="none" w:sz="0" w:space="0" w:color="auto"/>
        <w:left w:val="none" w:sz="0" w:space="0" w:color="auto"/>
        <w:bottom w:val="none" w:sz="0" w:space="0" w:color="auto"/>
        <w:right w:val="none" w:sz="0" w:space="0" w:color="auto"/>
      </w:divBdr>
    </w:div>
    <w:div w:id="1273823446">
      <w:bodyDiv w:val="1"/>
      <w:marLeft w:val="0"/>
      <w:marRight w:val="0"/>
      <w:marTop w:val="0"/>
      <w:marBottom w:val="0"/>
      <w:divBdr>
        <w:top w:val="none" w:sz="0" w:space="0" w:color="auto"/>
        <w:left w:val="none" w:sz="0" w:space="0" w:color="auto"/>
        <w:bottom w:val="none" w:sz="0" w:space="0" w:color="auto"/>
        <w:right w:val="none" w:sz="0" w:space="0" w:color="auto"/>
      </w:divBdr>
      <w:divsChild>
        <w:div w:id="1502892703">
          <w:marLeft w:val="274"/>
          <w:marRight w:val="0"/>
          <w:marTop w:val="0"/>
          <w:marBottom w:val="120"/>
          <w:divBdr>
            <w:top w:val="none" w:sz="0" w:space="0" w:color="auto"/>
            <w:left w:val="none" w:sz="0" w:space="0" w:color="auto"/>
            <w:bottom w:val="none" w:sz="0" w:space="0" w:color="auto"/>
            <w:right w:val="none" w:sz="0" w:space="0" w:color="auto"/>
          </w:divBdr>
        </w:div>
        <w:div w:id="1869446935">
          <w:marLeft w:val="274"/>
          <w:marRight w:val="0"/>
          <w:marTop w:val="0"/>
          <w:marBottom w:val="120"/>
          <w:divBdr>
            <w:top w:val="none" w:sz="0" w:space="0" w:color="auto"/>
            <w:left w:val="none" w:sz="0" w:space="0" w:color="auto"/>
            <w:bottom w:val="none" w:sz="0" w:space="0" w:color="auto"/>
            <w:right w:val="none" w:sz="0" w:space="0" w:color="auto"/>
          </w:divBdr>
        </w:div>
      </w:divsChild>
    </w:div>
    <w:div w:id="1297754280">
      <w:bodyDiv w:val="1"/>
      <w:marLeft w:val="0"/>
      <w:marRight w:val="0"/>
      <w:marTop w:val="0"/>
      <w:marBottom w:val="0"/>
      <w:divBdr>
        <w:top w:val="none" w:sz="0" w:space="0" w:color="auto"/>
        <w:left w:val="none" w:sz="0" w:space="0" w:color="auto"/>
        <w:bottom w:val="none" w:sz="0" w:space="0" w:color="auto"/>
        <w:right w:val="none" w:sz="0" w:space="0" w:color="auto"/>
      </w:divBdr>
    </w:div>
    <w:div w:id="1314798365">
      <w:bodyDiv w:val="1"/>
      <w:marLeft w:val="0"/>
      <w:marRight w:val="0"/>
      <w:marTop w:val="0"/>
      <w:marBottom w:val="0"/>
      <w:divBdr>
        <w:top w:val="none" w:sz="0" w:space="0" w:color="auto"/>
        <w:left w:val="none" w:sz="0" w:space="0" w:color="auto"/>
        <w:bottom w:val="none" w:sz="0" w:space="0" w:color="auto"/>
        <w:right w:val="none" w:sz="0" w:space="0" w:color="auto"/>
      </w:divBdr>
    </w:div>
    <w:div w:id="1341010833">
      <w:bodyDiv w:val="1"/>
      <w:marLeft w:val="0"/>
      <w:marRight w:val="0"/>
      <w:marTop w:val="0"/>
      <w:marBottom w:val="0"/>
      <w:divBdr>
        <w:top w:val="none" w:sz="0" w:space="0" w:color="auto"/>
        <w:left w:val="none" w:sz="0" w:space="0" w:color="auto"/>
        <w:bottom w:val="none" w:sz="0" w:space="0" w:color="auto"/>
        <w:right w:val="none" w:sz="0" w:space="0" w:color="auto"/>
      </w:divBdr>
    </w:div>
    <w:div w:id="1417050425">
      <w:bodyDiv w:val="1"/>
      <w:marLeft w:val="0"/>
      <w:marRight w:val="0"/>
      <w:marTop w:val="0"/>
      <w:marBottom w:val="0"/>
      <w:divBdr>
        <w:top w:val="none" w:sz="0" w:space="0" w:color="auto"/>
        <w:left w:val="none" w:sz="0" w:space="0" w:color="auto"/>
        <w:bottom w:val="none" w:sz="0" w:space="0" w:color="auto"/>
        <w:right w:val="none" w:sz="0" w:space="0" w:color="auto"/>
      </w:divBdr>
    </w:div>
    <w:div w:id="1427261922">
      <w:bodyDiv w:val="1"/>
      <w:marLeft w:val="0"/>
      <w:marRight w:val="0"/>
      <w:marTop w:val="0"/>
      <w:marBottom w:val="0"/>
      <w:divBdr>
        <w:top w:val="none" w:sz="0" w:space="0" w:color="auto"/>
        <w:left w:val="none" w:sz="0" w:space="0" w:color="auto"/>
        <w:bottom w:val="none" w:sz="0" w:space="0" w:color="auto"/>
        <w:right w:val="none" w:sz="0" w:space="0" w:color="auto"/>
      </w:divBdr>
      <w:divsChild>
        <w:div w:id="141627485">
          <w:marLeft w:val="274"/>
          <w:marRight w:val="0"/>
          <w:marTop w:val="0"/>
          <w:marBottom w:val="0"/>
          <w:divBdr>
            <w:top w:val="none" w:sz="0" w:space="0" w:color="auto"/>
            <w:left w:val="none" w:sz="0" w:space="0" w:color="auto"/>
            <w:bottom w:val="none" w:sz="0" w:space="0" w:color="auto"/>
            <w:right w:val="none" w:sz="0" w:space="0" w:color="auto"/>
          </w:divBdr>
        </w:div>
      </w:divsChild>
    </w:div>
    <w:div w:id="1456093782">
      <w:bodyDiv w:val="1"/>
      <w:marLeft w:val="0"/>
      <w:marRight w:val="0"/>
      <w:marTop w:val="0"/>
      <w:marBottom w:val="0"/>
      <w:divBdr>
        <w:top w:val="none" w:sz="0" w:space="0" w:color="auto"/>
        <w:left w:val="none" w:sz="0" w:space="0" w:color="auto"/>
        <w:bottom w:val="none" w:sz="0" w:space="0" w:color="auto"/>
        <w:right w:val="none" w:sz="0" w:space="0" w:color="auto"/>
      </w:divBdr>
      <w:divsChild>
        <w:div w:id="630988327">
          <w:marLeft w:val="749"/>
          <w:marRight w:val="0"/>
          <w:marTop w:val="0"/>
          <w:marBottom w:val="200"/>
          <w:divBdr>
            <w:top w:val="none" w:sz="0" w:space="0" w:color="auto"/>
            <w:left w:val="none" w:sz="0" w:space="0" w:color="auto"/>
            <w:bottom w:val="none" w:sz="0" w:space="0" w:color="auto"/>
            <w:right w:val="none" w:sz="0" w:space="0" w:color="auto"/>
          </w:divBdr>
        </w:div>
        <w:div w:id="853230609">
          <w:marLeft w:val="749"/>
          <w:marRight w:val="0"/>
          <w:marTop w:val="0"/>
          <w:marBottom w:val="200"/>
          <w:divBdr>
            <w:top w:val="none" w:sz="0" w:space="0" w:color="auto"/>
            <w:left w:val="none" w:sz="0" w:space="0" w:color="auto"/>
            <w:bottom w:val="none" w:sz="0" w:space="0" w:color="auto"/>
            <w:right w:val="none" w:sz="0" w:space="0" w:color="auto"/>
          </w:divBdr>
        </w:div>
        <w:div w:id="1523015568">
          <w:marLeft w:val="274"/>
          <w:marRight w:val="0"/>
          <w:marTop w:val="0"/>
          <w:marBottom w:val="200"/>
          <w:divBdr>
            <w:top w:val="none" w:sz="0" w:space="0" w:color="auto"/>
            <w:left w:val="none" w:sz="0" w:space="0" w:color="auto"/>
            <w:bottom w:val="none" w:sz="0" w:space="0" w:color="auto"/>
            <w:right w:val="none" w:sz="0" w:space="0" w:color="auto"/>
          </w:divBdr>
        </w:div>
      </w:divsChild>
    </w:div>
    <w:div w:id="1463813896">
      <w:bodyDiv w:val="1"/>
      <w:marLeft w:val="0"/>
      <w:marRight w:val="0"/>
      <w:marTop w:val="0"/>
      <w:marBottom w:val="0"/>
      <w:divBdr>
        <w:top w:val="none" w:sz="0" w:space="0" w:color="auto"/>
        <w:left w:val="none" w:sz="0" w:space="0" w:color="auto"/>
        <w:bottom w:val="none" w:sz="0" w:space="0" w:color="auto"/>
        <w:right w:val="none" w:sz="0" w:space="0" w:color="auto"/>
      </w:divBdr>
    </w:div>
    <w:div w:id="1491218300">
      <w:bodyDiv w:val="1"/>
      <w:marLeft w:val="0"/>
      <w:marRight w:val="0"/>
      <w:marTop w:val="0"/>
      <w:marBottom w:val="0"/>
      <w:divBdr>
        <w:top w:val="none" w:sz="0" w:space="0" w:color="auto"/>
        <w:left w:val="none" w:sz="0" w:space="0" w:color="auto"/>
        <w:bottom w:val="none" w:sz="0" w:space="0" w:color="auto"/>
        <w:right w:val="none" w:sz="0" w:space="0" w:color="auto"/>
      </w:divBdr>
    </w:div>
    <w:div w:id="1502432795">
      <w:bodyDiv w:val="1"/>
      <w:marLeft w:val="0"/>
      <w:marRight w:val="0"/>
      <w:marTop w:val="0"/>
      <w:marBottom w:val="0"/>
      <w:divBdr>
        <w:top w:val="none" w:sz="0" w:space="0" w:color="auto"/>
        <w:left w:val="none" w:sz="0" w:space="0" w:color="auto"/>
        <w:bottom w:val="none" w:sz="0" w:space="0" w:color="auto"/>
        <w:right w:val="none" w:sz="0" w:space="0" w:color="auto"/>
      </w:divBdr>
    </w:div>
    <w:div w:id="1513568404">
      <w:bodyDiv w:val="1"/>
      <w:marLeft w:val="0"/>
      <w:marRight w:val="0"/>
      <w:marTop w:val="0"/>
      <w:marBottom w:val="0"/>
      <w:divBdr>
        <w:top w:val="none" w:sz="0" w:space="0" w:color="auto"/>
        <w:left w:val="none" w:sz="0" w:space="0" w:color="auto"/>
        <w:bottom w:val="none" w:sz="0" w:space="0" w:color="auto"/>
        <w:right w:val="none" w:sz="0" w:space="0" w:color="auto"/>
      </w:divBdr>
    </w:div>
    <w:div w:id="1549681021">
      <w:bodyDiv w:val="1"/>
      <w:marLeft w:val="0"/>
      <w:marRight w:val="0"/>
      <w:marTop w:val="0"/>
      <w:marBottom w:val="0"/>
      <w:divBdr>
        <w:top w:val="none" w:sz="0" w:space="0" w:color="auto"/>
        <w:left w:val="none" w:sz="0" w:space="0" w:color="auto"/>
        <w:bottom w:val="none" w:sz="0" w:space="0" w:color="auto"/>
        <w:right w:val="none" w:sz="0" w:space="0" w:color="auto"/>
      </w:divBdr>
    </w:div>
    <w:div w:id="1562207695">
      <w:bodyDiv w:val="1"/>
      <w:marLeft w:val="0"/>
      <w:marRight w:val="0"/>
      <w:marTop w:val="0"/>
      <w:marBottom w:val="0"/>
      <w:divBdr>
        <w:top w:val="none" w:sz="0" w:space="0" w:color="auto"/>
        <w:left w:val="none" w:sz="0" w:space="0" w:color="auto"/>
        <w:bottom w:val="none" w:sz="0" w:space="0" w:color="auto"/>
        <w:right w:val="none" w:sz="0" w:space="0" w:color="auto"/>
      </w:divBdr>
    </w:div>
    <w:div w:id="1584997647">
      <w:bodyDiv w:val="1"/>
      <w:marLeft w:val="0"/>
      <w:marRight w:val="0"/>
      <w:marTop w:val="0"/>
      <w:marBottom w:val="0"/>
      <w:divBdr>
        <w:top w:val="none" w:sz="0" w:space="0" w:color="auto"/>
        <w:left w:val="none" w:sz="0" w:space="0" w:color="auto"/>
        <w:bottom w:val="none" w:sz="0" w:space="0" w:color="auto"/>
        <w:right w:val="none" w:sz="0" w:space="0" w:color="auto"/>
      </w:divBdr>
    </w:div>
    <w:div w:id="1594899403">
      <w:bodyDiv w:val="1"/>
      <w:marLeft w:val="0"/>
      <w:marRight w:val="0"/>
      <w:marTop w:val="0"/>
      <w:marBottom w:val="0"/>
      <w:divBdr>
        <w:top w:val="none" w:sz="0" w:space="0" w:color="auto"/>
        <w:left w:val="none" w:sz="0" w:space="0" w:color="auto"/>
        <w:bottom w:val="none" w:sz="0" w:space="0" w:color="auto"/>
        <w:right w:val="none" w:sz="0" w:space="0" w:color="auto"/>
      </w:divBdr>
      <w:divsChild>
        <w:div w:id="1708412606">
          <w:marLeft w:val="274"/>
          <w:marRight w:val="0"/>
          <w:marTop w:val="0"/>
          <w:marBottom w:val="0"/>
          <w:divBdr>
            <w:top w:val="none" w:sz="0" w:space="0" w:color="auto"/>
            <w:left w:val="none" w:sz="0" w:space="0" w:color="auto"/>
            <w:bottom w:val="none" w:sz="0" w:space="0" w:color="auto"/>
            <w:right w:val="none" w:sz="0" w:space="0" w:color="auto"/>
          </w:divBdr>
        </w:div>
      </w:divsChild>
    </w:div>
    <w:div w:id="1611157142">
      <w:bodyDiv w:val="1"/>
      <w:marLeft w:val="0"/>
      <w:marRight w:val="0"/>
      <w:marTop w:val="0"/>
      <w:marBottom w:val="0"/>
      <w:divBdr>
        <w:top w:val="none" w:sz="0" w:space="0" w:color="auto"/>
        <w:left w:val="none" w:sz="0" w:space="0" w:color="auto"/>
        <w:bottom w:val="none" w:sz="0" w:space="0" w:color="auto"/>
        <w:right w:val="none" w:sz="0" w:space="0" w:color="auto"/>
      </w:divBdr>
      <w:divsChild>
        <w:div w:id="1457218886">
          <w:marLeft w:val="274"/>
          <w:marRight w:val="0"/>
          <w:marTop w:val="0"/>
          <w:marBottom w:val="120"/>
          <w:divBdr>
            <w:top w:val="none" w:sz="0" w:space="0" w:color="auto"/>
            <w:left w:val="none" w:sz="0" w:space="0" w:color="auto"/>
            <w:bottom w:val="none" w:sz="0" w:space="0" w:color="auto"/>
            <w:right w:val="none" w:sz="0" w:space="0" w:color="auto"/>
          </w:divBdr>
        </w:div>
      </w:divsChild>
    </w:div>
    <w:div w:id="1640501526">
      <w:bodyDiv w:val="1"/>
      <w:marLeft w:val="0"/>
      <w:marRight w:val="0"/>
      <w:marTop w:val="0"/>
      <w:marBottom w:val="0"/>
      <w:divBdr>
        <w:top w:val="none" w:sz="0" w:space="0" w:color="auto"/>
        <w:left w:val="none" w:sz="0" w:space="0" w:color="auto"/>
        <w:bottom w:val="none" w:sz="0" w:space="0" w:color="auto"/>
        <w:right w:val="none" w:sz="0" w:space="0" w:color="auto"/>
      </w:divBdr>
    </w:div>
    <w:div w:id="1677464673">
      <w:bodyDiv w:val="1"/>
      <w:marLeft w:val="0"/>
      <w:marRight w:val="0"/>
      <w:marTop w:val="0"/>
      <w:marBottom w:val="0"/>
      <w:divBdr>
        <w:top w:val="none" w:sz="0" w:space="0" w:color="auto"/>
        <w:left w:val="none" w:sz="0" w:space="0" w:color="auto"/>
        <w:bottom w:val="none" w:sz="0" w:space="0" w:color="auto"/>
        <w:right w:val="none" w:sz="0" w:space="0" w:color="auto"/>
      </w:divBdr>
    </w:div>
    <w:div w:id="1717463399">
      <w:bodyDiv w:val="1"/>
      <w:marLeft w:val="0"/>
      <w:marRight w:val="0"/>
      <w:marTop w:val="0"/>
      <w:marBottom w:val="0"/>
      <w:divBdr>
        <w:top w:val="none" w:sz="0" w:space="0" w:color="auto"/>
        <w:left w:val="none" w:sz="0" w:space="0" w:color="auto"/>
        <w:bottom w:val="none" w:sz="0" w:space="0" w:color="auto"/>
        <w:right w:val="none" w:sz="0" w:space="0" w:color="auto"/>
      </w:divBdr>
    </w:div>
    <w:div w:id="1725988094">
      <w:bodyDiv w:val="1"/>
      <w:marLeft w:val="0"/>
      <w:marRight w:val="0"/>
      <w:marTop w:val="0"/>
      <w:marBottom w:val="0"/>
      <w:divBdr>
        <w:top w:val="none" w:sz="0" w:space="0" w:color="auto"/>
        <w:left w:val="none" w:sz="0" w:space="0" w:color="auto"/>
        <w:bottom w:val="none" w:sz="0" w:space="0" w:color="auto"/>
        <w:right w:val="none" w:sz="0" w:space="0" w:color="auto"/>
      </w:divBdr>
      <w:divsChild>
        <w:div w:id="160970612">
          <w:marLeft w:val="274"/>
          <w:marRight w:val="0"/>
          <w:marTop w:val="0"/>
          <w:marBottom w:val="0"/>
          <w:divBdr>
            <w:top w:val="none" w:sz="0" w:space="0" w:color="auto"/>
            <w:left w:val="none" w:sz="0" w:space="0" w:color="auto"/>
            <w:bottom w:val="none" w:sz="0" w:space="0" w:color="auto"/>
            <w:right w:val="none" w:sz="0" w:space="0" w:color="auto"/>
          </w:divBdr>
        </w:div>
        <w:div w:id="470252615">
          <w:marLeft w:val="274"/>
          <w:marRight w:val="0"/>
          <w:marTop w:val="0"/>
          <w:marBottom w:val="0"/>
          <w:divBdr>
            <w:top w:val="none" w:sz="0" w:space="0" w:color="auto"/>
            <w:left w:val="none" w:sz="0" w:space="0" w:color="auto"/>
            <w:bottom w:val="none" w:sz="0" w:space="0" w:color="auto"/>
            <w:right w:val="none" w:sz="0" w:space="0" w:color="auto"/>
          </w:divBdr>
        </w:div>
        <w:div w:id="649020186">
          <w:marLeft w:val="274"/>
          <w:marRight w:val="0"/>
          <w:marTop w:val="0"/>
          <w:marBottom w:val="0"/>
          <w:divBdr>
            <w:top w:val="none" w:sz="0" w:space="0" w:color="auto"/>
            <w:left w:val="none" w:sz="0" w:space="0" w:color="auto"/>
            <w:bottom w:val="none" w:sz="0" w:space="0" w:color="auto"/>
            <w:right w:val="none" w:sz="0" w:space="0" w:color="auto"/>
          </w:divBdr>
        </w:div>
        <w:div w:id="1129468565">
          <w:marLeft w:val="274"/>
          <w:marRight w:val="0"/>
          <w:marTop w:val="0"/>
          <w:marBottom w:val="0"/>
          <w:divBdr>
            <w:top w:val="none" w:sz="0" w:space="0" w:color="auto"/>
            <w:left w:val="none" w:sz="0" w:space="0" w:color="auto"/>
            <w:bottom w:val="none" w:sz="0" w:space="0" w:color="auto"/>
            <w:right w:val="none" w:sz="0" w:space="0" w:color="auto"/>
          </w:divBdr>
        </w:div>
        <w:div w:id="1487746269">
          <w:marLeft w:val="274"/>
          <w:marRight w:val="0"/>
          <w:marTop w:val="0"/>
          <w:marBottom w:val="0"/>
          <w:divBdr>
            <w:top w:val="none" w:sz="0" w:space="0" w:color="auto"/>
            <w:left w:val="none" w:sz="0" w:space="0" w:color="auto"/>
            <w:bottom w:val="none" w:sz="0" w:space="0" w:color="auto"/>
            <w:right w:val="none" w:sz="0" w:space="0" w:color="auto"/>
          </w:divBdr>
        </w:div>
        <w:div w:id="1822456843">
          <w:marLeft w:val="274"/>
          <w:marRight w:val="0"/>
          <w:marTop w:val="0"/>
          <w:marBottom w:val="0"/>
          <w:divBdr>
            <w:top w:val="none" w:sz="0" w:space="0" w:color="auto"/>
            <w:left w:val="none" w:sz="0" w:space="0" w:color="auto"/>
            <w:bottom w:val="none" w:sz="0" w:space="0" w:color="auto"/>
            <w:right w:val="none" w:sz="0" w:space="0" w:color="auto"/>
          </w:divBdr>
        </w:div>
      </w:divsChild>
    </w:div>
    <w:div w:id="1728412269">
      <w:bodyDiv w:val="1"/>
      <w:marLeft w:val="0"/>
      <w:marRight w:val="0"/>
      <w:marTop w:val="0"/>
      <w:marBottom w:val="0"/>
      <w:divBdr>
        <w:top w:val="none" w:sz="0" w:space="0" w:color="auto"/>
        <w:left w:val="none" w:sz="0" w:space="0" w:color="auto"/>
        <w:bottom w:val="none" w:sz="0" w:space="0" w:color="auto"/>
        <w:right w:val="none" w:sz="0" w:space="0" w:color="auto"/>
      </w:divBdr>
    </w:div>
    <w:div w:id="1749425686">
      <w:bodyDiv w:val="1"/>
      <w:marLeft w:val="0"/>
      <w:marRight w:val="0"/>
      <w:marTop w:val="0"/>
      <w:marBottom w:val="0"/>
      <w:divBdr>
        <w:top w:val="none" w:sz="0" w:space="0" w:color="auto"/>
        <w:left w:val="none" w:sz="0" w:space="0" w:color="auto"/>
        <w:bottom w:val="none" w:sz="0" w:space="0" w:color="auto"/>
        <w:right w:val="none" w:sz="0" w:space="0" w:color="auto"/>
      </w:divBdr>
      <w:divsChild>
        <w:div w:id="1173837145">
          <w:marLeft w:val="274"/>
          <w:marRight w:val="0"/>
          <w:marTop w:val="0"/>
          <w:marBottom w:val="0"/>
          <w:divBdr>
            <w:top w:val="none" w:sz="0" w:space="0" w:color="auto"/>
            <w:left w:val="none" w:sz="0" w:space="0" w:color="auto"/>
            <w:bottom w:val="none" w:sz="0" w:space="0" w:color="auto"/>
            <w:right w:val="none" w:sz="0" w:space="0" w:color="auto"/>
          </w:divBdr>
        </w:div>
      </w:divsChild>
    </w:div>
    <w:div w:id="1759713721">
      <w:bodyDiv w:val="1"/>
      <w:marLeft w:val="0"/>
      <w:marRight w:val="0"/>
      <w:marTop w:val="0"/>
      <w:marBottom w:val="0"/>
      <w:divBdr>
        <w:top w:val="none" w:sz="0" w:space="0" w:color="auto"/>
        <w:left w:val="none" w:sz="0" w:space="0" w:color="auto"/>
        <w:bottom w:val="none" w:sz="0" w:space="0" w:color="auto"/>
        <w:right w:val="none" w:sz="0" w:space="0" w:color="auto"/>
      </w:divBdr>
    </w:div>
    <w:div w:id="1786191616">
      <w:bodyDiv w:val="1"/>
      <w:marLeft w:val="0"/>
      <w:marRight w:val="0"/>
      <w:marTop w:val="0"/>
      <w:marBottom w:val="0"/>
      <w:divBdr>
        <w:top w:val="none" w:sz="0" w:space="0" w:color="auto"/>
        <w:left w:val="none" w:sz="0" w:space="0" w:color="auto"/>
        <w:bottom w:val="none" w:sz="0" w:space="0" w:color="auto"/>
        <w:right w:val="none" w:sz="0" w:space="0" w:color="auto"/>
      </w:divBdr>
    </w:div>
    <w:div w:id="1892499296">
      <w:bodyDiv w:val="1"/>
      <w:marLeft w:val="0"/>
      <w:marRight w:val="0"/>
      <w:marTop w:val="0"/>
      <w:marBottom w:val="0"/>
      <w:divBdr>
        <w:top w:val="none" w:sz="0" w:space="0" w:color="auto"/>
        <w:left w:val="none" w:sz="0" w:space="0" w:color="auto"/>
        <w:bottom w:val="none" w:sz="0" w:space="0" w:color="auto"/>
        <w:right w:val="none" w:sz="0" w:space="0" w:color="auto"/>
      </w:divBdr>
    </w:div>
    <w:div w:id="1931426636">
      <w:bodyDiv w:val="1"/>
      <w:marLeft w:val="0"/>
      <w:marRight w:val="0"/>
      <w:marTop w:val="0"/>
      <w:marBottom w:val="0"/>
      <w:divBdr>
        <w:top w:val="none" w:sz="0" w:space="0" w:color="auto"/>
        <w:left w:val="none" w:sz="0" w:space="0" w:color="auto"/>
        <w:bottom w:val="none" w:sz="0" w:space="0" w:color="auto"/>
        <w:right w:val="none" w:sz="0" w:space="0" w:color="auto"/>
      </w:divBdr>
      <w:divsChild>
        <w:div w:id="1991518838">
          <w:marLeft w:val="274"/>
          <w:marRight w:val="0"/>
          <w:marTop w:val="0"/>
          <w:marBottom w:val="120"/>
          <w:divBdr>
            <w:top w:val="none" w:sz="0" w:space="0" w:color="auto"/>
            <w:left w:val="none" w:sz="0" w:space="0" w:color="auto"/>
            <w:bottom w:val="none" w:sz="0" w:space="0" w:color="auto"/>
            <w:right w:val="none" w:sz="0" w:space="0" w:color="auto"/>
          </w:divBdr>
        </w:div>
      </w:divsChild>
    </w:div>
    <w:div w:id="1955288413">
      <w:bodyDiv w:val="1"/>
      <w:marLeft w:val="0"/>
      <w:marRight w:val="0"/>
      <w:marTop w:val="0"/>
      <w:marBottom w:val="0"/>
      <w:divBdr>
        <w:top w:val="none" w:sz="0" w:space="0" w:color="auto"/>
        <w:left w:val="none" w:sz="0" w:space="0" w:color="auto"/>
        <w:bottom w:val="none" w:sz="0" w:space="0" w:color="auto"/>
        <w:right w:val="none" w:sz="0" w:space="0" w:color="auto"/>
      </w:divBdr>
    </w:div>
    <w:div w:id="1973292868">
      <w:bodyDiv w:val="1"/>
      <w:marLeft w:val="0"/>
      <w:marRight w:val="0"/>
      <w:marTop w:val="0"/>
      <w:marBottom w:val="0"/>
      <w:divBdr>
        <w:top w:val="none" w:sz="0" w:space="0" w:color="auto"/>
        <w:left w:val="none" w:sz="0" w:space="0" w:color="auto"/>
        <w:bottom w:val="none" w:sz="0" w:space="0" w:color="auto"/>
        <w:right w:val="none" w:sz="0" w:space="0" w:color="auto"/>
      </w:divBdr>
    </w:div>
    <w:div w:id="1992709713">
      <w:bodyDiv w:val="1"/>
      <w:marLeft w:val="0"/>
      <w:marRight w:val="0"/>
      <w:marTop w:val="0"/>
      <w:marBottom w:val="0"/>
      <w:divBdr>
        <w:top w:val="none" w:sz="0" w:space="0" w:color="auto"/>
        <w:left w:val="none" w:sz="0" w:space="0" w:color="auto"/>
        <w:bottom w:val="none" w:sz="0" w:space="0" w:color="auto"/>
        <w:right w:val="none" w:sz="0" w:space="0" w:color="auto"/>
      </w:divBdr>
      <w:divsChild>
        <w:div w:id="735203924">
          <w:marLeft w:val="274"/>
          <w:marRight w:val="0"/>
          <w:marTop w:val="0"/>
          <w:marBottom w:val="0"/>
          <w:divBdr>
            <w:top w:val="none" w:sz="0" w:space="0" w:color="auto"/>
            <w:left w:val="none" w:sz="0" w:space="0" w:color="auto"/>
            <w:bottom w:val="none" w:sz="0" w:space="0" w:color="auto"/>
            <w:right w:val="none" w:sz="0" w:space="0" w:color="auto"/>
          </w:divBdr>
        </w:div>
        <w:div w:id="1542548651">
          <w:marLeft w:val="274"/>
          <w:marRight w:val="0"/>
          <w:marTop w:val="0"/>
          <w:marBottom w:val="0"/>
          <w:divBdr>
            <w:top w:val="none" w:sz="0" w:space="0" w:color="auto"/>
            <w:left w:val="none" w:sz="0" w:space="0" w:color="auto"/>
            <w:bottom w:val="none" w:sz="0" w:space="0" w:color="auto"/>
            <w:right w:val="none" w:sz="0" w:space="0" w:color="auto"/>
          </w:divBdr>
        </w:div>
        <w:div w:id="1899396083">
          <w:marLeft w:val="274"/>
          <w:marRight w:val="0"/>
          <w:marTop w:val="0"/>
          <w:marBottom w:val="0"/>
          <w:divBdr>
            <w:top w:val="none" w:sz="0" w:space="0" w:color="auto"/>
            <w:left w:val="none" w:sz="0" w:space="0" w:color="auto"/>
            <w:bottom w:val="none" w:sz="0" w:space="0" w:color="auto"/>
            <w:right w:val="none" w:sz="0" w:space="0" w:color="auto"/>
          </w:divBdr>
        </w:div>
        <w:div w:id="2049916543">
          <w:marLeft w:val="274"/>
          <w:marRight w:val="0"/>
          <w:marTop w:val="0"/>
          <w:marBottom w:val="0"/>
          <w:divBdr>
            <w:top w:val="none" w:sz="0" w:space="0" w:color="auto"/>
            <w:left w:val="none" w:sz="0" w:space="0" w:color="auto"/>
            <w:bottom w:val="none" w:sz="0" w:space="0" w:color="auto"/>
            <w:right w:val="none" w:sz="0" w:space="0" w:color="auto"/>
          </w:divBdr>
        </w:div>
      </w:divsChild>
    </w:div>
    <w:div w:id="1993561862">
      <w:bodyDiv w:val="1"/>
      <w:marLeft w:val="0"/>
      <w:marRight w:val="0"/>
      <w:marTop w:val="0"/>
      <w:marBottom w:val="0"/>
      <w:divBdr>
        <w:top w:val="none" w:sz="0" w:space="0" w:color="auto"/>
        <w:left w:val="none" w:sz="0" w:space="0" w:color="auto"/>
        <w:bottom w:val="none" w:sz="0" w:space="0" w:color="auto"/>
        <w:right w:val="none" w:sz="0" w:space="0" w:color="auto"/>
      </w:divBdr>
    </w:div>
    <w:div w:id="2015187584">
      <w:bodyDiv w:val="1"/>
      <w:marLeft w:val="0"/>
      <w:marRight w:val="0"/>
      <w:marTop w:val="0"/>
      <w:marBottom w:val="0"/>
      <w:divBdr>
        <w:top w:val="none" w:sz="0" w:space="0" w:color="auto"/>
        <w:left w:val="none" w:sz="0" w:space="0" w:color="auto"/>
        <w:bottom w:val="none" w:sz="0" w:space="0" w:color="auto"/>
        <w:right w:val="none" w:sz="0" w:space="0" w:color="auto"/>
      </w:divBdr>
    </w:div>
    <w:div w:id="2047291033">
      <w:bodyDiv w:val="1"/>
      <w:marLeft w:val="0"/>
      <w:marRight w:val="0"/>
      <w:marTop w:val="0"/>
      <w:marBottom w:val="0"/>
      <w:divBdr>
        <w:top w:val="none" w:sz="0" w:space="0" w:color="auto"/>
        <w:left w:val="none" w:sz="0" w:space="0" w:color="auto"/>
        <w:bottom w:val="none" w:sz="0" w:space="0" w:color="auto"/>
        <w:right w:val="none" w:sz="0" w:space="0" w:color="auto"/>
      </w:divBdr>
    </w:div>
    <w:div w:id="2063865871">
      <w:bodyDiv w:val="1"/>
      <w:marLeft w:val="0"/>
      <w:marRight w:val="0"/>
      <w:marTop w:val="0"/>
      <w:marBottom w:val="0"/>
      <w:divBdr>
        <w:top w:val="none" w:sz="0" w:space="0" w:color="auto"/>
        <w:left w:val="none" w:sz="0" w:space="0" w:color="auto"/>
        <w:bottom w:val="none" w:sz="0" w:space="0" w:color="auto"/>
        <w:right w:val="none" w:sz="0" w:space="0" w:color="auto"/>
      </w:divBdr>
    </w:div>
    <w:div w:id="2064212343">
      <w:bodyDiv w:val="1"/>
      <w:marLeft w:val="0"/>
      <w:marRight w:val="0"/>
      <w:marTop w:val="0"/>
      <w:marBottom w:val="0"/>
      <w:divBdr>
        <w:top w:val="none" w:sz="0" w:space="0" w:color="auto"/>
        <w:left w:val="none" w:sz="0" w:space="0" w:color="auto"/>
        <w:bottom w:val="none" w:sz="0" w:space="0" w:color="auto"/>
        <w:right w:val="none" w:sz="0" w:space="0" w:color="auto"/>
      </w:divBdr>
    </w:div>
    <w:div w:id="2066173985">
      <w:bodyDiv w:val="1"/>
      <w:marLeft w:val="0"/>
      <w:marRight w:val="0"/>
      <w:marTop w:val="0"/>
      <w:marBottom w:val="0"/>
      <w:divBdr>
        <w:top w:val="none" w:sz="0" w:space="0" w:color="auto"/>
        <w:left w:val="none" w:sz="0" w:space="0" w:color="auto"/>
        <w:bottom w:val="none" w:sz="0" w:space="0" w:color="auto"/>
        <w:right w:val="none" w:sz="0" w:space="0" w:color="auto"/>
      </w:divBdr>
      <w:divsChild>
        <w:div w:id="717318542">
          <w:marLeft w:val="288"/>
          <w:marRight w:val="0"/>
          <w:marTop w:val="0"/>
          <w:marBottom w:val="120"/>
          <w:divBdr>
            <w:top w:val="none" w:sz="0" w:space="0" w:color="auto"/>
            <w:left w:val="none" w:sz="0" w:space="0" w:color="auto"/>
            <w:bottom w:val="none" w:sz="0" w:space="0" w:color="auto"/>
            <w:right w:val="none" w:sz="0" w:space="0" w:color="auto"/>
          </w:divBdr>
        </w:div>
        <w:div w:id="809976716">
          <w:marLeft w:val="288"/>
          <w:marRight w:val="0"/>
          <w:marTop w:val="0"/>
          <w:marBottom w:val="120"/>
          <w:divBdr>
            <w:top w:val="none" w:sz="0" w:space="0" w:color="auto"/>
            <w:left w:val="none" w:sz="0" w:space="0" w:color="auto"/>
            <w:bottom w:val="none" w:sz="0" w:space="0" w:color="auto"/>
            <w:right w:val="none" w:sz="0" w:space="0" w:color="auto"/>
          </w:divBdr>
        </w:div>
        <w:div w:id="1848129092">
          <w:marLeft w:val="288"/>
          <w:marRight w:val="0"/>
          <w:marTop w:val="0"/>
          <w:marBottom w:val="120"/>
          <w:divBdr>
            <w:top w:val="none" w:sz="0" w:space="0" w:color="auto"/>
            <w:left w:val="none" w:sz="0" w:space="0" w:color="auto"/>
            <w:bottom w:val="none" w:sz="0" w:space="0" w:color="auto"/>
            <w:right w:val="none" w:sz="0" w:space="0" w:color="auto"/>
          </w:divBdr>
        </w:div>
      </w:divsChild>
    </w:div>
    <w:div w:id="2093157135">
      <w:bodyDiv w:val="1"/>
      <w:marLeft w:val="0"/>
      <w:marRight w:val="0"/>
      <w:marTop w:val="0"/>
      <w:marBottom w:val="0"/>
      <w:divBdr>
        <w:top w:val="none" w:sz="0" w:space="0" w:color="auto"/>
        <w:left w:val="none" w:sz="0" w:space="0" w:color="auto"/>
        <w:bottom w:val="none" w:sz="0" w:space="0" w:color="auto"/>
        <w:right w:val="none" w:sz="0" w:space="0" w:color="auto"/>
      </w:divBdr>
    </w:div>
    <w:div w:id="2097243705">
      <w:bodyDiv w:val="1"/>
      <w:marLeft w:val="0"/>
      <w:marRight w:val="0"/>
      <w:marTop w:val="0"/>
      <w:marBottom w:val="0"/>
      <w:divBdr>
        <w:top w:val="none" w:sz="0" w:space="0" w:color="auto"/>
        <w:left w:val="none" w:sz="0" w:space="0" w:color="auto"/>
        <w:bottom w:val="none" w:sz="0" w:space="0" w:color="auto"/>
        <w:right w:val="none" w:sz="0" w:space="0" w:color="auto"/>
      </w:divBdr>
    </w:div>
    <w:div w:id="2109544624">
      <w:bodyDiv w:val="1"/>
      <w:marLeft w:val="0"/>
      <w:marRight w:val="0"/>
      <w:marTop w:val="0"/>
      <w:marBottom w:val="0"/>
      <w:divBdr>
        <w:top w:val="none" w:sz="0" w:space="0" w:color="auto"/>
        <w:left w:val="none" w:sz="0" w:space="0" w:color="auto"/>
        <w:bottom w:val="none" w:sz="0" w:space="0" w:color="auto"/>
        <w:right w:val="none" w:sz="0" w:space="0" w:color="auto"/>
      </w:divBdr>
    </w:div>
    <w:div w:id="2112776849">
      <w:bodyDiv w:val="1"/>
      <w:marLeft w:val="0"/>
      <w:marRight w:val="0"/>
      <w:marTop w:val="0"/>
      <w:marBottom w:val="0"/>
      <w:divBdr>
        <w:top w:val="none" w:sz="0" w:space="0" w:color="auto"/>
        <w:left w:val="none" w:sz="0" w:space="0" w:color="auto"/>
        <w:bottom w:val="none" w:sz="0" w:space="0" w:color="auto"/>
        <w:right w:val="none" w:sz="0" w:space="0" w:color="auto"/>
      </w:divBdr>
      <w:divsChild>
        <w:div w:id="1008367879">
          <w:marLeft w:val="274"/>
          <w:marRight w:val="0"/>
          <w:marTop w:val="0"/>
          <w:marBottom w:val="120"/>
          <w:divBdr>
            <w:top w:val="none" w:sz="0" w:space="0" w:color="auto"/>
            <w:left w:val="none" w:sz="0" w:space="0" w:color="auto"/>
            <w:bottom w:val="none" w:sz="0" w:space="0" w:color="auto"/>
            <w:right w:val="none" w:sz="0" w:space="0" w:color="auto"/>
          </w:divBdr>
        </w:div>
        <w:div w:id="1789082254">
          <w:marLeft w:val="274"/>
          <w:marRight w:val="0"/>
          <w:marTop w:val="0"/>
          <w:marBottom w:val="120"/>
          <w:divBdr>
            <w:top w:val="none" w:sz="0" w:space="0" w:color="auto"/>
            <w:left w:val="none" w:sz="0" w:space="0" w:color="auto"/>
            <w:bottom w:val="none" w:sz="0" w:space="0" w:color="auto"/>
            <w:right w:val="none" w:sz="0" w:space="0" w:color="auto"/>
          </w:divBdr>
        </w:div>
      </w:divsChild>
    </w:div>
    <w:div w:id="213432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header" Target="header2.xml"/><Relationship Id="rId69"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41.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emf"/><Relationship Id="rId67" Type="http://schemas.openxmlformats.org/officeDocument/2006/relationships/header" Target="header3.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othapalli\Downloads\Proposal_Template_A4.dotx" TargetMode="External"/></Relationships>
</file>

<file path=word/theme/theme1.xml><?xml version="1.0" encoding="utf-8"?>
<a:theme xmlns:a="http://schemas.openxmlformats.org/drawingml/2006/main" name="Deloitte Brand Theme">
  <a:themeElements>
    <a:clrScheme name="Custom 1">
      <a:dk1>
        <a:sysClr val="windowText" lastClr="000000"/>
      </a:dk1>
      <a:lt1>
        <a:sysClr val="window" lastClr="FFFFFF"/>
      </a:lt1>
      <a:dk2>
        <a:srgbClr val="D0D0CE"/>
      </a:dk2>
      <a:lt2>
        <a:srgbClr val="53565A"/>
      </a:lt2>
      <a:accent1>
        <a:srgbClr val="86BC25"/>
      </a:accent1>
      <a:accent2>
        <a:srgbClr val="43B02A"/>
      </a:accent2>
      <a:accent3>
        <a:srgbClr val="26890D"/>
      </a:accent3>
      <a:accent4>
        <a:srgbClr val="046A38"/>
      </a:accent4>
      <a:accent5>
        <a:srgbClr val="0D8390"/>
      </a:accent5>
      <a:accent6>
        <a:srgbClr val="007CB0"/>
      </a:accent6>
      <a:hlink>
        <a:srgbClr val="00A3E0"/>
      </a:hlink>
      <a:folHlink>
        <a:srgbClr val="7F7F7F"/>
      </a:folHlink>
    </a:clrScheme>
    <a:fontScheme name="Deloitt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Brand Theme" id="{25049939-F45C-468E-9BFD-6DA761B8498D}" vid="{209F14B4-8B24-4C73-BD36-0068D8B1E23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b7f0c4cc-c269-4be6-9c5e-8702c52d2039">
      <UserInfo>
        <DisplayName>Allani, Pavan</DisplayName>
        <AccountId>37</AccountId>
        <AccountType/>
      </UserInfo>
      <UserInfo>
        <DisplayName>Nguyen, Cathy</DisplayName>
        <AccountId>141</AccountId>
        <AccountType/>
      </UserInfo>
      <UserInfo>
        <DisplayName>Richards, Morgan</DisplayName>
        <AccountId>262</AccountId>
        <AccountType/>
      </UserInfo>
      <UserInfo>
        <DisplayName>Joannides, Kathryn</DisplayName>
        <AccountId>288</AccountId>
        <AccountType/>
      </UserInfo>
      <UserInfo>
        <DisplayName>Duncan, Sally</DisplayName>
        <AccountId>205</AccountId>
        <AccountType/>
      </UserInfo>
      <UserInfo>
        <DisplayName>Lyndon, Katie</DisplayName>
        <AccountId>245</AccountId>
        <AccountType/>
      </UserInfo>
      <UserInfo>
        <DisplayName>Kinmont, Ellen</DisplayName>
        <AccountId>277</AccountId>
        <AccountType/>
      </UserInfo>
      <UserInfo>
        <DisplayName>Nixon, Bridget</DisplayName>
        <AccountId>149</AccountId>
        <AccountType/>
      </UserInfo>
      <UserInfo>
        <DisplayName>McGregor, Verity</DisplayName>
        <AccountId>247</AccountId>
        <AccountType/>
      </UserInfo>
      <UserInfo>
        <DisplayName>Hodgkinson, Julia</DisplayName>
        <AccountId>32</AccountId>
        <AccountType/>
      </UserInfo>
      <UserInfo>
        <DisplayName>Jen, Colleen</DisplayName>
        <AccountId>246</AccountId>
        <AccountType/>
      </UserInfo>
      <UserInfo>
        <DisplayName>Hutchison, Alana</DisplayName>
        <AccountId>292</AccountId>
        <AccountType/>
      </UserInfo>
      <UserInfo>
        <DisplayName>Barnes, Katherine</DisplayName>
        <AccountId>291</AccountId>
        <AccountType/>
      </UserInfo>
      <UserInfo>
        <DisplayName>Stoneham, Michael</DisplayName>
        <AccountId>293</AccountId>
        <AccountType/>
      </UserInfo>
      <UserInfo>
        <DisplayName>Apuli, Anna</DisplayName>
        <AccountId>294</AccountId>
        <AccountType/>
      </UserInfo>
      <UserInfo>
        <DisplayName>Casey, Matt</DisplayName>
        <AccountId>295</AccountId>
        <AccountType/>
      </UserInfo>
      <UserInfo>
        <DisplayName>Haslehurst, Abby</DisplayName>
        <AccountId>296</AccountId>
        <AccountType/>
      </UserInfo>
      <UserInfo>
        <DisplayName>Drummond, Shaun</DisplayName>
        <AccountId>218</AccountId>
        <AccountType/>
      </UserInfo>
      <UserInfo>
        <DisplayName>Harmon, Lisa</DisplayName>
        <AccountId>216</AccountId>
        <AccountType/>
      </UserInfo>
      <UserInfo>
        <DisplayName>McFarlane, Ryan</DisplayName>
        <AccountId>6</AccountId>
        <AccountType/>
      </UserInfo>
      <UserInfo>
        <DisplayName>Kissane, Michael</DisplayName>
        <AccountId>47</AccountId>
        <AccountType/>
      </UserInfo>
      <UserInfo>
        <DisplayName>Chinthamuneedi, Manisha</DisplayName>
        <AccountId>187</AccountId>
        <AccountType/>
      </UserInfo>
      <UserInfo>
        <DisplayName>McDonough, Matthew</DisplayName>
        <AccountId>217</AccountId>
        <AccountType/>
      </UserInfo>
      <UserInfo>
        <DisplayName>Abbott, Cameron</DisplayName>
        <AccountId>256</AccountId>
        <AccountType/>
      </UserInfo>
      <UserInfo>
        <DisplayName>Lane, Conor</DisplayName>
        <AccountId>29</AccountId>
        <AccountType/>
      </UserInfo>
      <UserInfo>
        <DisplayName>Gouw, Jason</DisplayName>
        <AccountId>276</AccountId>
        <AccountType/>
      </UserInfo>
      <UserInfo>
        <DisplayName>Nadeem, Liala</DisplayName>
        <AccountId>12</AccountId>
        <AccountType/>
      </UserInfo>
      <UserInfo>
        <DisplayName>Hunault, Kevin</DisplayName>
        <AccountId>25</AccountId>
        <AccountType/>
      </UserInfo>
      <UserInfo>
        <DisplayName>Dalton, Justin</DisplayName>
        <AccountId>285</AccountId>
        <AccountType/>
      </UserInfo>
      <UserInfo>
        <DisplayName>Baxby, Luke</DisplayName>
        <AccountId>40</AccountId>
        <AccountType/>
      </UserInfo>
      <UserInfo>
        <DisplayName>Ahn, Deanna</DisplayName>
        <AccountId>274</AccountId>
        <AccountType/>
      </UserInfo>
      <UserInfo>
        <DisplayName>Watson, Paula</DisplayName>
        <AccountId>15</AccountId>
        <AccountType/>
      </UserInfo>
      <UserInfo>
        <DisplayName>Purnell, Alexander</DisplayName>
        <AccountId>231</AccountId>
        <AccountType/>
      </UserInfo>
      <UserInfo>
        <DisplayName>Brogan, Fiona</DisplayName>
        <AccountId>30</AccountId>
        <AccountType/>
      </UserInfo>
      <UserInfo>
        <DisplayName>Carter, Melissa</DisplayName>
        <AccountId>272</AccountId>
        <AccountType/>
      </UserInfo>
      <UserInfo>
        <DisplayName>Roberts, Joanna</DisplayName>
        <AccountId>22</AccountId>
        <AccountType/>
      </UserInfo>
      <UserInfo>
        <DisplayName>Heads, Martin</DisplayName>
        <AccountId>36</AccountId>
        <AccountType/>
      </UserInfo>
      <UserInfo>
        <DisplayName>Nguyen, Katie</DisplayName>
        <AccountId>41</AccountId>
        <AccountType/>
      </UserInfo>
      <UserInfo>
        <DisplayName>Fourie, Juan</DisplayName>
        <AccountId>16</AccountId>
        <AccountType/>
      </UserInfo>
      <UserInfo>
        <DisplayName>Bardsley, Phoebe</DisplayName>
        <AccountId>24</AccountId>
        <AccountType/>
      </UserInfo>
      <UserInfo>
        <DisplayName>Beaton, Niama</DisplayName>
        <AccountId>28</AccountId>
        <AccountType/>
      </UserInfo>
      <UserInfo>
        <DisplayName>McLennan, Lachlan</DisplayName>
        <AccountId>44</AccountId>
        <AccountType/>
      </UserInfo>
      <UserInfo>
        <DisplayName>Spicer, Carley</DisplayName>
        <AccountId>27</AccountId>
        <AccountType/>
      </UserInfo>
      <UserInfo>
        <DisplayName>Taylor, Kirsty</DisplayName>
        <AccountId>297</AccountId>
        <AccountType/>
      </UserInfo>
      <UserInfo>
        <DisplayName>Parr, Alan</DisplayName>
        <AccountId>20</AccountId>
        <AccountType/>
      </UserInfo>
      <UserInfo>
        <DisplayName>Laughlin, Charlotte</DisplayName>
        <AccountId>151</AccountId>
        <AccountType/>
      </UserInfo>
      <UserInfo>
        <DisplayName>Kirby, Elise</DisplayName>
        <AccountId>150</AccountId>
        <AccountType/>
      </UserInfo>
      <UserInfo>
        <DisplayName>Miller, Mel</DisplayName>
        <AccountId>298</AccountId>
        <AccountType/>
      </UserInfo>
      <UserInfo>
        <DisplayName>Boone, Chelsea</DisplayName>
        <AccountId>304</AccountId>
        <AccountType/>
      </UserInfo>
      <UserInfo>
        <DisplayName>Nolan, Rachel</DisplayName>
        <AccountId>281</AccountId>
        <AccountType/>
      </UserInfo>
      <UserInfo>
        <DisplayName>Gossip, Kate</DisplayName>
        <AccountId>322</AccountId>
        <AccountType/>
      </UserInfo>
      <UserInfo>
        <DisplayName>Smith, Abigail</DisplayName>
        <AccountId>325</AccountId>
        <AccountType/>
      </UserInfo>
      <UserInfo>
        <DisplayName>McCrossin, Rosie</DisplayName>
        <AccountId>326</AccountId>
        <AccountType/>
      </UserInfo>
      <UserInfo>
        <DisplayName>Arnold, Debbie</DisplayName>
        <AccountId>340</AccountId>
        <AccountType/>
      </UserInfo>
      <UserInfo>
        <DisplayName>Lutvey, Jack</DisplayName>
        <AccountId>335</AccountId>
        <AccountType/>
      </UserInfo>
      <UserInfo>
        <DisplayName>Richardson, Rob</DisplayName>
        <AccountId>313</AccountId>
        <AccountType/>
      </UserInfo>
      <UserInfo>
        <DisplayName>Forster, Tom</DisplayName>
        <AccountId>333</AccountId>
        <AccountType/>
      </UserInfo>
      <UserInfo>
        <DisplayName>Salter, Amelia</DisplayName>
        <AccountId>314</AccountId>
        <AccountType/>
      </UserInfo>
      <UserInfo>
        <DisplayName>Leveque, Karla</DisplayName>
        <AccountId>315</AccountId>
        <AccountType/>
      </UserInfo>
      <UserInfo>
        <DisplayName>Srikanthan, Sruthi</DisplayName>
        <AccountId>125</AccountId>
        <AccountType/>
      </UserInfo>
      <UserInfo>
        <DisplayName>Bhatnagar, Anmol</DisplayName>
        <AccountId>368</AccountId>
        <AccountType/>
      </UserInfo>
      <UserInfo>
        <DisplayName>Gunawardena, Sanara</DisplayName>
        <AccountId>369</AccountId>
        <AccountType/>
      </UserInfo>
      <UserInfo>
        <DisplayName>Knight, Emma</DisplayName>
        <AccountId>370</AccountId>
        <AccountType/>
      </UserInfo>
      <UserInfo>
        <DisplayName>Evenhuis, Amanda</DisplayName>
        <AccountId>371</AccountId>
        <AccountType/>
      </UserInfo>
      <UserInfo>
        <DisplayName>Tay, Joanne</DisplayName>
        <AccountId>372</AccountId>
        <AccountType/>
      </UserInfo>
      <UserInfo>
        <DisplayName>Marsdon, Liesda</DisplayName>
        <AccountId>401</AccountId>
        <AccountType/>
      </UserInfo>
      <UserInfo>
        <DisplayName>Gong, Jennifer</DisplayName>
        <AccountId>359</AccountId>
        <AccountType/>
      </UserInfo>
      <UserInfo>
        <DisplayName>Sarvananthar, Janani</DisplayName>
        <AccountId>405</AccountId>
        <AccountType/>
      </UserInfo>
      <UserInfo>
        <DisplayName>Zegenhagen, Sasha</DisplayName>
        <AccountId>406</AccountId>
        <AccountType/>
      </UserInfo>
      <UserInfo>
        <DisplayName>McArthur, Ethan</DisplayName>
        <AccountId>407</AccountId>
        <AccountType/>
      </UserInfo>
      <UserInfo>
        <DisplayName>Lim, Belle</DisplayName>
        <AccountId>408</AccountId>
        <AccountType/>
      </UserInfo>
      <UserInfo>
        <DisplayName>Mehta, Nakshi</DisplayName>
        <AccountId>409</AccountId>
        <AccountType/>
      </UserInfo>
      <UserInfo>
        <DisplayName>Prossor, Louise</DisplayName>
        <AccountId>410</AccountId>
        <AccountType/>
      </UserInfo>
      <UserInfo>
        <DisplayName>Pottenger, Mike</DisplayName>
        <AccountId>411</AccountId>
        <AccountType/>
      </UserInfo>
      <UserInfo>
        <DisplayName>Parker, Rebekah</DisplayName>
        <AccountId>412</AccountId>
        <AccountType/>
      </UserInfo>
      <UserInfo>
        <DisplayName>Agostino, Sara</DisplayName>
        <AccountId>413</AccountId>
        <AccountType/>
      </UserInfo>
      <UserInfo>
        <DisplayName>Shan, Rachel</DisplayName>
        <AccountId>414</AccountId>
        <AccountType/>
      </UserInfo>
    </SharedWithUsers>
    <TaxCatchAll xmlns="b7f0c4cc-c269-4be6-9c5e-8702c52d2039" xsi:nil="true"/>
    <lcf76f155ced4ddcb4097134ff3c332f xmlns="a3b21add-e4d8-4ec1-804b-8566d1f69e0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2353A1B331E34295B79323ED58F625" ma:contentTypeVersion="13" ma:contentTypeDescription="Create a new document." ma:contentTypeScope="" ma:versionID="c251d0665d3ea6dd9848baa9c0be9ff2">
  <xsd:schema xmlns:xsd="http://www.w3.org/2001/XMLSchema" xmlns:xs="http://www.w3.org/2001/XMLSchema" xmlns:p="http://schemas.microsoft.com/office/2006/metadata/properties" xmlns:ns2="a3b21add-e4d8-4ec1-804b-8566d1f69e01" xmlns:ns3="b7f0c4cc-c269-4be6-9c5e-8702c52d2039" targetNamespace="http://schemas.microsoft.com/office/2006/metadata/properties" ma:root="true" ma:fieldsID="64a7ab875c8c4c5a22d6908def0c6283" ns2:_="" ns3:_="">
    <xsd:import namespace="a3b21add-e4d8-4ec1-804b-8566d1f69e01"/>
    <xsd:import namespace="b7f0c4cc-c269-4be6-9c5e-8702c52d20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21add-e4d8-4ec1-804b-8566d1f69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f0c4cc-c269-4be6-9c5e-8702c52d20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97b9341-1eb9-4b87-a3df-d0afa8910d2e}" ma:internalName="TaxCatchAll" ma:showField="CatchAllData" ma:web="b7f0c4cc-c269-4be6-9c5e-8702c52d20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1850B7-F6FB-4996-A488-53EBD97464DC}">
  <ds:schemaRefs>
    <ds:schemaRef ds:uri="http://schemas.openxmlformats.org/officeDocument/2006/bibliography"/>
  </ds:schemaRefs>
</ds:datastoreItem>
</file>

<file path=customXml/itemProps2.xml><?xml version="1.0" encoding="utf-8"?>
<ds:datastoreItem xmlns:ds="http://schemas.openxmlformats.org/officeDocument/2006/customXml" ds:itemID="{6F99FB3B-864F-4F66-BCCE-75E78A4F8C0B}">
  <ds:schemaRefs>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b7f0c4cc-c269-4be6-9c5e-8702c52d2039"/>
    <ds:schemaRef ds:uri="a3b21add-e4d8-4ec1-804b-8566d1f69e01"/>
  </ds:schemaRefs>
</ds:datastoreItem>
</file>

<file path=customXml/itemProps3.xml><?xml version="1.0" encoding="utf-8"?>
<ds:datastoreItem xmlns:ds="http://schemas.openxmlformats.org/officeDocument/2006/customXml" ds:itemID="{3A23D462-596E-4248-AC36-FA3CE6995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21add-e4d8-4ec1-804b-8566d1f69e01"/>
    <ds:schemaRef ds:uri="b7f0c4cc-c269-4be6-9c5e-8702c52d2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E6AF8A-A6AD-4D56-BE27-989F93CD56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Proposal_Template_A4.dotx</Template>
  <TotalTime>1</TotalTime>
  <Pages>6</Pages>
  <Words>36423</Words>
  <Characters>207612</Characters>
  <Application>Microsoft Office Word</Application>
  <DocSecurity>12</DocSecurity>
  <Lines>1730</Lines>
  <Paragraphs>487</Paragraphs>
  <ScaleCrop>false</ScaleCrop>
  <HeadingPairs>
    <vt:vector size="2" baseType="variant">
      <vt:variant>
        <vt:lpstr>Title</vt:lpstr>
      </vt:variant>
      <vt:variant>
        <vt:i4>1</vt:i4>
      </vt:variant>
    </vt:vector>
  </HeadingPairs>
  <TitlesOfParts>
    <vt:vector size="1" baseType="lpstr">
      <vt:lpstr>Proposal_A4</vt:lpstr>
    </vt:vector>
  </TitlesOfParts>
  <Company/>
  <LinksUpToDate>false</LinksUpToDate>
  <CharactersWithSpaces>243548</CharactersWithSpaces>
  <SharedDoc>false</SharedDoc>
  <HLinks>
    <vt:vector size="54" baseType="variant">
      <vt:variant>
        <vt:i4>1310774</vt:i4>
      </vt:variant>
      <vt:variant>
        <vt:i4>50</vt:i4>
      </vt:variant>
      <vt:variant>
        <vt:i4>0</vt:i4>
      </vt:variant>
      <vt:variant>
        <vt:i4>5</vt:i4>
      </vt:variant>
      <vt:variant>
        <vt:lpwstr/>
      </vt:variant>
      <vt:variant>
        <vt:lpwstr>_Toc132129781</vt:lpwstr>
      </vt:variant>
      <vt:variant>
        <vt:i4>1310774</vt:i4>
      </vt:variant>
      <vt:variant>
        <vt:i4>44</vt:i4>
      </vt:variant>
      <vt:variant>
        <vt:i4>0</vt:i4>
      </vt:variant>
      <vt:variant>
        <vt:i4>5</vt:i4>
      </vt:variant>
      <vt:variant>
        <vt:lpwstr/>
      </vt:variant>
      <vt:variant>
        <vt:lpwstr>_Toc132129780</vt:lpwstr>
      </vt:variant>
      <vt:variant>
        <vt:i4>1769526</vt:i4>
      </vt:variant>
      <vt:variant>
        <vt:i4>38</vt:i4>
      </vt:variant>
      <vt:variant>
        <vt:i4>0</vt:i4>
      </vt:variant>
      <vt:variant>
        <vt:i4>5</vt:i4>
      </vt:variant>
      <vt:variant>
        <vt:lpwstr/>
      </vt:variant>
      <vt:variant>
        <vt:lpwstr>_Toc132129779</vt:lpwstr>
      </vt:variant>
      <vt:variant>
        <vt:i4>1769526</vt:i4>
      </vt:variant>
      <vt:variant>
        <vt:i4>32</vt:i4>
      </vt:variant>
      <vt:variant>
        <vt:i4>0</vt:i4>
      </vt:variant>
      <vt:variant>
        <vt:i4>5</vt:i4>
      </vt:variant>
      <vt:variant>
        <vt:lpwstr/>
      </vt:variant>
      <vt:variant>
        <vt:lpwstr>_Toc132129778</vt:lpwstr>
      </vt:variant>
      <vt:variant>
        <vt:i4>1769526</vt:i4>
      </vt:variant>
      <vt:variant>
        <vt:i4>26</vt:i4>
      </vt:variant>
      <vt:variant>
        <vt:i4>0</vt:i4>
      </vt:variant>
      <vt:variant>
        <vt:i4>5</vt:i4>
      </vt:variant>
      <vt:variant>
        <vt:lpwstr/>
      </vt:variant>
      <vt:variant>
        <vt:lpwstr>_Toc132129777</vt:lpwstr>
      </vt:variant>
      <vt:variant>
        <vt:i4>1769526</vt:i4>
      </vt:variant>
      <vt:variant>
        <vt:i4>20</vt:i4>
      </vt:variant>
      <vt:variant>
        <vt:i4>0</vt:i4>
      </vt:variant>
      <vt:variant>
        <vt:i4>5</vt:i4>
      </vt:variant>
      <vt:variant>
        <vt:lpwstr/>
      </vt:variant>
      <vt:variant>
        <vt:lpwstr>_Toc132129776</vt:lpwstr>
      </vt:variant>
      <vt:variant>
        <vt:i4>1769526</vt:i4>
      </vt:variant>
      <vt:variant>
        <vt:i4>14</vt:i4>
      </vt:variant>
      <vt:variant>
        <vt:i4>0</vt:i4>
      </vt:variant>
      <vt:variant>
        <vt:i4>5</vt:i4>
      </vt:variant>
      <vt:variant>
        <vt:lpwstr/>
      </vt:variant>
      <vt:variant>
        <vt:lpwstr>_Toc132129775</vt:lpwstr>
      </vt:variant>
      <vt:variant>
        <vt:i4>1769526</vt:i4>
      </vt:variant>
      <vt:variant>
        <vt:i4>8</vt:i4>
      </vt:variant>
      <vt:variant>
        <vt:i4>0</vt:i4>
      </vt:variant>
      <vt:variant>
        <vt:i4>5</vt:i4>
      </vt:variant>
      <vt:variant>
        <vt:lpwstr/>
      </vt:variant>
      <vt:variant>
        <vt:lpwstr>_Toc132129774</vt:lpwstr>
      </vt:variant>
      <vt:variant>
        <vt:i4>1769526</vt:i4>
      </vt:variant>
      <vt:variant>
        <vt:i4>2</vt:i4>
      </vt:variant>
      <vt:variant>
        <vt:i4>0</vt:i4>
      </vt:variant>
      <vt:variant>
        <vt:i4>5</vt:i4>
      </vt:variant>
      <vt:variant>
        <vt:lpwstr/>
      </vt:variant>
      <vt:variant>
        <vt:lpwstr>_Toc132129773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Proposal_A4</dc:title>
  <dc:subject/>
  <dc:creator>Kothapalli, Lokesh</dc:creator>
  <cp:keywords/>
  <dc:description/>
  <cp:lastModifiedBy>MORGAN, Sonja</cp:lastModifiedBy>
  <cp:revision>2</cp:revision>
  <cp:lastPrinted>2023-04-12T01:36:00Z</cp:lastPrinted>
  <dcterms:created xsi:type="dcterms:W3CDTF">2023-08-21T05:16:00Z</dcterms:created>
  <dcterms:modified xsi:type="dcterms:W3CDTF">2023-08-21T05:16:00Z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0x010100D22353A1B331E34295B79323ED58F625</vt:lpwstr>
  </property>
  <property fmtid="{D5CDD505-2E9C-101B-9397-08002B2CF9AE}" pid="3" name="MSIP_Label_ea60d57e-af5b-4752-ac57-3e4f28ca11dc_Enabled">
    <vt:lpwstr>true</vt:lpwstr>
  </property>
  <property fmtid="{D5CDD505-2E9C-101B-9397-08002B2CF9AE}" pid="4" name="MSIP_Label_ea60d57e-af5b-4752-ac57-3e4f28ca11dc_SetDate">
    <vt:lpwstr>2020-11-16T23:25:52Z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eaca81c5-b5a1-4b89-95b0-dedff142c265</vt:lpwstr>
  </property>
  <property fmtid="{D5CDD505-2E9C-101B-9397-08002B2CF9AE}" pid="9" name="MSIP_Label_ea60d57e-af5b-4752-ac57-3e4f28ca11dc_ContentBits">
    <vt:lpwstr>0</vt:lpwstr>
  </property>
  <property fmtid="{D5CDD505-2E9C-101B-9397-08002B2CF9AE}" pid="10" name="MediaServiceImageTags">
    <vt:lpwstr/>
  </property>
</Properties>
</file>