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1860" w14:textId="77777777" w:rsidR="007D7329" w:rsidRPr="00A0561B" w:rsidRDefault="007D7329" w:rsidP="007D7329">
      <w:pPr>
        <w:pStyle w:val="Heading1"/>
        <w:jc w:val="center"/>
        <w:rPr>
          <w:rFonts w:asciiTheme="minorHAnsi" w:hAnsiTheme="minorHAnsi" w:cstheme="minorBidi"/>
          <w:color w:val="auto"/>
          <w:sz w:val="32"/>
          <w:szCs w:val="32"/>
        </w:rPr>
      </w:pPr>
      <w:bookmarkStart w:id="0" w:name="_Toc52359712"/>
      <w:r w:rsidRPr="2A261EB2">
        <w:rPr>
          <w:rFonts w:asciiTheme="minorHAnsi" w:hAnsiTheme="minorHAnsi" w:cstheme="minorBidi"/>
          <w:color w:val="auto"/>
          <w:sz w:val="32"/>
          <w:szCs w:val="32"/>
        </w:rPr>
        <w:t>Department of Health and Aged Care</w:t>
      </w:r>
    </w:p>
    <w:p w14:paraId="48900D97" w14:textId="77777777" w:rsidR="007D7329" w:rsidRPr="00A0561B" w:rsidRDefault="007D7329" w:rsidP="007D7329">
      <w:pPr>
        <w:pStyle w:val="Heading1"/>
        <w:jc w:val="center"/>
        <w:rPr>
          <w:rFonts w:asciiTheme="minorHAnsi" w:hAnsiTheme="minorHAnsi" w:cstheme="minorHAnsi"/>
          <w:color w:val="auto"/>
          <w:sz w:val="32"/>
          <w:szCs w:val="32"/>
        </w:rPr>
      </w:pPr>
      <w:r w:rsidRPr="003134CB">
        <w:rPr>
          <w:rFonts w:asciiTheme="minorHAnsi" w:hAnsiTheme="minorHAnsi" w:cstheme="minorHAnsi"/>
          <w:color w:val="auto"/>
          <w:sz w:val="32"/>
          <w:szCs w:val="32"/>
        </w:rPr>
        <w:t>Distribution Working Group</w:t>
      </w:r>
    </w:p>
    <w:p w14:paraId="5966374A" w14:textId="77777777" w:rsidR="007D7329" w:rsidRPr="00A0561B" w:rsidRDefault="007D7329" w:rsidP="007D7329">
      <w:pPr>
        <w:pStyle w:val="Heading1"/>
        <w:jc w:val="center"/>
        <w:rPr>
          <w:rFonts w:asciiTheme="minorHAnsi" w:hAnsiTheme="minorHAnsi" w:cstheme="minorHAnsi"/>
          <w:color w:val="auto"/>
          <w:sz w:val="32"/>
          <w:szCs w:val="32"/>
        </w:rPr>
      </w:pPr>
      <w:r w:rsidRPr="00A0561B">
        <w:rPr>
          <w:rFonts w:asciiTheme="minorHAnsi" w:hAnsiTheme="minorHAnsi" w:cstheme="minorHAnsi"/>
          <w:color w:val="auto"/>
          <w:sz w:val="32"/>
          <w:szCs w:val="32"/>
        </w:rPr>
        <w:t>Terms of Reference</w:t>
      </w:r>
    </w:p>
    <w:p w14:paraId="4163FF21" w14:textId="5CF4A33B" w:rsidR="007D7329" w:rsidRPr="00A0561B" w:rsidRDefault="00CA6E84" w:rsidP="007D7329">
      <w:pPr>
        <w:pStyle w:val="Heading1"/>
        <w:jc w:val="center"/>
        <w:rPr>
          <w:rFonts w:asciiTheme="minorHAnsi" w:hAnsiTheme="minorHAnsi" w:cstheme="minorHAnsi"/>
          <w:color w:val="auto"/>
          <w:sz w:val="32"/>
          <w:szCs w:val="32"/>
        </w:rPr>
      </w:pPr>
      <w:r>
        <w:rPr>
          <w:rFonts w:asciiTheme="minorHAnsi" w:hAnsiTheme="minorHAnsi" w:cstheme="minorHAnsi"/>
          <w:color w:val="auto"/>
          <w:sz w:val="32"/>
          <w:szCs w:val="32"/>
        </w:rPr>
        <w:t xml:space="preserve">June </w:t>
      </w:r>
      <w:r w:rsidR="00BD4C36">
        <w:rPr>
          <w:rFonts w:asciiTheme="minorHAnsi" w:hAnsiTheme="minorHAnsi" w:cstheme="minorHAnsi"/>
          <w:color w:val="auto"/>
          <w:sz w:val="32"/>
          <w:szCs w:val="32"/>
        </w:rPr>
        <w:t>2023</w:t>
      </w:r>
    </w:p>
    <w:p w14:paraId="343F6862" w14:textId="77777777" w:rsidR="007D7329" w:rsidRPr="00342676" w:rsidRDefault="007D7329" w:rsidP="007D7329">
      <w:pPr>
        <w:rPr>
          <w:lang w:val="en-AU"/>
        </w:rPr>
      </w:pPr>
    </w:p>
    <w:bookmarkEnd w:id="0"/>
    <w:p w14:paraId="7F9457CE" w14:textId="77777777" w:rsidR="007D7329" w:rsidRPr="001D6DD7" w:rsidRDefault="007D7329" w:rsidP="007D7329">
      <w:pPr>
        <w:pStyle w:val="Heading2"/>
        <w:rPr>
          <w:b w:val="0"/>
          <w:bCs/>
          <w:sz w:val="28"/>
          <w:szCs w:val="28"/>
        </w:rPr>
      </w:pPr>
      <w:r w:rsidRPr="001D6DD7">
        <w:rPr>
          <w:bCs/>
          <w:sz w:val="28"/>
          <w:szCs w:val="28"/>
        </w:rPr>
        <w:t>Purpose</w:t>
      </w:r>
    </w:p>
    <w:p w14:paraId="78F982BA" w14:textId="77777777" w:rsidR="007D7329" w:rsidRDefault="007D7329" w:rsidP="007D7329">
      <w:pPr>
        <w:spacing w:before="240"/>
        <w:rPr>
          <w:rFonts w:asciiTheme="minorHAnsi" w:hAnsiTheme="minorHAnsi" w:cstheme="minorBidi"/>
        </w:rPr>
      </w:pPr>
      <w:r w:rsidRPr="2A261EB2">
        <w:rPr>
          <w:rFonts w:asciiTheme="minorHAnsi" w:hAnsiTheme="minorHAnsi" w:cstheme="minorBidi"/>
        </w:rPr>
        <w:t>The Distribution Working Group (DWG) will provide independent expert advice to inform policy and programs aimed at improving health workforce distribution into areas of services access need. This includes advice on the health geography classifications and their use.</w:t>
      </w:r>
    </w:p>
    <w:p w14:paraId="17191461" w14:textId="77777777" w:rsidR="007D7329" w:rsidRPr="003134CB" w:rsidRDefault="007D7329" w:rsidP="007D7329">
      <w:pPr>
        <w:spacing w:before="240" w:after="120"/>
        <w:rPr>
          <w:rFonts w:asciiTheme="minorHAnsi" w:hAnsiTheme="minorHAnsi" w:cstheme="minorHAnsi"/>
        </w:rPr>
      </w:pPr>
      <w:r>
        <w:rPr>
          <w:rFonts w:asciiTheme="minorHAnsi" w:hAnsiTheme="minorHAnsi" w:cstheme="minorHAnsi"/>
        </w:rPr>
        <w:t>For example, t</w:t>
      </w:r>
      <w:r w:rsidRPr="003134CB">
        <w:rPr>
          <w:rFonts w:asciiTheme="minorHAnsi" w:hAnsiTheme="minorHAnsi" w:cstheme="minorHAnsi"/>
        </w:rPr>
        <w:t xml:space="preserve">he DWG </w:t>
      </w:r>
      <w:r>
        <w:rPr>
          <w:rFonts w:asciiTheme="minorHAnsi" w:hAnsiTheme="minorHAnsi" w:cstheme="minorHAnsi"/>
        </w:rPr>
        <w:t>may</w:t>
      </w:r>
      <w:r w:rsidRPr="003134CB">
        <w:rPr>
          <w:rFonts w:asciiTheme="minorHAnsi" w:hAnsiTheme="minorHAnsi" w:cstheme="minorHAnsi"/>
        </w:rPr>
        <w:t xml:space="preserve"> provide independent expert advice </w:t>
      </w:r>
      <w:r>
        <w:rPr>
          <w:rFonts w:asciiTheme="minorHAnsi" w:hAnsiTheme="minorHAnsi" w:cstheme="minorHAnsi"/>
        </w:rPr>
        <w:t>on</w:t>
      </w:r>
      <w:r w:rsidRPr="003134CB">
        <w:rPr>
          <w:rFonts w:asciiTheme="minorHAnsi" w:hAnsiTheme="minorHAnsi" w:cstheme="minorHAnsi"/>
        </w:rPr>
        <w:t>:</w:t>
      </w:r>
    </w:p>
    <w:p w14:paraId="382F9BFD" w14:textId="77777777" w:rsidR="007D7329" w:rsidRPr="0023436C" w:rsidRDefault="007D7329" w:rsidP="007D7329">
      <w:pPr>
        <w:pStyle w:val="ListParagraph"/>
        <w:numPr>
          <w:ilvl w:val="0"/>
          <w:numId w:val="19"/>
        </w:numPr>
        <w:rPr>
          <w:rFonts w:asciiTheme="minorHAnsi" w:hAnsiTheme="minorHAnsi" w:cstheme="minorHAnsi"/>
        </w:rPr>
      </w:pPr>
      <w:r w:rsidRPr="0023436C">
        <w:rPr>
          <w:rFonts w:asciiTheme="minorHAnsi" w:hAnsiTheme="minorHAnsi" w:cstheme="minorHAnsi"/>
        </w:rPr>
        <w:t>Policy and program directions aimed at rebalancing the equitable distribution of the Australian medical workforce geographically.</w:t>
      </w:r>
    </w:p>
    <w:p w14:paraId="15800F15" w14:textId="77777777" w:rsidR="007D7329" w:rsidRDefault="007D7329" w:rsidP="007D7329">
      <w:pPr>
        <w:pStyle w:val="ListParagraph"/>
        <w:numPr>
          <w:ilvl w:val="0"/>
          <w:numId w:val="19"/>
        </w:numPr>
        <w:rPr>
          <w:rFonts w:asciiTheme="minorHAnsi" w:hAnsiTheme="minorHAnsi" w:cstheme="minorHAnsi"/>
        </w:rPr>
      </w:pPr>
      <w:r>
        <w:rPr>
          <w:rFonts w:asciiTheme="minorHAnsi" w:hAnsiTheme="minorHAnsi" w:cstheme="minorHAnsi"/>
        </w:rPr>
        <w:t>Requirements for tools and programs to promote equitable distribution of the medical workforce nationally, which may include h</w:t>
      </w:r>
      <w:r w:rsidRPr="0023436C">
        <w:rPr>
          <w:rFonts w:asciiTheme="minorHAnsi" w:hAnsiTheme="minorHAnsi" w:cstheme="minorHAnsi"/>
        </w:rPr>
        <w:t>ealth-related geographical classification</w:t>
      </w:r>
      <w:r>
        <w:rPr>
          <w:rFonts w:asciiTheme="minorHAnsi" w:hAnsiTheme="minorHAnsi" w:cstheme="minorHAnsi"/>
        </w:rPr>
        <w:t xml:space="preserve"> (</w:t>
      </w:r>
      <w:proofErr w:type="gramStart"/>
      <w:r>
        <w:rPr>
          <w:rFonts w:asciiTheme="minorHAnsi" w:hAnsiTheme="minorHAnsi" w:cstheme="minorHAnsi"/>
        </w:rPr>
        <w:t>e.g.</w:t>
      </w:r>
      <w:proofErr w:type="gramEnd"/>
      <w:r>
        <w:rPr>
          <w:rFonts w:asciiTheme="minorHAnsi" w:hAnsiTheme="minorHAnsi" w:cstheme="minorHAnsi"/>
        </w:rPr>
        <w:t xml:space="preserve"> </w:t>
      </w:r>
      <w:r w:rsidRPr="0023436C">
        <w:rPr>
          <w:rFonts w:asciiTheme="minorHAnsi" w:hAnsiTheme="minorHAnsi" w:cstheme="minorHAnsi"/>
        </w:rPr>
        <w:t>the Modified Monash Model, Distribution Priority Area indicator, District of Workforce Shortage (DWS) indicator and GP Catchment methodologies</w:t>
      </w:r>
      <w:r>
        <w:rPr>
          <w:rFonts w:asciiTheme="minorHAnsi" w:hAnsiTheme="minorHAnsi" w:cstheme="minorHAnsi"/>
        </w:rPr>
        <w:t>), guidelines that contribute to distribution (e.g. section 19AB legislative guidelines)</w:t>
      </w:r>
    </w:p>
    <w:p w14:paraId="6CCF47C2" w14:textId="77777777" w:rsidR="007D7329" w:rsidRPr="0023436C" w:rsidRDefault="007D7329" w:rsidP="007D7329">
      <w:pPr>
        <w:pStyle w:val="ListParagraph"/>
        <w:numPr>
          <w:ilvl w:val="0"/>
          <w:numId w:val="19"/>
        </w:numPr>
        <w:rPr>
          <w:rFonts w:asciiTheme="minorHAnsi" w:hAnsiTheme="minorHAnsi" w:cstheme="minorHAnsi"/>
        </w:rPr>
      </w:pPr>
      <w:r>
        <w:rPr>
          <w:rFonts w:asciiTheme="minorHAnsi" w:hAnsiTheme="minorHAnsi" w:cstheme="minorHAnsi"/>
        </w:rPr>
        <w:t>Other relevant issues identified by the Minister or Department related to medical workforce distribution.</w:t>
      </w:r>
    </w:p>
    <w:p w14:paraId="6700C0FB" w14:textId="77777777" w:rsidR="007D7329" w:rsidRPr="00B61B6F" w:rsidRDefault="007D7329" w:rsidP="007D7329">
      <w:pPr>
        <w:pStyle w:val="Heading2"/>
        <w:spacing w:before="240"/>
        <w:rPr>
          <w:b w:val="0"/>
          <w:bCs/>
          <w:sz w:val="28"/>
          <w:szCs w:val="28"/>
        </w:rPr>
      </w:pPr>
      <w:r w:rsidRPr="00B61B6F">
        <w:rPr>
          <w:bCs/>
          <w:sz w:val="28"/>
          <w:szCs w:val="28"/>
        </w:rPr>
        <w:t xml:space="preserve">Roles and Responsibilities </w:t>
      </w:r>
    </w:p>
    <w:p w14:paraId="22F83F6B" w14:textId="433391B4" w:rsidR="007D7329" w:rsidRDefault="007D7329" w:rsidP="007D7329">
      <w:pPr>
        <w:spacing w:before="120"/>
        <w:rPr>
          <w:rFonts w:asciiTheme="minorHAnsi" w:hAnsiTheme="minorHAnsi" w:cstheme="minorBidi"/>
        </w:rPr>
      </w:pPr>
      <w:r w:rsidRPr="32E64AB1">
        <w:rPr>
          <w:rFonts w:asciiTheme="minorHAnsi" w:hAnsiTheme="minorHAnsi" w:cstheme="minorBidi"/>
        </w:rPr>
        <w:t>The DWG is not a decision-making body. Its operation is established and governed by the Department of Health and Aged Care’s (the Department) Health Workforce Division to support the provision of advice to the Minister for Health and Aged Care. All DWG papers</w:t>
      </w:r>
      <w:r w:rsidR="00691F4C">
        <w:rPr>
          <w:rFonts w:asciiTheme="minorHAnsi" w:hAnsiTheme="minorHAnsi" w:cstheme="minorBidi"/>
        </w:rPr>
        <w:t xml:space="preserve"> and discussion</w:t>
      </w:r>
      <w:r w:rsidRPr="32E64AB1">
        <w:rPr>
          <w:rFonts w:asciiTheme="minorHAnsi" w:hAnsiTheme="minorHAnsi" w:cstheme="minorBidi"/>
        </w:rPr>
        <w:t xml:space="preserve"> are committee-in-confidence.</w:t>
      </w:r>
    </w:p>
    <w:p w14:paraId="28A5A45E" w14:textId="77777777" w:rsidR="007D7329" w:rsidRDefault="007D7329" w:rsidP="007D7329">
      <w:pPr>
        <w:spacing w:before="120"/>
        <w:rPr>
          <w:rFonts w:asciiTheme="minorHAnsi" w:hAnsiTheme="minorHAnsi" w:cstheme="minorHAnsi"/>
        </w:rPr>
      </w:pPr>
      <w:r w:rsidRPr="001D6DD7">
        <w:rPr>
          <w:rFonts w:asciiTheme="minorHAnsi" w:hAnsiTheme="minorHAnsi" w:cstheme="minorHAnsi"/>
        </w:rPr>
        <w:t xml:space="preserve">The </w:t>
      </w:r>
      <w:r>
        <w:rPr>
          <w:rFonts w:asciiTheme="minorHAnsi" w:hAnsiTheme="minorHAnsi" w:cstheme="minorHAnsi"/>
        </w:rPr>
        <w:t xml:space="preserve">responsibilities of the DWG </w:t>
      </w:r>
      <w:r w:rsidRPr="001D6DD7">
        <w:rPr>
          <w:rFonts w:asciiTheme="minorHAnsi" w:hAnsiTheme="minorHAnsi" w:cstheme="minorHAnsi"/>
        </w:rPr>
        <w:t xml:space="preserve">Chair </w:t>
      </w:r>
      <w:r>
        <w:rPr>
          <w:rFonts w:asciiTheme="minorHAnsi" w:hAnsiTheme="minorHAnsi" w:cstheme="minorHAnsi"/>
        </w:rPr>
        <w:t>include:</w:t>
      </w:r>
    </w:p>
    <w:p w14:paraId="759F8256" w14:textId="77777777" w:rsidR="007D7329" w:rsidRPr="0023436C" w:rsidRDefault="007D7329" w:rsidP="007D7329">
      <w:pPr>
        <w:pStyle w:val="ListParagraph"/>
        <w:numPr>
          <w:ilvl w:val="0"/>
          <w:numId w:val="18"/>
        </w:numPr>
        <w:rPr>
          <w:rFonts w:asciiTheme="minorHAnsi" w:hAnsiTheme="minorHAnsi" w:cstheme="minorHAnsi"/>
        </w:rPr>
      </w:pPr>
      <w:r w:rsidRPr="0023436C">
        <w:rPr>
          <w:rFonts w:asciiTheme="minorHAnsi" w:hAnsiTheme="minorHAnsi" w:cstheme="minorHAnsi"/>
        </w:rPr>
        <w:t>seeking advice from the DWG to inform advice on health workforce programs and distribution mechanisms</w:t>
      </w:r>
    </w:p>
    <w:p w14:paraId="0358156E" w14:textId="77777777" w:rsidR="007D7329" w:rsidRPr="0023436C" w:rsidRDefault="007D7329" w:rsidP="007D7329">
      <w:pPr>
        <w:pStyle w:val="ListParagraph"/>
        <w:numPr>
          <w:ilvl w:val="0"/>
          <w:numId w:val="18"/>
        </w:numPr>
        <w:rPr>
          <w:rFonts w:asciiTheme="minorHAnsi" w:hAnsiTheme="minorHAnsi" w:cstheme="minorHAnsi"/>
        </w:rPr>
      </w:pPr>
      <w:r w:rsidRPr="0023436C">
        <w:rPr>
          <w:rFonts w:asciiTheme="minorHAnsi" w:hAnsiTheme="minorHAnsi" w:cstheme="minorHAnsi"/>
        </w:rPr>
        <w:t>the appointment of members (as individuals or as representatives of key stakeholders)</w:t>
      </w:r>
    </w:p>
    <w:p w14:paraId="653ADDEC" w14:textId="77777777" w:rsidR="007D7329" w:rsidRPr="003134CB" w:rsidRDefault="007D7329" w:rsidP="007D7329">
      <w:pPr>
        <w:pStyle w:val="ListParagraph"/>
        <w:numPr>
          <w:ilvl w:val="0"/>
          <w:numId w:val="18"/>
        </w:numPr>
      </w:pPr>
      <w:r w:rsidRPr="0023436C">
        <w:rPr>
          <w:rFonts w:asciiTheme="minorHAnsi" w:hAnsiTheme="minorHAnsi" w:cstheme="minorHAnsi"/>
        </w:rPr>
        <w:t xml:space="preserve">facilitation of </w:t>
      </w:r>
      <w:r w:rsidRPr="00725905">
        <w:rPr>
          <w:rFonts w:asciiTheme="minorHAnsi" w:hAnsiTheme="minorHAnsi" w:cstheme="minorHAnsi"/>
        </w:rPr>
        <w:t>meetings.</w:t>
      </w:r>
    </w:p>
    <w:p w14:paraId="1E609315" w14:textId="77777777" w:rsidR="007D7329" w:rsidRPr="00D80620" w:rsidRDefault="007D7329" w:rsidP="007D7329">
      <w:pPr>
        <w:spacing w:before="120"/>
        <w:rPr>
          <w:rFonts w:asciiTheme="minorHAnsi" w:hAnsiTheme="minorHAnsi" w:cstheme="minorHAnsi"/>
        </w:rPr>
      </w:pPr>
      <w:r w:rsidRPr="00D80620">
        <w:rPr>
          <w:rFonts w:asciiTheme="minorHAnsi" w:hAnsiTheme="minorHAnsi" w:cstheme="minorHAnsi"/>
        </w:rPr>
        <w:t xml:space="preserve">The Secretariat is responsible for providing timely and effective organisational support to </w:t>
      </w:r>
      <w:r>
        <w:rPr>
          <w:rFonts w:asciiTheme="minorHAnsi" w:hAnsiTheme="minorHAnsi" w:cstheme="minorHAnsi"/>
        </w:rPr>
        <w:t>DWG</w:t>
      </w:r>
      <w:r w:rsidRPr="00D80620">
        <w:rPr>
          <w:rFonts w:asciiTheme="minorHAnsi" w:hAnsiTheme="minorHAnsi" w:cstheme="minorHAnsi"/>
        </w:rPr>
        <w:t xml:space="preserve"> meetings, including:</w:t>
      </w:r>
    </w:p>
    <w:p w14:paraId="79F75921" w14:textId="77777777" w:rsidR="007D7329" w:rsidRPr="0023436C" w:rsidRDefault="007D7329" w:rsidP="007D7329">
      <w:pPr>
        <w:pStyle w:val="ListParagraph"/>
        <w:numPr>
          <w:ilvl w:val="0"/>
          <w:numId w:val="17"/>
        </w:numPr>
        <w:rPr>
          <w:rFonts w:asciiTheme="minorHAnsi" w:hAnsiTheme="minorHAnsi" w:cstheme="minorHAnsi"/>
        </w:rPr>
      </w:pPr>
      <w:r w:rsidRPr="0023436C">
        <w:rPr>
          <w:rFonts w:asciiTheme="minorHAnsi" w:hAnsiTheme="minorHAnsi" w:cstheme="minorHAnsi"/>
        </w:rPr>
        <w:t>developing, in consultation with the Chair, agendas and papers</w:t>
      </w:r>
    </w:p>
    <w:p w14:paraId="2123324A" w14:textId="77777777" w:rsidR="007D7329" w:rsidRPr="0023436C" w:rsidRDefault="007D7329" w:rsidP="007D7329">
      <w:pPr>
        <w:pStyle w:val="ListParagraph"/>
        <w:numPr>
          <w:ilvl w:val="0"/>
          <w:numId w:val="17"/>
        </w:numPr>
        <w:rPr>
          <w:rFonts w:asciiTheme="minorHAnsi" w:hAnsiTheme="minorHAnsi" w:cstheme="minorHAnsi"/>
        </w:rPr>
      </w:pPr>
      <w:r w:rsidRPr="0023436C">
        <w:rPr>
          <w:rFonts w:asciiTheme="minorHAnsi" w:hAnsiTheme="minorHAnsi" w:cstheme="minorHAnsi"/>
        </w:rPr>
        <w:t>distributing meeting materials and ensuring all members are kept informed of any changes. Papers will be made available to members one week ahead of a meeting.</w:t>
      </w:r>
    </w:p>
    <w:p w14:paraId="5E4CF88E" w14:textId="77777777" w:rsidR="007D7329" w:rsidRPr="0023436C" w:rsidRDefault="007D7329" w:rsidP="007D7329">
      <w:pPr>
        <w:pStyle w:val="ListParagraph"/>
        <w:numPr>
          <w:ilvl w:val="0"/>
          <w:numId w:val="17"/>
        </w:numPr>
        <w:rPr>
          <w:rFonts w:asciiTheme="minorHAnsi" w:hAnsiTheme="minorHAnsi" w:cstheme="minorHAnsi"/>
        </w:rPr>
      </w:pPr>
      <w:r w:rsidRPr="0023436C">
        <w:rPr>
          <w:rFonts w:asciiTheme="minorHAnsi" w:hAnsiTheme="minorHAnsi" w:cstheme="minorHAnsi"/>
        </w:rPr>
        <w:t>issuing meeting minutes and papers (within three weeks of a meeting).</w:t>
      </w:r>
    </w:p>
    <w:p w14:paraId="49E837DA" w14:textId="77777777" w:rsidR="007D7329" w:rsidRPr="00610D52" w:rsidRDefault="007D7329" w:rsidP="007D7329">
      <w:pPr>
        <w:spacing w:before="240" w:after="120"/>
        <w:rPr>
          <w:b/>
          <w:bCs/>
          <w:sz w:val="28"/>
          <w:szCs w:val="28"/>
        </w:rPr>
      </w:pPr>
      <w:r w:rsidRPr="003134CB">
        <w:rPr>
          <w:rFonts w:asciiTheme="minorHAnsi" w:hAnsiTheme="minorHAnsi" w:cstheme="minorHAnsi"/>
        </w:rPr>
        <w:t xml:space="preserve">Members are responsible for attending meetings, participating in discussions, and providing advice. </w:t>
      </w:r>
    </w:p>
    <w:p w14:paraId="6CB37EFC" w14:textId="736FF25C" w:rsidR="007D7329" w:rsidRPr="0023436C" w:rsidRDefault="007D7329" w:rsidP="007D7329">
      <w:pPr>
        <w:pStyle w:val="ListParagraph"/>
        <w:numPr>
          <w:ilvl w:val="0"/>
          <w:numId w:val="15"/>
        </w:numPr>
      </w:pPr>
      <w:r>
        <w:rPr>
          <w:rFonts w:asciiTheme="minorHAnsi" w:hAnsiTheme="minorHAnsi" w:cstheme="minorHAnsi"/>
        </w:rPr>
        <w:lastRenderedPageBreak/>
        <w:t>t</w:t>
      </w:r>
      <w:r w:rsidRPr="00610D52">
        <w:rPr>
          <w:rFonts w:asciiTheme="minorHAnsi" w:hAnsiTheme="minorHAnsi" w:cstheme="minorHAnsi"/>
        </w:rPr>
        <w:t xml:space="preserve">here may be up to three general business meetings per calendar year conducted via video/teleconference. </w:t>
      </w:r>
      <w:r w:rsidR="00F55F5B">
        <w:rPr>
          <w:rFonts w:asciiTheme="minorHAnsi" w:hAnsiTheme="minorHAnsi" w:cstheme="minorHAnsi"/>
        </w:rPr>
        <w:t xml:space="preserve">A forward schedule of meetings will be provided to members for each financial year. Members will be notified of any changes to the schedule of meetings a minimum of one month in advance. </w:t>
      </w:r>
    </w:p>
    <w:p w14:paraId="3D1B6CC1" w14:textId="77777777" w:rsidR="007D7329" w:rsidRPr="0023436C" w:rsidRDefault="007D7329" w:rsidP="007D7329">
      <w:pPr>
        <w:pStyle w:val="ListParagraph"/>
        <w:numPr>
          <w:ilvl w:val="0"/>
          <w:numId w:val="15"/>
        </w:numPr>
        <w:rPr>
          <w:rFonts w:asciiTheme="minorHAnsi" w:hAnsiTheme="minorHAnsi" w:cstheme="minorHAnsi"/>
        </w:rPr>
      </w:pPr>
      <w:r w:rsidRPr="0023436C">
        <w:rPr>
          <w:rFonts w:asciiTheme="minorHAnsi" w:hAnsiTheme="minorHAnsi" w:cstheme="minorHAnsi"/>
        </w:rPr>
        <w:t xml:space="preserve">special meetings may be called by the Chair in consultation with members to address issues as needed by the Minister. (For example, </w:t>
      </w:r>
      <w:r>
        <w:rPr>
          <w:rFonts w:asciiTheme="minorHAnsi" w:hAnsiTheme="minorHAnsi" w:cstheme="minorHAnsi"/>
        </w:rPr>
        <w:t xml:space="preserve">consideration of </w:t>
      </w:r>
      <w:r w:rsidRPr="0023436C">
        <w:rPr>
          <w:rFonts w:asciiTheme="minorHAnsi" w:hAnsiTheme="minorHAnsi" w:cstheme="minorHAnsi"/>
        </w:rPr>
        <w:t xml:space="preserve">exceptional circumstance </w:t>
      </w:r>
      <w:r>
        <w:rPr>
          <w:rFonts w:asciiTheme="minorHAnsi" w:hAnsiTheme="minorHAnsi" w:cstheme="minorHAnsi"/>
        </w:rPr>
        <w:t xml:space="preserve">review applications and their </w:t>
      </w:r>
      <w:r w:rsidRPr="0023436C">
        <w:rPr>
          <w:rFonts w:asciiTheme="minorHAnsi" w:hAnsiTheme="minorHAnsi" w:cstheme="minorHAnsi"/>
        </w:rPr>
        <w:t>assessment)</w:t>
      </w:r>
    </w:p>
    <w:p w14:paraId="6027EE78" w14:textId="77777777" w:rsidR="007D7329" w:rsidRDefault="007D7329" w:rsidP="007D7329">
      <w:pPr>
        <w:pStyle w:val="Heading2"/>
        <w:spacing w:before="240"/>
        <w:rPr>
          <w:b w:val="0"/>
          <w:bCs/>
          <w:sz w:val="28"/>
          <w:szCs w:val="28"/>
        </w:rPr>
      </w:pPr>
      <w:r w:rsidRPr="001D6DD7">
        <w:rPr>
          <w:bCs/>
          <w:sz w:val="28"/>
          <w:szCs w:val="28"/>
        </w:rPr>
        <w:t>Membership</w:t>
      </w:r>
    </w:p>
    <w:p w14:paraId="76F460EF" w14:textId="3026ED12" w:rsidR="007D7329" w:rsidRPr="003134CB" w:rsidRDefault="007D7329" w:rsidP="007D7329">
      <w:pPr>
        <w:spacing w:before="240"/>
        <w:ind w:right="-22"/>
        <w:rPr>
          <w:rFonts w:asciiTheme="minorHAnsi" w:hAnsiTheme="minorHAnsi" w:cstheme="minorHAnsi"/>
          <w:b/>
          <w:bCs/>
        </w:rPr>
      </w:pPr>
      <w:r w:rsidRPr="000F1AB4">
        <w:rPr>
          <w:rFonts w:asciiTheme="minorHAnsi" w:hAnsiTheme="minorHAnsi" w:cstheme="minorHAnsi"/>
        </w:rPr>
        <w:t xml:space="preserve">The </w:t>
      </w:r>
      <w:r>
        <w:rPr>
          <w:rFonts w:asciiTheme="minorHAnsi" w:hAnsiTheme="minorHAnsi" w:cstheme="minorHAnsi"/>
        </w:rPr>
        <w:t>DWG</w:t>
      </w:r>
      <w:r w:rsidRPr="000F1AB4">
        <w:rPr>
          <w:rFonts w:asciiTheme="minorHAnsi" w:hAnsiTheme="minorHAnsi" w:cstheme="minorHAnsi"/>
        </w:rPr>
        <w:t xml:space="preserve"> will comprise </w:t>
      </w:r>
      <w:r>
        <w:rPr>
          <w:rFonts w:asciiTheme="minorHAnsi" w:hAnsiTheme="minorHAnsi" w:cstheme="minorHAnsi"/>
        </w:rPr>
        <w:t>between 9 and</w:t>
      </w:r>
      <w:r w:rsidRPr="000F1AB4">
        <w:rPr>
          <w:rFonts w:asciiTheme="minorHAnsi" w:hAnsiTheme="minorHAnsi" w:cstheme="minorHAnsi"/>
        </w:rPr>
        <w:t xml:space="preserve"> </w:t>
      </w:r>
      <w:r>
        <w:rPr>
          <w:rFonts w:asciiTheme="minorHAnsi" w:hAnsiTheme="minorHAnsi" w:cstheme="minorHAnsi"/>
        </w:rPr>
        <w:t>12</w:t>
      </w:r>
      <w:r w:rsidRPr="000F1AB4">
        <w:rPr>
          <w:rFonts w:asciiTheme="minorHAnsi" w:hAnsiTheme="minorHAnsi" w:cstheme="minorHAnsi"/>
        </w:rPr>
        <w:t xml:space="preserve"> members, with composition determined by the Department and drawn from </w:t>
      </w:r>
      <w:r>
        <w:rPr>
          <w:rFonts w:asciiTheme="minorHAnsi" w:hAnsiTheme="minorHAnsi" w:cstheme="minorHAnsi"/>
        </w:rPr>
        <w:t xml:space="preserve">workforce experts, peak bodies representing the </w:t>
      </w:r>
      <w:r w:rsidRPr="000F1AB4">
        <w:rPr>
          <w:rFonts w:asciiTheme="minorHAnsi" w:hAnsiTheme="minorHAnsi" w:cstheme="minorHAnsi"/>
        </w:rPr>
        <w:t>health workforce</w:t>
      </w:r>
      <w:r>
        <w:rPr>
          <w:rFonts w:asciiTheme="minorHAnsi" w:hAnsiTheme="minorHAnsi" w:cstheme="minorHAnsi"/>
        </w:rPr>
        <w:t xml:space="preserve">, </w:t>
      </w:r>
      <w:r w:rsidRPr="00D60FDB">
        <w:rPr>
          <w:rFonts w:asciiTheme="minorHAnsi" w:hAnsiTheme="minorHAnsi" w:cstheme="minorHAnsi"/>
        </w:rPr>
        <w:t xml:space="preserve">the National Rural Health </w:t>
      </w:r>
      <w:r w:rsidRPr="000F1AB4">
        <w:rPr>
          <w:rFonts w:asciiTheme="minorHAnsi" w:hAnsiTheme="minorHAnsi" w:cstheme="minorHAnsi"/>
        </w:rPr>
        <w:t>Commissioner, the Department,</w:t>
      </w:r>
      <w:r>
        <w:rPr>
          <w:rFonts w:asciiTheme="minorHAnsi" w:hAnsiTheme="minorHAnsi" w:cstheme="minorHAnsi"/>
        </w:rPr>
        <w:t xml:space="preserve"> </w:t>
      </w:r>
      <w:r w:rsidRPr="00D60FDB">
        <w:rPr>
          <w:rFonts w:asciiTheme="minorHAnsi" w:hAnsiTheme="minorHAnsi" w:cstheme="minorHAnsi"/>
        </w:rPr>
        <w:t>and independent medical advisers.</w:t>
      </w:r>
      <w:r>
        <w:rPr>
          <w:rFonts w:asciiTheme="minorHAnsi" w:hAnsiTheme="minorHAnsi" w:cstheme="minorHAnsi"/>
        </w:rPr>
        <w:t xml:space="preserve"> Additional members may be appointed by the chair temporarily and as needed where expertise within the DWG membership does not cover key areas requiring discussion. </w:t>
      </w:r>
    </w:p>
    <w:p w14:paraId="1837ADE2" w14:textId="60618ED3" w:rsidR="007D7329" w:rsidRPr="00147B03" w:rsidRDefault="007D7329" w:rsidP="007D7329">
      <w:pPr>
        <w:spacing w:before="240"/>
        <w:rPr>
          <w:rFonts w:asciiTheme="minorHAnsi" w:hAnsiTheme="minorHAnsi" w:cstheme="minorHAnsi"/>
        </w:rPr>
      </w:pPr>
      <w:r>
        <w:rPr>
          <w:rFonts w:asciiTheme="minorHAnsi" w:hAnsiTheme="minorHAnsi" w:cstheme="minorHAnsi"/>
        </w:rPr>
        <w:t xml:space="preserve">A Distribution Technical Advisory Group (DTAG) will be established to provide the DWG with advice on technical issues related to the tools, methodology and options to support development of advice regarding medical workforce distribution. </w:t>
      </w:r>
    </w:p>
    <w:p w14:paraId="2B1670B9" w14:textId="77777777" w:rsidR="007D7329" w:rsidRDefault="007D7329" w:rsidP="007D7329">
      <w:pPr>
        <w:spacing w:before="240"/>
        <w:rPr>
          <w:rFonts w:asciiTheme="minorHAnsi" w:hAnsiTheme="minorHAnsi" w:cstheme="minorHAnsi"/>
        </w:rPr>
      </w:pPr>
      <w:r w:rsidRPr="005C3746">
        <w:rPr>
          <w:rFonts w:asciiTheme="minorHAnsi" w:hAnsiTheme="minorHAnsi" w:cstheme="minorHAnsi"/>
        </w:rPr>
        <w:t>The First Assistant Secretary</w:t>
      </w:r>
      <w:r>
        <w:rPr>
          <w:rFonts w:asciiTheme="minorHAnsi" w:hAnsiTheme="minorHAnsi" w:cstheme="minorHAnsi"/>
        </w:rPr>
        <w:t xml:space="preserve"> of the Department’s</w:t>
      </w:r>
      <w:r w:rsidRPr="005C3746">
        <w:rPr>
          <w:rFonts w:asciiTheme="minorHAnsi" w:hAnsiTheme="minorHAnsi" w:cstheme="minorHAnsi"/>
        </w:rPr>
        <w:t xml:space="preserve"> Health Workforce Division</w:t>
      </w:r>
      <w:r>
        <w:rPr>
          <w:rFonts w:asciiTheme="minorHAnsi" w:hAnsiTheme="minorHAnsi" w:cstheme="minorHAnsi"/>
        </w:rPr>
        <w:t xml:space="preserve"> </w:t>
      </w:r>
      <w:proofErr w:type="gramStart"/>
      <w:r w:rsidRPr="005C3746">
        <w:rPr>
          <w:rFonts w:asciiTheme="minorHAnsi" w:hAnsiTheme="minorHAnsi" w:cstheme="minorHAnsi"/>
        </w:rPr>
        <w:t>will</w:t>
      </w:r>
      <w:proofErr w:type="gramEnd"/>
      <w:r w:rsidRPr="005C3746">
        <w:rPr>
          <w:rFonts w:asciiTheme="minorHAnsi" w:hAnsiTheme="minorHAnsi" w:cstheme="minorHAnsi"/>
        </w:rPr>
        <w:t xml:space="preserve"> Chair the DWG</w:t>
      </w:r>
      <w:r>
        <w:rPr>
          <w:rFonts w:asciiTheme="minorHAnsi" w:hAnsiTheme="minorHAnsi" w:cstheme="minorHAnsi"/>
        </w:rPr>
        <w:t>, and will consider</w:t>
      </w:r>
      <w:r w:rsidRPr="000F1AB4">
        <w:rPr>
          <w:rFonts w:asciiTheme="minorHAnsi" w:hAnsiTheme="minorHAnsi" w:cstheme="minorHAnsi"/>
        </w:rPr>
        <w:t xml:space="preserve"> appointments to </w:t>
      </w:r>
      <w:r>
        <w:rPr>
          <w:rFonts w:asciiTheme="minorHAnsi" w:hAnsiTheme="minorHAnsi" w:cstheme="minorHAnsi"/>
        </w:rPr>
        <w:t xml:space="preserve">DWG </w:t>
      </w:r>
      <w:r w:rsidRPr="000F1AB4">
        <w:rPr>
          <w:rFonts w:asciiTheme="minorHAnsi" w:hAnsiTheme="minorHAnsi" w:cstheme="minorHAnsi"/>
        </w:rPr>
        <w:t>vacancies, as appropriate.</w:t>
      </w:r>
      <w:r>
        <w:rPr>
          <w:rFonts w:asciiTheme="minorHAnsi" w:hAnsiTheme="minorHAnsi" w:cstheme="minorHAnsi"/>
        </w:rPr>
        <w:t xml:space="preserve"> </w:t>
      </w:r>
      <w:r w:rsidRPr="00026845">
        <w:rPr>
          <w:rFonts w:asciiTheme="minorHAnsi" w:hAnsiTheme="minorHAnsi" w:cstheme="minorHAnsi"/>
        </w:rPr>
        <w:t xml:space="preserve">The </w:t>
      </w:r>
      <w:r>
        <w:rPr>
          <w:rFonts w:asciiTheme="minorHAnsi" w:hAnsiTheme="minorHAnsi" w:cstheme="minorHAnsi"/>
        </w:rPr>
        <w:t>Chair</w:t>
      </w:r>
      <w:r w:rsidRPr="00026845">
        <w:rPr>
          <w:rFonts w:asciiTheme="minorHAnsi" w:hAnsiTheme="minorHAnsi" w:cstheme="minorHAnsi"/>
        </w:rPr>
        <w:t xml:space="preserve"> retains the discretion to terminate a member's appointment to the </w:t>
      </w:r>
      <w:r>
        <w:rPr>
          <w:rFonts w:asciiTheme="minorHAnsi" w:hAnsiTheme="minorHAnsi" w:cstheme="minorHAnsi"/>
        </w:rPr>
        <w:t xml:space="preserve">DWG </w:t>
      </w:r>
      <w:r w:rsidRPr="00026845">
        <w:rPr>
          <w:rFonts w:asciiTheme="minorHAnsi" w:hAnsiTheme="minorHAnsi" w:cstheme="minorHAnsi"/>
        </w:rPr>
        <w:t>at any time and for whatever reason.</w:t>
      </w:r>
      <w:r>
        <w:rPr>
          <w:rFonts w:asciiTheme="minorHAnsi" w:hAnsiTheme="minorHAnsi" w:cstheme="minorHAnsi"/>
        </w:rPr>
        <w:t xml:space="preserve"> T</w:t>
      </w:r>
      <w:r w:rsidRPr="005C3746">
        <w:rPr>
          <w:rFonts w:asciiTheme="minorHAnsi" w:hAnsiTheme="minorHAnsi" w:cstheme="minorHAnsi"/>
        </w:rPr>
        <w:t xml:space="preserve">he Chair </w:t>
      </w:r>
      <w:r>
        <w:rPr>
          <w:rFonts w:asciiTheme="minorHAnsi" w:hAnsiTheme="minorHAnsi" w:cstheme="minorHAnsi"/>
        </w:rPr>
        <w:t>may</w:t>
      </w:r>
      <w:r w:rsidRPr="005C3746">
        <w:rPr>
          <w:rFonts w:asciiTheme="minorHAnsi" w:hAnsiTheme="minorHAnsi" w:cstheme="minorHAnsi"/>
        </w:rPr>
        <w:t xml:space="preserve"> nominate a proxy if they are unable to chair a meeting.</w:t>
      </w:r>
    </w:p>
    <w:p w14:paraId="16EF36D6" w14:textId="0AE4FDB5" w:rsidR="007D7329" w:rsidRDefault="007D7329" w:rsidP="007D7329">
      <w:pPr>
        <w:spacing w:before="240"/>
        <w:rPr>
          <w:rFonts w:asciiTheme="minorHAnsi" w:hAnsiTheme="minorHAnsi" w:cstheme="minorHAnsi"/>
        </w:rPr>
      </w:pPr>
      <w:bookmarkStart w:id="1" w:name="resignation"/>
      <w:bookmarkEnd w:id="1"/>
      <w:r>
        <w:rPr>
          <w:rFonts w:asciiTheme="minorHAnsi" w:hAnsiTheme="minorHAnsi" w:cstheme="minorHAnsi"/>
        </w:rPr>
        <w:t xml:space="preserve">Members may send a proxy to a meeting. </w:t>
      </w:r>
      <w:r w:rsidR="00691F4C">
        <w:rPr>
          <w:rFonts w:asciiTheme="minorHAnsi" w:hAnsiTheme="minorHAnsi" w:cstheme="minorHAnsi"/>
        </w:rPr>
        <w:t>N</w:t>
      </w:r>
      <w:r>
        <w:rPr>
          <w:rFonts w:asciiTheme="minorHAnsi" w:hAnsiTheme="minorHAnsi" w:cstheme="minorHAnsi"/>
        </w:rPr>
        <w:t>otice</w:t>
      </w:r>
      <w:r w:rsidR="00691F4C">
        <w:rPr>
          <w:rFonts w:asciiTheme="minorHAnsi" w:hAnsiTheme="minorHAnsi" w:cstheme="minorHAnsi"/>
        </w:rPr>
        <w:t xml:space="preserve"> of this</w:t>
      </w:r>
      <w:r>
        <w:rPr>
          <w:rFonts w:asciiTheme="minorHAnsi" w:hAnsiTheme="minorHAnsi" w:cstheme="minorHAnsi"/>
        </w:rPr>
        <w:t xml:space="preserve"> is essential to ensu</w:t>
      </w:r>
      <w:bookmarkStart w:id="2" w:name="_Toc101930737"/>
      <w:bookmarkStart w:id="3" w:name="_Toc101931513"/>
      <w:bookmarkStart w:id="4" w:name="_Toc102472540"/>
      <w:r>
        <w:rPr>
          <w:rFonts w:asciiTheme="minorHAnsi" w:hAnsiTheme="minorHAnsi" w:cstheme="minorHAnsi"/>
        </w:rPr>
        <w:t xml:space="preserve">re the proxy can agree to confidentiality requirements. Members who are unable to make three (3) meetings in a row will be requested to confirm their interest in continuing to be part of the DWG. </w:t>
      </w:r>
      <w:r w:rsidRPr="000F1AB4">
        <w:rPr>
          <w:rFonts w:asciiTheme="minorHAnsi" w:hAnsiTheme="minorHAnsi" w:cstheme="minorHAnsi"/>
        </w:rPr>
        <w:t xml:space="preserve">Members may resign </w:t>
      </w:r>
      <w:r>
        <w:rPr>
          <w:rFonts w:asciiTheme="minorHAnsi" w:hAnsiTheme="minorHAnsi" w:cstheme="minorHAnsi"/>
        </w:rPr>
        <w:t xml:space="preserve">in writing </w:t>
      </w:r>
      <w:r w:rsidRPr="000F1AB4">
        <w:rPr>
          <w:rFonts w:asciiTheme="minorHAnsi" w:hAnsiTheme="minorHAnsi" w:cstheme="minorHAnsi"/>
        </w:rPr>
        <w:t>at any time</w:t>
      </w:r>
      <w:r>
        <w:rPr>
          <w:rFonts w:asciiTheme="minorHAnsi" w:hAnsiTheme="minorHAnsi" w:cstheme="minorHAnsi"/>
        </w:rPr>
        <w:t>.</w:t>
      </w:r>
    </w:p>
    <w:bookmarkEnd w:id="2"/>
    <w:bookmarkEnd w:id="3"/>
    <w:bookmarkEnd w:id="4"/>
    <w:p w14:paraId="72176A1C" w14:textId="77777777" w:rsidR="007D7329" w:rsidRPr="00A93B1C" w:rsidRDefault="007D7329" w:rsidP="007D7329">
      <w:pPr>
        <w:spacing w:before="240"/>
        <w:rPr>
          <w:rFonts w:asciiTheme="minorHAnsi" w:hAnsiTheme="minorHAnsi" w:cstheme="minorHAnsi"/>
        </w:rPr>
      </w:pPr>
      <w:r w:rsidRPr="00A0561B">
        <w:rPr>
          <w:rFonts w:asciiTheme="minorHAnsi" w:hAnsiTheme="minorHAnsi" w:cstheme="minorHAnsi"/>
        </w:rPr>
        <w:t>Members and observers are required to disclose at the beginning of each meeting any conflicts of interest, actual or potential, relating to issues under discussion at that meeting. The Chair will determine if and how an actual or potential conflict of interest needs to be managed.</w:t>
      </w:r>
      <w:r>
        <w:rPr>
          <w:rFonts w:asciiTheme="minorHAnsi" w:hAnsiTheme="minorHAnsi" w:cstheme="minorHAnsi"/>
        </w:rPr>
        <w:t xml:space="preserve"> </w:t>
      </w:r>
    </w:p>
    <w:p w14:paraId="1DFA412A" w14:textId="5A39752F" w:rsidR="00AB67B2" w:rsidRPr="00EA5096" w:rsidRDefault="007D7329" w:rsidP="00EA5096">
      <w:pPr>
        <w:spacing w:before="240"/>
        <w:rPr>
          <w:rFonts w:asciiTheme="minorHAnsi" w:hAnsiTheme="minorHAnsi" w:cstheme="minorHAnsi"/>
        </w:rPr>
      </w:pPr>
      <w:r>
        <w:rPr>
          <w:rFonts w:asciiTheme="minorHAnsi" w:hAnsiTheme="minorHAnsi" w:cstheme="minorHAnsi"/>
        </w:rPr>
        <w:t xml:space="preserve">Each member is appointed for two years. </w:t>
      </w:r>
    </w:p>
    <w:sectPr w:rsidR="00AB67B2" w:rsidRPr="00EA5096" w:rsidSect="00F2239E">
      <w:headerReference w:type="even" r:id="rId10"/>
      <w:headerReference w:type="default" r:id="rId11"/>
      <w:footerReference w:type="even" r:id="rId12"/>
      <w:footerReference w:type="default" r:id="rId13"/>
      <w:headerReference w:type="first" r:id="rId14"/>
      <w:footerReference w:type="first" r:id="rId15"/>
      <w:pgSz w:w="11906" w:h="16838"/>
      <w:pgMar w:top="1276"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466C" w14:textId="77777777" w:rsidR="00BC2E10" w:rsidRDefault="00BC2E10" w:rsidP="00D80620">
      <w:r>
        <w:separator/>
      </w:r>
    </w:p>
  </w:endnote>
  <w:endnote w:type="continuationSeparator" w:id="0">
    <w:p w14:paraId="4D7394C3" w14:textId="77777777" w:rsidR="00BC2E10" w:rsidRDefault="00BC2E10" w:rsidP="00D80620">
      <w:r>
        <w:continuationSeparator/>
      </w:r>
    </w:p>
  </w:endnote>
  <w:endnote w:type="continuationNotice" w:id="1">
    <w:p w14:paraId="48412155" w14:textId="77777777" w:rsidR="00BC2E10" w:rsidRDefault="00BC2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EE68" w14:textId="77777777" w:rsidR="00AB67B2" w:rsidRDefault="00AB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460"/>
      <w:docPartObj>
        <w:docPartGallery w:val="Page Numbers (Bottom of Page)"/>
        <w:docPartUnique/>
      </w:docPartObj>
    </w:sdtPr>
    <w:sdtEndPr>
      <w:rPr>
        <w:noProof/>
      </w:rPr>
    </w:sdtEndPr>
    <w:sdtContent>
      <w:p w14:paraId="6F703262" w14:textId="303B9C58" w:rsidR="00D80620" w:rsidRDefault="00D806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C1531" w14:textId="77777777" w:rsidR="00D80620" w:rsidRDefault="00D80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12A4" w14:textId="77777777" w:rsidR="00AB67B2" w:rsidRDefault="00AB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D7F5" w14:textId="77777777" w:rsidR="00BC2E10" w:rsidRDefault="00BC2E10" w:rsidP="00D80620">
      <w:r>
        <w:separator/>
      </w:r>
    </w:p>
  </w:footnote>
  <w:footnote w:type="continuationSeparator" w:id="0">
    <w:p w14:paraId="7354FC33" w14:textId="77777777" w:rsidR="00BC2E10" w:rsidRDefault="00BC2E10" w:rsidP="00D80620">
      <w:r>
        <w:continuationSeparator/>
      </w:r>
    </w:p>
  </w:footnote>
  <w:footnote w:type="continuationNotice" w:id="1">
    <w:p w14:paraId="50D7B257" w14:textId="77777777" w:rsidR="00BC2E10" w:rsidRDefault="00BC2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CDF8" w14:textId="77777777" w:rsidR="00AB67B2" w:rsidRDefault="00AB6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21C5" w14:textId="41C3DE52" w:rsidR="00AB67B2" w:rsidRDefault="00AB67B2">
    <w:pPr>
      <w:pStyle w:val="Header"/>
    </w:pPr>
    <w:r>
      <w:rPr>
        <w:noProof/>
      </w:rPr>
      <w:drawing>
        <wp:inline distT="0" distB="0" distL="0" distR="0" wp14:anchorId="1234D16C" wp14:editId="0F52E9B7">
          <wp:extent cx="5731510" cy="936625"/>
          <wp:effectExtent l="0" t="0" r="2540" b="0"/>
          <wp:docPr id="6" name="Picture 6"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cstate="print">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p w14:paraId="27F7BDCE" w14:textId="77777777" w:rsidR="00AB67B2" w:rsidRDefault="00AB6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8189" w14:textId="77777777" w:rsidR="00AB67B2" w:rsidRDefault="00AB6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6FAA"/>
    <w:multiLevelType w:val="hybridMultilevel"/>
    <w:tmpl w:val="58EE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F75A7"/>
    <w:multiLevelType w:val="hybridMultilevel"/>
    <w:tmpl w:val="BCF0E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03F81"/>
    <w:multiLevelType w:val="hybridMultilevel"/>
    <w:tmpl w:val="D4CC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D01A1"/>
    <w:multiLevelType w:val="hybridMultilevel"/>
    <w:tmpl w:val="4FA002AC"/>
    <w:lvl w:ilvl="0" w:tplc="43626D6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36566"/>
    <w:multiLevelType w:val="hybridMultilevel"/>
    <w:tmpl w:val="68748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1D3166"/>
    <w:multiLevelType w:val="hybridMultilevel"/>
    <w:tmpl w:val="85D83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924DF7"/>
    <w:multiLevelType w:val="hybridMultilevel"/>
    <w:tmpl w:val="7D127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165648"/>
    <w:multiLevelType w:val="hybridMultilevel"/>
    <w:tmpl w:val="A1C82618"/>
    <w:lvl w:ilvl="0" w:tplc="AE2070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9735B6"/>
    <w:multiLevelType w:val="hybridMultilevel"/>
    <w:tmpl w:val="2766E232"/>
    <w:lvl w:ilvl="0" w:tplc="43626D6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37562C"/>
    <w:multiLevelType w:val="hybridMultilevel"/>
    <w:tmpl w:val="4A14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BF5199"/>
    <w:multiLevelType w:val="hybridMultilevel"/>
    <w:tmpl w:val="5718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01361D"/>
    <w:multiLevelType w:val="hybridMultilevel"/>
    <w:tmpl w:val="17F21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27C71B9"/>
    <w:multiLevelType w:val="hybridMultilevel"/>
    <w:tmpl w:val="31B2DE6A"/>
    <w:lvl w:ilvl="0" w:tplc="0C09000F">
      <w:start w:val="1"/>
      <w:numFmt w:val="decimal"/>
      <w:lvlText w:val="%1."/>
      <w:lvlJc w:val="left"/>
      <w:pPr>
        <w:ind w:left="720" w:hanging="360"/>
      </w:pPr>
      <w:rPr>
        <w:rFonts w:hint="default"/>
      </w:rPr>
    </w:lvl>
    <w:lvl w:ilvl="1" w:tplc="24F66BEC">
      <w:numFmt w:val="bullet"/>
      <w:lvlText w:val="•"/>
      <w:lvlJc w:val="left"/>
      <w:pPr>
        <w:ind w:left="1800" w:hanging="720"/>
      </w:pPr>
      <w:rPr>
        <w:rFonts w:ascii="Times New Roman" w:eastAsiaTheme="minorHAns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194855"/>
    <w:multiLevelType w:val="hybridMultilevel"/>
    <w:tmpl w:val="4F5AA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2A7E4B"/>
    <w:multiLevelType w:val="hybridMultilevel"/>
    <w:tmpl w:val="D99E427C"/>
    <w:lvl w:ilvl="0" w:tplc="F8D6EDA2">
      <w:start w:val="1"/>
      <w:numFmt w:val="decimal"/>
      <w:lvlText w:val="%1."/>
      <w:lvlJc w:val="left"/>
      <w:pPr>
        <w:tabs>
          <w:tab w:val="num" w:pos="567"/>
        </w:tabs>
        <w:ind w:left="567" w:hanging="567"/>
      </w:pPr>
      <w:rPr>
        <w:rFonts w:hint="default"/>
      </w:rPr>
    </w:lvl>
    <w:lvl w:ilvl="1" w:tplc="0C09000B">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AF5779C"/>
    <w:multiLevelType w:val="hybridMultilevel"/>
    <w:tmpl w:val="D4CA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825151"/>
    <w:multiLevelType w:val="hybridMultilevel"/>
    <w:tmpl w:val="BBE6F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683D12"/>
    <w:multiLevelType w:val="hybridMultilevel"/>
    <w:tmpl w:val="1B30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1104644">
    <w:abstractNumId w:val="15"/>
  </w:num>
  <w:num w:numId="2" w16cid:durableId="873079100">
    <w:abstractNumId w:val="17"/>
  </w:num>
  <w:num w:numId="3" w16cid:durableId="708605452">
    <w:abstractNumId w:val="12"/>
  </w:num>
  <w:num w:numId="4" w16cid:durableId="1028991834">
    <w:abstractNumId w:val="10"/>
  </w:num>
  <w:num w:numId="5" w16cid:durableId="525601709">
    <w:abstractNumId w:val="16"/>
  </w:num>
  <w:num w:numId="6" w16cid:durableId="117069802">
    <w:abstractNumId w:val="6"/>
  </w:num>
  <w:num w:numId="7" w16cid:durableId="38432945">
    <w:abstractNumId w:val="18"/>
  </w:num>
  <w:num w:numId="8" w16cid:durableId="870730930">
    <w:abstractNumId w:val="8"/>
  </w:num>
  <w:num w:numId="9" w16cid:durableId="184104510">
    <w:abstractNumId w:val="13"/>
  </w:num>
  <w:num w:numId="10" w16cid:durableId="928346557">
    <w:abstractNumId w:val="9"/>
  </w:num>
  <w:num w:numId="11" w16cid:durableId="2084570514">
    <w:abstractNumId w:val="14"/>
  </w:num>
  <w:num w:numId="12" w16cid:durableId="1283000431">
    <w:abstractNumId w:val="4"/>
  </w:num>
  <w:num w:numId="13" w16cid:durableId="1863468262">
    <w:abstractNumId w:val="5"/>
  </w:num>
  <w:num w:numId="14" w16cid:durableId="996877746">
    <w:abstractNumId w:val="7"/>
  </w:num>
  <w:num w:numId="15" w16cid:durableId="746340325">
    <w:abstractNumId w:val="11"/>
  </w:num>
  <w:num w:numId="16" w16cid:durableId="740953040">
    <w:abstractNumId w:val="1"/>
  </w:num>
  <w:num w:numId="17" w16cid:durableId="1427313303">
    <w:abstractNumId w:val="3"/>
  </w:num>
  <w:num w:numId="18" w16cid:durableId="1413159377">
    <w:abstractNumId w:val="0"/>
  </w:num>
  <w:num w:numId="19" w16cid:durableId="1555659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E3F"/>
    <w:rsid w:val="00026845"/>
    <w:rsid w:val="00053F76"/>
    <w:rsid w:val="00067349"/>
    <w:rsid w:val="0007472C"/>
    <w:rsid w:val="00086F3A"/>
    <w:rsid w:val="00093B79"/>
    <w:rsid w:val="00093E3F"/>
    <w:rsid w:val="000B191B"/>
    <w:rsid w:val="000C5949"/>
    <w:rsid w:val="000F1AB4"/>
    <w:rsid w:val="00101EDE"/>
    <w:rsid w:val="001035D9"/>
    <w:rsid w:val="00114304"/>
    <w:rsid w:val="00147B03"/>
    <w:rsid w:val="00161B59"/>
    <w:rsid w:val="00162FAD"/>
    <w:rsid w:val="00184D2F"/>
    <w:rsid w:val="001A5035"/>
    <w:rsid w:val="001B0661"/>
    <w:rsid w:val="001B30FC"/>
    <w:rsid w:val="001B401B"/>
    <w:rsid w:val="001C0E71"/>
    <w:rsid w:val="001D6DD7"/>
    <w:rsid w:val="001F275B"/>
    <w:rsid w:val="0023436C"/>
    <w:rsid w:val="002663F8"/>
    <w:rsid w:val="002A6621"/>
    <w:rsid w:val="002D1E43"/>
    <w:rsid w:val="00304A17"/>
    <w:rsid w:val="003134CB"/>
    <w:rsid w:val="00332EB9"/>
    <w:rsid w:val="0033464D"/>
    <w:rsid w:val="00334BD2"/>
    <w:rsid w:val="00342676"/>
    <w:rsid w:val="00342F22"/>
    <w:rsid w:val="00344A91"/>
    <w:rsid w:val="00390FEF"/>
    <w:rsid w:val="003C1CC8"/>
    <w:rsid w:val="00434B72"/>
    <w:rsid w:val="004474FE"/>
    <w:rsid w:val="00451871"/>
    <w:rsid w:val="00453286"/>
    <w:rsid w:val="004609F4"/>
    <w:rsid w:val="00487615"/>
    <w:rsid w:val="004901C8"/>
    <w:rsid w:val="004928AB"/>
    <w:rsid w:val="004938C4"/>
    <w:rsid w:val="00494F39"/>
    <w:rsid w:val="00494F63"/>
    <w:rsid w:val="004A1E2F"/>
    <w:rsid w:val="004C4EAB"/>
    <w:rsid w:val="00546115"/>
    <w:rsid w:val="00557799"/>
    <w:rsid w:val="00557B03"/>
    <w:rsid w:val="005703DF"/>
    <w:rsid w:val="00573C17"/>
    <w:rsid w:val="005A611E"/>
    <w:rsid w:val="005B50AE"/>
    <w:rsid w:val="005C3746"/>
    <w:rsid w:val="005D17DF"/>
    <w:rsid w:val="00601948"/>
    <w:rsid w:val="00610D52"/>
    <w:rsid w:val="0061701B"/>
    <w:rsid w:val="00660E91"/>
    <w:rsid w:val="006728B6"/>
    <w:rsid w:val="006867DA"/>
    <w:rsid w:val="00691F4C"/>
    <w:rsid w:val="006C34E7"/>
    <w:rsid w:val="006E574C"/>
    <w:rsid w:val="006E7418"/>
    <w:rsid w:val="006F5156"/>
    <w:rsid w:val="00711EA4"/>
    <w:rsid w:val="007915BC"/>
    <w:rsid w:val="007A4A84"/>
    <w:rsid w:val="007A60E9"/>
    <w:rsid w:val="007D622C"/>
    <w:rsid w:val="007D7329"/>
    <w:rsid w:val="007F2FB0"/>
    <w:rsid w:val="00811585"/>
    <w:rsid w:val="0083445E"/>
    <w:rsid w:val="00834C3C"/>
    <w:rsid w:val="00840CD1"/>
    <w:rsid w:val="00861F32"/>
    <w:rsid w:val="00872EA2"/>
    <w:rsid w:val="00880376"/>
    <w:rsid w:val="0089607F"/>
    <w:rsid w:val="008B38A6"/>
    <w:rsid w:val="008D174A"/>
    <w:rsid w:val="00902223"/>
    <w:rsid w:val="009124B9"/>
    <w:rsid w:val="009358BC"/>
    <w:rsid w:val="0095072C"/>
    <w:rsid w:val="00974D73"/>
    <w:rsid w:val="00A0561B"/>
    <w:rsid w:val="00A05C49"/>
    <w:rsid w:val="00A12938"/>
    <w:rsid w:val="00A4439A"/>
    <w:rsid w:val="00A552BF"/>
    <w:rsid w:val="00A635F8"/>
    <w:rsid w:val="00A666FD"/>
    <w:rsid w:val="00A934C8"/>
    <w:rsid w:val="00A93B1C"/>
    <w:rsid w:val="00AB67B2"/>
    <w:rsid w:val="00AC1358"/>
    <w:rsid w:val="00AE1776"/>
    <w:rsid w:val="00AF7B30"/>
    <w:rsid w:val="00B06EFD"/>
    <w:rsid w:val="00B15452"/>
    <w:rsid w:val="00B61B6F"/>
    <w:rsid w:val="00B74FB9"/>
    <w:rsid w:val="00B75BFE"/>
    <w:rsid w:val="00B936A0"/>
    <w:rsid w:val="00B95995"/>
    <w:rsid w:val="00BC2E10"/>
    <w:rsid w:val="00BD41AE"/>
    <w:rsid w:val="00BD4C36"/>
    <w:rsid w:val="00BF5E4F"/>
    <w:rsid w:val="00C1214D"/>
    <w:rsid w:val="00C16D63"/>
    <w:rsid w:val="00C25E73"/>
    <w:rsid w:val="00C43306"/>
    <w:rsid w:val="00C47185"/>
    <w:rsid w:val="00C6100D"/>
    <w:rsid w:val="00C71147"/>
    <w:rsid w:val="00CA1686"/>
    <w:rsid w:val="00CA6E84"/>
    <w:rsid w:val="00CC4D53"/>
    <w:rsid w:val="00CC5209"/>
    <w:rsid w:val="00CE54E5"/>
    <w:rsid w:val="00D15912"/>
    <w:rsid w:val="00D27275"/>
    <w:rsid w:val="00D30FBD"/>
    <w:rsid w:val="00D41078"/>
    <w:rsid w:val="00D60FDB"/>
    <w:rsid w:val="00D80620"/>
    <w:rsid w:val="00DA6548"/>
    <w:rsid w:val="00DB41D1"/>
    <w:rsid w:val="00DB555A"/>
    <w:rsid w:val="00DC1483"/>
    <w:rsid w:val="00DF040C"/>
    <w:rsid w:val="00DF1572"/>
    <w:rsid w:val="00E00F7A"/>
    <w:rsid w:val="00E12A3D"/>
    <w:rsid w:val="00E130BD"/>
    <w:rsid w:val="00E24912"/>
    <w:rsid w:val="00E25E9C"/>
    <w:rsid w:val="00E5260E"/>
    <w:rsid w:val="00E5647C"/>
    <w:rsid w:val="00E95FCB"/>
    <w:rsid w:val="00E9671D"/>
    <w:rsid w:val="00EA217E"/>
    <w:rsid w:val="00EA5096"/>
    <w:rsid w:val="00EC1D09"/>
    <w:rsid w:val="00EE40DF"/>
    <w:rsid w:val="00EF5AC1"/>
    <w:rsid w:val="00EF71A6"/>
    <w:rsid w:val="00F01EBB"/>
    <w:rsid w:val="00F12AB1"/>
    <w:rsid w:val="00F2239E"/>
    <w:rsid w:val="00F34E84"/>
    <w:rsid w:val="00F47550"/>
    <w:rsid w:val="00F54E4F"/>
    <w:rsid w:val="00F55F5B"/>
    <w:rsid w:val="00F57A56"/>
    <w:rsid w:val="00F65CEC"/>
    <w:rsid w:val="00F944C1"/>
    <w:rsid w:val="00FA75A0"/>
    <w:rsid w:val="00FC1D6D"/>
    <w:rsid w:val="023EF54D"/>
    <w:rsid w:val="0246E9E4"/>
    <w:rsid w:val="02B32A41"/>
    <w:rsid w:val="03C6F933"/>
    <w:rsid w:val="074F5C4D"/>
    <w:rsid w:val="07992708"/>
    <w:rsid w:val="07A7E189"/>
    <w:rsid w:val="07B5F532"/>
    <w:rsid w:val="093FCED6"/>
    <w:rsid w:val="097E5D28"/>
    <w:rsid w:val="0E60A884"/>
    <w:rsid w:val="0FD97A1C"/>
    <w:rsid w:val="10F4E9B0"/>
    <w:rsid w:val="115061FE"/>
    <w:rsid w:val="11871699"/>
    <w:rsid w:val="124C54F8"/>
    <w:rsid w:val="141EBD1E"/>
    <w:rsid w:val="14318EC1"/>
    <w:rsid w:val="1461EF2F"/>
    <w:rsid w:val="1515DA2F"/>
    <w:rsid w:val="154BC0DA"/>
    <w:rsid w:val="1713A619"/>
    <w:rsid w:val="1718D4C3"/>
    <w:rsid w:val="180C2255"/>
    <w:rsid w:val="1A95DCF3"/>
    <w:rsid w:val="1B3F273D"/>
    <w:rsid w:val="1BFAC1B4"/>
    <w:rsid w:val="1C29C4E8"/>
    <w:rsid w:val="1F07E16D"/>
    <w:rsid w:val="20473D5D"/>
    <w:rsid w:val="20962F22"/>
    <w:rsid w:val="20A954B9"/>
    <w:rsid w:val="2168DC32"/>
    <w:rsid w:val="2304AC93"/>
    <w:rsid w:val="25DEEB3A"/>
    <w:rsid w:val="262159C8"/>
    <w:rsid w:val="27C48C75"/>
    <w:rsid w:val="27C6A04A"/>
    <w:rsid w:val="27D81DB6"/>
    <w:rsid w:val="2A261EB2"/>
    <w:rsid w:val="2A38ED70"/>
    <w:rsid w:val="2A4CB713"/>
    <w:rsid w:val="2B73FA89"/>
    <w:rsid w:val="2B7D9979"/>
    <w:rsid w:val="2D61B766"/>
    <w:rsid w:val="2D82160E"/>
    <w:rsid w:val="2D84C175"/>
    <w:rsid w:val="30FAA010"/>
    <w:rsid w:val="3189AFC7"/>
    <w:rsid w:val="32D45838"/>
    <w:rsid w:val="32E64AB1"/>
    <w:rsid w:val="33232C88"/>
    <w:rsid w:val="3667E151"/>
    <w:rsid w:val="38CE7332"/>
    <w:rsid w:val="393AA02D"/>
    <w:rsid w:val="3A6A4393"/>
    <w:rsid w:val="3A86B0A6"/>
    <w:rsid w:val="3AF247AA"/>
    <w:rsid w:val="3AF928A4"/>
    <w:rsid w:val="3B3CE1F0"/>
    <w:rsid w:val="3B7BAAE0"/>
    <w:rsid w:val="3BA098B1"/>
    <w:rsid w:val="3C412ED1"/>
    <w:rsid w:val="3CF94112"/>
    <w:rsid w:val="3E5C7E8D"/>
    <w:rsid w:val="40D98517"/>
    <w:rsid w:val="42F940B3"/>
    <w:rsid w:val="435D6262"/>
    <w:rsid w:val="4405CE40"/>
    <w:rsid w:val="44C1B74A"/>
    <w:rsid w:val="44F9228F"/>
    <w:rsid w:val="45558F3A"/>
    <w:rsid w:val="45912D14"/>
    <w:rsid w:val="46575A12"/>
    <w:rsid w:val="475A5F9E"/>
    <w:rsid w:val="493301C1"/>
    <w:rsid w:val="49BB3E10"/>
    <w:rsid w:val="49D6F6B1"/>
    <w:rsid w:val="4A9E1BCB"/>
    <w:rsid w:val="4F789C44"/>
    <w:rsid w:val="50B0A140"/>
    <w:rsid w:val="51A8B13D"/>
    <w:rsid w:val="536A875E"/>
    <w:rsid w:val="545AA019"/>
    <w:rsid w:val="55BF7759"/>
    <w:rsid w:val="56B3A9F2"/>
    <w:rsid w:val="5711CD9F"/>
    <w:rsid w:val="583E55A5"/>
    <w:rsid w:val="5AAB97F8"/>
    <w:rsid w:val="5C078A53"/>
    <w:rsid w:val="5D5974F1"/>
    <w:rsid w:val="5DB7ED13"/>
    <w:rsid w:val="5DC19392"/>
    <w:rsid w:val="5F97EDDB"/>
    <w:rsid w:val="602B6E83"/>
    <w:rsid w:val="60CE7E43"/>
    <w:rsid w:val="61F4CE77"/>
    <w:rsid w:val="627739D8"/>
    <w:rsid w:val="6340F3A6"/>
    <w:rsid w:val="63B95CA2"/>
    <w:rsid w:val="64B6B076"/>
    <w:rsid w:val="651A5E6D"/>
    <w:rsid w:val="6701117E"/>
    <w:rsid w:val="671A30B1"/>
    <w:rsid w:val="6757EAEE"/>
    <w:rsid w:val="68BE626C"/>
    <w:rsid w:val="69259FE5"/>
    <w:rsid w:val="6A2F39C1"/>
    <w:rsid w:val="6C435EEB"/>
    <w:rsid w:val="6DD5D9EB"/>
    <w:rsid w:val="6E08A47C"/>
    <w:rsid w:val="6F71AA4C"/>
    <w:rsid w:val="6FA474DD"/>
    <w:rsid w:val="6FE16C27"/>
    <w:rsid w:val="720544F4"/>
    <w:rsid w:val="7271F923"/>
    <w:rsid w:val="750974BE"/>
    <w:rsid w:val="782776AD"/>
    <w:rsid w:val="789159F3"/>
    <w:rsid w:val="798CE5F8"/>
    <w:rsid w:val="7AEDD089"/>
    <w:rsid w:val="7B6C81DB"/>
    <w:rsid w:val="7BA7B141"/>
    <w:rsid w:val="7CAA5447"/>
    <w:rsid w:val="7F4E511C"/>
    <w:rsid w:val="7FB6CC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6A55"/>
  <w15:chartTrackingRefBased/>
  <w15:docId w15:val="{2A6E016F-F6D0-41D9-9EE4-7F275DAC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3F"/>
    <w:pPr>
      <w:widowControl w:val="0"/>
      <w:spacing w:after="0" w:line="240" w:lineRule="auto"/>
    </w:pPr>
    <w:rPr>
      <w:rFonts w:ascii="Times New Roman" w:eastAsia="Times New Roman" w:hAnsi="Times New Roman" w:cs="Arial"/>
      <w:sz w:val="24"/>
      <w:szCs w:val="24"/>
      <w:lang w:val="en-US"/>
    </w:rPr>
  </w:style>
  <w:style w:type="paragraph" w:styleId="Heading1">
    <w:name w:val="heading 1"/>
    <w:basedOn w:val="Normal"/>
    <w:next w:val="Normal"/>
    <w:link w:val="Heading1Char"/>
    <w:qFormat/>
    <w:rsid w:val="00093E3F"/>
    <w:pPr>
      <w:keepNext/>
      <w:tabs>
        <w:tab w:val="left" w:pos="430"/>
      </w:tabs>
      <w:jc w:val="both"/>
      <w:outlineLvl w:val="0"/>
    </w:pPr>
    <w:rPr>
      <w:rFonts w:ascii="Century Gothic" w:hAnsi="Century Gothic"/>
      <w:b/>
      <w:bCs/>
      <w:color w:val="333399"/>
      <w:sz w:val="28"/>
      <w:szCs w:val="28"/>
      <w:lang w:val="en-AU"/>
    </w:rPr>
  </w:style>
  <w:style w:type="paragraph" w:styleId="Heading2">
    <w:name w:val="heading 2"/>
    <w:basedOn w:val="Normal"/>
    <w:next w:val="Normal"/>
    <w:link w:val="Heading2Char"/>
    <w:uiPriority w:val="9"/>
    <w:unhideWhenUsed/>
    <w:qFormat/>
    <w:rsid w:val="00451871"/>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E3F"/>
    <w:rPr>
      <w:rFonts w:ascii="Century Gothic" w:eastAsia="Times New Roman" w:hAnsi="Century Gothic" w:cs="Arial"/>
      <w:b/>
      <w:bCs/>
      <w:color w:val="333399"/>
      <w:sz w:val="28"/>
      <w:szCs w:val="28"/>
    </w:rPr>
  </w:style>
  <w:style w:type="paragraph" w:styleId="BalloonText">
    <w:name w:val="Balloon Text"/>
    <w:basedOn w:val="Normal"/>
    <w:link w:val="BalloonTextChar"/>
    <w:uiPriority w:val="99"/>
    <w:semiHidden/>
    <w:unhideWhenUsed/>
    <w:rsid w:val="00711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EA4"/>
    <w:rPr>
      <w:rFonts w:ascii="Segoe UI" w:eastAsia="Times New Roman" w:hAnsi="Segoe UI" w:cs="Segoe UI"/>
      <w:sz w:val="18"/>
      <w:szCs w:val="18"/>
      <w:lang w:val="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11EA4"/>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1F275B"/>
    <w:rPr>
      <w:rFonts w:ascii="Times New Roman" w:eastAsia="Times New Roman" w:hAnsi="Times New Roman" w:cs="Arial"/>
      <w:sz w:val="24"/>
      <w:szCs w:val="24"/>
      <w:lang w:val="en-US"/>
    </w:rPr>
  </w:style>
  <w:style w:type="character" w:customStyle="1" w:styleId="Heading2Char">
    <w:name w:val="Heading 2 Char"/>
    <w:basedOn w:val="DefaultParagraphFont"/>
    <w:link w:val="Heading2"/>
    <w:uiPriority w:val="9"/>
    <w:rsid w:val="00451871"/>
    <w:rPr>
      <w:rFonts w:asciiTheme="majorHAnsi" w:eastAsiaTheme="majorEastAsia" w:hAnsiTheme="majorHAnsi" w:cstheme="majorBidi"/>
      <w:b/>
      <w:sz w:val="26"/>
      <w:szCs w:val="26"/>
      <w:lang w:val="en-US"/>
    </w:rPr>
  </w:style>
  <w:style w:type="paragraph" w:styleId="Header">
    <w:name w:val="header"/>
    <w:basedOn w:val="Normal"/>
    <w:link w:val="HeaderChar"/>
    <w:uiPriority w:val="99"/>
    <w:unhideWhenUsed/>
    <w:rsid w:val="00D80620"/>
    <w:pPr>
      <w:tabs>
        <w:tab w:val="center" w:pos="4513"/>
        <w:tab w:val="right" w:pos="9026"/>
      </w:tabs>
    </w:pPr>
  </w:style>
  <w:style w:type="character" w:customStyle="1" w:styleId="HeaderChar">
    <w:name w:val="Header Char"/>
    <w:basedOn w:val="DefaultParagraphFont"/>
    <w:link w:val="Header"/>
    <w:uiPriority w:val="99"/>
    <w:rsid w:val="00D80620"/>
    <w:rPr>
      <w:rFonts w:ascii="Times New Roman" w:eastAsia="Times New Roman" w:hAnsi="Times New Roman" w:cs="Arial"/>
      <w:sz w:val="24"/>
      <w:szCs w:val="24"/>
      <w:lang w:val="en-US"/>
    </w:rPr>
  </w:style>
  <w:style w:type="paragraph" w:styleId="Footer">
    <w:name w:val="footer"/>
    <w:basedOn w:val="Normal"/>
    <w:link w:val="FooterChar"/>
    <w:uiPriority w:val="99"/>
    <w:unhideWhenUsed/>
    <w:rsid w:val="00D80620"/>
    <w:pPr>
      <w:tabs>
        <w:tab w:val="center" w:pos="4513"/>
        <w:tab w:val="right" w:pos="9026"/>
      </w:tabs>
    </w:pPr>
  </w:style>
  <w:style w:type="character" w:customStyle="1" w:styleId="FooterChar">
    <w:name w:val="Footer Char"/>
    <w:basedOn w:val="DefaultParagraphFont"/>
    <w:link w:val="Footer"/>
    <w:uiPriority w:val="99"/>
    <w:rsid w:val="00D80620"/>
    <w:rPr>
      <w:rFonts w:ascii="Times New Roman" w:eastAsia="Times New Roman" w:hAnsi="Times New Roman" w:cs="Arial"/>
      <w:sz w:val="24"/>
      <w:szCs w:val="24"/>
      <w:lang w:val="en-US"/>
    </w:rPr>
  </w:style>
  <w:style w:type="table" w:styleId="TableGrid">
    <w:name w:val="Table Grid"/>
    <w:basedOn w:val="TableNormal"/>
    <w:rsid w:val="00D8062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0DF"/>
    <w:rPr>
      <w:sz w:val="16"/>
      <w:szCs w:val="16"/>
    </w:rPr>
  </w:style>
  <w:style w:type="paragraph" w:styleId="CommentText">
    <w:name w:val="annotation text"/>
    <w:basedOn w:val="Normal"/>
    <w:link w:val="CommentTextChar"/>
    <w:uiPriority w:val="99"/>
    <w:semiHidden/>
    <w:unhideWhenUsed/>
    <w:rsid w:val="00EE40DF"/>
    <w:rPr>
      <w:sz w:val="20"/>
      <w:szCs w:val="20"/>
    </w:rPr>
  </w:style>
  <w:style w:type="character" w:customStyle="1" w:styleId="CommentTextChar">
    <w:name w:val="Comment Text Char"/>
    <w:basedOn w:val="DefaultParagraphFont"/>
    <w:link w:val="CommentText"/>
    <w:uiPriority w:val="99"/>
    <w:semiHidden/>
    <w:rsid w:val="00EE40DF"/>
    <w:rPr>
      <w:rFonts w:ascii="Times New Roman" w:eastAsia="Times New Roman" w:hAnsi="Times New Roman" w:cs="Arial"/>
      <w:sz w:val="20"/>
      <w:szCs w:val="20"/>
      <w:lang w:val="en-US"/>
    </w:rPr>
  </w:style>
  <w:style w:type="paragraph" w:styleId="CommentSubject">
    <w:name w:val="annotation subject"/>
    <w:basedOn w:val="CommentText"/>
    <w:next w:val="CommentText"/>
    <w:link w:val="CommentSubjectChar"/>
    <w:uiPriority w:val="99"/>
    <w:semiHidden/>
    <w:unhideWhenUsed/>
    <w:rsid w:val="00EE40DF"/>
    <w:rPr>
      <w:b/>
      <w:bCs/>
    </w:rPr>
  </w:style>
  <w:style w:type="character" w:customStyle="1" w:styleId="CommentSubjectChar">
    <w:name w:val="Comment Subject Char"/>
    <w:basedOn w:val="CommentTextChar"/>
    <w:link w:val="CommentSubject"/>
    <w:uiPriority w:val="99"/>
    <w:semiHidden/>
    <w:rsid w:val="00EE40DF"/>
    <w:rPr>
      <w:rFonts w:ascii="Times New Roman" w:eastAsia="Times New Roman" w:hAnsi="Times New Roman" w:cs="Arial"/>
      <w:b/>
      <w:bCs/>
      <w:sz w:val="20"/>
      <w:szCs w:val="20"/>
      <w:lang w:val="en-US"/>
    </w:rPr>
  </w:style>
  <w:style w:type="paragraph" w:customStyle="1" w:styleId="Default">
    <w:name w:val="Default"/>
    <w:rsid w:val="00C16D6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41078"/>
    <w:rPr>
      <w:i/>
      <w:iCs/>
    </w:rPr>
  </w:style>
  <w:style w:type="paragraph" w:styleId="ListBullet">
    <w:name w:val="List Bullet"/>
    <w:basedOn w:val="Normal"/>
    <w:qFormat/>
    <w:rsid w:val="00610D52"/>
    <w:pPr>
      <w:widowControl/>
      <w:numPr>
        <w:numId w:val="16"/>
      </w:numPr>
      <w:spacing w:before="60" w:after="60"/>
    </w:pPr>
    <w:rPr>
      <w:rFonts w:ascii="Arial" w:hAnsi="Arial" w:cs="Times New Roman"/>
      <w:color w:val="000000" w:themeColor="text1"/>
      <w:sz w:val="21"/>
      <w:lang w:val="en-AU"/>
    </w:rPr>
  </w:style>
  <w:style w:type="paragraph" w:styleId="Revision">
    <w:name w:val="Revision"/>
    <w:hidden/>
    <w:uiPriority w:val="99"/>
    <w:semiHidden/>
    <w:rsid w:val="00610D52"/>
    <w:pPr>
      <w:spacing w:after="0" w:line="240" w:lineRule="auto"/>
    </w:pPr>
    <w:rPr>
      <w:rFonts w:ascii="Times New Roman" w:eastAsia="Times New Roman" w:hAnsi="Times New Roman"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34FF267-13D3-48DA-B583-3E8B20CE50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922F19A03C1044F9E7A01E482EBE1BC" ma:contentTypeVersion="" ma:contentTypeDescription="PDMS Document Site Content Type" ma:contentTypeScope="" ma:versionID="e86152a5517080d3f1890a17f4a81fca">
  <xsd:schema xmlns:xsd="http://www.w3.org/2001/XMLSchema" xmlns:xs="http://www.w3.org/2001/XMLSchema" xmlns:p="http://schemas.microsoft.com/office/2006/metadata/properties" xmlns:ns2="834FF267-13D3-48DA-B583-3E8B20CE50F6" targetNamespace="http://schemas.microsoft.com/office/2006/metadata/properties" ma:root="true" ma:fieldsID="5c7296893b1e52a3fedbf77b11e35b42" ns2:_="">
    <xsd:import namespace="834FF267-13D3-48DA-B583-3E8B20CE50F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FF267-13D3-48DA-B583-3E8B20CE50F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65EEE-30EC-45BA-A7F0-141DDAB1A4D1}">
  <ds:schemaRefs>
    <ds:schemaRef ds:uri="http://schemas.microsoft.com/office/2006/metadata/properties"/>
    <ds:schemaRef ds:uri="http://schemas.microsoft.com/office/infopath/2007/PartnerControls"/>
    <ds:schemaRef ds:uri="834FF267-13D3-48DA-B583-3E8B20CE50F6"/>
  </ds:schemaRefs>
</ds:datastoreItem>
</file>

<file path=customXml/itemProps2.xml><?xml version="1.0" encoding="utf-8"?>
<ds:datastoreItem xmlns:ds="http://schemas.openxmlformats.org/officeDocument/2006/customXml" ds:itemID="{A73E04ED-5F30-4006-9645-1E0284A0D21F}">
  <ds:schemaRefs>
    <ds:schemaRef ds:uri="http://schemas.microsoft.com/sharepoint/v3/contenttype/forms"/>
  </ds:schemaRefs>
</ds:datastoreItem>
</file>

<file path=customXml/itemProps3.xml><?xml version="1.0" encoding="utf-8"?>
<ds:datastoreItem xmlns:ds="http://schemas.openxmlformats.org/officeDocument/2006/customXml" ds:itemID="{E2191297-31CC-432C-8C5B-FE4E14B1A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FF267-13D3-48DA-B583-3E8B20CE5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Distribution Working Group (DWG) – Terms of reference</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Working Group (DWG) – Terms of reference</dc:title>
  <dc:subject/>
  <dc:creator>Australian Government Department of Health and Aged Care</dc:creator>
  <cp:keywords>health workforce;</cp:keywords>
  <dc:description/>
  <cp:lastModifiedBy>HAMLEY, Erynn</cp:lastModifiedBy>
  <cp:revision>2</cp:revision>
  <dcterms:created xsi:type="dcterms:W3CDTF">2023-09-20T01:01:00Z</dcterms:created>
  <dcterms:modified xsi:type="dcterms:W3CDTF">2023-09-20T01:01:00Z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0x010100266966F133664895A6EE3632470D45F5008922F19A03C1044F9E7A01E482EBE1BC</vt:lpwstr>
  </property>
</Properties>
</file>