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A96D6" w14:textId="188F361E" w:rsidR="005C1D45" w:rsidRDefault="005C1D45">
      <w:r>
        <w:rPr>
          <w:noProof/>
          <w:lang w:eastAsia="en-AU"/>
        </w:rPr>
        <w:drawing>
          <wp:inline distT="0" distB="0" distL="0" distR="0" wp14:anchorId="3FE74DAA" wp14:editId="7254B2A5">
            <wp:extent cx="5731510" cy="90364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5731510" cy="903645"/>
                    </a:xfrm>
                    <a:prstGeom prst="rect">
                      <a:avLst/>
                    </a:prstGeom>
                  </pic:spPr>
                </pic:pic>
              </a:graphicData>
            </a:graphic>
          </wp:inline>
        </w:drawing>
      </w:r>
    </w:p>
    <w:p w14:paraId="615DD960" w14:textId="5D75EFA9" w:rsidR="005C1D45" w:rsidRPr="00E92BF3" w:rsidRDefault="005C1D45" w:rsidP="005C1D45">
      <w:pPr>
        <w:pStyle w:val="Subtitle"/>
        <w:rPr>
          <w:sz w:val="36"/>
          <w:szCs w:val="36"/>
        </w:rPr>
      </w:pPr>
      <w:r w:rsidRPr="00E92BF3">
        <w:rPr>
          <w:sz w:val="36"/>
          <w:szCs w:val="36"/>
        </w:rPr>
        <w:t xml:space="preserve">Fact Sheet: </w:t>
      </w:r>
      <w:r w:rsidR="000D2D42">
        <w:rPr>
          <w:sz w:val="36"/>
          <w:szCs w:val="36"/>
        </w:rPr>
        <w:t xml:space="preserve">Changes to the </w:t>
      </w:r>
      <w:r w:rsidRPr="00E92BF3">
        <w:rPr>
          <w:sz w:val="36"/>
          <w:szCs w:val="36"/>
        </w:rPr>
        <w:t xml:space="preserve">Workforce Incentive Program – </w:t>
      </w:r>
      <w:r>
        <w:rPr>
          <w:sz w:val="36"/>
          <w:szCs w:val="36"/>
        </w:rPr>
        <w:t>Doctor Stream</w:t>
      </w:r>
      <w:r w:rsidR="000D2D42">
        <w:rPr>
          <w:sz w:val="36"/>
          <w:szCs w:val="36"/>
        </w:rPr>
        <w:t xml:space="preserve"> </w:t>
      </w:r>
      <w:r w:rsidR="00D4530C">
        <w:rPr>
          <w:sz w:val="36"/>
          <w:szCs w:val="36"/>
        </w:rPr>
        <w:t>from 1 January 2024</w:t>
      </w:r>
      <w:r w:rsidR="00792062">
        <w:rPr>
          <w:sz w:val="36"/>
          <w:szCs w:val="36"/>
        </w:rPr>
        <w:t xml:space="preserve"> for non-vocationally registered doctors</w:t>
      </w:r>
    </w:p>
    <w:p w14:paraId="2A128071" w14:textId="77777777" w:rsidR="00792062" w:rsidRDefault="00792062" w:rsidP="005C1D45"/>
    <w:p w14:paraId="686912D6" w14:textId="2C4616D4" w:rsidR="005C1D45" w:rsidRDefault="009D0098" w:rsidP="005C1D45">
      <w:r>
        <w:t>September</w:t>
      </w:r>
      <w:r w:rsidR="005C1D45">
        <w:t xml:space="preserve"> 2023</w:t>
      </w:r>
    </w:p>
    <w:p w14:paraId="66CC0860" w14:textId="49F1B72B" w:rsidR="005C1D45" w:rsidRPr="005C1D45" w:rsidRDefault="005C1D45" w:rsidP="005C1D45">
      <w:pPr>
        <w:rPr>
          <w:color w:val="002060"/>
        </w:rPr>
      </w:pPr>
      <w:r w:rsidRPr="005C1D45">
        <w:rPr>
          <w:color w:val="002060"/>
        </w:rPr>
        <w:t>__________________________________________________________________________________</w:t>
      </w:r>
    </w:p>
    <w:p w14:paraId="6213253A" w14:textId="5F3EA4A6" w:rsidR="005C1D45" w:rsidRDefault="005C1D45">
      <w:pPr>
        <w:rPr>
          <w:rStyle w:val="BoldAllCaps"/>
          <w:sz w:val="20"/>
          <w:szCs w:val="20"/>
        </w:rPr>
      </w:pPr>
      <w:r w:rsidRPr="005D0098">
        <w:rPr>
          <w:rStyle w:val="BoldAllCaps"/>
          <w:sz w:val="20"/>
          <w:szCs w:val="20"/>
        </w:rPr>
        <w:t xml:space="preserve">This fact sheet </w:t>
      </w:r>
      <w:r w:rsidR="000D2D42">
        <w:rPr>
          <w:rStyle w:val="BoldAllCaps"/>
          <w:sz w:val="20"/>
          <w:szCs w:val="20"/>
        </w:rPr>
        <w:t>PROVIDES ADVANCE NOTICE OF</w:t>
      </w:r>
      <w:r w:rsidR="000D2D42" w:rsidRPr="000D2D42">
        <w:rPr>
          <w:rStyle w:val="BoldAllCaps"/>
          <w:sz w:val="20"/>
          <w:szCs w:val="20"/>
        </w:rPr>
        <w:t xml:space="preserve"> </w:t>
      </w:r>
      <w:r w:rsidR="00D4530C">
        <w:rPr>
          <w:rStyle w:val="BoldAllCaps"/>
          <w:sz w:val="20"/>
          <w:szCs w:val="20"/>
        </w:rPr>
        <w:t xml:space="preserve">upcoming </w:t>
      </w:r>
      <w:r w:rsidR="000D2D42">
        <w:rPr>
          <w:rStyle w:val="BoldAllCaps"/>
          <w:sz w:val="20"/>
          <w:szCs w:val="20"/>
        </w:rPr>
        <w:t xml:space="preserve">CHANGES TO </w:t>
      </w:r>
      <w:r w:rsidR="00D4530C">
        <w:rPr>
          <w:rStyle w:val="BoldAllCaps"/>
          <w:sz w:val="20"/>
          <w:szCs w:val="20"/>
        </w:rPr>
        <w:t xml:space="preserve">the </w:t>
      </w:r>
      <w:r w:rsidR="000D2D42" w:rsidRPr="005D0098">
        <w:rPr>
          <w:rStyle w:val="BoldAllCaps"/>
          <w:sz w:val="20"/>
          <w:szCs w:val="20"/>
        </w:rPr>
        <w:t xml:space="preserve">Workforce Incentive Program – </w:t>
      </w:r>
      <w:r w:rsidR="000D2D42">
        <w:rPr>
          <w:rStyle w:val="BoldAllCaps"/>
          <w:sz w:val="20"/>
          <w:szCs w:val="20"/>
        </w:rPr>
        <w:t>Doctor Stream</w:t>
      </w:r>
      <w:r w:rsidR="000D2D42" w:rsidRPr="005D0098">
        <w:rPr>
          <w:rStyle w:val="BoldAllCaps"/>
          <w:sz w:val="20"/>
          <w:szCs w:val="20"/>
        </w:rPr>
        <w:t xml:space="preserve"> </w:t>
      </w:r>
      <w:r w:rsidR="000D2D42">
        <w:rPr>
          <w:rStyle w:val="BoldAllCaps"/>
          <w:sz w:val="20"/>
          <w:szCs w:val="20"/>
        </w:rPr>
        <w:t>INCENTIVE amounts FOR NON-VOCATIONALLY REGISTERED DOCTORS</w:t>
      </w:r>
    </w:p>
    <w:p w14:paraId="4C50222B" w14:textId="6EE0017C" w:rsidR="005C1D45" w:rsidRDefault="005C1D45">
      <w:pPr>
        <w:rPr>
          <w:rStyle w:val="BoldAllCaps"/>
          <w:sz w:val="20"/>
          <w:szCs w:val="20"/>
        </w:rPr>
      </w:pPr>
      <w:r>
        <w:rPr>
          <w:rStyle w:val="BoldAllCaps"/>
          <w:sz w:val="20"/>
          <w:szCs w:val="20"/>
        </w:rPr>
        <w:t>__________________________________________________________________________________________</w:t>
      </w:r>
    </w:p>
    <w:p w14:paraId="34C24E23" w14:textId="77777777" w:rsidR="009D5FAB" w:rsidRPr="00A519DD" w:rsidRDefault="009D5FAB" w:rsidP="009D5FAB">
      <w:pPr>
        <w:pStyle w:val="Heading1"/>
        <w:keepNext w:val="0"/>
        <w:rPr>
          <w:b/>
          <w:bCs w:val="0"/>
          <w:sz w:val="28"/>
          <w:szCs w:val="28"/>
        </w:rPr>
      </w:pPr>
      <w:r w:rsidRPr="00A519DD">
        <w:rPr>
          <w:b/>
          <w:bCs w:val="0"/>
          <w:sz w:val="28"/>
          <w:szCs w:val="28"/>
        </w:rPr>
        <w:t xml:space="preserve">Background </w:t>
      </w:r>
    </w:p>
    <w:p w14:paraId="1D3C75AD" w14:textId="77777777" w:rsidR="009D5FAB" w:rsidRDefault="009D5FAB" w:rsidP="009D5FAB">
      <w:pPr>
        <w:rPr>
          <w:rStyle w:val="StandardText"/>
        </w:rPr>
      </w:pPr>
      <w:r>
        <w:rPr>
          <w:rStyle w:val="StandardText"/>
        </w:rPr>
        <w:t xml:space="preserve">The Workforce Incentive Program (WIP) - Doctor Stream commenced on 1 January 2020 and replaced the General Practice Rural Incentive Program (GPRIP). </w:t>
      </w:r>
    </w:p>
    <w:p w14:paraId="337B22F9" w14:textId="77777777" w:rsidR="009D5FAB" w:rsidRDefault="009D5FAB" w:rsidP="009D5FAB">
      <w:r w:rsidRPr="00347773">
        <w:t xml:space="preserve">The WIP </w:t>
      </w:r>
      <w:r>
        <w:rPr>
          <w:rStyle w:val="StandardText"/>
        </w:rPr>
        <w:t xml:space="preserve">- </w:t>
      </w:r>
      <w:r w:rsidRPr="00347773">
        <w:t xml:space="preserve">Doctor Stream aims to encourage </w:t>
      </w:r>
      <w:r>
        <w:t>doctors</w:t>
      </w:r>
      <w:r w:rsidRPr="00347773">
        <w:t xml:space="preserve"> to practise in regional, rural and remote communities and to promote careers in rural medicine through the provision of financial incentives. For </w:t>
      </w:r>
      <w:r>
        <w:t>doctors</w:t>
      </w:r>
      <w:r w:rsidRPr="00347773">
        <w:t xml:space="preserve"> to receive WIP – Doctor Stream incentive payments, they must provide eligible services in eligible locations</w:t>
      </w:r>
      <w:r>
        <w:t>.</w:t>
      </w:r>
      <w:r w:rsidRPr="00347773">
        <w:t xml:space="preserve"> </w:t>
      </w:r>
    </w:p>
    <w:p w14:paraId="15F97BFB" w14:textId="1B912830" w:rsidR="009D5FAB" w:rsidRPr="0009436F" w:rsidRDefault="009D5FAB" w:rsidP="009D5FAB">
      <w:pPr>
        <w:pStyle w:val="Heading1"/>
        <w:keepNext w:val="0"/>
        <w:rPr>
          <w:b/>
          <w:bCs w:val="0"/>
          <w:sz w:val="28"/>
          <w:szCs w:val="28"/>
        </w:rPr>
      </w:pPr>
      <w:r w:rsidRPr="0009436F">
        <w:rPr>
          <w:b/>
          <w:bCs w:val="0"/>
          <w:sz w:val="28"/>
          <w:szCs w:val="28"/>
        </w:rPr>
        <w:t>What is changing</w:t>
      </w:r>
      <w:r w:rsidR="00D74B44">
        <w:rPr>
          <w:b/>
          <w:bCs w:val="0"/>
          <w:sz w:val="28"/>
          <w:szCs w:val="28"/>
        </w:rPr>
        <w:t>?</w:t>
      </w:r>
    </w:p>
    <w:p w14:paraId="1F1617A4" w14:textId="77777777" w:rsidR="009D5FAB" w:rsidRDefault="009D5FAB" w:rsidP="009D5FAB">
      <w:pPr>
        <w:rPr>
          <w:rStyle w:val="StandardText"/>
        </w:rPr>
      </w:pPr>
      <w:r>
        <w:rPr>
          <w:rStyle w:val="StandardText"/>
        </w:rPr>
        <w:t xml:space="preserve">The 2022 October Budget introduced a change to the WIP - Doctor Stream payment that </w:t>
      </w:r>
      <w:r>
        <w:t xml:space="preserve">non-vocationally registered doctors who are not on an approved training pathway will receive 80% of the value of WIP </w:t>
      </w:r>
      <w:r>
        <w:rPr>
          <w:rStyle w:val="StandardText"/>
        </w:rPr>
        <w:t>-</w:t>
      </w:r>
      <w:r>
        <w:t xml:space="preserve"> Doctor Stream payments</w:t>
      </w:r>
      <w:r>
        <w:rPr>
          <w:rStyle w:val="StandardText"/>
        </w:rPr>
        <w:t xml:space="preserve">. This comes into effect from 1 January 2024. </w:t>
      </w:r>
    </w:p>
    <w:p w14:paraId="2D959EAF" w14:textId="77777777" w:rsidR="009D5FAB" w:rsidRPr="00E83383" w:rsidRDefault="009D5FAB" w:rsidP="009D5FAB">
      <w:pPr>
        <w:pStyle w:val="CommentText"/>
        <w:rPr>
          <w:rStyle w:val="StandardText"/>
          <w:rFonts w:asciiTheme="minorHAnsi" w:hAnsiTheme="minorHAnsi"/>
          <w:iCs/>
          <w:szCs w:val="22"/>
        </w:rPr>
      </w:pPr>
      <w:r w:rsidRPr="00D6023C">
        <w:rPr>
          <w:iCs/>
          <w:sz w:val="22"/>
          <w:szCs w:val="22"/>
        </w:rPr>
        <w:t>The value of payments will range between $3,600 and $48,00</w:t>
      </w:r>
      <w:r>
        <w:rPr>
          <w:iCs/>
          <w:sz w:val="22"/>
          <w:szCs w:val="22"/>
        </w:rPr>
        <w:t>0</w:t>
      </w:r>
      <w:r>
        <w:t xml:space="preserve">, </w:t>
      </w:r>
      <w:r>
        <w:rPr>
          <w:iCs/>
          <w:sz w:val="22"/>
          <w:szCs w:val="22"/>
        </w:rPr>
        <w:t>depending on a doctor’s activity levels, location and duration of active services within the program.</w:t>
      </w:r>
    </w:p>
    <w:p w14:paraId="5FF56A93" w14:textId="77777777" w:rsidR="009D5FAB" w:rsidRDefault="009D5FAB" w:rsidP="009D5FAB">
      <w:pPr>
        <w:rPr>
          <w:rStyle w:val="StandardText"/>
        </w:rPr>
      </w:pPr>
      <w:r>
        <w:rPr>
          <w:rStyle w:val="StandardText"/>
        </w:rPr>
        <w:t>This change to the WIP - Doctor Stream incentive is consistent with advice to the National Rural Health Commissioner on the development of the National Rural Generalist Pathway to further encourage and support doctors to work towards fellowship. It also aligns with the reduced Medicare rebates for non-vocationally registered doctors where they are not participating in an approved training pathway.</w:t>
      </w:r>
    </w:p>
    <w:p w14:paraId="650682C9" w14:textId="2ABF75E8" w:rsidR="009D5FAB" w:rsidRPr="004D0ACC" w:rsidRDefault="009D5FAB" w:rsidP="009D5FAB">
      <w:pPr>
        <w:pStyle w:val="Heading1"/>
        <w:rPr>
          <w:b/>
          <w:bCs w:val="0"/>
          <w:sz w:val="28"/>
          <w:szCs w:val="28"/>
        </w:rPr>
      </w:pPr>
      <w:r>
        <w:rPr>
          <w:b/>
          <w:bCs w:val="0"/>
          <w:sz w:val="28"/>
          <w:szCs w:val="28"/>
        </w:rPr>
        <w:t>What do non-vocationally registered doctors need to consider</w:t>
      </w:r>
      <w:r w:rsidR="00D74B44">
        <w:rPr>
          <w:b/>
          <w:bCs w:val="0"/>
          <w:sz w:val="28"/>
          <w:szCs w:val="28"/>
        </w:rPr>
        <w:t>?</w:t>
      </w:r>
    </w:p>
    <w:p w14:paraId="45D43CC0" w14:textId="77777777" w:rsidR="009D5FAB" w:rsidRDefault="009D5FAB" w:rsidP="009D5FAB">
      <w:pPr>
        <w:keepNext/>
        <w:rPr>
          <w:rStyle w:val="StandardText"/>
          <w:rFonts w:cs="Arial"/>
          <w:bCs/>
          <w:color w:val="3F4A75"/>
          <w:kern w:val="28"/>
          <w:szCs w:val="36"/>
        </w:rPr>
      </w:pPr>
      <w:r>
        <w:rPr>
          <w:rStyle w:val="StandardText"/>
        </w:rPr>
        <w:t xml:space="preserve">Non-vocationally registered doctors not on an approved training pathway are encouraged to consider: </w:t>
      </w:r>
    </w:p>
    <w:p w14:paraId="7A2B6285" w14:textId="77777777" w:rsidR="009D5FAB" w:rsidRDefault="009D5FAB" w:rsidP="009D5FAB">
      <w:pPr>
        <w:pStyle w:val="ListParagraph"/>
        <w:numPr>
          <w:ilvl w:val="0"/>
          <w:numId w:val="6"/>
        </w:numPr>
        <w:rPr>
          <w:rStyle w:val="StandardText"/>
        </w:rPr>
      </w:pPr>
      <w:r>
        <w:rPr>
          <w:rStyle w:val="StandardText"/>
        </w:rPr>
        <w:t>Exploring the</w:t>
      </w:r>
      <w:r w:rsidRPr="00E85994">
        <w:rPr>
          <w:rStyle w:val="StandardText"/>
        </w:rPr>
        <w:t xml:space="preserve"> approved training </w:t>
      </w:r>
      <w:r>
        <w:rPr>
          <w:rStyle w:val="StandardText"/>
        </w:rPr>
        <w:t>pathway</w:t>
      </w:r>
      <w:r w:rsidRPr="00E85994">
        <w:rPr>
          <w:rStyle w:val="StandardText"/>
        </w:rPr>
        <w:t>s on offer from GP Colleges</w:t>
      </w:r>
      <w:r>
        <w:rPr>
          <w:rStyle w:val="StandardText"/>
        </w:rPr>
        <w:t xml:space="preserve">. This includes </w:t>
      </w:r>
      <w:r w:rsidRPr="00E85994">
        <w:rPr>
          <w:rStyle w:val="StandardText"/>
        </w:rPr>
        <w:t xml:space="preserve">the </w:t>
      </w:r>
      <w:r>
        <w:rPr>
          <w:rStyle w:val="StandardText"/>
        </w:rPr>
        <w:t xml:space="preserve">Rural Generalist Training Scheme, </w:t>
      </w:r>
      <w:r w:rsidRPr="00E85994">
        <w:rPr>
          <w:rStyle w:val="StandardText"/>
        </w:rPr>
        <w:t xml:space="preserve">Australian General Practice Training </w:t>
      </w:r>
      <w:r>
        <w:rPr>
          <w:rStyle w:val="StandardText"/>
        </w:rPr>
        <w:t>Program,</w:t>
      </w:r>
      <w:r w:rsidRPr="00E85994">
        <w:rPr>
          <w:rStyle w:val="StandardText"/>
        </w:rPr>
        <w:t xml:space="preserve"> Remote Vocational Training Scheme or other relevant </w:t>
      </w:r>
      <w:r>
        <w:rPr>
          <w:rStyle w:val="StandardText"/>
        </w:rPr>
        <w:t xml:space="preserve">GP </w:t>
      </w:r>
      <w:r w:rsidRPr="00E85994">
        <w:rPr>
          <w:rStyle w:val="StandardText"/>
        </w:rPr>
        <w:t>training</w:t>
      </w:r>
      <w:r>
        <w:rPr>
          <w:rStyle w:val="StandardText"/>
        </w:rPr>
        <w:t xml:space="preserve"> pathways</w:t>
      </w:r>
      <w:r w:rsidRPr="00E85994">
        <w:rPr>
          <w:rStyle w:val="StandardText"/>
        </w:rPr>
        <w:t xml:space="preserve">. The </w:t>
      </w:r>
      <w:r>
        <w:rPr>
          <w:rStyle w:val="StandardText"/>
        </w:rPr>
        <w:t xml:space="preserve">GP Colleges - </w:t>
      </w:r>
      <w:r>
        <w:rPr>
          <w:rStyle w:val="StandardText"/>
        </w:rPr>
        <w:lastRenderedPageBreak/>
        <w:t>Australian College of Rural and Remote Medicine (ACRRM) or the Royal Australian College of General Practitioners (RACGP)</w:t>
      </w:r>
      <w:r w:rsidRPr="00E85994">
        <w:rPr>
          <w:rStyle w:val="StandardText"/>
        </w:rPr>
        <w:t xml:space="preserve"> are responsible for GP training including application processes, with timing for applications varying across </w:t>
      </w:r>
      <w:r>
        <w:rPr>
          <w:rStyle w:val="StandardText"/>
        </w:rPr>
        <w:t>pathway</w:t>
      </w:r>
      <w:r w:rsidRPr="00E85994">
        <w:rPr>
          <w:rStyle w:val="StandardText"/>
        </w:rPr>
        <w:t>s/colleges. The</w:t>
      </w:r>
      <w:r>
        <w:rPr>
          <w:rStyle w:val="StandardText"/>
        </w:rPr>
        <w:t xml:space="preserve"> contact details for the Colleges are in Attachment A below.</w:t>
      </w:r>
    </w:p>
    <w:p w14:paraId="6D6F812C" w14:textId="77777777" w:rsidR="009D5FAB" w:rsidRDefault="009D5FAB" w:rsidP="009D5FAB">
      <w:pPr>
        <w:pStyle w:val="ListParagraph"/>
        <w:numPr>
          <w:ilvl w:val="0"/>
          <w:numId w:val="6"/>
        </w:numPr>
        <w:rPr>
          <w:rStyle w:val="StandardText"/>
        </w:rPr>
      </w:pPr>
      <w:r>
        <w:rPr>
          <w:rStyle w:val="StandardText"/>
        </w:rPr>
        <w:t>Enrolling in an approved training pathway as soon as possible.</w:t>
      </w:r>
    </w:p>
    <w:p w14:paraId="69BB74BC" w14:textId="77777777" w:rsidR="009D5FAB" w:rsidRDefault="009D5FAB" w:rsidP="009D5FAB">
      <w:pPr>
        <w:pStyle w:val="ListParagraph"/>
        <w:numPr>
          <w:ilvl w:val="0"/>
          <w:numId w:val="6"/>
        </w:numPr>
        <w:rPr>
          <w:rStyle w:val="StandardText"/>
        </w:rPr>
      </w:pPr>
      <w:r>
        <w:rPr>
          <w:rStyle w:val="StandardText"/>
        </w:rPr>
        <w:t>Doctors enrolled in a training program at any time in the WIP -Doctor Stream quarter are eligible for the full vocationally registered WIP- Doctor Stream payment.</w:t>
      </w:r>
    </w:p>
    <w:p w14:paraId="577A44F6" w14:textId="6F8A731F" w:rsidR="009D5FAB" w:rsidRPr="00E85994" w:rsidRDefault="009D5FAB" w:rsidP="009D5FAB">
      <w:pPr>
        <w:pStyle w:val="ListParagraph"/>
        <w:numPr>
          <w:ilvl w:val="0"/>
          <w:numId w:val="6"/>
        </w:numPr>
        <w:rPr>
          <w:rStyle w:val="StandardText"/>
        </w:rPr>
      </w:pPr>
      <w:r>
        <w:rPr>
          <w:rStyle w:val="StandardText"/>
        </w:rPr>
        <w:t>Doctors can d</w:t>
      </w:r>
      <w:r w:rsidRPr="00E85994">
        <w:rPr>
          <w:rStyle w:val="StandardText"/>
        </w:rPr>
        <w:t xml:space="preserve">iscuss the changes with </w:t>
      </w:r>
      <w:r>
        <w:rPr>
          <w:rStyle w:val="StandardText"/>
        </w:rPr>
        <w:t>the state/territory</w:t>
      </w:r>
      <w:r w:rsidRPr="00E85994">
        <w:rPr>
          <w:rStyle w:val="StandardText"/>
        </w:rPr>
        <w:t xml:space="preserve"> Rural Workforce Agenc</w:t>
      </w:r>
      <w:r>
        <w:rPr>
          <w:rStyle w:val="StandardText"/>
        </w:rPr>
        <w:t>y</w:t>
      </w:r>
      <w:r w:rsidRPr="00E85994">
        <w:rPr>
          <w:rStyle w:val="StandardText"/>
        </w:rPr>
        <w:t xml:space="preserve">, especially if </w:t>
      </w:r>
      <w:r>
        <w:rPr>
          <w:rStyle w:val="StandardText"/>
        </w:rPr>
        <w:t xml:space="preserve">the doctor is </w:t>
      </w:r>
      <w:r w:rsidRPr="00E85994">
        <w:rPr>
          <w:rStyle w:val="StandardText"/>
        </w:rPr>
        <w:t xml:space="preserve">receiving </w:t>
      </w:r>
      <w:r w:rsidRPr="00E85994">
        <w:t xml:space="preserve">WIP </w:t>
      </w:r>
      <w:r>
        <w:rPr>
          <w:rStyle w:val="StandardText"/>
        </w:rPr>
        <w:t xml:space="preserve">- </w:t>
      </w:r>
      <w:r w:rsidRPr="00E85994">
        <w:t xml:space="preserve">Doctor Stream </w:t>
      </w:r>
      <w:r w:rsidRPr="00E85994">
        <w:rPr>
          <w:rStyle w:val="StandardText"/>
        </w:rPr>
        <w:t>payments under the Flexible Payment System</w:t>
      </w:r>
      <w:r>
        <w:rPr>
          <w:rStyle w:val="StandardText"/>
        </w:rPr>
        <w:t xml:space="preserve"> or interested in a career in rural general practice/primary care</w:t>
      </w:r>
      <w:r w:rsidRPr="00E85994">
        <w:rPr>
          <w:rStyle w:val="StandardText"/>
        </w:rPr>
        <w:t xml:space="preserve">. </w:t>
      </w:r>
    </w:p>
    <w:p w14:paraId="08B46417" w14:textId="77777777" w:rsidR="009D5FAB" w:rsidRDefault="009D5FAB" w:rsidP="009D5FAB">
      <w:pPr>
        <w:keepNext/>
        <w:rPr>
          <w:rStyle w:val="StandardText"/>
        </w:rPr>
      </w:pPr>
      <w:r>
        <w:rPr>
          <w:rStyle w:val="StandardText"/>
        </w:rPr>
        <w:t xml:space="preserve">Non-vocationally registered doctors engaged in an approved training pathway do not need to do anything. </w:t>
      </w:r>
    </w:p>
    <w:p w14:paraId="0B708E37" w14:textId="77777777" w:rsidR="009D5FAB" w:rsidRDefault="009D5FAB" w:rsidP="009D5FAB">
      <w:pPr>
        <w:pStyle w:val="NormalWeb"/>
        <w:spacing w:before="0" w:beforeAutospacing="0" w:after="0" w:afterAutospacing="0"/>
        <w:rPr>
          <w:rStyle w:val="StandardText"/>
          <w:rFonts w:eastAsiaTheme="minorHAnsi" w:cstheme="minorBidi"/>
          <w:szCs w:val="22"/>
          <w:lang w:eastAsia="en-US"/>
        </w:rPr>
      </w:pPr>
      <w:r w:rsidRPr="00C12C41">
        <w:rPr>
          <w:rStyle w:val="StandardText"/>
          <w:rFonts w:eastAsiaTheme="minorHAnsi" w:cstheme="minorBidi"/>
          <w:szCs w:val="22"/>
          <w:lang w:eastAsia="en-US"/>
        </w:rPr>
        <w:t xml:space="preserve">Once </w:t>
      </w:r>
      <w:r>
        <w:rPr>
          <w:rStyle w:val="StandardText"/>
          <w:rFonts w:eastAsiaTheme="minorHAnsi" w:cstheme="minorBidi"/>
          <w:szCs w:val="22"/>
          <w:lang w:eastAsia="en-US"/>
        </w:rPr>
        <w:t>a doctor is</w:t>
      </w:r>
      <w:r w:rsidRPr="00C12C41">
        <w:rPr>
          <w:rStyle w:val="StandardText"/>
          <w:rFonts w:eastAsiaTheme="minorHAnsi" w:cstheme="minorBidi"/>
          <w:szCs w:val="22"/>
          <w:lang w:eastAsia="en-US"/>
        </w:rPr>
        <w:t xml:space="preserve"> on an approved training pathway, </w:t>
      </w:r>
      <w:r>
        <w:rPr>
          <w:rStyle w:val="StandardText"/>
          <w:rFonts w:eastAsiaTheme="minorHAnsi" w:cstheme="minorBidi"/>
          <w:szCs w:val="22"/>
          <w:lang w:eastAsia="en-US"/>
        </w:rPr>
        <w:t xml:space="preserve">the doctor can confirm with the college that they have notified Services Australia Medicare of the doctor’s approved training placement. The doctor may also be required to complete an </w:t>
      </w:r>
      <w:r w:rsidRPr="00C91F18">
        <w:rPr>
          <w:rStyle w:val="StandardText"/>
          <w:rFonts w:eastAsiaTheme="minorHAnsi" w:cstheme="minorBidi"/>
          <w:i/>
          <w:szCs w:val="22"/>
          <w:lang w:eastAsia="en-US"/>
        </w:rPr>
        <w:t>Application for a Medicare provider number or prescriber number for a medical practitioner form (HW019)</w:t>
      </w:r>
      <w:r>
        <w:rPr>
          <w:rStyle w:val="StandardText"/>
          <w:rFonts w:eastAsiaTheme="minorHAnsi" w:cstheme="minorBidi"/>
          <w:szCs w:val="22"/>
          <w:lang w:eastAsia="en-US"/>
        </w:rPr>
        <w:t xml:space="preserve"> available on the Services Australia website.  Once processed, </w:t>
      </w:r>
      <w:r w:rsidRPr="00C91F18">
        <w:rPr>
          <w:rStyle w:val="StandardText"/>
          <w:rFonts w:eastAsiaTheme="minorHAnsi" w:cstheme="minorBidi"/>
          <w:szCs w:val="22"/>
          <w:lang w:eastAsia="en-US"/>
        </w:rPr>
        <w:t xml:space="preserve">Services Australia Medicare will send </w:t>
      </w:r>
      <w:r>
        <w:rPr>
          <w:rStyle w:val="StandardText"/>
          <w:rFonts w:eastAsiaTheme="minorHAnsi" w:cstheme="minorBidi"/>
          <w:szCs w:val="22"/>
          <w:lang w:eastAsia="en-US"/>
        </w:rPr>
        <w:t>the doctor</w:t>
      </w:r>
      <w:r w:rsidRPr="00C91F18">
        <w:rPr>
          <w:rStyle w:val="StandardText"/>
          <w:rFonts w:eastAsiaTheme="minorHAnsi" w:cstheme="minorBidi"/>
          <w:szCs w:val="22"/>
          <w:lang w:eastAsia="en-US"/>
        </w:rPr>
        <w:t xml:space="preserve"> written confirmation of </w:t>
      </w:r>
      <w:r>
        <w:rPr>
          <w:rStyle w:val="StandardText"/>
          <w:rFonts w:eastAsiaTheme="minorHAnsi" w:cstheme="minorBidi"/>
          <w:szCs w:val="22"/>
          <w:lang w:eastAsia="en-US"/>
        </w:rPr>
        <w:t>their</w:t>
      </w:r>
      <w:r w:rsidRPr="00C91F18">
        <w:rPr>
          <w:rStyle w:val="StandardText"/>
          <w:rFonts w:eastAsiaTheme="minorHAnsi" w:cstheme="minorBidi"/>
          <w:szCs w:val="22"/>
          <w:lang w:eastAsia="en-US"/>
        </w:rPr>
        <w:t xml:space="preserve"> placement provider number. </w:t>
      </w:r>
    </w:p>
    <w:p w14:paraId="780C8EDF" w14:textId="77777777" w:rsidR="009D5FAB" w:rsidRDefault="009D5FAB" w:rsidP="009D5FAB">
      <w:pPr>
        <w:pStyle w:val="NormalWeb"/>
        <w:spacing w:before="0" w:beforeAutospacing="0" w:after="0" w:afterAutospacing="0"/>
        <w:rPr>
          <w:rStyle w:val="StandardText"/>
          <w:rFonts w:eastAsiaTheme="minorHAnsi" w:cstheme="minorBidi"/>
          <w:szCs w:val="22"/>
          <w:lang w:eastAsia="en-US"/>
        </w:rPr>
      </w:pPr>
    </w:p>
    <w:p w14:paraId="14D1F860" w14:textId="77777777" w:rsidR="009D5FAB" w:rsidRPr="00C12C41" w:rsidRDefault="009D5FAB" w:rsidP="009D5FAB">
      <w:pPr>
        <w:pStyle w:val="NormalWeb"/>
        <w:spacing w:before="0" w:beforeAutospacing="0" w:after="0" w:afterAutospacing="0"/>
        <w:rPr>
          <w:rStyle w:val="StandardText"/>
          <w:rFonts w:eastAsiaTheme="minorHAnsi" w:cstheme="minorBidi"/>
          <w:szCs w:val="22"/>
          <w:lang w:eastAsia="en-US"/>
        </w:rPr>
      </w:pPr>
      <w:r>
        <w:rPr>
          <w:rStyle w:val="StandardText"/>
          <w:rFonts w:eastAsiaTheme="minorHAnsi" w:cstheme="minorBidi"/>
          <w:szCs w:val="22"/>
          <w:lang w:eastAsia="en-US"/>
        </w:rPr>
        <w:t xml:space="preserve">Doctors that are practising as a </w:t>
      </w:r>
      <w:r>
        <w:rPr>
          <w:rStyle w:val="StandardText"/>
        </w:rPr>
        <w:t xml:space="preserve">non-vocationally registered doctor in primary care, in addition to their training placements, may like to have their additional primary care work recognised through the Flexible Payment System with the Rural Workforce Agency. </w:t>
      </w:r>
    </w:p>
    <w:p w14:paraId="56323BFD" w14:textId="77777777" w:rsidR="009D5FAB" w:rsidRPr="004D0ACC" w:rsidRDefault="009D5FAB" w:rsidP="009D5FAB">
      <w:pPr>
        <w:pStyle w:val="Heading1"/>
        <w:rPr>
          <w:b/>
          <w:bCs w:val="0"/>
          <w:sz w:val="28"/>
          <w:szCs w:val="28"/>
        </w:rPr>
      </w:pPr>
      <w:r w:rsidRPr="004D0ACC">
        <w:rPr>
          <w:b/>
          <w:bCs w:val="0"/>
          <w:sz w:val="28"/>
          <w:szCs w:val="28"/>
        </w:rPr>
        <w:t xml:space="preserve">Payments for the WIP </w:t>
      </w:r>
      <w:r>
        <w:rPr>
          <w:rStyle w:val="StandardText"/>
        </w:rPr>
        <w:t>-</w:t>
      </w:r>
      <w:r w:rsidRPr="004D0ACC">
        <w:rPr>
          <w:b/>
          <w:bCs w:val="0"/>
          <w:sz w:val="28"/>
          <w:szCs w:val="28"/>
        </w:rPr>
        <w:t xml:space="preserve"> Doctor Stream </w:t>
      </w:r>
    </w:p>
    <w:p w14:paraId="60342CD4" w14:textId="77777777" w:rsidR="009D5FAB" w:rsidRDefault="009D5FAB" w:rsidP="009D5FAB">
      <w:r>
        <w:t xml:space="preserve">As of 1 January 2024, a doctors vocational registration status will have implications for the amount of incentive that may be payable.  </w:t>
      </w:r>
    </w:p>
    <w:p w14:paraId="4CA8ABA3" w14:textId="77777777" w:rsidR="009D5FAB" w:rsidRDefault="009D5FAB" w:rsidP="009D5FAB">
      <w:r>
        <w:t>Non-vocationally registered doctors not on an approved training pathway and work in primary care (MM3-7) may be eligible for the following WIP- Doctor Stream payments in Table A.</w:t>
      </w:r>
    </w:p>
    <w:p w14:paraId="7DCD7842" w14:textId="77777777" w:rsidR="009D5FAB" w:rsidRPr="00D6023C" w:rsidRDefault="009D5FAB" w:rsidP="009D5FAB">
      <w:pPr>
        <w:rPr>
          <w:rFonts w:ascii="Calibri" w:hAnsi="Calibri"/>
          <w:b/>
          <w:bCs/>
        </w:rPr>
      </w:pPr>
      <w:r w:rsidRPr="00D6023C">
        <w:rPr>
          <w:rFonts w:eastAsia="Times New Roman"/>
          <w:b/>
          <w:bCs/>
        </w:rPr>
        <w:t xml:space="preserve">Table A: Maximum WIP - Doctor Stream incentive amounts for eligible non-vocationally registered doctors </w:t>
      </w:r>
      <w:r>
        <w:rPr>
          <w:rFonts w:eastAsia="Times New Roman"/>
          <w:b/>
          <w:bCs/>
        </w:rPr>
        <w:t>not in an approved training pathway</w:t>
      </w:r>
      <w:r w:rsidRPr="00D6023C">
        <w:rPr>
          <w:rFonts w:eastAsia="Times New Roman"/>
          <w:b/>
          <w:bCs/>
        </w:rPr>
        <w:t xml:space="preserve">– effective from 1 January 2024 </w:t>
      </w:r>
    </w:p>
    <w:tbl>
      <w:tblPr>
        <w:tblStyle w:val="TableGrid6"/>
        <w:tblW w:w="8924" w:type="dxa"/>
        <w:tblLook w:val="04A0" w:firstRow="1" w:lastRow="0" w:firstColumn="1" w:lastColumn="0" w:noHBand="0" w:noVBand="1"/>
        <w:tblDescription w:val="Far left column contains MM classification from MM3 down to MM7.&#10;Other columns show Year Level within the programme from Year Level 1 to Year Level 5.&#10;Corresponding figures show the maximum payment level for each Year Level within each MM location.&#10;&#10;"/>
      </w:tblPr>
      <w:tblGrid>
        <w:gridCol w:w="1487"/>
        <w:gridCol w:w="1487"/>
        <w:gridCol w:w="1487"/>
        <w:gridCol w:w="1487"/>
        <w:gridCol w:w="1488"/>
        <w:gridCol w:w="1488"/>
      </w:tblGrid>
      <w:tr w:rsidR="009D5FAB" w:rsidRPr="00BA7752" w14:paraId="5B8F45C6" w14:textId="77777777" w:rsidTr="00035FAA">
        <w:trPr>
          <w:trHeight w:val="645"/>
        </w:trPr>
        <w:tc>
          <w:tcPr>
            <w:tcW w:w="1487" w:type="dxa"/>
            <w:hideMark/>
          </w:tcPr>
          <w:p w14:paraId="4E8B7955" w14:textId="77777777" w:rsidR="009D5FAB" w:rsidRPr="00BA7752" w:rsidRDefault="009D5FAB" w:rsidP="00035FAA">
            <w:pPr>
              <w:rPr>
                <w:rFonts w:ascii="Calibri" w:hAnsi="Calibri" w:cs="Calibri"/>
                <w:b/>
                <w:bCs/>
                <w:color w:val="000000"/>
                <w:sz w:val="24"/>
                <w:szCs w:val="24"/>
              </w:rPr>
            </w:pPr>
            <w:r w:rsidRPr="00BA7752">
              <w:rPr>
                <w:rFonts w:ascii="Calibri" w:hAnsi="Calibri" w:cs="Calibri"/>
                <w:b/>
                <w:bCs/>
                <w:color w:val="000000"/>
                <w:sz w:val="24"/>
                <w:szCs w:val="24"/>
                <w:lang w:val="en"/>
              </w:rPr>
              <w:t>Location (MM)</w:t>
            </w:r>
          </w:p>
        </w:tc>
        <w:tc>
          <w:tcPr>
            <w:tcW w:w="1487" w:type="dxa"/>
            <w:hideMark/>
          </w:tcPr>
          <w:p w14:paraId="57BA875F" w14:textId="77777777" w:rsidR="009D5FAB" w:rsidRPr="00BA7752" w:rsidRDefault="009D5FAB" w:rsidP="00035FAA">
            <w:pPr>
              <w:rPr>
                <w:rFonts w:ascii="Calibri" w:hAnsi="Calibri" w:cs="Calibri"/>
                <w:b/>
                <w:bCs/>
                <w:color w:val="000000"/>
                <w:sz w:val="24"/>
                <w:szCs w:val="24"/>
              </w:rPr>
            </w:pPr>
            <w:r w:rsidRPr="00BA7752">
              <w:rPr>
                <w:rFonts w:ascii="Calibri" w:hAnsi="Calibri" w:cs="Calibri"/>
                <w:b/>
                <w:bCs/>
                <w:color w:val="000000"/>
                <w:sz w:val="24"/>
                <w:szCs w:val="24"/>
                <w:lang w:val="en"/>
              </w:rPr>
              <w:t>Year 1</w:t>
            </w:r>
          </w:p>
        </w:tc>
        <w:tc>
          <w:tcPr>
            <w:tcW w:w="1487" w:type="dxa"/>
            <w:hideMark/>
          </w:tcPr>
          <w:p w14:paraId="29E82B05" w14:textId="77777777" w:rsidR="009D5FAB" w:rsidRPr="00BA7752" w:rsidRDefault="009D5FAB" w:rsidP="00035FAA">
            <w:pPr>
              <w:rPr>
                <w:rFonts w:ascii="Calibri" w:hAnsi="Calibri" w:cs="Calibri"/>
                <w:b/>
                <w:bCs/>
                <w:color w:val="000000"/>
                <w:sz w:val="24"/>
                <w:szCs w:val="24"/>
              </w:rPr>
            </w:pPr>
            <w:r w:rsidRPr="00BA7752">
              <w:rPr>
                <w:rFonts w:ascii="Calibri" w:hAnsi="Calibri" w:cs="Calibri"/>
                <w:b/>
                <w:bCs/>
                <w:color w:val="000000"/>
                <w:sz w:val="24"/>
                <w:szCs w:val="24"/>
                <w:lang w:val="en"/>
              </w:rPr>
              <w:t>Year 2</w:t>
            </w:r>
          </w:p>
        </w:tc>
        <w:tc>
          <w:tcPr>
            <w:tcW w:w="1487" w:type="dxa"/>
            <w:hideMark/>
          </w:tcPr>
          <w:p w14:paraId="4AC71AAF" w14:textId="77777777" w:rsidR="009D5FAB" w:rsidRPr="00BA7752" w:rsidRDefault="009D5FAB" w:rsidP="00035FAA">
            <w:pPr>
              <w:rPr>
                <w:rFonts w:ascii="Calibri" w:hAnsi="Calibri" w:cs="Calibri"/>
                <w:b/>
                <w:bCs/>
                <w:color w:val="000000"/>
                <w:sz w:val="24"/>
                <w:szCs w:val="24"/>
              </w:rPr>
            </w:pPr>
            <w:r w:rsidRPr="00BA7752">
              <w:rPr>
                <w:rFonts w:ascii="Calibri" w:hAnsi="Calibri" w:cs="Calibri"/>
                <w:b/>
                <w:bCs/>
                <w:color w:val="000000"/>
                <w:sz w:val="24"/>
                <w:szCs w:val="24"/>
                <w:lang w:val="en"/>
              </w:rPr>
              <w:t>Year 3</w:t>
            </w:r>
          </w:p>
        </w:tc>
        <w:tc>
          <w:tcPr>
            <w:tcW w:w="1488" w:type="dxa"/>
            <w:hideMark/>
          </w:tcPr>
          <w:p w14:paraId="53578A6F" w14:textId="77777777" w:rsidR="009D5FAB" w:rsidRPr="00BA7752" w:rsidRDefault="009D5FAB" w:rsidP="00035FAA">
            <w:pPr>
              <w:rPr>
                <w:rFonts w:ascii="Calibri" w:hAnsi="Calibri" w:cs="Calibri"/>
                <w:b/>
                <w:bCs/>
                <w:color w:val="000000"/>
                <w:sz w:val="24"/>
                <w:szCs w:val="24"/>
              </w:rPr>
            </w:pPr>
            <w:r w:rsidRPr="00BA7752">
              <w:rPr>
                <w:rFonts w:ascii="Calibri" w:hAnsi="Calibri" w:cs="Calibri"/>
                <w:b/>
                <w:bCs/>
                <w:color w:val="000000"/>
                <w:sz w:val="24"/>
                <w:szCs w:val="24"/>
                <w:lang w:val="en"/>
              </w:rPr>
              <w:t>Year 4</w:t>
            </w:r>
          </w:p>
        </w:tc>
        <w:tc>
          <w:tcPr>
            <w:tcW w:w="1488" w:type="dxa"/>
            <w:hideMark/>
          </w:tcPr>
          <w:p w14:paraId="60669C83" w14:textId="77777777" w:rsidR="009D5FAB" w:rsidRPr="00BA7752" w:rsidRDefault="009D5FAB" w:rsidP="00035FAA">
            <w:pPr>
              <w:rPr>
                <w:rFonts w:ascii="Calibri" w:hAnsi="Calibri" w:cs="Calibri"/>
                <w:b/>
                <w:bCs/>
                <w:color w:val="000000"/>
                <w:sz w:val="24"/>
                <w:szCs w:val="24"/>
              </w:rPr>
            </w:pPr>
            <w:r w:rsidRPr="00BA7752">
              <w:rPr>
                <w:rFonts w:ascii="Calibri" w:hAnsi="Calibri" w:cs="Calibri"/>
                <w:b/>
                <w:bCs/>
                <w:color w:val="000000"/>
                <w:sz w:val="24"/>
                <w:szCs w:val="24"/>
                <w:lang w:val="en"/>
              </w:rPr>
              <w:t>Year 5 plus</w:t>
            </w:r>
          </w:p>
        </w:tc>
      </w:tr>
      <w:tr w:rsidR="009D5FAB" w:rsidRPr="00BA7752" w14:paraId="21F23D7E" w14:textId="77777777" w:rsidTr="00035FAA">
        <w:trPr>
          <w:trHeight w:val="330"/>
        </w:trPr>
        <w:tc>
          <w:tcPr>
            <w:tcW w:w="1487" w:type="dxa"/>
            <w:hideMark/>
          </w:tcPr>
          <w:p w14:paraId="2274A442" w14:textId="77777777" w:rsidR="009D5FAB" w:rsidRPr="00BA7752" w:rsidRDefault="009D5FAB" w:rsidP="00035FAA">
            <w:pPr>
              <w:rPr>
                <w:rFonts w:ascii="Calibri" w:hAnsi="Calibri" w:cs="Calibri"/>
                <w:b/>
                <w:bCs/>
                <w:color w:val="000000"/>
                <w:sz w:val="24"/>
                <w:szCs w:val="24"/>
              </w:rPr>
            </w:pPr>
            <w:r w:rsidRPr="00BA7752">
              <w:rPr>
                <w:rFonts w:ascii="Calibri" w:hAnsi="Calibri" w:cs="Calibri"/>
                <w:b/>
                <w:bCs/>
                <w:color w:val="000000"/>
                <w:sz w:val="24"/>
                <w:szCs w:val="24"/>
                <w:lang w:val="en"/>
              </w:rPr>
              <w:t>MM 3</w:t>
            </w:r>
          </w:p>
        </w:tc>
        <w:tc>
          <w:tcPr>
            <w:tcW w:w="1487" w:type="dxa"/>
            <w:hideMark/>
          </w:tcPr>
          <w:p w14:paraId="6FCE3DF5" w14:textId="77777777" w:rsidR="009D5FAB" w:rsidRPr="00BA7752" w:rsidRDefault="009D5FAB" w:rsidP="00035FAA">
            <w:pPr>
              <w:spacing w:before="60" w:after="60"/>
              <w:jc w:val="center"/>
              <w:rPr>
                <w:rFonts w:ascii="Calibri" w:hAnsi="Calibri" w:cs="Calibri"/>
                <w:sz w:val="24"/>
                <w:lang w:val="en"/>
              </w:rPr>
            </w:pPr>
            <w:r w:rsidRPr="00BA7752">
              <w:rPr>
                <w:rFonts w:ascii="Calibri" w:hAnsi="Calibri" w:cs="Calibri"/>
                <w:sz w:val="24"/>
                <w:lang w:val="en"/>
              </w:rPr>
              <w:t>$0</w:t>
            </w:r>
          </w:p>
        </w:tc>
        <w:tc>
          <w:tcPr>
            <w:tcW w:w="1487" w:type="dxa"/>
            <w:hideMark/>
          </w:tcPr>
          <w:p w14:paraId="562BD2DE" w14:textId="77777777" w:rsidR="009D5FAB" w:rsidRPr="00BA7752" w:rsidRDefault="009D5FAB" w:rsidP="00035FAA">
            <w:pPr>
              <w:spacing w:before="60" w:after="60"/>
              <w:jc w:val="center"/>
              <w:rPr>
                <w:rFonts w:ascii="Calibri" w:hAnsi="Calibri" w:cs="Calibri"/>
                <w:sz w:val="24"/>
                <w:lang w:val="en"/>
              </w:rPr>
            </w:pPr>
            <w:r w:rsidRPr="00BA7752">
              <w:rPr>
                <w:rFonts w:ascii="Calibri" w:hAnsi="Calibri" w:cs="Calibri"/>
                <w:sz w:val="24"/>
                <w:lang w:val="en"/>
              </w:rPr>
              <w:t>$3,600</w:t>
            </w:r>
          </w:p>
        </w:tc>
        <w:tc>
          <w:tcPr>
            <w:tcW w:w="1487" w:type="dxa"/>
            <w:hideMark/>
          </w:tcPr>
          <w:p w14:paraId="6A457A05" w14:textId="77777777" w:rsidR="009D5FAB" w:rsidRPr="00BA7752" w:rsidRDefault="009D5FAB" w:rsidP="00035FAA">
            <w:pPr>
              <w:spacing w:before="60" w:after="60"/>
              <w:jc w:val="center"/>
              <w:rPr>
                <w:rFonts w:ascii="Calibri" w:hAnsi="Calibri" w:cs="Calibri"/>
                <w:sz w:val="24"/>
                <w:lang w:val="en"/>
              </w:rPr>
            </w:pPr>
            <w:r w:rsidRPr="00BA7752">
              <w:rPr>
                <w:rFonts w:ascii="Calibri" w:hAnsi="Calibri" w:cs="Calibri"/>
                <w:sz w:val="24"/>
                <w:lang w:val="en"/>
              </w:rPr>
              <w:t>$6,000</w:t>
            </w:r>
          </w:p>
        </w:tc>
        <w:tc>
          <w:tcPr>
            <w:tcW w:w="1488" w:type="dxa"/>
            <w:hideMark/>
          </w:tcPr>
          <w:p w14:paraId="0666F6D3" w14:textId="77777777" w:rsidR="009D5FAB" w:rsidRPr="00BA7752" w:rsidRDefault="009D5FAB" w:rsidP="00035FAA">
            <w:pPr>
              <w:spacing w:before="60" w:after="60"/>
              <w:jc w:val="center"/>
              <w:rPr>
                <w:rFonts w:ascii="Calibri" w:hAnsi="Calibri" w:cs="Calibri"/>
                <w:sz w:val="24"/>
                <w:lang w:val="en"/>
              </w:rPr>
            </w:pPr>
            <w:r w:rsidRPr="00BA7752">
              <w:rPr>
                <w:rFonts w:ascii="Calibri" w:hAnsi="Calibri" w:cs="Calibri"/>
                <w:sz w:val="24"/>
                <w:lang w:val="en"/>
              </w:rPr>
              <w:t>$6,000</w:t>
            </w:r>
          </w:p>
        </w:tc>
        <w:tc>
          <w:tcPr>
            <w:tcW w:w="1488" w:type="dxa"/>
            <w:hideMark/>
          </w:tcPr>
          <w:p w14:paraId="3717AA6F" w14:textId="77777777" w:rsidR="009D5FAB" w:rsidRPr="00BA7752" w:rsidRDefault="009D5FAB" w:rsidP="00035FAA">
            <w:pPr>
              <w:spacing w:before="60" w:after="60"/>
              <w:jc w:val="center"/>
              <w:rPr>
                <w:rFonts w:ascii="Calibri" w:hAnsi="Calibri" w:cs="Calibri"/>
                <w:sz w:val="24"/>
                <w:lang w:val="en"/>
              </w:rPr>
            </w:pPr>
            <w:r w:rsidRPr="00BA7752">
              <w:rPr>
                <w:rFonts w:ascii="Calibri" w:hAnsi="Calibri" w:cs="Calibri"/>
                <w:sz w:val="24"/>
                <w:lang w:val="en"/>
              </w:rPr>
              <w:t>$9,600</w:t>
            </w:r>
          </w:p>
        </w:tc>
      </w:tr>
      <w:tr w:rsidR="009D5FAB" w:rsidRPr="00BA7752" w14:paraId="0F71288C" w14:textId="77777777" w:rsidTr="00035FAA">
        <w:trPr>
          <w:trHeight w:val="330"/>
        </w:trPr>
        <w:tc>
          <w:tcPr>
            <w:tcW w:w="1487" w:type="dxa"/>
            <w:hideMark/>
          </w:tcPr>
          <w:p w14:paraId="652DC417" w14:textId="77777777" w:rsidR="009D5FAB" w:rsidRPr="00BA7752" w:rsidRDefault="009D5FAB" w:rsidP="00035FAA">
            <w:pPr>
              <w:rPr>
                <w:rFonts w:ascii="Calibri" w:hAnsi="Calibri" w:cs="Calibri"/>
                <w:b/>
                <w:bCs/>
                <w:color w:val="000000"/>
                <w:sz w:val="24"/>
                <w:szCs w:val="24"/>
              </w:rPr>
            </w:pPr>
            <w:r w:rsidRPr="00BA7752">
              <w:rPr>
                <w:rFonts w:ascii="Calibri" w:hAnsi="Calibri" w:cs="Calibri"/>
                <w:b/>
                <w:bCs/>
                <w:color w:val="000000"/>
                <w:sz w:val="24"/>
                <w:szCs w:val="24"/>
                <w:lang w:val="en"/>
              </w:rPr>
              <w:t>MM 4</w:t>
            </w:r>
          </w:p>
        </w:tc>
        <w:tc>
          <w:tcPr>
            <w:tcW w:w="1487" w:type="dxa"/>
            <w:hideMark/>
          </w:tcPr>
          <w:p w14:paraId="27C8A4D6" w14:textId="77777777" w:rsidR="009D5FAB" w:rsidRPr="00BA7752" w:rsidRDefault="009D5FAB" w:rsidP="00035FAA">
            <w:pPr>
              <w:spacing w:before="60" w:after="60"/>
              <w:jc w:val="center"/>
              <w:rPr>
                <w:rFonts w:ascii="Calibri" w:hAnsi="Calibri" w:cs="Calibri"/>
                <w:sz w:val="24"/>
                <w:lang w:val="en"/>
              </w:rPr>
            </w:pPr>
            <w:r w:rsidRPr="00BA7752">
              <w:rPr>
                <w:rFonts w:ascii="Calibri" w:hAnsi="Calibri" w:cs="Calibri"/>
                <w:sz w:val="24"/>
                <w:lang w:val="en"/>
              </w:rPr>
              <w:t>$0</w:t>
            </w:r>
          </w:p>
        </w:tc>
        <w:tc>
          <w:tcPr>
            <w:tcW w:w="1487" w:type="dxa"/>
            <w:hideMark/>
          </w:tcPr>
          <w:p w14:paraId="57687098" w14:textId="77777777" w:rsidR="009D5FAB" w:rsidRPr="00BA7752" w:rsidRDefault="009D5FAB" w:rsidP="00035FAA">
            <w:pPr>
              <w:spacing w:before="60" w:after="60"/>
              <w:jc w:val="center"/>
              <w:rPr>
                <w:rFonts w:ascii="Calibri" w:hAnsi="Calibri" w:cs="Calibri"/>
                <w:sz w:val="24"/>
                <w:lang w:val="en"/>
              </w:rPr>
            </w:pPr>
            <w:r w:rsidRPr="00BA7752">
              <w:rPr>
                <w:rFonts w:ascii="Calibri" w:hAnsi="Calibri" w:cs="Calibri"/>
                <w:sz w:val="24"/>
                <w:lang w:val="en"/>
              </w:rPr>
              <w:t>$6,400</w:t>
            </w:r>
          </w:p>
        </w:tc>
        <w:tc>
          <w:tcPr>
            <w:tcW w:w="1487" w:type="dxa"/>
            <w:hideMark/>
          </w:tcPr>
          <w:p w14:paraId="5CB462AA" w14:textId="77777777" w:rsidR="009D5FAB" w:rsidRPr="00BA7752" w:rsidRDefault="009D5FAB" w:rsidP="00035FAA">
            <w:pPr>
              <w:spacing w:before="60" w:after="60"/>
              <w:jc w:val="center"/>
              <w:rPr>
                <w:rFonts w:ascii="Calibri" w:hAnsi="Calibri" w:cs="Calibri"/>
                <w:sz w:val="24"/>
                <w:lang w:val="en"/>
              </w:rPr>
            </w:pPr>
            <w:r w:rsidRPr="00BA7752">
              <w:rPr>
                <w:rFonts w:ascii="Calibri" w:hAnsi="Calibri" w:cs="Calibri"/>
                <w:sz w:val="24"/>
                <w:lang w:val="en"/>
              </w:rPr>
              <w:t>$10,400</w:t>
            </w:r>
          </w:p>
        </w:tc>
        <w:tc>
          <w:tcPr>
            <w:tcW w:w="1488" w:type="dxa"/>
            <w:hideMark/>
          </w:tcPr>
          <w:p w14:paraId="0F39FFBC" w14:textId="77777777" w:rsidR="009D5FAB" w:rsidRPr="00BA7752" w:rsidRDefault="009D5FAB" w:rsidP="00035FAA">
            <w:pPr>
              <w:spacing w:before="60" w:after="60"/>
              <w:jc w:val="center"/>
              <w:rPr>
                <w:rFonts w:ascii="Calibri" w:hAnsi="Calibri" w:cs="Calibri"/>
                <w:sz w:val="24"/>
                <w:lang w:val="en"/>
              </w:rPr>
            </w:pPr>
            <w:r w:rsidRPr="00BA7752">
              <w:rPr>
                <w:rFonts w:ascii="Calibri" w:hAnsi="Calibri" w:cs="Calibri"/>
                <w:sz w:val="24"/>
                <w:lang w:val="en"/>
              </w:rPr>
              <w:t>$10,400</w:t>
            </w:r>
          </w:p>
        </w:tc>
        <w:tc>
          <w:tcPr>
            <w:tcW w:w="1488" w:type="dxa"/>
            <w:hideMark/>
          </w:tcPr>
          <w:p w14:paraId="3F1478F5" w14:textId="77777777" w:rsidR="009D5FAB" w:rsidRPr="00BA7752" w:rsidRDefault="009D5FAB" w:rsidP="00035FAA">
            <w:pPr>
              <w:spacing w:before="60" w:after="60"/>
              <w:jc w:val="center"/>
              <w:rPr>
                <w:rFonts w:ascii="Calibri" w:hAnsi="Calibri" w:cs="Calibri"/>
                <w:sz w:val="24"/>
                <w:lang w:val="en"/>
              </w:rPr>
            </w:pPr>
            <w:r w:rsidRPr="00BA7752">
              <w:rPr>
                <w:rFonts w:ascii="Calibri" w:hAnsi="Calibri" w:cs="Calibri"/>
                <w:sz w:val="24"/>
                <w:lang w:val="en"/>
              </w:rPr>
              <w:t>$14,400</w:t>
            </w:r>
          </w:p>
        </w:tc>
      </w:tr>
      <w:tr w:rsidR="009D5FAB" w:rsidRPr="00BA7752" w14:paraId="596AB9A0" w14:textId="77777777" w:rsidTr="00035FAA">
        <w:trPr>
          <w:trHeight w:val="330"/>
        </w:trPr>
        <w:tc>
          <w:tcPr>
            <w:tcW w:w="1487" w:type="dxa"/>
            <w:hideMark/>
          </w:tcPr>
          <w:p w14:paraId="032D38A9" w14:textId="77777777" w:rsidR="009D5FAB" w:rsidRPr="00BA7752" w:rsidRDefault="009D5FAB" w:rsidP="00035FAA">
            <w:pPr>
              <w:rPr>
                <w:rFonts w:ascii="Calibri" w:hAnsi="Calibri" w:cs="Calibri"/>
                <w:b/>
                <w:bCs/>
                <w:color w:val="000000"/>
                <w:sz w:val="24"/>
                <w:szCs w:val="24"/>
              </w:rPr>
            </w:pPr>
            <w:r w:rsidRPr="00BA7752">
              <w:rPr>
                <w:rFonts w:ascii="Calibri" w:hAnsi="Calibri" w:cs="Calibri"/>
                <w:b/>
                <w:bCs/>
                <w:color w:val="000000"/>
                <w:sz w:val="24"/>
                <w:szCs w:val="24"/>
                <w:lang w:val="en"/>
              </w:rPr>
              <w:t>MM 5</w:t>
            </w:r>
          </w:p>
        </w:tc>
        <w:tc>
          <w:tcPr>
            <w:tcW w:w="1487" w:type="dxa"/>
            <w:hideMark/>
          </w:tcPr>
          <w:p w14:paraId="78E36EE7" w14:textId="77777777" w:rsidR="009D5FAB" w:rsidRPr="00BA7752" w:rsidRDefault="009D5FAB" w:rsidP="00035FAA">
            <w:pPr>
              <w:spacing w:before="60" w:after="60"/>
              <w:jc w:val="center"/>
              <w:rPr>
                <w:rFonts w:ascii="Calibri" w:hAnsi="Calibri" w:cs="Calibri"/>
                <w:sz w:val="24"/>
                <w:lang w:val="en"/>
              </w:rPr>
            </w:pPr>
            <w:r w:rsidRPr="00BA7752">
              <w:rPr>
                <w:rFonts w:ascii="Calibri" w:hAnsi="Calibri" w:cs="Calibri"/>
                <w:sz w:val="24"/>
                <w:lang w:val="en"/>
              </w:rPr>
              <w:t>$0</w:t>
            </w:r>
          </w:p>
        </w:tc>
        <w:tc>
          <w:tcPr>
            <w:tcW w:w="1487" w:type="dxa"/>
            <w:hideMark/>
          </w:tcPr>
          <w:p w14:paraId="48228703" w14:textId="77777777" w:rsidR="009D5FAB" w:rsidRPr="00BA7752" w:rsidRDefault="009D5FAB" w:rsidP="00035FAA">
            <w:pPr>
              <w:spacing w:before="60" w:after="60"/>
              <w:jc w:val="center"/>
              <w:rPr>
                <w:rFonts w:ascii="Calibri" w:hAnsi="Calibri" w:cs="Calibri"/>
                <w:sz w:val="24"/>
                <w:lang w:val="en"/>
              </w:rPr>
            </w:pPr>
            <w:r w:rsidRPr="00BA7752">
              <w:rPr>
                <w:rFonts w:ascii="Calibri" w:hAnsi="Calibri" w:cs="Calibri"/>
                <w:sz w:val="24"/>
                <w:lang w:val="en"/>
              </w:rPr>
              <w:t>$9,600</w:t>
            </w:r>
          </w:p>
        </w:tc>
        <w:tc>
          <w:tcPr>
            <w:tcW w:w="1487" w:type="dxa"/>
            <w:hideMark/>
          </w:tcPr>
          <w:p w14:paraId="6FA248A4" w14:textId="77777777" w:rsidR="009D5FAB" w:rsidRPr="00BA7752" w:rsidRDefault="009D5FAB" w:rsidP="00035FAA">
            <w:pPr>
              <w:spacing w:before="60" w:after="60"/>
              <w:jc w:val="center"/>
              <w:rPr>
                <w:rFonts w:ascii="Calibri" w:hAnsi="Calibri" w:cs="Calibri"/>
                <w:sz w:val="24"/>
                <w:lang w:val="en"/>
              </w:rPr>
            </w:pPr>
            <w:r w:rsidRPr="00BA7752">
              <w:rPr>
                <w:rFonts w:ascii="Calibri" w:hAnsi="Calibri" w:cs="Calibri"/>
                <w:sz w:val="24"/>
                <w:lang w:val="en"/>
              </w:rPr>
              <w:t>$13,600</w:t>
            </w:r>
          </w:p>
        </w:tc>
        <w:tc>
          <w:tcPr>
            <w:tcW w:w="1488" w:type="dxa"/>
            <w:hideMark/>
          </w:tcPr>
          <w:p w14:paraId="3FC9B184" w14:textId="77777777" w:rsidR="009D5FAB" w:rsidRPr="00BA7752" w:rsidRDefault="009D5FAB" w:rsidP="00035FAA">
            <w:pPr>
              <w:spacing w:before="60" w:after="60"/>
              <w:jc w:val="center"/>
              <w:rPr>
                <w:rFonts w:ascii="Calibri" w:hAnsi="Calibri" w:cs="Calibri"/>
                <w:sz w:val="24"/>
                <w:lang w:val="en"/>
              </w:rPr>
            </w:pPr>
            <w:r w:rsidRPr="00BA7752">
              <w:rPr>
                <w:rFonts w:ascii="Calibri" w:hAnsi="Calibri" w:cs="Calibri"/>
                <w:sz w:val="24"/>
                <w:lang w:val="en"/>
              </w:rPr>
              <w:t>$13,600</w:t>
            </w:r>
          </w:p>
        </w:tc>
        <w:tc>
          <w:tcPr>
            <w:tcW w:w="1488" w:type="dxa"/>
            <w:hideMark/>
          </w:tcPr>
          <w:p w14:paraId="37ABEB32" w14:textId="77777777" w:rsidR="009D5FAB" w:rsidRPr="00BA7752" w:rsidRDefault="009D5FAB" w:rsidP="00035FAA">
            <w:pPr>
              <w:spacing w:before="60" w:after="60"/>
              <w:jc w:val="center"/>
              <w:rPr>
                <w:rFonts w:ascii="Calibri" w:hAnsi="Calibri" w:cs="Calibri"/>
                <w:sz w:val="24"/>
                <w:lang w:val="en"/>
              </w:rPr>
            </w:pPr>
            <w:r w:rsidRPr="00BA7752">
              <w:rPr>
                <w:rFonts w:ascii="Calibri" w:hAnsi="Calibri" w:cs="Calibri"/>
                <w:sz w:val="24"/>
                <w:lang w:val="en"/>
              </w:rPr>
              <w:t>$18,400</w:t>
            </w:r>
          </w:p>
        </w:tc>
      </w:tr>
      <w:tr w:rsidR="009D5FAB" w:rsidRPr="00BA7752" w14:paraId="0E2133BE" w14:textId="77777777" w:rsidTr="00035FAA">
        <w:trPr>
          <w:trHeight w:val="330"/>
        </w:trPr>
        <w:tc>
          <w:tcPr>
            <w:tcW w:w="1487" w:type="dxa"/>
            <w:hideMark/>
          </w:tcPr>
          <w:p w14:paraId="6E600E82" w14:textId="77777777" w:rsidR="009D5FAB" w:rsidRPr="00BA7752" w:rsidRDefault="009D5FAB" w:rsidP="00035FAA">
            <w:pPr>
              <w:rPr>
                <w:rFonts w:ascii="Calibri" w:hAnsi="Calibri" w:cs="Calibri"/>
                <w:b/>
                <w:bCs/>
                <w:color w:val="000000"/>
                <w:sz w:val="24"/>
                <w:szCs w:val="24"/>
              </w:rPr>
            </w:pPr>
            <w:r w:rsidRPr="00BA7752">
              <w:rPr>
                <w:rFonts w:ascii="Calibri" w:hAnsi="Calibri" w:cs="Calibri"/>
                <w:b/>
                <w:bCs/>
                <w:color w:val="000000"/>
                <w:sz w:val="24"/>
                <w:szCs w:val="24"/>
                <w:lang w:val="en"/>
              </w:rPr>
              <w:t>MM 6</w:t>
            </w:r>
          </w:p>
        </w:tc>
        <w:tc>
          <w:tcPr>
            <w:tcW w:w="1487" w:type="dxa"/>
            <w:hideMark/>
          </w:tcPr>
          <w:p w14:paraId="761973D4" w14:textId="77777777" w:rsidR="009D5FAB" w:rsidRPr="00BA7752" w:rsidRDefault="009D5FAB" w:rsidP="00035FAA">
            <w:pPr>
              <w:spacing w:before="60" w:after="60"/>
              <w:jc w:val="center"/>
              <w:rPr>
                <w:rFonts w:ascii="Calibri" w:hAnsi="Calibri" w:cs="Calibri"/>
                <w:sz w:val="24"/>
                <w:lang w:val="en"/>
              </w:rPr>
            </w:pPr>
            <w:r w:rsidRPr="00BA7752">
              <w:rPr>
                <w:rFonts w:ascii="Calibri" w:hAnsi="Calibri" w:cs="Calibri"/>
                <w:sz w:val="24"/>
                <w:lang w:val="en"/>
              </w:rPr>
              <w:t>$12,800</w:t>
            </w:r>
          </w:p>
        </w:tc>
        <w:tc>
          <w:tcPr>
            <w:tcW w:w="1487" w:type="dxa"/>
            <w:hideMark/>
          </w:tcPr>
          <w:p w14:paraId="497D8DB7" w14:textId="77777777" w:rsidR="009D5FAB" w:rsidRPr="00BA7752" w:rsidRDefault="009D5FAB" w:rsidP="00035FAA">
            <w:pPr>
              <w:spacing w:before="60" w:after="60"/>
              <w:jc w:val="center"/>
              <w:rPr>
                <w:rFonts w:ascii="Calibri" w:hAnsi="Calibri" w:cs="Calibri"/>
                <w:sz w:val="24"/>
                <w:lang w:val="en"/>
              </w:rPr>
            </w:pPr>
            <w:r w:rsidRPr="00BA7752">
              <w:rPr>
                <w:rFonts w:ascii="Calibri" w:hAnsi="Calibri" w:cs="Calibri"/>
                <w:sz w:val="24"/>
                <w:lang w:val="en"/>
              </w:rPr>
              <w:t>$12,800</w:t>
            </w:r>
          </w:p>
        </w:tc>
        <w:tc>
          <w:tcPr>
            <w:tcW w:w="1487" w:type="dxa"/>
            <w:hideMark/>
          </w:tcPr>
          <w:p w14:paraId="70B28F80" w14:textId="77777777" w:rsidR="009D5FAB" w:rsidRPr="00BA7752" w:rsidRDefault="009D5FAB" w:rsidP="00035FAA">
            <w:pPr>
              <w:spacing w:before="60" w:after="60"/>
              <w:jc w:val="center"/>
              <w:rPr>
                <w:rFonts w:ascii="Calibri" w:hAnsi="Calibri" w:cs="Calibri"/>
                <w:sz w:val="24"/>
                <w:lang w:val="en"/>
              </w:rPr>
            </w:pPr>
            <w:r w:rsidRPr="00BA7752">
              <w:rPr>
                <w:rFonts w:ascii="Calibri" w:hAnsi="Calibri" w:cs="Calibri"/>
                <w:sz w:val="24"/>
                <w:lang w:val="en"/>
              </w:rPr>
              <w:t>$20,000</w:t>
            </w:r>
          </w:p>
        </w:tc>
        <w:tc>
          <w:tcPr>
            <w:tcW w:w="1488" w:type="dxa"/>
            <w:hideMark/>
          </w:tcPr>
          <w:p w14:paraId="0D382288" w14:textId="77777777" w:rsidR="009D5FAB" w:rsidRPr="00BA7752" w:rsidRDefault="009D5FAB" w:rsidP="00035FAA">
            <w:pPr>
              <w:spacing w:before="60" w:after="60"/>
              <w:jc w:val="center"/>
              <w:rPr>
                <w:rFonts w:ascii="Calibri" w:hAnsi="Calibri" w:cs="Calibri"/>
                <w:sz w:val="24"/>
                <w:lang w:val="en"/>
              </w:rPr>
            </w:pPr>
            <w:r w:rsidRPr="00BA7752">
              <w:rPr>
                <w:rFonts w:ascii="Calibri" w:hAnsi="Calibri" w:cs="Calibri"/>
                <w:sz w:val="24"/>
                <w:lang w:val="en"/>
              </w:rPr>
              <w:t>$20,000</w:t>
            </w:r>
          </w:p>
        </w:tc>
        <w:tc>
          <w:tcPr>
            <w:tcW w:w="1488" w:type="dxa"/>
            <w:hideMark/>
          </w:tcPr>
          <w:p w14:paraId="3D9166CA" w14:textId="77777777" w:rsidR="009D5FAB" w:rsidRPr="00BA7752" w:rsidRDefault="009D5FAB" w:rsidP="00035FAA">
            <w:pPr>
              <w:spacing w:before="60" w:after="60"/>
              <w:jc w:val="center"/>
              <w:rPr>
                <w:rFonts w:ascii="Calibri" w:hAnsi="Calibri" w:cs="Calibri"/>
                <w:sz w:val="24"/>
                <w:lang w:val="en"/>
              </w:rPr>
            </w:pPr>
            <w:r w:rsidRPr="00BA7752">
              <w:rPr>
                <w:rFonts w:ascii="Calibri" w:hAnsi="Calibri" w:cs="Calibri"/>
                <w:sz w:val="24"/>
                <w:lang w:val="en"/>
              </w:rPr>
              <w:t>$28,000</w:t>
            </w:r>
          </w:p>
        </w:tc>
      </w:tr>
      <w:tr w:rsidR="009D5FAB" w:rsidRPr="00BA7752" w14:paraId="7F713E63" w14:textId="77777777" w:rsidTr="00035FAA">
        <w:trPr>
          <w:trHeight w:val="330"/>
        </w:trPr>
        <w:tc>
          <w:tcPr>
            <w:tcW w:w="1487" w:type="dxa"/>
            <w:hideMark/>
          </w:tcPr>
          <w:p w14:paraId="2ACACA21" w14:textId="77777777" w:rsidR="009D5FAB" w:rsidRPr="00BA7752" w:rsidRDefault="009D5FAB" w:rsidP="00035FAA">
            <w:pPr>
              <w:rPr>
                <w:rFonts w:ascii="Calibri" w:hAnsi="Calibri" w:cs="Calibri"/>
                <w:b/>
                <w:bCs/>
                <w:color w:val="000000"/>
                <w:sz w:val="24"/>
                <w:szCs w:val="24"/>
              </w:rPr>
            </w:pPr>
            <w:r w:rsidRPr="00BA7752">
              <w:rPr>
                <w:rFonts w:ascii="Calibri" w:hAnsi="Calibri" w:cs="Calibri"/>
                <w:b/>
                <w:bCs/>
                <w:color w:val="000000"/>
                <w:sz w:val="24"/>
                <w:szCs w:val="24"/>
                <w:lang w:val="en"/>
              </w:rPr>
              <w:t>MM 7</w:t>
            </w:r>
          </w:p>
        </w:tc>
        <w:tc>
          <w:tcPr>
            <w:tcW w:w="1487" w:type="dxa"/>
            <w:hideMark/>
          </w:tcPr>
          <w:p w14:paraId="40B9201E" w14:textId="77777777" w:rsidR="009D5FAB" w:rsidRPr="00BA7752" w:rsidRDefault="009D5FAB" w:rsidP="00035FAA">
            <w:pPr>
              <w:spacing w:before="60" w:after="60"/>
              <w:jc w:val="center"/>
              <w:rPr>
                <w:rFonts w:ascii="Calibri" w:hAnsi="Calibri" w:cs="Calibri"/>
                <w:sz w:val="24"/>
                <w:lang w:val="en"/>
              </w:rPr>
            </w:pPr>
            <w:r w:rsidRPr="00BA7752">
              <w:rPr>
                <w:rFonts w:ascii="Calibri" w:hAnsi="Calibri" w:cs="Calibri"/>
                <w:sz w:val="24"/>
                <w:lang w:val="en"/>
              </w:rPr>
              <w:t>$20,000</w:t>
            </w:r>
          </w:p>
        </w:tc>
        <w:tc>
          <w:tcPr>
            <w:tcW w:w="1487" w:type="dxa"/>
            <w:hideMark/>
          </w:tcPr>
          <w:p w14:paraId="1911E75B" w14:textId="77777777" w:rsidR="009D5FAB" w:rsidRPr="00BA7752" w:rsidRDefault="009D5FAB" w:rsidP="00035FAA">
            <w:pPr>
              <w:spacing w:before="60" w:after="60"/>
              <w:jc w:val="center"/>
              <w:rPr>
                <w:rFonts w:ascii="Calibri" w:hAnsi="Calibri" w:cs="Calibri"/>
                <w:sz w:val="24"/>
                <w:lang w:val="en"/>
              </w:rPr>
            </w:pPr>
            <w:r w:rsidRPr="00BA7752">
              <w:rPr>
                <w:rFonts w:ascii="Calibri" w:hAnsi="Calibri" w:cs="Calibri"/>
                <w:sz w:val="24"/>
                <w:lang w:val="en"/>
              </w:rPr>
              <w:t>$20,000</w:t>
            </w:r>
          </w:p>
        </w:tc>
        <w:tc>
          <w:tcPr>
            <w:tcW w:w="1487" w:type="dxa"/>
            <w:hideMark/>
          </w:tcPr>
          <w:p w14:paraId="5EE55A56" w14:textId="77777777" w:rsidR="009D5FAB" w:rsidRPr="00BA7752" w:rsidRDefault="009D5FAB" w:rsidP="00035FAA">
            <w:pPr>
              <w:spacing w:before="60" w:after="60"/>
              <w:jc w:val="center"/>
              <w:rPr>
                <w:rFonts w:ascii="Calibri" w:hAnsi="Calibri" w:cs="Calibri"/>
                <w:sz w:val="24"/>
                <w:lang w:val="en"/>
              </w:rPr>
            </w:pPr>
            <w:r w:rsidRPr="00BA7752">
              <w:rPr>
                <w:rFonts w:ascii="Calibri" w:hAnsi="Calibri" w:cs="Calibri"/>
                <w:sz w:val="24"/>
                <w:lang w:val="en"/>
              </w:rPr>
              <w:t>$28,000</w:t>
            </w:r>
          </w:p>
        </w:tc>
        <w:tc>
          <w:tcPr>
            <w:tcW w:w="1488" w:type="dxa"/>
            <w:hideMark/>
          </w:tcPr>
          <w:p w14:paraId="1FC76BA3" w14:textId="77777777" w:rsidR="009D5FAB" w:rsidRPr="00BA7752" w:rsidRDefault="009D5FAB" w:rsidP="00035FAA">
            <w:pPr>
              <w:spacing w:before="60" w:after="60"/>
              <w:jc w:val="center"/>
              <w:rPr>
                <w:rFonts w:ascii="Calibri" w:hAnsi="Calibri" w:cs="Calibri"/>
                <w:sz w:val="24"/>
                <w:lang w:val="en"/>
              </w:rPr>
            </w:pPr>
            <w:r w:rsidRPr="00BA7752">
              <w:rPr>
                <w:rFonts w:ascii="Calibri" w:hAnsi="Calibri" w:cs="Calibri"/>
                <w:sz w:val="24"/>
                <w:lang w:val="en"/>
              </w:rPr>
              <w:t>$28,000</w:t>
            </w:r>
          </w:p>
        </w:tc>
        <w:tc>
          <w:tcPr>
            <w:tcW w:w="1488" w:type="dxa"/>
            <w:hideMark/>
          </w:tcPr>
          <w:p w14:paraId="40791040" w14:textId="77777777" w:rsidR="009D5FAB" w:rsidRPr="00BA7752" w:rsidRDefault="009D5FAB" w:rsidP="00035FAA">
            <w:pPr>
              <w:spacing w:before="60" w:after="60"/>
              <w:jc w:val="center"/>
              <w:rPr>
                <w:rFonts w:ascii="Calibri" w:hAnsi="Calibri" w:cs="Calibri"/>
                <w:sz w:val="24"/>
                <w:lang w:val="en"/>
              </w:rPr>
            </w:pPr>
            <w:r w:rsidRPr="00BA7752">
              <w:rPr>
                <w:rFonts w:ascii="Calibri" w:hAnsi="Calibri" w:cs="Calibri"/>
                <w:sz w:val="24"/>
                <w:lang w:val="en"/>
              </w:rPr>
              <w:t>$48,000</w:t>
            </w:r>
          </w:p>
        </w:tc>
      </w:tr>
    </w:tbl>
    <w:p w14:paraId="367365AF" w14:textId="77777777" w:rsidR="009D5FAB" w:rsidRDefault="009D5FAB" w:rsidP="009D5FAB">
      <w:pPr>
        <w:keepNext/>
        <w:rPr>
          <w:highlight w:val="yellow"/>
        </w:rPr>
      </w:pPr>
    </w:p>
    <w:p w14:paraId="0410BF06" w14:textId="77777777" w:rsidR="009D5FAB" w:rsidRDefault="009D5FAB" w:rsidP="009D5FAB">
      <w:pPr>
        <w:spacing w:after="0"/>
        <w:rPr>
          <w:rStyle w:val="Hyperlink"/>
        </w:rPr>
      </w:pPr>
    </w:p>
    <w:p w14:paraId="117CF17F" w14:textId="77777777" w:rsidR="009D5FAB" w:rsidRDefault="009D5FAB" w:rsidP="009D5FAB">
      <w:pPr>
        <w:rPr>
          <w:rStyle w:val="Hyperlink"/>
        </w:rPr>
      </w:pPr>
      <w:r>
        <w:rPr>
          <w:rStyle w:val="Hyperlink"/>
        </w:rPr>
        <w:br w:type="page"/>
      </w:r>
    </w:p>
    <w:p w14:paraId="01493DFA" w14:textId="77777777" w:rsidR="009D5FAB" w:rsidRPr="00E83383" w:rsidRDefault="009D5FAB" w:rsidP="009D5FAB">
      <w:pPr>
        <w:pStyle w:val="Heading1"/>
        <w:rPr>
          <w:b/>
        </w:rPr>
      </w:pPr>
      <w:r w:rsidRPr="00E83383">
        <w:rPr>
          <w:b/>
          <w:bCs w:val="0"/>
        </w:rPr>
        <w:lastRenderedPageBreak/>
        <w:t>Attachment A</w:t>
      </w:r>
    </w:p>
    <w:p w14:paraId="71DB5312" w14:textId="77777777" w:rsidR="009D5FAB" w:rsidRPr="0009436F" w:rsidRDefault="009D5FAB" w:rsidP="009D5FAB">
      <w:pPr>
        <w:pStyle w:val="Heading1"/>
        <w:keepLines/>
        <w:rPr>
          <w:b/>
          <w:bCs w:val="0"/>
          <w:sz w:val="28"/>
          <w:szCs w:val="28"/>
        </w:rPr>
      </w:pPr>
      <w:r>
        <w:rPr>
          <w:b/>
          <w:bCs w:val="0"/>
          <w:sz w:val="28"/>
          <w:szCs w:val="28"/>
        </w:rPr>
        <w:t xml:space="preserve">Is </w:t>
      </w:r>
      <w:r w:rsidRPr="004D0ACC">
        <w:rPr>
          <w:b/>
          <w:bCs w:val="0"/>
          <w:sz w:val="28"/>
          <w:szCs w:val="28"/>
        </w:rPr>
        <w:t>eligib</w:t>
      </w:r>
      <w:r>
        <w:rPr>
          <w:b/>
          <w:bCs w:val="0"/>
          <w:sz w:val="28"/>
          <w:szCs w:val="28"/>
        </w:rPr>
        <w:t>i</w:t>
      </w:r>
      <w:r w:rsidRPr="004D0ACC">
        <w:rPr>
          <w:b/>
          <w:bCs w:val="0"/>
          <w:sz w:val="28"/>
          <w:szCs w:val="28"/>
        </w:rPr>
        <w:t>l</w:t>
      </w:r>
      <w:r>
        <w:rPr>
          <w:b/>
          <w:bCs w:val="0"/>
          <w:sz w:val="28"/>
          <w:szCs w:val="28"/>
        </w:rPr>
        <w:t xml:space="preserve">ity </w:t>
      </w:r>
      <w:r w:rsidRPr="004D0ACC">
        <w:rPr>
          <w:b/>
          <w:bCs w:val="0"/>
          <w:sz w:val="28"/>
          <w:szCs w:val="28"/>
        </w:rPr>
        <w:t xml:space="preserve">for the </w:t>
      </w:r>
      <w:r>
        <w:rPr>
          <w:b/>
          <w:bCs w:val="0"/>
          <w:sz w:val="28"/>
          <w:szCs w:val="28"/>
        </w:rPr>
        <w:t>WIP –</w:t>
      </w:r>
      <w:r w:rsidRPr="0009436F">
        <w:rPr>
          <w:b/>
          <w:bCs w:val="0"/>
          <w:sz w:val="28"/>
          <w:szCs w:val="28"/>
        </w:rPr>
        <w:t xml:space="preserve"> Doctor Stream</w:t>
      </w:r>
      <w:r>
        <w:rPr>
          <w:b/>
          <w:bCs w:val="0"/>
          <w:sz w:val="28"/>
          <w:szCs w:val="28"/>
        </w:rPr>
        <w:t xml:space="preserve"> changing?</w:t>
      </w:r>
    </w:p>
    <w:p w14:paraId="060EBCAD" w14:textId="77777777" w:rsidR="009D5FAB" w:rsidRDefault="009D5FAB" w:rsidP="009D5FAB">
      <w:pPr>
        <w:keepNext/>
        <w:keepLines/>
      </w:pPr>
      <w:r>
        <w:t xml:space="preserve">No. Eligibility for </w:t>
      </w:r>
      <w:r>
        <w:rPr>
          <w:rFonts w:cstheme="minorHAnsi"/>
        </w:rPr>
        <w:t>WIP – Doctor Stream, remains the same. Doctors</w:t>
      </w:r>
      <w:r>
        <w:t xml:space="preserve"> must:</w:t>
      </w:r>
    </w:p>
    <w:p w14:paraId="7E68DD7C" w14:textId="77777777" w:rsidR="009D5FAB" w:rsidRDefault="009D5FAB" w:rsidP="009D5FAB">
      <w:pPr>
        <w:pStyle w:val="ListParagraph"/>
        <w:numPr>
          <w:ilvl w:val="0"/>
          <w:numId w:val="1"/>
        </w:numPr>
        <w:spacing w:before="0" w:after="160" w:line="259" w:lineRule="auto"/>
      </w:pPr>
      <w:r>
        <w:t>provide a minimum amount of eligible primary care services or undertake eligible general practitioner (GP) or rural generalist training under an approved training pathway in Modified Monash (MM) 3-7 locations</w:t>
      </w:r>
    </w:p>
    <w:p w14:paraId="1805D76F" w14:textId="77777777" w:rsidR="009D5FAB" w:rsidRDefault="009D5FAB" w:rsidP="009D5FAB">
      <w:pPr>
        <w:pStyle w:val="ListParagraph"/>
        <w:numPr>
          <w:ilvl w:val="0"/>
          <w:numId w:val="1"/>
        </w:numPr>
        <w:spacing w:before="0" w:after="160" w:line="259" w:lineRule="auto"/>
      </w:pPr>
      <w:r>
        <w:t>meet the required number of active quarters for payment</w:t>
      </w:r>
    </w:p>
    <w:p w14:paraId="33267AB1" w14:textId="77777777" w:rsidR="009D5FAB" w:rsidRDefault="009D5FAB" w:rsidP="009D5FAB">
      <w:pPr>
        <w:pStyle w:val="ListParagraph"/>
        <w:numPr>
          <w:ilvl w:val="0"/>
          <w:numId w:val="1"/>
        </w:numPr>
        <w:spacing w:before="0" w:after="160" w:line="259" w:lineRule="auto"/>
      </w:pPr>
      <w:r>
        <w:t>have an eligible current Medicare provider number</w:t>
      </w:r>
    </w:p>
    <w:p w14:paraId="663DA912" w14:textId="77777777" w:rsidR="009D5FAB" w:rsidRDefault="009D5FAB" w:rsidP="009D5FAB">
      <w:pPr>
        <w:pStyle w:val="ListParagraph"/>
        <w:numPr>
          <w:ilvl w:val="0"/>
          <w:numId w:val="1"/>
        </w:numPr>
        <w:spacing w:before="0" w:after="160" w:line="259" w:lineRule="auto"/>
      </w:pPr>
      <w:r>
        <w:t xml:space="preserve">have provided current bank account details to Services Australia specifically for the WIP – Doctor Stream in the required timeframe through the </w:t>
      </w:r>
      <w:hyperlink r:id="rId12" w:history="1">
        <w:r w:rsidRPr="00726E5B">
          <w:rPr>
            <w:rStyle w:val="Hyperlink"/>
          </w:rPr>
          <w:t>Health Professional Online Services</w:t>
        </w:r>
      </w:hyperlink>
      <w:r>
        <w:t xml:space="preserve"> (HPOS).</w:t>
      </w:r>
    </w:p>
    <w:p w14:paraId="668C1065" w14:textId="77777777" w:rsidR="009D5FAB" w:rsidRPr="0043788A" w:rsidRDefault="009D5FAB" w:rsidP="009D5FAB">
      <w:pPr>
        <w:pStyle w:val="Heading1"/>
        <w:keepNext w:val="0"/>
        <w:rPr>
          <w:b/>
          <w:bCs w:val="0"/>
          <w:sz w:val="28"/>
          <w:szCs w:val="28"/>
        </w:rPr>
      </w:pPr>
      <w:r>
        <w:rPr>
          <w:b/>
          <w:bCs w:val="0"/>
          <w:sz w:val="28"/>
          <w:szCs w:val="28"/>
        </w:rPr>
        <w:t>Are incentives</w:t>
      </w:r>
      <w:r w:rsidRPr="0043788A">
        <w:rPr>
          <w:b/>
          <w:bCs w:val="0"/>
          <w:sz w:val="28"/>
          <w:szCs w:val="28"/>
        </w:rPr>
        <w:t xml:space="preserve"> for doctors working in primary care while undertaking vocational training</w:t>
      </w:r>
      <w:r>
        <w:rPr>
          <w:b/>
          <w:bCs w:val="0"/>
          <w:sz w:val="28"/>
          <w:szCs w:val="28"/>
        </w:rPr>
        <w:t xml:space="preserve"> changing</w:t>
      </w:r>
      <w:r w:rsidRPr="0043788A">
        <w:rPr>
          <w:b/>
          <w:bCs w:val="0"/>
          <w:sz w:val="28"/>
          <w:szCs w:val="28"/>
        </w:rPr>
        <w:t xml:space="preserve">? </w:t>
      </w:r>
    </w:p>
    <w:p w14:paraId="265DF25F" w14:textId="77777777" w:rsidR="009D5FAB" w:rsidRDefault="009D5FAB" w:rsidP="009D5FAB">
      <w:pPr>
        <w:rPr>
          <w:rFonts w:ascii="Calibri" w:eastAsia="Times New Roman" w:hAnsi="Calibri" w:cs="Times New Roman"/>
          <w:szCs w:val="24"/>
        </w:rPr>
      </w:pPr>
      <w:r>
        <w:rPr>
          <w:rFonts w:ascii="Calibri" w:eastAsia="Times New Roman" w:hAnsi="Calibri" w:cs="Times New Roman"/>
          <w:szCs w:val="24"/>
        </w:rPr>
        <w:t>No. There will be no change to the maximum incentive amounts for doctors undertaking eligible GP or rural generalist training under an approved training pathway in MM3-7, provided other eligibility requirements for WIP Doctor Stream payment are met.</w:t>
      </w:r>
    </w:p>
    <w:p w14:paraId="7D27EDC4" w14:textId="77777777" w:rsidR="009D5FAB" w:rsidRDefault="009D5FAB" w:rsidP="009D5FAB">
      <w:pPr>
        <w:rPr>
          <w:rFonts w:ascii="Calibri" w:eastAsia="Times New Roman" w:hAnsi="Calibri" w:cs="Times New Roman"/>
          <w:szCs w:val="24"/>
        </w:rPr>
      </w:pPr>
      <w:r>
        <w:rPr>
          <w:rFonts w:ascii="Calibri" w:eastAsia="Times New Roman" w:hAnsi="Calibri" w:cs="Times New Roman"/>
          <w:szCs w:val="24"/>
        </w:rPr>
        <w:t>From January 2024, Doctors undertaking vocational training in MM3-7 may be eligible for the maximum WIP Doctor Stream (</w:t>
      </w:r>
      <w:r>
        <w:rPr>
          <w:rStyle w:val="StandardText"/>
        </w:rPr>
        <w:t>vocationally registered</w:t>
      </w:r>
      <w:r>
        <w:rPr>
          <w:rFonts w:ascii="Calibri" w:eastAsia="Times New Roman" w:hAnsi="Calibri" w:cs="Times New Roman"/>
          <w:szCs w:val="24"/>
        </w:rPr>
        <w:t>) payment, once they meet the required number of active quarters.</w:t>
      </w:r>
    </w:p>
    <w:p w14:paraId="7FD96E70" w14:textId="77777777" w:rsidR="009D5FAB" w:rsidRPr="0019777F" w:rsidRDefault="009D5FAB" w:rsidP="009D5FAB">
      <w:pPr>
        <w:pStyle w:val="Heading1"/>
        <w:rPr>
          <w:b/>
          <w:bCs w:val="0"/>
          <w:sz w:val="28"/>
          <w:szCs w:val="28"/>
        </w:rPr>
      </w:pPr>
      <w:r>
        <w:rPr>
          <w:b/>
          <w:bCs w:val="0"/>
          <w:sz w:val="28"/>
          <w:szCs w:val="28"/>
        </w:rPr>
        <w:t xml:space="preserve">How are </w:t>
      </w:r>
      <w:r w:rsidRPr="0019777F">
        <w:rPr>
          <w:b/>
          <w:bCs w:val="0"/>
          <w:sz w:val="28"/>
          <w:szCs w:val="28"/>
        </w:rPr>
        <w:t>WIP - Doctor Stream payment</w:t>
      </w:r>
      <w:r>
        <w:rPr>
          <w:b/>
          <w:bCs w:val="0"/>
          <w:sz w:val="28"/>
          <w:szCs w:val="28"/>
        </w:rPr>
        <w:t>s paid?</w:t>
      </w:r>
    </w:p>
    <w:p w14:paraId="536EB0CD" w14:textId="77777777" w:rsidR="009D5FAB" w:rsidRPr="0019777F" w:rsidRDefault="009D5FAB" w:rsidP="009D5FAB">
      <w:pPr>
        <w:keepNext/>
        <w:rPr>
          <w:rFonts w:cstheme="minorHAnsi"/>
        </w:rPr>
      </w:pPr>
      <w:r w:rsidRPr="0019777F">
        <w:rPr>
          <w:rFonts w:cstheme="minorHAnsi"/>
        </w:rPr>
        <w:t>There are two payment systems used for the WIP – Doctor Stream, the:</w:t>
      </w:r>
    </w:p>
    <w:p w14:paraId="58819AE3" w14:textId="77777777" w:rsidR="009D5FAB" w:rsidRPr="0019777F" w:rsidRDefault="009D5FAB" w:rsidP="009D5FAB">
      <w:pPr>
        <w:pStyle w:val="ListParagraph"/>
        <w:numPr>
          <w:ilvl w:val="0"/>
          <w:numId w:val="4"/>
        </w:numPr>
        <w:rPr>
          <w:rFonts w:cstheme="minorHAnsi"/>
        </w:rPr>
      </w:pPr>
      <w:r w:rsidRPr="0019777F">
        <w:rPr>
          <w:rFonts w:cstheme="minorHAnsi"/>
          <w:b/>
          <w:bCs/>
        </w:rPr>
        <w:t>Central Payment System (CPS)</w:t>
      </w:r>
      <w:r w:rsidRPr="0019777F">
        <w:rPr>
          <w:rFonts w:cstheme="minorHAnsi"/>
        </w:rPr>
        <w:t xml:space="preserve"> - this is used for doctors who bill Medicare for eligible primary care services. Doctors receive automated payments made by Services Australia through the CPS and do not need to apply for this payment.</w:t>
      </w:r>
    </w:p>
    <w:p w14:paraId="7F1FDE50" w14:textId="77777777" w:rsidR="009D5FAB" w:rsidRPr="0019777F" w:rsidRDefault="009D5FAB" w:rsidP="009D5FAB">
      <w:pPr>
        <w:pStyle w:val="ListParagraph"/>
        <w:numPr>
          <w:ilvl w:val="0"/>
          <w:numId w:val="4"/>
        </w:numPr>
        <w:rPr>
          <w:rFonts w:cstheme="minorHAnsi"/>
        </w:rPr>
      </w:pPr>
      <w:r w:rsidRPr="0019777F">
        <w:rPr>
          <w:rFonts w:cstheme="minorHAnsi"/>
          <w:b/>
          <w:bCs/>
        </w:rPr>
        <w:t>Flexible Payment System (FPS)</w:t>
      </w:r>
      <w:r w:rsidRPr="0019777F">
        <w:rPr>
          <w:rFonts w:cstheme="minorHAnsi"/>
        </w:rPr>
        <w:t xml:space="preserve"> - Doctors need to apply under the FPS if they provide eligible non-</w:t>
      </w:r>
      <w:r>
        <w:rPr>
          <w:rFonts w:cstheme="minorHAnsi"/>
        </w:rPr>
        <w:t xml:space="preserve">MBS </w:t>
      </w:r>
      <w:r w:rsidRPr="0019777F">
        <w:rPr>
          <w:rFonts w:cstheme="minorHAnsi"/>
        </w:rPr>
        <w:t xml:space="preserve">billed primary care services/or undertake approved GP training that is not reflected in the MBS records. </w:t>
      </w:r>
    </w:p>
    <w:p w14:paraId="04A099D4" w14:textId="77777777" w:rsidR="009D5FAB" w:rsidRPr="0019777F" w:rsidRDefault="009D5FAB" w:rsidP="009D5FAB">
      <w:pPr>
        <w:rPr>
          <w:rFonts w:cstheme="minorHAnsi"/>
        </w:rPr>
      </w:pPr>
      <w:r w:rsidRPr="0019777F">
        <w:rPr>
          <w:rFonts w:cstheme="minorHAnsi"/>
        </w:rPr>
        <w:t xml:space="preserve">Services Australia administers all WIP - Doctor Stream payments on behalf of the Department of Health and Aged Care for both the CPS and FPS. </w:t>
      </w:r>
    </w:p>
    <w:p w14:paraId="203A09BF" w14:textId="77777777" w:rsidR="009D5FAB" w:rsidRPr="0019777F" w:rsidRDefault="009D5FAB" w:rsidP="009D5FAB">
      <w:pPr>
        <w:keepNext/>
      </w:pPr>
      <w:r w:rsidRPr="0019777F">
        <w:t>More information on the</w:t>
      </w:r>
      <w:r w:rsidRPr="0019777F">
        <w:rPr>
          <w:rFonts w:cstheme="minorHAnsi"/>
        </w:rPr>
        <w:t xml:space="preserve"> WIP – Doctor Stream, including the eligibility and payments systems (the CPS and FPS) </w:t>
      </w:r>
      <w:r w:rsidRPr="0019777F">
        <w:t>is available from the Department of Health and Aged Care’s website (</w:t>
      </w:r>
      <w:hyperlink r:id="rId13" w:history="1">
        <w:r w:rsidRPr="0019777F">
          <w:rPr>
            <w:rStyle w:val="Hyperlink"/>
          </w:rPr>
          <w:t>www.health.gov.au/our-work/workforce-incentive-program</w:t>
        </w:r>
      </w:hyperlink>
      <w:r w:rsidRPr="0019777F">
        <w:t>).</w:t>
      </w:r>
    </w:p>
    <w:p w14:paraId="6D94B2E9" w14:textId="2C4B7B3F" w:rsidR="009D5FAB" w:rsidRPr="004D0ACC" w:rsidRDefault="009D5FAB" w:rsidP="009D5FAB">
      <w:pPr>
        <w:pStyle w:val="Heading1"/>
        <w:keepNext w:val="0"/>
        <w:rPr>
          <w:b/>
          <w:bCs w:val="0"/>
          <w:sz w:val="28"/>
          <w:szCs w:val="28"/>
        </w:rPr>
      </w:pPr>
      <w:r w:rsidRPr="004D0ACC">
        <w:rPr>
          <w:b/>
          <w:bCs w:val="0"/>
          <w:sz w:val="28"/>
          <w:szCs w:val="28"/>
        </w:rPr>
        <w:t xml:space="preserve">How do </w:t>
      </w:r>
      <w:r>
        <w:rPr>
          <w:b/>
          <w:bCs w:val="0"/>
          <w:sz w:val="28"/>
          <w:szCs w:val="28"/>
        </w:rPr>
        <w:t>Doctors</w:t>
      </w:r>
      <w:r w:rsidRPr="004D0ACC">
        <w:rPr>
          <w:b/>
          <w:bCs w:val="0"/>
          <w:sz w:val="28"/>
          <w:szCs w:val="28"/>
        </w:rPr>
        <w:t xml:space="preserve"> apply</w:t>
      </w:r>
      <w:r>
        <w:rPr>
          <w:b/>
          <w:bCs w:val="0"/>
          <w:sz w:val="28"/>
          <w:szCs w:val="28"/>
        </w:rPr>
        <w:t xml:space="preserve"> for WIP - Doctor Stream?</w:t>
      </w:r>
      <w:r w:rsidRPr="004D0ACC">
        <w:rPr>
          <w:b/>
          <w:bCs w:val="0"/>
          <w:sz w:val="28"/>
          <w:szCs w:val="28"/>
        </w:rPr>
        <w:t xml:space="preserve"> </w:t>
      </w:r>
    </w:p>
    <w:p w14:paraId="7CA07C44" w14:textId="77777777" w:rsidR="009D5FAB" w:rsidRDefault="009D5FAB" w:rsidP="009D5FAB">
      <w:r>
        <w:t>If a doctor is billing the MBS regularly, no application is needed. Through the CPS, these billings are automatically assessed and the incentive is calculated and processed as a single payment if the doctor is eligible.</w:t>
      </w:r>
    </w:p>
    <w:p w14:paraId="33CC4500" w14:textId="77777777" w:rsidR="009D5FAB" w:rsidRDefault="009D5FAB" w:rsidP="009D5FAB">
      <w:pPr>
        <w:rPr>
          <w:rFonts w:cstheme="minorHAnsi"/>
        </w:rPr>
      </w:pPr>
      <w:r>
        <w:rPr>
          <w:rFonts w:cstheme="minorHAnsi"/>
        </w:rPr>
        <w:t xml:space="preserve">However, if the doctor is providing eligible non-billed primary care services or undertaken approved GP training that is not reflected in Services Australia records, the doctor may need to apply under the FPS. When submitting an application for FPS the doctor must: </w:t>
      </w:r>
    </w:p>
    <w:p w14:paraId="3E7FD410" w14:textId="77777777" w:rsidR="009D5FAB" w:rsidRPr="00136C46" w:rsidRDefault="009D5FAB" w:rsidP="009D5FAB">
      <w:pPr>
        <w:pStyle w:val="ListParagraph"/>
        <w:keepNext/>
        <w:keepLines/>
        <w:numPr>
          <w:ilvl w:val="0"/>
          <w:numId w:val="7"/>
        </w:numPr>
        <w:ind w:left="714" w:hanging="357"/>
        <w:rPr>
          <w:rFonts w:cstheme="minorHAnsi"/>
        </w:rPr>
      </w:pPr>
      <w:r w:rsidRPr="00136C46">
        <w:rPr>
          <w:rFonts w:cstheme="minorHAnsi"/>
        </w:rPr>
        <w:lastRenderedPageBreak/>
        <w:t xml:space="preserve">apply directly to the Rural Workforce Agency (RWA) in the state or territory in which they provide </w:t>
      </w:r>
      <w:r>
        <w:rPr>
          <w:rFonts w:cstheme="minorHAnsi"/>
        </w:rPr>
        <w:t xml:space="preserve">the </w:t>
      </w:r>
      <w:r w:rsidRPr="00136C46">
        <w:rPr>
          <w:rFonts w:cstheme="minorHAnsi"/>
        </w:rPr>
        <w:t>majority of services</w:t>
      </w:r>
      <w:r>
        <w:rPr>
          <w:rFonts w:cstheme="minorHAnsi"/>
        </w:rPr>
        <w:t>; and</w:t>
      </w:r>
    </w:p>
    <w:p w14:paraId="48F73318" w14:textId="77777777" w:rsidR="009D5FAB" w:rsidRPr="000D6C89" w:rsidRDefault="009D5FAB" w:rsidP="009D5FAB">
      <w:pPr>
        <w:pStyle w:val="ListParagraph"/>
        <w:keepNext/>
        <w:keepLines/>
        <w:numPr>
          <w:ilvl w:val="0"/>
          <w:numId w:val="7"/>
        </w:numPr>
        <w:ind w:left="714" w:hanging="357"/>
        <w:rPr>
          <w:rFonts w:cstheme="minorHAnsi"/>
        </w:rPr>
      </w:pPr>
      <w:r w:rsidRPr="00136C46">
        <w:rPr>
          <w:rFonts w:cstheme="minorHAnsi"/>
        </w:rPr>
        <w:t>include all time spent providing WIP</w:t>
      </w:r>
      <w:r>
        <w:rPr>
          <w:rFonts w:cstheme="minorHAnsi"/>
        </w:rPr>
        <w:t xml:space="preserve"> -</w:t>
      </w:r>
      <w:r w:rsidRPr="00136C46">
        <w:rPr>
          <w:rFonts w:cstheme="minorHAnsi"/>
        </w:rPr>
        <w:t xml:space="preserve"> Doctor Stream eligible services, regardless of whether the services were MBS Billed. This is to ensure all eligible primary care activity has been counted to meet the minimum level of activity.</w:t>
      </w:r>
    </w:p>
    <w:p w14:paraId="4E6FEBEC" w14:textId="77777777" w:rsidR="009D5FAB" w:rsidRPr="0042138D" w:rsidRDefault="009D5FAB" w:rsidP="009D5FAB">
      <w:pPr>
        <w:pStyle w:val="Heading1"/>
        <w:keepNext w:val="0"/>
        <w:rPr>
          <w:b/>
          <w:bCs w:val="0"/>
          <w:sz w:val="28"/>
          <w:szCs w:val="28"/>
        </w:rPr>
      </w:pPr>
      <w:r w:rsidRPr="004D0ACC">
        <w:rPr>
          <w:b/>
          <w:bCs w:val="0"/>
          <w:sz w:val="28"/>
          <w:szCs w:val="28"/>
        </w:rPr>
        <w:t>Contact Information</w:t>
      </w:r>
    </w:p>
    <w:p w14:paraId="36BA8C29" w14:textId="77777777" w:rsidR="009D5FAB" w:rsidRDefault="009D5FAB" w:rsidP="009D5FAB">
      <w:r w:rsidRPr="00435354">
        <w:rPr>
          <w:b/>
        </w:rPr>
        <w:t>Department of Health</w:t>
      </w:r>
      <w:r>
        <w:rPr>
          <w:b/>
        </w:rPr>
        <w:t xml:space="preserve"> and Aged Care</w:t>
      </w:r>
      <w:r>
        <w:t xml:space="preserve"> - for eligibility enquiries:</w:t>
      </w:r>
    </w:p>
    <w:p w14:paraId="2D9FC90D" w14:textId="77777777" w:rsidR="009D5FAB" w:rsidRDefault="009D5FAB" w:rsidP="009D5FAB">
      <w:pPr>
        <w:spacing w:after="0"/>
      </w:pPr>
      <w:r>
        <w:t xml:space="preserve">Website: </w:t>
      </w:r>
      <w:hyperlink r:id="rId14" w:history="1">
        <w:r w:rsidRPr="004F22D8">
          <w:rPr>
            <w:rStyle w:val="Hyperlink"/>
          </w:rPr>
          <w:t>www.health.gov.au/our-work/workforce-incentive-program</w:t>
        </w:r>
      </w:hyperlink>
    </w:p>
    <w:p w14:paraId="65F0CE7D" w14:textId="77777777" w:rsidR="009D5FAB" w:rsidRPr="005A23C9" w:rsidRDefault="009D5FAB" w:rsidP="009D5FAB">
      <w:r>
        <w:t xml:space="preserve">Email: </w:t>
      </w:r>
      <w:hyperlink r:id="rId15" w:history="1">
        <w:r w:rsidRPr="005A23C9">
          <w:t>WIP@health.gov.au</w:t>
        </w:r>
      </w:hyperlink>
    </w:p>
    <w:p w14:paraId="622E7849" w14:textId="77777777" w:rsidR="009D5FAB" w:rsidRDefault="009D5FAB" w:rsidP="009D5FAB">
      <w:r w:rsidRPr="00435354">
        <w:rPr>
          <w:b/>
        </w:rPr>
        <w:t>Rural Workforce Agencies</w:t>
      </w:r>
      <w:r>
        <w:t xml:space="preserve"> - for FPS enquiries and to submit applications under FPS:</w:t>
      </w:r>
    </w:p>
    <w:p w14:paraId="2BC9716C" w14:textId="2B9E8814" w:rsidR="009D5FAB" w:rsidRPr="008146FB" w:rsidRDefault="00000000" w:rsidP="009D5FAB">
      <w:hyperlink r:id="rId16" w:history="1">
        <w:r w:rsidR="009D5FAB" w:rsidRPr="008146FB">
          <w:rPr>
            <w:rStyle w:val="Hyperlink"/>
          </w:rPr>
          <w:t>Northern Territory Primary Health Network</w:t>
        </w:r>
      </w:hyperlink>
      <w:r w:rsidR="009D5FAB" w:rsidRPr="008146FB">
        <w:br/>
        <w:t xml:space="preserve">Email: </w:t>
      </w:r>
      <w:hyperlink r:id="rId17" w:history="1">
        <w:r w:rsidR="00EE5452" w:rsidRPr="00E7396B">
          <w:rPr>
            <w:rStyle w:val="Hyperlink"/>
            <w:rFonts w:ascii="Calibri" w:hAnsi="Calibri" w:cs="Calibri"/>
          </w:rPr>
          <w:t>g</w:t>
        </w:r>
        <w:r w:rsidR="009D0BF0">
          <w:rPr>
            <w:rStyle w:val="Hyperlink"/>
            <w:rFonts w:ascii="Calibri" w:hAnsi="Calibri" w:cs="Calibri"/>
          </w:rPr>
          <w:t>p</w:t>
        </w:r>
        <w:r w:rsidR="00EE5452" w:rsidRPr="00E7396B">
          <w:rPr>
            <w:rStyle w:val="Hyperlink"/>
            <w:rFonts w:ascii="Calibri" w:hAnsi="Calibri" w:cs="Calibri"/>
          </w:rPr>
          <w:t>wip@ntphn.org.au</w:t>
        </w:r>
      </w:hyperlink>
      <w:r w:rsidR="009D5FAB" w:rsidRPr="008146FB">
        <w:br/>
        <w:t>Phone: (08) 8982 1000</w:t>
      </w:r>
    </w:p>
    <w:p w14:paraId="6A10FB19" w14:textId="7C1BD06F" w:rsidR="009D5FAB" w:rsidRPr="008146FB" w:rsidRDefault="00000000" w:rsidP="009D5FAB">
      <w:hyperlink r:id="rId18" w:history="1">
        <w:r w:rsidR="009D5FAB" w:rsidRPr="008146FB">
          <w:rPr>
            <w:rStyle w:val="Hyperlink"/>
          </w:rPr>
          <w:t>Rural Doctors Workforce Agency South Australia</w:t>
        </w:r>
      </w:hyperlink>
      <w:r w:rsidR="009D5FAB" w:rsidRPr="008146FB">
        <w:br/>
        <w:t xml:space="preserve">Email: </w:t>
      </w:r>
      <w:hyperlink r:id="rId19" w:history="1">
        <w:r w:rsidR="00EE5452" w:rsidRPr="00E7396B">
          <w:rPr>
            <w:rStyle w:val="Hyperlink"/>
            <w:rFonts w:ascii="Calibri" w:hAnsi="Calibri" w:cs="Calibri"/>
          </w:rPr>
          <w:t>gpservices@ruraldoc.com.au</w:t>
        </w:r>
      </w:hyperlink>
      <w:r w:rsidR="009D5FAB" w:rsidRPr="008146FB">
        <w:br/>
        <w:t>Phone: (08) 8234 8277</w:t>
      </w:r>
    </w:p>
    <w:p w14:paraId="287DD722" w14:textId="4BE01F63" w:rsidR="009D5FAB" w:rsidRPr="008146FB" w:rsidRDefault="00000000" w:rsidP="009D5FAB">
      <w:hyperlink r:id="rId20" w:history="1">
        <w:r w:rsidR="009D5FAB" w:rsidRPr="008146FB">
          <w:rPr>
            <w:rStyle w:val="Hyperlink"/>
          </w:rPr>
          <w:t>Rural Health West</w:t>
        </w:r>
      </w:hyperlink>
      <w:r w:rsidR="009D5FAB" w:rsidRPr="008146FB">
        <w:br/>
        <w:t xml:space="preserve">Email: </w:t>
      </w:r>
      <w:hyperlink r:id="rId21" w:history="1">
        <w:r w:rsidR="00EE5452" w:rsidRPr="00A475E3">
          <w:rPr>
            <w:rStyle w:val="Hyperlink"/>
            <w:rFonts w:eastAsiaTheme="majorEastAsia" w:cstheme="minorHAnsi"/>
          </w:rPr>
          <w:t xml:space="preserve">accounts@ruralhealthwest.com.au </w:t>
        </w:r>
      </w:hyperlink>
      <w:r w:rsidR="009D5FAB" w:rsidRPr="008146FB">
        <w:br/>
        <w:t>Phone: (08) 6389 4500</w:t>
      </w:r>
    </w:p>
    <w:p w14:paraId="7EB30026" w14:textId="70141264" w:rsidR="009D5FAB" w:rsidRPr="008146FB" w:rsidRDefault="00000000" w:rsidP="009D5FAB">
      <w:hyperlink r:id="rId22" w:history="1">
        <w:r w:rsidR="009D5FAB" w:rsidRPr="008146FB">
          <w:rPr>
            <w:rStyle w:val="Hyperlink"/>
          </w:rPr>
          <w:t>HRPlus</w:t>
        </w:r>
      </w:hyperlink>
      <w:r w:rsidR="009D5FAB" w:rsidRPr="008146FB">
        <w:rPr>
          <w:rStyle w:val="Hyperlink"/>
        </w:rPr>
        <w:t xml:space="preserve"> Tas</w:t>
      </w:r>
      <w:r w:rsidR="009D5FAB" w:rsidRPr="008146FB">
        <w:br/>
        <w:t xml:space="preserve">Email: </w:t>
      </w:r>
      <w:hyperlink r:id="rId23" w:history="1">
        <w:r w:rsidR="00EE5452" w:rsidRPr="003B1022">
          <w:rPr>
            <w:rStyle w:val="Hyperlink"/>
            <w:rFonts w:eastAsiaTheme="majorEastAsia" w:cstheme="minorHAnsi"/>
          </w:rPr>
          <w:t>admin@hrplus</w:t>
        </w:r>
        <w:r w:rsidR="00EE5452" w:rsidRPr="003B1022">
          <w:rPr>
            <w:rStyle w:val="Hyperlink"/>
            <w:rFonts w:cstheme="minorHAnsi"/>
          </w:rPr>
          <w:t>.com.au</w:t>
        </w:r>
      </w:hyperlink>
      <w:r w:rsidR="009D5FAB" w:rsidRPr="008146FB">
        <w:br/>
        <w:t>Phone: (03) 6332 8600</w:t>
      </w:r>
    </w:p>
    <w:p w14:paraId="3419B8FA" w14:textId="0F694F77" w:rsidR="009D5FAB" w:rsidRPr="008146FB" w:rsidRDefault="00000000" w:rsidP="009D5FAB">
      <w:hyperlink r:id="rId24" w:history="1">
        <w:r w:rsidR="009D5FAB" w:rsidRPr="008146FB">
          <w:rPr>
            <w:rStyle w:val="Hyperlink"/>
          </w:rPr>
          <w:t>New South Wales Rural Doctors Network</w:t>
        </w:r>
      </w:hyperlink>
      <w:r w:rsidR="009D5FAB" w:rsidRPr="008146FB">
        <w:br/>
        <w:t xml:space="preserve">Email: </w:t>
      </w:r>
      <w:hyperlink r:id="rId25" w:history="1">
        <w:r w:rsidR="006A7F29" w:rsidRPr="00A475E3">
          <w:rPr>
            <w:rStyle w:val="Hyperlink"/>
            <w:rFonts w:eastAsiaTheme="majorEastAsia" w:cstheme="minorHAnsi"/>
          </w:rPr>
          <w:t xml:space="preserve">gpgrants@nswrdn.com.au </w:t>
        </w:r>
      </w:hyperlink>
      <w:r w:rsidR="009D5FAB" w:rsidRPr="008146FB">
        <w:br/>
        <w:t>Phone: (02) 4924 8000</w:t>
      </w:r>
    </w:p>
    <w:p w14:paraId="59DA1C5F" w14:textId="7AC7D8DB" w:rsidR="009D5FAB" w:rsidRPr="008146FB" w:rsidRDefault="00000000" w:rsidP="009D5FAB">
      <w:hyperlink r:id="rId26" w:history="1">
        <w:r w:rsidR="009D5FAB" w:rsidRPr="008146FB">
          <w:rPr>
            <w:rStyle w:val="Hyperlink"/>
          </w:rPr>
          <w:t>Health Workforce Queensland</w:t>
        </w:r>
      </w:hyperlink>
      <w:r w:rsidR="009D5FAB" w:rsidRPr="008146FB">
        <w:br/>
        <w:t xml:space="preserve">Email: </w:t>
      </w:r>
      <w:hyperlink r:id="rId27" w:history="1">
        <w:r w:rsidR="006A7F29" w:rsidRPr="00E7396B">
          <w:rPr>
            <w:rStyle w:val="Hyperlink"/>
            <w:rFonts w:ascii="Calibri" w:hAnsi="Calibri" w:cs="Calibri"/>
          </w:rPr>
          <w:t>wipds@healthworkforce.com.au</w:t>
        </w:r>
      </w:hyperlink>
      <w:r w:rsidR="009D5FAB" w:rsidRPr="008146FB">
        <w:br/>
        <w:t xml:space="preserve">Phone: (07) 3105 </w:t>
      </w:r>
      <w:r w:rsidR="009D5FAB">
        <w:t>7853</w:t>
      </w:r>
    </w:p>
    <w:p w14:paraId="1F7F4247" w14:textId="786AA3AB" w:rsidR="009D5FAB" w:rsidRPr="006A7F29" w:rsidRDefault="00000000" w:rsidP="006A7F29">
      <w:pPr>
        <w:pStyle w:val="NormalWeb"/>
        <w:spacing w:before="0" w:beforeAutospacing="0" w:after="0" w:afterAutospacing="0"/>
        <w:rPr>
          <w:rFonts w:asciiTheme="minorHAnsi" w:eastAsiaTheme="minorHAnsi" w:hAnsiTheme="minorHAnsi" w:cstheme="minorBidi"/>
          <w:sz w:val="22"/>
          <w:szCs w:val="22"/>
          <w:lang w:eastAsia="en-US"/>
        </w:rPr>
      </w:pPr>
      <w:hyperlink r:id="rId28" w:history="1">
        <w:r w:rsidR="009D5FAB" w:rsidRPr="006A7F29">
          <w:rPr>
            <w:rStyle w:val="Hyperlink"/>
            <w:rFonts w:asciiTheme="minorHAnsi" w:eastAsiaTheme="minorHAnsi" w:hAnsiTheme="minorHAnsi" w:cstheme="minorBidi"/>
            <w:sz w:val="22"/>
            <w:szCs w:val="22"/>
            <w:lang w:eastAsia="en-US"/>
          </w:rPr>
          <w:t>Rural Workforce Agency Victoria</w:t>
        </w:r>
      </w:hyperlink>
      <w:r w:rsidR="009D5FAB" w:rsidRPr="006A7F29">
        <w:rPr>
          <w:rStyle w:val="Hyperlink"/>
          <w:rFonts w:asciiTheme="minorHAnsi" w:eastAsiaTheme="minorHAnsi" w:hAnsiTheme="minorHAnsi" w:cstheme="minorBidi"/>
          <w:sz w:val="22"/>
          <w:szCs w:val="22"/>
          <w:lang w:eastAsia="en-US"/>
        </w:rPr>
        <w:br/>
      </w:r>
      <w:r w:rsidR="009D5FAB" w:rsidRPr="006A7F29">
        <w:rPr>
          <w:rFonts w:asciiTheme="minorHAnsi" w:eastAsiaTheme="minorHAnsi" w:hAnsiTheme="minorHAnsi" w:cstheme="minorBidi"/>
          <w:sz w:val="22"/>
          <w:szCs w:val="22"/>
          <w:lang w:eastAsia="en-US"/>
        </w:rPr>
        <w:t xml:space="preserve">Email: </w:t>
      </w:r>
      <w:bookmarkStart w:id="0" w:name="_Hlk144289226"/>
      <w:r w:rsidR="006A7F29">
        <w:fldChar w:fldCharType="begin"/>
      </w:r>
      <w:r w:rsidR="006A7F29">
        <w:instrText>HYPERLINK "mailto:rwav@rwav.com.au"</w:instrText>
      </w:r>
      <w:r w:rsidR="006A7F29">
        <w:fldChar w:fldCharType="separate"/>
      </w:r>
      <w:r w:rsidR="006A7F29" w:rsidRPr="00A475E3">
        <w:rPr>
          <w:rStyle w:val="Hyperlink"/>
          <w:rFonts w:asciiTheme="minorHAnsi" w:eastAsiaTheme="majorEastAsia" w:hAnsiTheme="minorHAnsi" w:cstheme="minorHAnsi"/>
          <w:sz w:val="22"/>
          <w:szCs w:val="22"/>
        </w:rPr>
        <w:t>rwav@rwav.com.au</w:t>
      </w:r>
      <w:r w:rsidR="006A7F29">
        <w:rPr>
          <w:rStyle w:val="Hyperlink"/>
          <w:rFonts w:asciiTheme="minorHAnsi" w:eastAsiaTheme="majorEastAsia" w:hAnsiTheme="minorHAnsi" w:cstheme="minorHAnsi"/>
          <w:sz w:val="22"/>
          <w:szCs w:val="22"/>
        </w:rPr>
        <w:fldChar w:fldCharType="end"/>
      </w:r>
      <w:r w:rsidR="006A7F29" w:rsidRPr="00A475E3">
        <w:rPr>
          <w:rFonts w:asciiTheme="minorHAnsi" w:eastAsiaTheme="majorEastAsia" w:hAnsiTheme="minorHAnsi" w:cstheme="minorHAnsi"/>
          <w:sz w:val="22"/>
          <w:szCs w:val="22"/>
        </w:rPr>
        <w:t xml:space="preserve"> </w:t>
      </w:r>
      <w:bookmarkEnd w:id="0"/>
      <w:r w:rsidR="009D5FAB" w:rsidRPr="008146FB">
        <w:br/>
      </w:r>
      <w:r w:rsidR="009D5FAB" w:rsidRPr="006A7F29">
        <w:rPr>
          <w:rFonts w:asciiTheme="minorHAnsi" w:eastAsiaTheme="minorHAnsi" w:hAnsiTheme="minorHAnsi" w:cstheme="minorBidi"/>
          <w:sz w:val="22"/>
          <w:szCs w:val="22"/>
          <w:lang w:eastAsia="en-US"/>
        </w:rPr>
        <w:t>Phone: (03) 9349 7800</w:t>
      </w:r>
    </w:p>
    <w:p w14:paraId="701E687E" w14:textId="2E15DB25" w:rsidR="009D5FAB" w:rsidRPr="00BC052D" w:rsidRDefault="009D5FAB" w:rsidP="006A7F29">
      <w:pPr>
        <w:spacing w:before="160"/>
        <w:rPr>
          <w:bCs/>
        </w:rPr>
      </w:pPr>
      <w:r>
        <w:rPr>
          <w:b/>
        </w:rPr>
        <w:t xml:space="preserve">GP Colleges - </w:t>
      </w:r>
      <w:r w:rsidRPr="00BC052D">
        <w:rPr>
          <w:bCs/>
        </w:rPr>
        <w:t xml:space="preserve">for </w:t>
      </w:r>
      <w:r>
        <w:rPr>
          <w:bCs/>
        </w:rPr>
        <w:t>enquiries about</w:t>
      </w:r>
      <w:r w:rsidRPr="00BC052D">
        <w:rPr>
          <w:bCs/>
        </w:rPr>
        <w:t xml:space="preserve"> approved training </w:t>
      </w:r>
      <w:r>
        <w:rPr>
          <w:bCs/>
        </w:rPr>
        <w:t>pathway</w:t>
      </w:r>
      <w:r w:rsidRPr="00BC052D">
        <w:rPr>
          <w:bCs/>
        </w:rPr>
        <w:t xml:space="preserve">s, including eligibility and application processes: </w:t>
      </w:r>
    </w:p>
    <w:p w14:paraId="599BADA5" w14:textId="77777777" w:rsidR="009D5FAB" w:rsidRDefault="00000000" w:rsidP="009D5FAB">
      <w:pPr>
        <w:spacing w:after="0" w:line="240" w:lineRule="auto"/>
        <w:rPr>
          <w:rStyle w:val="StandardText"/>
        </w:rPr>
      </w:pPr>
      <w:hyperlink r:id="rId29" w:history="1">
        <w:r w:rsidR="009D5FAB" w:rsidRPr="00D81C29">
          <w:rPr>
            <w:rStyle w:val="Hyperlink"/>
            <w:rFonts w:ascii="Calibri" w:hAnsi="Calibri"/>
          </w:rPr>
          <w:t>Australian College of Rural and Remote Medicine</w:t>
        </w:r>
      </w:hyperlink>
      <w:r w:rsidR="009D5FAB">
        <w:rPr>
          <w:rStyle w:val="StandardText"/>
        </w:rPr>
        <w:t xml:space="preserve"> – Pathways to Fellowship</w:t>
      </w:r>
    </w:p>
    <w:p w14:paraId="44618728" w14:textId="77777777" w:rsidR="009D5FAB" w:rsidRDefault="009D5FAB" w:rsidP="009D5FAB">
      <w:pPr>
        <w:spacing w:after="0" w:line="240" w:lineRule="auto"/>
        <w:rPr>
          <w:rStyle w:val="StandardText"/>
        </w:rPr>
      </w:pPr>
      <w:r>
        <w:rPr>
          <w:rStyle w:val="StandardText"/>
        </w:rPr>
        <w:t>E</w:t>
      </w:r>
      <w:r w:rsidRPr="00D81C29">
        <w:rPr>
          <w:rStyle w:val="StandardText"/>
        </w:rPr>
        <w:t>mail</w:t>
      </w:r>
      <w:r>
        <w:rPr>
          <w:rStyle w:val="StandardText"/>
        </w:rPr>
        <w:t>:</w:t>
      </w:r>
      <w:r w:rsidRPr="00D81C29">
        <w:rPr>
          <w:rStyle w:val="StandardText"/>
        </w:rPr>
        <w:t xml:space="preserve"> </w:t>
      </w:r>
      <w:hyperlink r:id="rId30" w:history="1">
        <w:r w:rsidRPr="00967E89">
          <w:rPr>
            <w:rStyle w:val="Hyperlink"/>
          </w:rPr>
          <w:t>selection@acrrm.org.au</w:t>
        </w:r>
      </w:hyperlink>
    </w:p>
    <w:p w14:paraId="6C8AD8CE" w14:textId="77777777" w:rsidR="009D5FAB" w:rsidRPr="006A7F29" w:rsidRDefault="009D5FAB" w:rsidP="009D5FAB">
      <w:pPr>
        <w:spacing w:after="0" w:line="240" w:lineRule="auto"/>
      </w:pPr>
      <w:r w:rsidRPr="006A7F29">
        <w:t>Phone: 1800 223 226</w:t>
      </w:r>
    </w:p>
    <w:p w14:paraId="25AC376C" w14:textId="77777777" w:rsidR="009D5FAB" w:rsidRDefault="009D5FAB" w:rsidP="009D5FAB">
      <w:pPr>
        <w:spacing w:after="0" w:line="240" w:lineRule="auto"/>
        <w:rPr>
          <w:rStyle w:val="StandardText"/>
        </w:rPr>
      </w:pPr>
    </w:p>
    <w:p w14:paraId="1FB42957" w14:textId="60C7386F" w:rsidR="006A7F29" w:rsidRDefault="00000000" w:rsidP="009D5FAB">
      <w:pPr>
        <w:spacing w:after="0" w:line="240" w:lineRule="auto"/>
      </w:pPr>
      <w:hyperlink r:id="rId31" w:history="1">
        <w:r w:rsidR="009D5FAB">
          <w:rPr>
            <w:rStyle w:val="Hyperlink"/>
            <w:rFonts w:ascii="Calibri" w:hAnsi="Calibri"/>
          </w:rPr>
          <w:t>Royal Australian College of General Practitioners</w:t>
        </w:r>
      </w:hyperlink>
      <w:r w:rsidR="009D5FAB">
        <w:rPr>
          <w:rStyle w:val="StandardText"/>
        </w:rPr>
        <w:t xml:space="preserve"> - </w:t>
      </w:r>
      <w:r w:rsidR="009D5FAB" w:rsidRPr="00D81C29">
        <w:rPr>
          <w:rStyle w:val="StandardText"/>
        </w:rPr>
        <w:t>GP career and application support</w:t>
      </w:r>
      <w:r w:rsidR="009D5FAB">
        <w:rPr>
          <w:rStyle w:val="StandardText"/>
        </w:rPr>
        <w:t>:</w:t>
      </w:r>
      <w:r w:rsidR="009D5FAB" w:rsidRPr="00D81C29">
        <w:rPr>
          <w:rStyle w:val="StandardText"/>
        </w:rPr>
        <w:br/>
        <w:t>E</w:t>
      </w:r>
      <w:r w:rsidR="009D5FAB">
        <w:rPr>
          <w:rStyle w:val="StandardText"/>
        </w:rPr>
        <w:t>mail</w:t>
      </w:r>
      <w:r w:rsidR="009D5FAB" w:rsidRPr="00D81C29">
        <w:rPr>
          <w:rStyle w:val="StandardText"/>
        </w:rPr>
        <w:t>: </w:t>
      </w:r>
      <w:hyperlink r:id="rId32" w:history="1">
        <w:r w:rsidR="009D5FAB" w:rsidRPr="00BC052D">
          <w:rPr>
            <w:rStyle w:val="Hyperlink"/>
          </w:rPr>
          <w:t>becomeagp@racgp.org.au</w:t>
        </w:r>
      </w:hyperlink>
      <w:r w:rsidR="009D5FAB" w:rsidRPr="00D81C29">
        <w:rPr>
          <w:rStyle w:val="StandardText"/>
        </w:rPr>
        <w:br/>
        <w:t>E</w:t>
      </w:r>
      <w:r w:rsidR="009D5FAB">
        <w:rPr>
          <w:rStyle w:val="StandardText"/>
        </w:rPr>
        <w:t>mail</w:t>
      </w:r>
      <w:r w:rsidR="009D5FAB" w:rsidRPr="00D81C29">
        <w:rPr>
          <w:rStyle w:val="StandardText"/>
        </w:rPr>
        <w:t>: </w:t>
      </w:r>
      <w:hyperlink r:id="rId33" w:history="1">
        <w:r w:rsidR="009D5FAB" w:rsidRPr="00BC052D">
          <w:rPr>
            <w:rStyle w:val="Hyperlink"/>
          </w:rPr>
          <w:t>AGPTeligibility@racgp.org.au</w:t>
        </w:r>
      </w:hyperlink>
      <w:r w:rsidR="009D5FAB" w:rsidRPr="00D81C29">
        <w:rPr>
          <w:rStyle w:val="StandardText"/>
        </w:rPr>
        <w:br/>
      </w:r>
      <w:r w:rsidR="009D5FAB" w:rsidRPr="006A7F29">
        <w:t>Phone: 1800 472 247</w:t>
      </w:r>
    </w:p>
    <w:p w14:paraId="55CCF608" w14:textId="77777777" w:rsidR="006A7F29" w:rsidRDefault="006A7F29" w:rsidP="009D5FAB">
      <w:pPr>
        <w:spacing w:after="0" w:line="240" w:lineRule="auto"/>
      </w:pPr>
    </w:p>
    <w:p w14:paraId="00CD97BE" w14:textId="7BA90F12" w:rsidR="009D5FAB" w:rsidRPr="000D6C89" w:rsidRDefault="00000000" w:rsidP="009D5FAB">
      <w:pPr>
        <w:spacing w:after="0" w:line="240" w:lineRule="auto"/>
        <w:rPr>
          <w:rStyle w:val="StandardText"/>
        </w:rPr>
      </w:pPr>
      <w:hyperlink r:id="rId34" w:history="1">
        <w:r w:rsidR="009D5FAB" w:rsidRPr="000D6C89">
          <w:rPr>
            <w:rStyle w:val="Hyperlink"/>
            <w:rFonts w:ascii="Calibri" w:hAnsi="Calibri"/>
          </w:rPr>
          <w:t>Services Australia</w:t>
        </w:r>
      </w:hyperlink>
      <w:r w:rsidR="009D5FAB" w:rsidRPr="000D6C89">
        <w:rPr>
          <w:rStyle w:val="StandardText"/>
        </w:rPr>
        <w:t xml:space="preserve"> – for CPS assessment, calculation and all post-payment enquiries:</w:t>
      </w:r>
    </w:p>
    <w:p w14:paraId="6A42F31E" w14:textId="77777777" w:rsidR="009D5FAB" w:rsidRPr="000D6C89" w:rsidRDefault="009D5FAB" w:rsidP="009D5FAB">
      <w:pPr>
        <w:spacing w:after="0" w:line="240" w:lineRule="auto"/>
        <w:rPr>
          <w:rStyle w:val="StandardText"/>
        </w:rPr>
      </w:pPr>
      <w:r w:rsidRPr="000D6C89">
        <w:rPr>
          <w:rStyle w:val="StandardText"/>
        </w:rPr>
        <w:t>Phone: 1800 222 032</w:t>
      </w:r>
    </w:p>
    <w:p w14:paraId="2EAE7994" w14:textId="3307667A" w:rsidR="009D5FAB" w:rsidRPr="006A7F29" w:rsidRDefault="009D5FAB" w:rsidP="009D5FAB">
      <w:pPr>
        <w:spacing w:after="0"/>
        <w:rPr>
          <w:color w:val="0563C1" w:themeColor="hyperlink"/>
          <w:u w:val="single"/>
        </w:rPr>
      </w:pPr>
      <w:r>
        <w:t xml:space="preserve">Email: </w:t>
      </w:r>
      <w:hyperlink r:id="rId35" w:history="1">
        <w:r>
          <w:rPr>
            <w:rStyle w:val="Hyperlink"/>
          </w:rPr>
          <w:t>WIPDoctor@servicesaustralia.gov.au</w:t>
        </w:r>
      </w:hyperlink>
    </w:p>
    <w:sectPr w:rsidR="009D5FAB" w:rsidRPr="006A7F29" w:rsidSect="00624B97">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CD28C" w14:textId="77777777" w:rsidR="001A1323" w:rsidRDefault="001A1323" w:rsidP="00774668">
      <w:pPr>
        <w:spacing w:after="0" w:line="240" w:lineRule="auto"/>
      </w:pPr>
      <w:r>
        <w:separator/>
      </w:r>
    </w:p>
  </w:endnote>
  <w:endnote w:type="continuationSeparator" w:id="0">
    <w:p w14:paraId="7FED3F1D" w14:textId="77777777" w:rsidR="001A1323" w:rsidRDefault="001A1323" w:rsidP="0077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2DC6F" w14:textId="77777777" w:rsidR="006B53E0" w:rsidRDefault="006B5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537779"/>
      <w:docPartObj>
        <w:docPartGallery w:val="Page Numbers (Bottom of Page)"/>
        <w:docPartUnique/>
      </w:docPartObj>
    </w:sdtPr>
    <w:sdtEndPr>
      <w:rPr>
        <w:noProof/>
      </w:rPr>
    </w:sdtEndPr>
    <w:sdtContent>
      <w:p w14:paraId="0E73CA78" w14:textId="4B6FB822" w:rsidR="00774668" w:rsidRDefault="00774668" w:rsidP="00774668">
        <w:pPr>
          <w:pStyle w:val="Footer"/>
          <w:jc w:val="right"/>
        </w:pPr>
        <w:r>
          <w:fldChar w:fldCharType="begin"/>
        </w:r>
        <w:r>
          <w:instrText xml:space="preserve"> PAGE   \* MERGEFORMAT </w:instrText>
        </w:r>
        <w:r>
          <w:fldChar w:fldCharType="separate"/>
        </w:r>
        <w:r w:rsidR="00A15542">
          <w:rPr>
            <w:noProof/>
          </w:rPr>
          <w:t>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0784" w14:textId="77777777" w:rsidR="006B53E0" w:rsidRDefault="006B5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C4750" w14:textId="77777777" w:rsidR="001A1323" w:rsidRDefault="001A1323" w:rsidP="00774668">
      <w:pPr>
        <w:spacing w:after="0" w:line="240" w:lineRule="auto"/>
      </w:pPr>
      <w:r>
        <w:separator/>
      </w:r>
    </w:p>
  </w:footnote>
  <w:footnote w:type="continuationSeparator" w:id="0">
    <w:p w14:paraId="22BF5D89" w14:textId="77777777" w:rsidR="001A1323" w:rsidRDefault="001A1323" w:rsidP="0077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2E5AD" w14:textId="77777777" w:rsidR="006B53E0" w:rsidRDefault="006B53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4B79E" w14:textId="5451D60C" w:rsidR="006B53E0" w:rsidRDefault="006B53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ED34" w14:textId="77777777" w:rsidR="006B53E0" w:rsidRDefault="006B5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1026"/>
    <w:multiLevelType w:val="hybridMultilevel"/>
    <w:tmpl w:val="453A1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6E227D"/>
    <w:multiLevelType w:val="hybridMultilevel"/>
    <w:tmpl w:val="237CA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D0448D8"/>
    <w:multiLevelType w:val="hybridMultilevel"/>
    <w:tmpl w:val="8A6AA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5752A1B"/>
    <w:multiLevelType w:val="hybridMultilevel"/>
    <w:tmpl w:val="8286F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FB3A6B"/>
    <w:multiLevelType w:val="hybridMultilevel"/>
    <w:tmpl w:val="00EA54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4142B9D"/>
    <w:multiLevelType w:val="hybridMultilevel"/>
    <w:tmpl w:val="D97AA64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6" w15:restartNumberingAfterBreak="0">
    <w:nsid w:val="78D01361"/>
    <w:multiLevelType w:val="hybridMultilevel"/>
    <w:tmpl w:val="6B04D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5408972">
    <w:abstractNumId w:val="5"/>
  </w:num>
  <w:num w:numId="2" w16cid:durableId="21588348">
    <w:abstractNumId w:val="2"/>
  </w:num>
  <w:num w:numId="3" w16cid:durableId="1424493678">
    <w:abstractNumId w:val="6"/>
  </w:num>
  <w:num w:numId="4" w16cid:durableId="179200133">
    <w:abstractNumId w:val="3"/>
  </w:num>
  <w:num w:numId="5" w16cid:durableId="388959633">
    <w:abstractNumId w:val="0"/>
  </w:num>
  <w:num w:numId="6" w16cid:durableId="385834010">
    <w:abstractNumId w:val="4"/>
  </w:num>
  <w:num w:numId="7" w16cid:durableId="395710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D45"/>
    <w:rsid w:val="00011A9C"/>
    <w:rsid w:val="00063BBD"/>
    <w:rsid w:val="00081271"/>
    <w:rsid w:val="0009436F"/>
    <w:rsid w:val="00094966"/>
    <w:rsid w:val="000C5521"/>
    <w:rsid w:val="000D2D42"/>
    <w:rsid w:val="000D6C89"/>
    <w:rsid w:val="00112463"/>
    <w:rsid w:val="001236DA"/>
    <w:rsid w:val="00136C46"/>
    <w:rsid w:val="00147204"/>
    <w:rsid w:val="001634DA"/>
    <w:rsid w:val="00196BE7"/>
    <w:rsid w:val="001A1323"/>
    <w:rsid w:val="001B63E7"/>
    <w:rsid w:val="00202231"/>
    <w:rsid w:val="0026021B"/>
    <w:rsid w:val="002F7751"/>
    <w:rsid w:val="003273A9"/>
    <w:rsid w:val="00346E4B"/>
    <w:rsid w:val="00347773"/>
    <w:rsid w:val="0037795B"/>
    <w:rsid w:val="00411B17"/>
    <w:rsid w:val="0042701A"/>
    <w:rsid w:val="0043788A"/>
    <w:rsid w:val="004A356A"/>
    <w:rsid w:val="004A4CA9"/>
    <w:rsid w:val="004B3D79"/>
    <w:rsid w:val="004B5D5C"/>
    <w:rsid w:val="004D0ACC"/>
    <w:rsid w:val="005149AF"/>
    <w:rsid w:val="00595F7A"/>
    <w:rsid w:val="005A23C9"/>
    <w:rsid w:val="005C1D45"/>
    <w:rsid w:val="005F7D70"/>
    <w:rsid w:val="00624B97"/>
    <w:rsid w:val="0064174C"/>
    <w:rsid w:val="00671477"/>
    <w:rsid w:val="006A7F29"/>
    <w:rsid w:val="006B53E0"/>
    <w:rsid w:val="006E7E5E"/>
    <w:rsid w:val="00701C92"/>
    <w:rsid w:val="00730903"/>
    <w:rsid w:val="00750935"/>
    <w:rsid w:val="00765054"/>
    <w:rsid w:val="007676FC"/>
    <w:rsid w:val="00774668"/>
    <w:rsid w:val="00792062"/>
    <w:rsid w:val="007A2ED4"/>
    <w:rsid w:val="007A397F"/>
    <w:rsid w:val="007D3B88"/>
    <w:rsid w:val="007E7508"/>
    <w:rsid w:val="007E7654"/>
    <w:rsid w:val="008D0CA5"/>
    <w:rsid w:val="00975FC3"/>
    <w:rsid w:val="009933C7"/>
    <w:rsid w:val="009A729A"/>
    <w:rsid w:val="009B4FEE"/>
    <w:rsid w:val="009D0098"/>
    <w:rsid w:val="009D0BF0"/>
    <w:rsid w:val="009D5FAB"/>
    <w:rsid w:val="00A15542"/>
    <w:rsid w:val="00A53060"/>
    <w:rsid w:val="00A55DC2"/>
    <w:rsid w:val="00A70EAD"/>
    <w:rsid w:val="00A77639"/>
    <w:rsid w:val="00AB5136"/>
    <w:rsid w:val="00AD2563"/>
    <w:rsid w:val="00AE74C7"/>
    <w:rsid w:val="00B91946"/>
    <w:rsid w:val="00B969F7"/>
    <w:rsid w:val="00BA7752"/>
    <w:rsid w:val="00BC052D"/>
    <w:rsid w:val="00C027C4"/>
    <w:rsid w:val="00C558D7"/>
    <w:rsid w:val="00C94868"/>
    <w:rsid w:val="00CE3260"/>
    <w:rsid w:val="00D06371"/>
    <w:rsid w:val="00D31ECB"/>
    <w:rsid w:val="00D4530C"/>
    <w:rsid w:val="00D6023C"/>
    <w:rsid w:val="00D74B44"/>
    <w:rsid w:val="00D81C29"/>
    <w:rsid w:val="00D90909"/>
    <w:rsid w:val="00DB0BB9"/>
    <w:rsid w:val="00DC6333"/>
    <w:rsid w:val="00E036AC"/>
    <w:rsid w:val="00E045A3"/>
    <w:rsid w:val="00E1024C"/>
    <w:rsid w:val="00E256B4"/>
    <w:rsid w:val="00E33776"/>
    <w:rsid w:val="00E366BA"/>
    <w:rsid w:val="00E418B1"/>
    <w:rsid w:val="00E51A06"/>
    <w:rsid w:val="00E712EB"/>
    <w:rsid w:val="00E8077E"/>
    <w:rsid w:val="00E85994"/>
    <w:rsid w:val="00EE5452"/>
    <w:rsid w:val="00EF252E"/>
    <w:rsid w:val="00F123AB"/>
    <w:rsid w:val="00F23C2D"/>
    <w:rsid w:val="00F34550"/>
    <w:rsid w:val="00F526F7"/>
    <w:rsid w:val="00F72D34"/>
    <w:rsid w:val="00FC30CA"/>
    <w:rsid w:val="00FC40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E4ABE"/>
  <w15:chartTrackingRefBased/>
  <w15:docId w15:val="{263D26F2-4CBB-4834-BFAD-562A5AD0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C1D45"/>
    <w:pPr>
      <w:keepNext/>
      <w:spacing w:before="240" w:after="60" w:line="240" w:lineRule="auto"/>
      <w:outlineLvl w:val="0"/>
    </w:pPr>
    <w:rPr>
      <w:rFonts w:eastAsia="Times New Roman" w:cs="Arial"/>
      <w:bCs/>
      <w:color w:val="3F4A75"/>
      <w:kern w:val="28"/>
      <w:sz w:val="36"/>
      <w:szCs w:val="36"/>
    </w:rPr>
  </w:style>
  <w:style w:type="paragraph" w:styleId="Heading2">
    <w:name w:val="heading 2"/>
    <w:basedOn w:val="Normal"/>
    <w:next w:val="Normal"/>
    <w:link w:val="Heading2Char"/>
    <w:uiPriority w:val="9"/>
    <w:unhideWhenUsed/>
    <w:qFormat/>
    <w:rsid w:val="008D0C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D0C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81C2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next w:val="Normal"/>
    <w:link w:val="SubtitleChar"/>
    <w:qFormat/>
    <w:rsid w:val="005C1D45"/>
    <w:pPr>
      <w:numPr>
        <w:ilvl w:val="1"/>
      </w:numPr>
      <w:spacing w:before="120" w:after="60" w:line="240" w:lineRule="auto"/>
    </w:pPr>
    <w:rPr>
      <w:rFonts w:ascii="Arial" w:eastAsiaTheme="majorEastAsia" w:hAnsi="Arial" w:cstheme="majorBidi"/>
      <w:iCs/>
      <w:color w:val="3F4A75"/>
      <w:spacing w:val="15"/>
      <w:sz w:val="40"/>
      <w:szCs w:val="24"/>
    </w:rPr>
  </w:style>
  <w:style w:type="character" w:customStyle="1" w:styleId="SubtitleChar">
    <w:name w:val="Subtitle Char"/>
    <w:basedOn w:val="DefaultParagraphFont"/>
    <w:link w:val="Subtitle"/>
    <w:rsid w:val="005C1D45"/>
    <w:rPr>
      <w:rFonts w:ascii="Arial" w:eastAsiaTheme="majorEastAsia" w:hAnsi="Arial" w:cstheme="majorBidi"/>
      <w:iCs/>
      <w:color w:val="3F4A75"/>
      <w:spacing w:val="15"/>
      <w:sz w:val="40"/>
      <w:szCs w:val="24"/>
    </w:rPr>
  </w:style>
  <w:style w:type="character" w:customStyle="1" w:styleId="BoldAllCaps">
    <w:name w:val="Bold All Caps"/>
    <w:basedOn w:val="DefaultParagraphFont"/>
    <w:uiPriority w:val="1"/>
    <w:qFormat/>
    <w:rsid w:val="005C1D45"/>
    <w:rPr>
      <w:b/>
      <w:caps/>
      <w:smallCaps w:val="0"/>
      <w:color w:val="358189"/>
      <w:bdr w:val="none" w:sz="0" w:space="0" w:color="auto"/>
    </w:rPr>
  </w:style>
  <w:style w:type="character" w:styleId="CommentReference">
    <w:name w:val="annotation reference"/>
    <w:basedOn w:val="DefaultParagraphFont"/>
    <w:uiPriority w:val="99"/>
    <w:semiHidden/>
    <w:unhideWhenUsed/>
    <w:rsid w:val="005C1D45"/>
    <w:rPr>
      <w:sz w:val="16"/>
      <w:szCs w:val="16"/>
    </w:rPr>
  </w:style>
  <w:style w:type="paragraph" w:styleId="CommentText">
    <w:name w:val="annotation text"/>
    <w:basedOn w:val="Normal"/>
    <w:link w:val="CommentTextChar"/>
    <w:uiPriority w:val="99"/>
    <w:unhideWhenUsed/>
    <w:rsid w:val="005C1D45"/>
    <w:pPr>
      <w:spacing w:before="120" w:after="12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5C1D45"/>
    <w:rPr>
      <w:rFonts w:eastAsia="Times New Roman" w:cs="Times New Roman"/>
      <w:sz w:val="20"/>
      <w:szCs w:val="20"/>
    </w:rPr>
  </w:style>
  <w:style w:type="character" w:customStyle="1" w:styleId="Heading1Char">
    <w:name w:val="Heading 1 Char"/>
    <w:basedOn w:val="DefaultParagraphFont"/>
    <w:link w:val="Heading1"/>
    <w:rsid w:val="005C1D45"/>
    <w:rPr>
      <w:rFonts w:eastAsia="Times New Roman" w:cs="Arial"/>
      <w:bCs/>
      <w:color w:val="3F4A75"/>
      <w:kern w:val="28"/>
      <w:sz w:val="36"/>
      <w:szCs w:val="36"/>
    </w:rPr>
  </w:style>
  <w:style w:type="character" w:customStyle="1" w:styleId="StandardText">
    <w:name w:val="Standard Text"/>
    <w:basedOn w:val="DefaultParagraphFont"/>
    <w:uiPriority w:val="1"/>
    <w:rsid w:val="005C1D45"/>
    <w:rPr>
      <w:rFonts w:ascii="Calibri" w:hAnsi="Calibri"/>
      <w:b w:val="0"/>
      <w:sz w:val="22"/>
    </w:rPr>
  </w:style>
  <w:style w:type="paragraph" w:styleId="ListParagraph">
    <w:name w:val="List Paragraph"/>
    <w:aliases w:val="Bullet Point,Bullet point,Bulletr List Paragraph,Content descriptions,FooterText,L,List Bullet 1,List Paragraph Number,List Paragraph1,List Paragraph11,List Paragraph2,List Paragraph21,Listeafsnit1,NFP GP Bulleted List,Recommendation,リスト段"/>
    <w:basedOn w:val="Normal"/>
    <w:link w:val="ListParagraphChar"/>
    <w:uiPriority w:val="34"/>
    <w:qFormat/>
    <w:rsid w:val="00AD2563"/>
    <w:pPr>
      <w:spacing w:before="120" w:after="120" w:line="240" w:lineRule="auto"/>
      <w:ind w:left="720"/>
      <w:contextualSpacing/>
    </w:pPr>
    <w:rPr>
      <w:rFonts w:eastAsia="Times New Roman" w:cs="Times New Roman"/>
      <w:szCs w:val="24"/>
    </w:rPr>
  </w:style>
  <w:style w:type="character" w:styleId="Hyperlink">
    <w:name w:val="Hyperlink"/>
    <w:basedOn w:val="DefaultParagraphFont"/>
    <w:uiPriority w:val="99"/>
    <w:qFormat/>
    <w:rsid w:val="00AD2563"/>
    <w:rPr>
      <w:color w:val="0563C1" w:themeColor="hyperlink"/>
      <w:u w:val="single"/>
    </w:rPr>
  </w:style>
  <w:style w:type="character" w:customStyle="1" w:styleId="ListParagraphChar">
    <w:name w:val="List Paragraph Char"/>
    <w:aliases w:val="Bullet Point Char,Bullet point Char,Bulletr List Paragraph Char,Content descriptions Char,FooterText Char,L Char,List Bullet 1 Char,List Paragraph Number Char,List Paragraph1 Char,List Paragraph11 Char,List Paragraph2 Char,リスト段 Char"/>
    <w:basedOn w:val="DefaultParagraphFont"/>
    <w:link w:val="ListParagraph"/>
    <w:uiPriority w:val="99"/>
    <w:qFormat/>
    <w:locked/>
    <w:rsid w:val="00AD2563"/>
    <w:rPr>
      <w:rFonts w:eastAsia="Times New Roman" w:cs="Times New Roman"/>
      <w:szCs w:val="24"/>
    </w:rPr>
  </w:style>
  <w:style w:type="table" w:customStyle="1" w:styleId="TableGrid6">
    <w:name w:val="Table Grid6"/>
    <w:basedOn w:val="TableNormal"/>
    <w:next w:val="TableGrid"/>
    <w:uiPriority w:val="59"/>
    <w:rsid w:val="00AD256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2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D0ACC"/>
    <w:pPr>
      <w:spacing w:before="0"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4D0ACC"/>
    <w:rPr>
      <w:rFonts w:eastAsia="Times New Roman" w:cs="Times New Roman"/>
      <w:b/>
      <w:bCs/>
      <w:sz w:val="20"/>
      <w:szCs w:val="20"/>
    </w:rPr>
  </w:style>
  <w:style w:type="character" w:customStyle="1" w:styleId="Heading2Char">
    <w:name w:val="Heading 2 Char"/>
    <w:basedOn w:val="DefaultParagraphFont"/>
    <w:link w:val="Heading2"/>
    <w:uiPriority w:val="9"/>
    <w:rsid w:val="008D0CA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D0CA5"/>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7746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668"/>
  </w:style>
  <w:style w:type="paragraph" w:styleId="Footer">
    <w:name w:val="footer"/>
    <w:basedOn w:val="Normal"/>
    <w:link w:val="FooterChar"/>
    <w:uiPriority w:val="99"/>
    <w:unhideWhenUsed/>
    <w:rsid w:val="00774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668"/>
  </w:style>
  <w:style w:type="character" w:customStyle="1" w:styleId="Heading4Char">
    <w:name w:val="Heading 4 Char"/>
    <w:basedOn w:val="DefaultParagraphFont"/>
    <w:link w:val="Heading4"/>
    <w:uiPriority w:val="9"/>
    <w:semiHidden/>
    <w:rsid w:val="00D81C2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D81C29"/>
    <w:rPr>
      <w:b/>
      <w:bCs/>
    </w:rPr>
  </w:style>
  <w:style w:type="character" w:customStyle="1" w:styleId="UnresolvedMention1">
    <w:name w:val="Unresolved Mention1"/>
    <w:basedOn w:val="DefaultParagraphFont"/>
    <w:uiPriority w:val="99"/>
    <w:semiHidden/>
    <w:unhideWhenUsed/>
    <w:rsid w:val="00D81C29"/>
    <w:rPr>
      <w:color w:val="605E5C"/>
      <w:shd w:val="clear" w:color="auto" w:fill="E1DFDD"/>
    </w:rPr>
  </w:style>
  <w:style w:type="paragraph" w:styleId="Revision">
    <w:name w:val="Revision"/>
    <w:hidden/>
    <w:uiPriority w:val="99"/>
    <w:semiHidden/>
    <w:rsid w:val="002F7751"/>
    <w:pPr>
      <w:spacing w:after="0" w:line="240" w:lineRule="auto"/>
    </w:pPr>
  </w:style>
  <w:style w:type="paragraph" w:styleId="BalloonText">
    <w:name w:val="Balloon Text"/>
    <w:basedOn w:val="Normal"/>
    <w:link w:val="BalloonTextChar"/>
    <w:uiPriority w:val="99"/>
    <w:semiHidden/>
    <w:unhideWhenUsed/>
    <w:rsid w:val="00AE7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4C7"/>
    <w:rPr>
      <w:rFonts w:ascii="Segoe UI" w:hAnsi="Segoe UI" w:cs="Segoe UI"/>
      <w:sz w:val="18"/>
      <w:szCs w:val="18"/>
    </w:rPr>
  </w:style>
  <w:style w:type="character" w:styleId="FollowedHyperlink">
    <w:name w:val="FollowedHyperlink"/>
    <w:basedOn w:val="DefaultParagraphFont"/>
    <w:uiPriority w:val="99"/>
    <w:semiHidden/>
    <w:unhideWhenUsed/>
    <w:rsid w:val="00D06371"/>
    <w:rPr>
      <w:color w:val="954F72" w:themeColor="followedHyperlink"/>
      <w:u w:val="single"/>
    </w:rPr>
  </w:style>
  <w:style w:type="character" w:styleId="UnresolvedMention">
    <w:name w:val="Unresolved Mention"/>
    <w:basedOn w:val="DefaultParagraphFont"/>
    <w:uiPriority w:val="99"/>
    <w:semiHidden/>
    <w:unhideWhenUsed/>
    <w:rsid w:val="000D6C89"/>
    <w:rPr>
      <w:color w:val="605E5C"/>
      <w:shd w:val="clear" w:color="auto" w:fill="E1DFDD"/>
    </w:rPr>
  </w:style>
  <w:style w:type="paragraph" w:styleId="NormalWeb">
    <w:name w:val="Normal (Web)"/>
    <w:basedOn w:val="Normal"/>
    <w:uiPriority w:val="99"/>
    <w:unhideWhenUsed/>
    <w:rsid w:val="009D5FA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490050">
      <w:bodyDiv w:val="1"/>
      <w:marLeft w:val="0"/>
      <w:marRight w:val="0"/>
      <w:marTop w:val="0"/>
      <w:marBottom w:val="0"/>
      <w:divBdr>
        <w:top w:val="none" w:sz="0" w:space="0" w:color="auto"/>
        <w:left w:val="none" w:sz="0" w:space="0" w:color="auto"/>
        <w:bottom w:val="none" w:sz="0" w:space="0" w:color="auto"/>
        <w:right w:val="none" w:sz="0" w:space="0" w:color="auto"/>
      </w:divBdr>
    </w:div>
    <w:div w:id="195566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gov.au/our-work/workforce-incentive-program" TargetMode="External"/><Relationship Id="rId18" Type="http://schemas.openxmlformats.org/officeDocument/2006/relationships/hyperlink" Target="mailto:gpservices@ruraldoc.com.au" TargetMode="External"/><Relationship Id="rId26" Type="http://schemas.openxmlformats.org/officeDocument/2006/relationships/hyperlink" Target="mailto:clientservices@healthworkforce.com.au"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accounts@ruralhealthwest.com.au%20" TargetMode="External"/><Relationship Id="rId34" Type="http://schemas.openxmlformats.org/officeDocument/2006/relationships/hyperlink" Target="http://www.servicesaustralia.gov.au"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ervicesaustralia.gov.au/hpos" TargetMode="External"/><Relationship Id="rId17" Type="http://schemas.openxmlformats.org/officeDocument/2006/relationships/hyperlink" Target="mailto:gpwip@ntphn.org.au" TargetMode="External"/><Relationship Id="rId25" Type="http://schemas.openxmlformats.org/officeDocument/2006/relationships/hyperlink" Target="mailto:gpgrants@nswrdn.com.au%20" TargetMode="External"/><Relationship Id="rId33" Type="http://schemas.openxmlformats.org/officeDocument/2006/relationships/hyperlink" Target="mailto:AGPTeligibility@racgp.org.au"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gprip@ntphn.org.au" TargetMode="External"/><Relationship Id="rId20" Type="http://schemas.openxmlformats.org/officeDocument/2006/relationships/hyperlink" Target="mailto:accounts@ruralhealthwest.com.au" TargetMode="External"/><Relationship Id="rId29" Type="http://schemas.openxmlformats.org/officeDocument/2006/relationships/hyperlink" Target="https://www.acrrm.org.au/fellowship/pathway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gpgrants@nswrdn.com.au" TargetMode="External"/><Relationship Id="rId32" Type="http://schemas.openxmlformats.org/officeDocument/2006/relationships/hyperlink" Target="mailto:becomeagp@racgp.org.au"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WIP@health.gov.au" TargetMode="External"/><Relationship Id="rId23" Type="http://schemas.openxmlformats.org/officeDocument/2006/relationships/hyperlink" Target="mailto:admin@hrplus.com.au" TargetMode="External"/><Relationship Id="rId28" Type="http://schemas.openxmlformats.org/officeDocument/2006/relationships/hyperlink" Target="mailto:rwav@rwav.com.au"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gpservices@ruraldoc.com.au" TargetMode="External"/><Relationship Id="rId31" Type="http://schemas.openxmlformats.org/officeDocument/2006/relationships/hyperlink" Target="https://www.racgp.org.au/education/registrars/fellowship-pathways/australian-general-practice-training-program-agpt/agp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gov.au/our-work/workforce-incentive-program" TargetMode="External"/><Relationship Id="rId22" Type="http://schemas.openxmlformats.org/officeDocument/2006/relationships/hyperlink" Target="mailto:admin@healthrecruitmentplus.com.au" TargetMode="External"/><Relationship Id="rId27" Type="http://schemas.openxmlformats.org/officeDocument/2006/relationships/hyperlink" Target="mailto:wipds@healthworkforce.com.au" TargetMode="External"/><Relationship Id="rId30" Type="http://schemas.openxmlformats.org/officeDocument/2006/relationships/hyperlink" Target="mailto:selection@acrrm.org.au" TargetMode="External"/><Relationship Id="rId35" Type="http://schemas.openxmlformats.org/officeDocument/2006/relationships/hyperlink" Target="mailto:WIPDoctor@servicesaustralia.gov.au"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308FE0E1B91A64F99F51FABF0A0FB1C" ma:contentTypeVersion="" ma:contentTypeDescription="PDMS Document Site Content Type" ma:contentTypeScope="" ma:versionID="7c3aa989868ab1e41df3959385e22ffb">
  <xsd:schema xmlns:xsd="http://www.w3.org/2001/XMLSchema" xmlns:xs="http://www.w3.org/2001/XMLSchema" xmlns:p="http://schemas.microsoft.com/office/2006/metadata/properties" xmlns:ns2="9FB056F9-8CEC-4563-B4E9-681FAD197FD0" targetNamespace="http://schemas.microsoft.com/office/2006/metadata/properties" ma:root="true" ma:fieldsID="41b8d2c26caa203f3459cbda3ccf9088" ns2:_="">
    <xsd:import namespace="9FB056F9-8CEC-4563-B4E9-681FAD197FD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056F9-8CEC-4563-B4E9-681FAD197FD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9FB056F9-8CEC-4563-B4E9-681FAD197FD0" xsi:nil="true"/>
  </documentManagement>
</p:properties>
</file>

<file path=customXml/itemProps1.xml><?xml version="1.0" encoding="utf-8"?>
<ds:datastoreItem xmlns:ds="http://schemas.openxmlformats.org/officeDocument/2006/customXml" ds:itemID="{A04DA3AD-9F68-4FCB-8EE6-05D82315C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056F9-8CEC-4563-B4E9-681FAD197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F079E-F110-432A-B0FF-F3CE86760228}">
  <ds:schemaRefs>
    <ds:schemaRef ds:uri="http://schemas.microsoft.com/sharepoint/v3/contenttype/forms"/>
  </ds:schemaRefs>
</ds:datastoreItem>
</file>

<file path=customXml/itemProps3.xml><?xml version="1.0" encoding="utf-8"?>
<ds:datastoreItem xmlns:ds="http://schemas.openxmlformats.org/officeDocument/2006/customXml" ds:itemID="{FC5C56D5-E422-4A3D-8FF0-B1FD82CF7E66}">
  <ds:schemaRefs>
    <ds:schemaRef ds:uri="http://schemas.openxmlformats.org/officeDocument/2006/bibliography"/>
  </ds:schemaRefs>
</ds:datastoreItem>
</file>

<file path=customXml/itemProps4.xml><?xml version="1.0" encoding="utf-8"?>
<ds:datastoreItem xmlns:ds="http://schemas.openxmlformats.org/officeDocument/2006/customXml" ds:itemID="{C211C477-BB8C-4C1F-8815-8B6D8F455D13}">
  <ds:schemaRefs>
    <ds:schemaRef ds:uri="http://schemas.microsoft.com/office/2006/metadata/properties"/>
    <ds:schemaRef ds:uri="http://schemas.microsoft.com/office/infopath/2007/PartnerControls"/>
    <ds:schemaRef ds:uri="9FB056F9-8CEC-4563-B4E9-681FAD197FD0"/>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1566</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MATHEWS, Kym</dc:creator>
  <cp:keywords/>
  <dc:description/>
  <cp:lastModifiedBy>PASCOE, Tessa</cp:lastModifiedBy>
  <cp:revision>7</cp:revision>
  <cp:lastPrinted>2023-07-10T09:43:00Z</cp:lastPrinted>
  <dcterms:created xsi:type="dcterms:W3CDTF">2023-08-28T10:13:00Z</dcterms:created>
  <dcterms:modified xsi:type="dcterms:W3CDTF">2023-09-06T05:11:00Z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0x010100266966F133664895A6EE3632470D45F500E308FE0E1B91A64F99F51FABF0A0FB1C</vt:lpwstr>
  </property>
</Properties>
</file>